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56C3" w14:textId="77777777" w:rsidR="007B0C89" w:rsidRPr="00D53161" w:rsidRDefault="009D79CF">
      <w:pPr>
        <w:pStyle w:val="Title"/>
        <w:rPr>
          <w:rFonts w:ascii="Calibri" w:hAnsi="Calibri" w:cs="Calibri"/>
        </w:rPr>
      </w:pPr>
      <w:r w:rsidRPr="00D53161">
        <w:rPr>
          <w:rFonts w:ascii="Calibri" w:hAnsi="Calibri" w:cs="Calibri"/>
        </w:rPr>
        <w:t>Draft Application Review &amp; Feedback Form</w:t>
      </w:r>
    </w:p>
    <w:p w14:paraId="2690357B" w14:textId="480816F0" w:rsidR="007B0C89" w:rsidRPr="009D79CF" w:rsidRDefault="009D79CF">
      <w:pPr>
        <w:rPr>
          <w:rFonts w:ascii="Calibri" w:hAnsi="Calibri" w:cs="Calibri"/>
          <w:sz w:val="22"/>
          <w:u w:val="single"/>
        </w:rPr>
      </w:pPr>
      <w:r w:rsidRPr="009D79CF">
        <w:rPr>
          <w:rFonts w:ascii="Calibri" w:hAnsi="Calibri" w:cs="Calibri"/>
          <w:sz w:val="22"/>
          <w:u w:val="single"/>
        </w:rPr>
        <w:t xml:space="preserve">Reviewer: Jessi Finstad     Review date: October </w:t>
      </w:r>
      <w:r w:rsidR="003E0BDF">
        <w:rPr>
          <w:rFonts w:ascii="Calibri" w:hAnsi="Calibri" w:cs="Calibri"/>
          <w:sz w:val="22"/>
          <w:u w:val="single"/>
        </w:rPr>
        <w:t>7</w:t>
      </w:r>
      <w:r w:rsidRPr="009D79CF">
        <w:rPr>
          <w:rFonts w:ascii="Calibri" w:hAnsi="Calibri" w:cs="Calibri"/>
          <w:sz w:val="22"/>
          <w:u w:val="single"/>
        </w:rPr>
        <w:t>, 2026</w:t>
      </w:r>
    </w:p>
    <w:p w14:paraId="056083D5" w14:textId="77777777" w:rsidR="007B0C89" w:rsidRPr="009D79CF" w:rsidRDefault="009D79CF">
      <w:pPr>
        <w:rPr>
          <w:rFonts w:ascii="Calibri" w:hAnsi="Calibri" w:cs="Calibri"/>
          <w:sz w:val="22"/>
          <w:u w:val="single"/>
        </w:rPr>
      </w:pPr>
      <w:r w:rsidRPr="009D79CF">
        <w:rPr>
          <w:rFonts w:ascii="Calibri" w:hAnsi="Calibri" w:cs="Calibri"/>
          <w:sz w:val="22"/>
          <w:u w:val="single"/>
        </w:rPr>
        <w:t>Applicant: Sun River Electric Cooperative</w:t>
      </w:r>
    </w:p>
    <w:p w14:paraId="62AE352E" w14:textId="77777777" w:rsidR="007B0C89" w:rsidRPr="009D79CF" w:rsidRDefault="009D79CF">
      <w:pPr>
        <w:rPr>
          <w:rFonts w:ascii="Calibri" w:hAnsi="Calibri" w:cs="Calibri"/>
          <w:sz w:val="22"/>
          <w:u w:val="single"/>
        </w:rPr>
      </w:pPr>
      <w:r w:rsidRPr="009D79CF">
        <w:rPr>
          <w:rFonts w:ascii="Calibri" w:hAnsi="Calibri" w:cs="Calibri"/>
          <w:sz w:val="22"/>
          <w:u w:val="single"/>
        </w:rPr>
        <w:t>Project title: Ashuelot to Fort Shaw Transmission Upgrade Project</w:t>
      </w:r>
    </w:p>
    <w:p w14:paraId="503B0565" w14:textId="77777777" w:rsidR="007B0C89" w:rsidRPr="009D79CF" w:rsidRDefault="009D79CF">
      <w:pPr>
        <w:rPr>
          <w:rFonts w:ascii="Calibri" w:hAnsi="Calibri" w:cs="Calibri"/>
          <w:sz w:val="22"/>
          <w:u w:val="single"/>
        </w:rPr>
      </w:pPr>
      <w:r w:rsidRPr="009D79CF">
        <w:rPr>
          <w:rFonts w:ascii="Calibri" w:hAnsi="Calibri" w:cs="Calibri"/>
          <w:sz w:val="22"/>
          <w:u w:val="single"/>
        </w:rPr>
        <w:t>Project location / county: Ashuelot to Fort Shaw transmission corridor, near Fort Shaw and the Sun River Valley; Cascade County, Montana</w:t>
      </w:r>
    </w:p>
    <w:p w14:paraId="67CE6C11" w14:textId="5C1844CB" w:rsidR="007B0C89" w:rsidRPr="00D53161" w:rsidRDefault="00D53161">
      <w:pPr>
        <w:pStyle w:val="Heading1"/>
        <w:rPr>
          <w:rFonts w:ascii="Calibri" w:hAnsi="Calibri" w:cs="Calibri"/>
        </w:rPr>
      </w:pPr>
      <w:r w:rsidRPr="00D53161">
        <w:rPr>
          <w:rFonts w:ascii="Calibri" w:hAnsi="Calibri" w:cs="Calibri"/>
        </w:rPr>
        <w:t>1</w:t>
      </w:r>
      <w:r w:rsidR="009D79CF" w:rsidRPr="00D53161">
        <w:rPr>
          <w:rFonts w:ascii="Calibri" w:hAnsi="Calibri" w:cs="Calibri"/>
        </w:rPr>
        <w:t>. Applicant feedback</w:t>
      </w:r>
    </w:p>
    <w:p w14:paraId="7514B472" w14:textId="77777777" w:rsidR="007B0C89" w:rsidRPr="00D53161" w:rsidRDefault="009D79CF">
      <w:pPr>
        <w:rPr>
          <w:rFonts w:ascii="Calibri" w:hAnsi="Calibri" w:cs="Calibri"/>
          <w:sz w:val="22"/>
        </w:rPr>
      </w:pPr>
      <w:r w:rsidRPr="00D53161">
        <w:rPr>
          <w:rFonts w:ascii="Calibri" w:hAnsi="Calibri" w:cs="Calibri"/>
          <w:sz w:val="22"/>
        </w:rPr>
        <w:t>The following comments reference the EIRGP review criteria and submitted draft materials. They do not constitute scores, eligibility determinations, or funding recommendations.</w:t>
      </w:r>
    </w:p>
    <w:p w14:paraId="365B6550" w14:textId="77777777" w:rsidR="007B0C89" w:rsidRPr="00D53161" w:rsidRDefault="009D79CF">
      <w:pPr>
        <w:pStyle w:val="Heading2"/>
        <w:rPr>
          <w:rFonts w:ascii="Calibri" w:hAnsi="Calibri" w:cs="Calibri"/>
        </w:rPr>
      </w:pPr>
      <w:r w:rsidRPr="00D53161">
        <w:rPr>
          <w:rFonts w:ascii="Calibri" w:hAnsi="Calibri" w:cs="Calibri"/>
        </w:rPr>
        <w:t>A. Resilience &amp; Reliability Benefits</w:t>
      </w:r>
    </w:p>
    <w:p w14:paraId="4073D9F8" w14:textId="32CF9043"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6B4A771E" w14:textId="0526E6E0" w:rsidR="007B0C89" w:rsidRPr="00D53161" w:rsidRDefault="009D79CF">
      <w:pPr>
        <w:rPr>
          <w:rFonts w:ascii="Calibri" w:hAnsi="Calibri" w:cs="Calibri"/>
          <w:sz w:val="22"/>
          <w:u w:val="single"/>
        </w:rPr>
      </w:pPr>
      <w:r w:rsidRPr="00D53161">
        <w:rPr>
          <w:rFonts w:ascii="Calibri" w:hAnsi="Calibri" w:cs="Calibri"/>
          <w:sz w:val="22"/>
          <w:u w:val="single"/>
        </w:rPr>
        <w:t>The application presents a defined project to replace and harden approximately 6.4 miles of aging 69-kV transmission line, supported by inspection observations and photographs of conductor deterioration and two recent line-related fires. The narrative explains anticipated improvements in wildfire prevention, line reliability, protection, and operational flexibility. It also acknowledges that line-specific reliability and outage-cost calculations are still being developed.</w:t>
      </w:r>
    </w:p>
    <w:p w14:paraId="22C89790" w14:textId="1034A869"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Provide the available line</w:t>
      </w:r>
      <w:r w:rsidR="003E0BDF">
        <w:rPr>
          <w:rFonts w:ascii="Calibri" w:hAnsi="Calibri" w:cs="Calibri"/>
          <w:sz w:val="22"/>
        </w:rPr>
        <w:t xml:space="preserve"> </w:t>
      </w:r>
      <w:r w:rsidRPr="00D53161">
        <w:rPr>
          <w:rFonts w:ascii="Calibri" w:hAnsi="Calibri" w:cs="Calibri"/>
          <w:sz w:val="22"/>
        </w:rPr>
        <w:t>or Fort Shaw substation-specific outage history, including the dates, causes, durations, and customer impacts of recent failures, or explain the available alternative baseline. The narrative states that the line experienced more outages in the last year than in the preceding ten years; supporting figures would clarify that comparison.</w:t>
      </w:r>
    </w:p>
    <w:p w14:paraId="046B24E4" w14:textId="1FB54C44"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Provide the line-specific reliability measures and ICE analysis if available for the final application, as anticipated in the narrative, and identify measurable outcomes for conductor failures, outages, wildfire ignitions, or restoration performance. Clarify how the proposed line configuration and switching changes will enable the stated rerouting benefits.</w:t>
      </w:r>
    </w:p>
    <w:p w14:paraId="1D72ED70" w14:textId="77777777" w:rsidR="007B0C89" w:rsidRDefault="009D79CF">
      <w:pPr>
        <w:pStyle w:val="Heading2"/>
        <w:rPr>
          <w:rFonts w:ascii="Calibri" w:hAnsi="Calibri" w:cs="Calibri"/>
        </w:rPr>
      </w:pPr>
      <w:r w:rsidRPr="00D53161">
        <w:rPr>
          <w:rFonts w:ascii="Calibri" w:hAnsi="Calibri" w:cs="Calibri"/>
        </w:rPr>
        <w:t>B. Customer Benefits</w:t>
      </w:r>
    </w:p>
    <w:p w14:paraId="2BD2A954" w14:textId="40ADCF86"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5D0B946A" w14:textId="77777777" w:rsidR="007B0C89" w:rsidRPr="00D53161" w:rsidRDefault="009D79CF">
      <w:pPr>
        <w:rPr>
          <w:rFonts w:ascii="Calibri" w:hAnsi="Calibri" w:cs="Calibri"/>
          <w:sz w:val="22"/>
          <w:u w:val="single"/>
        </w:rPr>
      </w:pPr>
      <w:r w:rsidRPr="00D53161">
        <w:rPr>
          <w:rFonts w:ascii="Calibri" w:hAnsi="Calibri" w:cs="Calibri"/>
          <w:sz w:val="22"/>
          <w:u w:val="single"/>
        </w:rPr>
        <w:t>The narrative identifies 783 directly benefiting customers and 1,096 meters supplied through the Fort Shaw substation and describes agricultural, residential, and other rural uses. It appropriately distinguishes the defined customer count from broader benefits associated with supporting neighboring substations during outages or maintenance.</w:t>
      </w:r>
    </w:p>
    <w:p w14:paraId="20497F3A"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 xml:space="preserve">Clarify the basis for the 783-customer and 1,096-meter counts and, where available, describe the conditions or system limitations under which the upgraded line could support additional </w:t>
      </w:r>
      <w:r w:rsidRPr="00D53161">
        <w:rPr>
          <w:rFonts w:ascii="Calibri" w:hAnsi="Calibri" w:cs="Calibri"/>
          <w:sz w:val="22"/>
        </w:rPr>
        <w:lastRenderedPageBreak/>
        <w:t>customers through alternate feeds. Keep directly served customers distinct from potential indirect beneficiaries.</w:t>
      </w:r>
    </w:p>
    <w:p w14:paraId="3EA289F2" w14:textId="77777777" w:rsidR="007B0C89" w:rsidRPr="00D53161" w:rsidRDefault="009D79CF">
      <w:pPr>
        <w:pStyle w:val="Heading2"/>
        <w:rPr>
          <w:rFonts w:ascii="Calibri" w:hAnsi="Calibri" w:cs="Calibri"/>
        </w:rPr>
      </w:pPr>
      <w:r w:rsidRPr="00D53161">
        <w:rPr>
          <w:rFonts w:ascii="Calibri" w:hAnsi="Calibri" w:cs="Calibri"/>
        </w:rPr>
        <w:t>C. Critical &amp; Essential Facility Benefits</w:t>
      </w:r>
    </w:p>
    <w:p w14:paraId="240E8A11" w14:textId="77777777"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7C92D364" w14:textId="04A1AAF5" w:rsidR="007B0C89" w:rsidRPr="00D53161" w:rsidRDefault="009D79CF">
      <w:pPr>
        <w:rPr>
          <w:rFonts w:ascii="Calibri" w:hAnsi="Calibri" w:cs="Calibri"/>
          <w:sz w:val="22"/>
          <w:u w:val="single"/>
        </w:rPr>
      </w:pPr>
      <w:r w:rsidRPr="00D53161">
        <w:rPr>
          <w:rFonts w:ascii="Calibri" w:hAnsi="Calibri" w:cs="Calibri"/>
          <w:sz w:val="22"/>
          <w:u w:val="single"/>
        </w:rPr>
        <w:t>The narrative identifies four volunteer fire service areas, schools, EMS, transportation safety equipment, and U.S. Air Force missile-related facilities as potentially benefiting from improved reliability. The Fairfield Public Schools and Greenfields Irrigation District letters provide relevant community perspectives, although they do not independently establish which individual facilities are electrically served by this line.</w:t>
      </w:r>
    </w:p>
    <w:p w14:paraId="27C4924C" w14:textId="0EEE394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 xml:space="preserve">Identify which named critical or essential facilities are directly served by the Fort Shaw substation or depend on the Ashuelot–Fort Shaw </w:t>
      </w:r>
      <w:proofErr w:type="gramStart"/>
      <w:r w:rsidRPr="00D53161">
        <w:rPr>
          <w:rFonts w:ascii="Calibri" w:hAnsi="Calibri" w:cs="Calibri"/>
          <w:sz w:val="22"/>
        </w:rPr>
        <w:t>line, and</w:t>
      </w:r>
      <w:proofErr w:type="gramEnd"/>
      <w:r w:rsidRPr="00D53161">
        <w:rPr>
          <w:rFonts w:ascii="Calibri" w:hAnsi="Calibri" w:cs="Calibri"/>
          <w:sz w:val="22"/>
        </w:rPr>
        <w:t xml:space="preserve"> distinguish them from facilities that may benefit indirectly through improved system redundancy. Where possible, explain the practical outage or continuity benefit for the identified facilities.</w:t>
      </w:r>
    </w:p>
    <w:p w14:paraId="3B2D47E6" w14:textId="77777777" w:rsidR="007B0C89" w:rsidRPr="00D53161" w:rsidRDefault="009D79CF">
      <w:pPr>
        <w:pStyle w:val="Heading2"/>
        <w:rPr>
          <w:rFonts w:ascii="Calibri" w:hAnsi="Calibri" w:cs="Calibri"/>
        </w:rPr>
      </w:pPr>
      <w:r w:rsidRPr="00D53161">
        <w:rPr>
          <w:rFonts w:ascii="Calibri" w:hAnsi="Calibri" w:cs="Calibri"/>
        </w:rPr>
        <w:t>D. Community Vulnerability &amp; Resilience</w:t>
      </w:r>
    </w:p>
    <w:p w14:paraId="09FA6079" w14:textId="200F29A4"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32C17AC" w14:textId="64180EBD" w:rsidR="007B0C89" w:rsidRPr="00D53161" w:rsidRDefault="009D79CF">
      <w:pPr>
        <w:rPr>
          <w:rFonts w:ascii="Calibri" w:hAnsi="Calibri" w:cs="Calibri"/>
          <w:sz w:val="22"/>
          <w:u w:val="single"/>
        </w:rPr>
      </w:pPr>
      <w:r w:rsidRPr="00D53161">
        <w:rPr>
          <w:rFonts w:ascii="Calibri" w:hAnsi="Calibri" w:cs="Calibri"/>
          <w:sz w:val="22"/>
          <w:u w:val="single"/>
        </w:rPr>
        <w:t>The narrative uses a specified Cascade County census tract and includes National Risk Index measures as well as FEMA RAPT hazard information for lightning, cold waves, drought, and inland flooding. It also describes the relevance of rural service distances, agricultural dependence, and the two documented conductor-related fires. These are useful project-area vulnerability indicators.</w:t>
      </w:r>
    </w:p>
    <w:p w14:paraId="39745A10"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Clarify how the cited hazards and vulnerability measures relate to the proposed hardening activities and expected community resilience benefits. The local fire incidents are particularly relevant evidence; distinguish those documented incidents from broader or modeled hazard exposure.</w:t>
      </w:r>
    </w:p>
    <w:p w14:paraId="3FAFF4CD" w14:textId="77777777" w:rsidR="007B0C89" w:rsidRPr="00D53161" w:rsidRDefault="009D79CF">
      <w:pPr>
        <w:pStyle w:val="Heading2"/>
        <w:rPr>
          <w:rFonts w:ascii="Calibri" w:hAnsi="Calibri" w:cs="Calibri"/>
        </w:rPr>
      </w:pPr>
      <w:r w:rsidRPr="00D53161">
        <w:rPr>
          <w:rFonts w:ascii="Calibri" w:hAnsi="Calibri" w:cs="Calibri"/>
        </w:rPr>
        <w:t>E. Workforce &amp; Economic Development Benefits</w:t>
      </w:r>
    </w:p>
    <w:p w14:paraId="54C87782" w14:textId="012923B6"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C4F1FE8" w14:textId="19E0812E" w:rsidR="007B0C89" w:rsidRPr="00D53161" w:rsidRDefault="009D79CF">
      <w:pPr>
        <w:rPr>
          <w:rFonts w:ascii="Calibri" w:hAnsi="Calibri" w:cs="Calibri"/>
          <w:sz w:val="22"/>
          <w:u w:val="single"/>
        </w:rPr>
      </w:pPr>
      <w:r w:rsidRPr="00D53161">
        <w:rPr>
          <w:rFonts w:ascii="Calibri" w:hAnsi="Calibri" w:cs="Calibri"/>
          <w:sz w:val="22"/>
          <w:u w:val="single"/>
        </w:rPr>
        <w:t>The project identifies use of existing cooperative operations, engineering, finance, and line staff alongside contracted engineering, construction, and grant-administration support. It discusses prevailing-wage compliance, worker safety, project-specific training, and the importance of reliable electricity to local agricultural operations. No permanent new positions are claimed.</w:t>
      </w:r>
    </w:p>
    <w:p w14:paraId="6287F367" w14:textId="43ABCFD6"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Provide a reasonable estimate of temporary contractor or internal labor effort and the anticipated project-specific training activities, if available, while distinguishing existing staff time from any new employment. The budget identifies 6,221.5 personnel hours; explain how those hours relate to the workforce benefits described.</w:t>
      </w:r>
    </w:p>
    <w:p w14:paraId="14919462" w14:textId="77777777" w:rsidR="007B0C89" w:rsidRPr="00D53161" w:rsidRDefault="009D79CF">
      <w:pPr>
        <w:pStyle w:val="Heading2"/>
        <w:rPr>
          <w:rFonts w:ascii="Calibri" w:hAnsi="Calibri" w:cs="Calibri"/>
        </w:rPr>
      </w:pPr>
      <w:r w:rsidRPr="00D53161">
        <w:rPr>
          <w:rFonts w:ascii="Calibri" w:hAnsi="Calibri" w:cs="Calibri"/>
        </w:rPr>
        <w:t>F. Advanced Grid Technology</w:t>
      </w:r>
    </w:p>
    <w:p w14:paraId="124B1211" w14:textId="007D234D"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2FF61E89" w14:textId="31512D7E" w:rsidR="007B0C89" w:rsidRPr="00D53161" w:rsidRDefault="009D79CF">
      <w:pPr>
        <w:rPr>
          <w:rFonts w:ascii="Calibri" w:hAnsi="Calibri" w:cs="Calibri"/>
          <w:sz w:val="22"/>
          <w:u w:val="single"/>
        </w:rPr>
      </w:pPr>
      <w:r w:rsidRPr="00D53161">
        <w:rPr>
          <w:rFonts w:ascii="Calibri" w:hAnsi="Calibri" w:cs="Calibri"/>
          <w:sz w:val="22"/>
          <w:u w:val="single"/>
        </w:rPr>
        <w:lastRenderedPageBreak/>
        <w:t>The narrative describes improved system topology and installation of an automatic/electronic breaker switch to enable more precise fault isolation, monitoring, and potentially office-based operation. The budget includes a distinct $453,693 breaker-switch component. These proposed functions extend beyond simple conductor replacement, but the configuration and communications approach are not yet defined.</w:t>
      </w:r>
    </w:p>
    <w:p w14:paraId="0FFE4AAF"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Clarify the number, type, location, and planned functionality of the electronic/automatic breaker switch equipment, including whether remote monitoring and control, communications, and integration with existing controls are included in the proposed scope and budget.</w:t>
      </w:r>
    </w:p>
    <w:p w14:paraId="2983D80B"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 xml:space="preserve">Explain how the switching and protection upgrades will be commissioned and coordinated with the existing </w:t>
      </w:r>
      <w:proofErr w:type="gramStart"/>
      <w:r w:rsidRPr="00D53161">
        <w:rPr>
          <w:rFonts w:ascii="Calibri" w:hAnsi="Calibri" w:cs="Calibri"/>
          <w:sz w:val="22"/>
        </w:rPr>
        <w:t>system, and</w:t>
      </w:r>
      <w:proofErr w:type="gramEnd"/>
      <w:r w:rsidRPr="00D53161">
        <w:rPr>
          <w:rFonts w:ascii="Calibri" w:hAnsi="Calibri" w:cs="Calibri"/>
          <w:sz w:val="22"/>
        </w:rPr>
        <w:t xml:space="preserve"> distinguish functions available at project completion from potential future capabilities.</w:t>
      </w:r>
    </w:p>
    <w:p w14:paraId="4203E7E0" w14:textId="77777777" w:rsidR="007B0C89" w:rsidRPr="00D53161" w:rsidRDefault="009D79CF">
      <w:pPr>
        <w:pStyle w:val="Heading2"/>
        <w:rPr>
          <w:rFonts w:ascii="Calibri" w:hAnsi="Calibri" w:cs="Calibri"/>
        </w:rPr>
      </w:pPr>
      <w:r w:rsidRPr="00D53161">
        <w:rPr>
          <w:rFonts w:ascii="Calibri" w:hAnsi="Calibri" w:cs="Calibri"/>
        </w:rPr>
        <w:t>G. Budget &amp; Cost</w:t>
      </w:r>
    </w:p>
    <w:p w14:paraId="31556EB0" w14:textId="2B913250"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AE359F6" w14:textId="55DDB60D" w:rsidR="007B0C89" w:rsidRPr="009D79CF" w:rsidRDefault="009D79CF">
      <w:pPr>
        <w:rPr>
          <w:rFonts w:ascii="Calibri" w:hAnsi="Calibri" w:cs="Calibri"/>
          <w:sz w:val="22"/>
          <w:u w:val="single"/>
        </w:rPr>
      </w:pPr>
      <w:r w:rsidRPr="009D79CF">
        <w:rPr>
          <w:rFonts w:ascii="Calibri" w:hAnsi="Calibri" w:cs="Calibri"/>
          <w:sz w:val="22"/>
          <w:u w:val="single"/>
        </w:rPr>
        <w:t xml:space="preserve">The narrative and workbook both show $2,490,269 in total project costs, a $1,500,000 federal request, and $990,269 in applicant funding. The narrative correctly breaks the contribution into $500,000 small-utility match, $232,500 additional 15.5% contribution, and $257,769 above the required match. The signed commitment letter, however, states $219,383 for the 15.5% contribution. The workbook also places wire, poles, and </w:t>
      </w:r>
      <w:r w:rsidR="003E0BDF">
        <w:rPr>
          <w:rFonts w:ascii="Calibri" w:hAnsi="Calibri" w:cs="Calibri"/>
          <w:sz w:val="22"/>
          <w:u w:val="single"/>
        </w:rPr>
        <w:t>supplies</w:t>
      </w:r>
      <w:r w:rsidRPr="009D79CF">
        <w:rPr>
          <w:rFonts w:ascii="Calibri" w:hAnsi="Calibri" w:cs="Calibri"/>
          <w:sz w:val="22"/>
          <w:u w:val="single"/>
        </w:rPr>
        <w:t xml:space="preserve"> in Equipment while acknowledging classification uncertainty; the cost-match category worksheet does not allocate match amounts.</w:t>
      </w:r>
      <w:r w:rsidR="003E0BDF">
        <w:rPr>
          <w:rFonts w:ascii="Calibri" w:hAnsi="Calibri" w:cs="Calibri"/>
          <w:sz w:val="22"/>
          <w:u w:val="single"/>
        </w:rPr>
        <w:t xml:space="preserve"> U.S. DOE has not released an updated definition of “Supplies” or “Equipment”, so DEQ reviewers will not score based on categorization of materials.</w:t>
      </w:r>
    </w:p>
    <w:p w14:paraId="6EFF072F" w14:textId="378FA48F"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Revise the signed commitment letter to reconcile the stated 15.5% contribution ($219,383) with the $232,500 shown in the narrative and calculated on the $1,500,000 request. Complete the cost-match budget-category allocation worksheet</w:t>
      </w:r>
      <w:r w:rsidR="003E0BDF">
        <w:rPr>
          <w:rFonts w:ascii="Calibri" w:hAnsi="Calibri" w:cs="Calibri"/>
          <w:sz w:val="22"/>
        </w:rPr>
        <w:t>.</w:t>
      </w:r>
    </w:p>
    <w:p w14:paraId="716AC2EB" w14:textId="77777777" w:rsidR="007B0C89" w:rsidRPr="00D53161" w:rsidRDefault="009D79CF">
      <w:pPr>
        <w:pStyle w:val="Heading2"/>
        <w:rPr>
          <w:rFonts w:ascii="Calibri" w:hAnsi="Calibri" w:cs="Calibri"/>
        </w:rPr>
      </w:pPr>
      <w:r w:rsidRPr="00D53161">
        <w:rPr>
          <w:rFonts w:ascii="Calibri" w:hAnsi="Calibri" w:cs="Calibri"/>
        </w:rPr>
        <w:t>H. Project Immediacy</w:t>
      </w:r>
    </w:p>
    <w:p w14:paraId="52D5E9C9" w14:textId="2A75BCDE"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7C4A523" w14:textId="7C43DF2E" w:rsidR="007B0C89" w:rsidRPr="009D79CF" w:rsidRDefault="009D79CF">
      <w:pPr>
        <w:rPr>
          <w:rFonts w:ascii="Calibri" w:hAnsi="Calibri" w:cs="Calibri"/>
          <w:sz w:val="22"/>
          <w:u w:val="single"/>
        </w:rPr>
      </w:pPr>
      <w:r w:rsidRPr="009D79CF">
        <w:rPr>
          <w:rFonts w:ascii="Calibri" w:hAnsi="Calibri" w:cs="Calibri"/>
          <w:sz w:val="22"/>
          <w:u w:val="single"/>
        </w:rPr>
        <w:t>The application includes a phased schedule covering engineering, environmental review, procurement, construction, commissioning, and reporting. The narrative anticipates construction from July 2027 through July 2028, testing in September 2028, and a one-year results report in October 2029. The workbook lists an application period ending August 30, 2029. The environmental questionnaire describes physical pole and conductor replacement, access, vegetation work, and easement updates, but selects Group A, which is intended for primarily administrative and analytical activities.</w:t>
      </w:r>
    </w:p>
    <w:p w14:paraId="2064B651"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Review and correct the environmental questionnaire’s work-activity classification to reflect the proposed construction, replacement, vegetation management, and possible route adjustments. Clarify the final route, locations of any deviations from the existing easement, landowner access/easement status, and anticipated environmental or historic-resource consultation. The narrative identifies nearby historic and cultural resources; confirm how the project footprint and any necessary review will address them.</w:t>
      </w:r>
    </w:p>
    <w:p w14:paraId="52B2F3B4"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lastRenderedPageBreak/>
        <w:t>Reconcile the budget application-period end date (August 30, 2029) with the October 2029 results-report milestone, or explain which activities and costs are expected after the budget period. Clarify the construction-to-commissioning interval and the permitting, procurement, outage-coordination, and BABA documentation steps that may affect the schedule.</w:t>
      </w:r>
    </w:p>
    <w:p w14:paraId="363C15A9" w14:textId="7FDB6A55" w:rsidR="007B0C89" w:rsidRPr="00D53161" w:rsidRDefault="00F22E3F">
      <w:pPr>
        <w:pStyle w:val="Heading1"/>
        <w:rPr>
          <w:rFonts w:ascii="Calibri" w:hAnsi="Calibri" w:cs="Calibri"/>
        </w:rPr>
      </w:pPr>
      <w:r>
        <w:rPr>
          <w:rFonts w:ascii="Calibri" w:hAnsi="Calibri" w:cs="Calibri"/>
        </w:rPr>
        <w:t>2</w:t>
      </w:r>
      <w:r w:rsidR="009D79CF" w:rsidRPr="00D53161">
        <w:rPr>
          <w:rFonts w:ascii="Calibri" w:hAnsi="Calibri" w:cs="Calibri"/>
        </w:rPr>
        <w:t>. Summary feedback for applicant</w:t>
      </w:r>
    </w:p>
    <w:p w14:paraId="3A17C2FF" w14:textId="77777777" w:rsidR="007B0C89" w:rsidRPr="00D53161" w:rsidRDefault="009D79CF">
      <w:pPr>
        <w:rPr>
          <w:rFonts w:ascii="Calibri" w:hAnsi="Calibri" w:cs="Calibri"/>
          <w:sz w:val="22"/>
        </w:rPr>
      </w:pPr>
      <w:r w:rsidRPr="00D53161">
        <w:rPr>
          <w:rFonts w:ascii="Calibri" w:hAnsi="Calibri" w:cs="Calibri"/>
          <w:sz w:val="22"/>
        </w:rPr>
        <w:t>Sun River Electric Cooperative proposes a substantial rebuild of the aging Ashuelot to Fort Shaw 69-kV transmission line, with a clearly identified rural service area and an estimated 783 directly benefiting customers. The application provides compelling project-specific context through conductor inspection findings, photographs, and reports of two recent fires, and it describes how the proposed improvements could support safer operations, greater reliability, and continuity for agriculture and essential community services. The project maps and letters of support add useful context, and the narrative includes both FEMA RAPT and National Risk Index information.</w:t>
      </w:r>
    </w:p>
    <w:p w14:paraId="3CA078DE" w14:textId="438967F0" w:rsidR="007B0C89" w:rsidRPr="00D53161" w:rsidRDefault="009D79CF">
      <w:pPr>
        <w:rPr>
          <w:rFonts w:ascii="Calibri" w:hAnsi="Calibri" w:cs="Calibri"/>
          <w:sz w:val="22"/>
        </w:rPr>
      </w:pPr>
      <w:r w:rsidRPr="00D53161">
        <w:rPr>
          <w:rFonts w:ascii="Calibri" w:hAnsi="Calibri" w:cs="Calibri"/>
          <w:sz w:val="22"/>
        </w:rPr>
        <w:t>The principal items requiring clarification are the outstanding line-specific reliability measures, the direct relationship of identified critical facilities to the project, the scope and operating capabilities of the proposed electronic switching equipment, and the environmental review information for a transmission-line construction project. The budget totals reconcile, but the signed match letter contains an inconsistent 15.5% amount, the cost-match category worksheet is incomplete, and several materials and labor assumptions need clarification. Addressing these items and reconciling the project and reporting timelines would provide a clearer, internally consistent basis for review under the EIRGP criteria.</w:t>
      </w:r>
    </w:p>
    <w:sectPr w:rsidR="007B0C89" w:rsidRPr="00D53161" w:rsidSect="00D53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06ECB"/>
    <w:multiLevelType w:val="hybridMultilevel"/>
    <w:tmpl w:val="7444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32D49"/>
    <w:multiLevelType w:val="hybridMultilevel"/>
    <w:tmpl w:val="36023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44045"/>
    <w:multiLevelType w:val="hybridMultilevel"/>
    <w:tmpl w:val="FB9E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90335E"/>
    <w:multiLevelType w:val="hybridMultilevel"/>
    <w:tmpl w:val="00CA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A66463"/>
    <w:multiLevelType w:val="hybridMultilevel"/>
    <w:tmpl w:val="F334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22245">
    <w:abstractNumId w:val="8"/>
  </w:num>
  <w:num w:numId="2" w16cid:durableId="214319278">
    <w:abstractNumId w:val="6"/>
  </w:num>
  <w:num w:numId="3" w16cid:durableId="1711760280">
    <w:abstractNumId w:val="5"/>
  </w:num>
  <w:num w:numId="4" w16cid:durableId="730689168">
    <w:abstractNumId w:val="4"/>
  </w:num>
  <w:num w:numId="5" w16cid:durableId="1279415884">
    <w:abstractNumId w:val="7"/>
  </w:num>
  <w:num w:numId="6" w16cid:durableId="2010907135">
    <w:abstractNumId w:val="3"/>
  </w:num>
  <w:num w:numId="7" w16cid:durableId="991562503">
    <w:abstractNumId w:val="2"/>
  </w:num>
  <w:num w:numId="8" w16cid:durableId="768768591">
    <w:abstractNumId w:val="1"/>
  </w:num>
  <w:num w:numId="9" w16cid:durableId="1959527942">
    <w:abstractNumId w:val="0"/>
  </w:num>
  <w:num w:numId="10" w16cid:durableId="961498491">
    <w:abstractNumId w:val="10"/>
  </w:num>
  <w:num w:numId="11" w16cid:durableId="299000291">
    <w:abstractNumId w:val="9"/>
  </w:num>
  <w:num w:numId="12" w16cid:durableId="1684625322">
    <w:abstractNumId w:val="12"/>
  </w:num>
  <w:num w:numId="13" w16cid:durableId="492379418">
    <w:abstractNumId w:val="11"/>
  </w:num>
  <w:num w:numId="14" w16cid:durableId="1000325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yHPZV17AdP5SGxH5mAWb6ptUsnB0jtjQnSQARDnZlaLNfmj6fe0VFUrv0dvpF28MblxRpf11+hStrtRWSUDBOg==" w:salt="kbo/dLMcXfKigzJnnPNj4Q=="/>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4B93"/>
    <w:rsid w:val="0029639D"/>
    <w:rsid w:val="00326F90"/>
    <w:rsid w:val="003463CB"/>
    <w:rsid w:val="003E0BDF"/>
    <w:rsid w:val="00425594"/>
    <w:rsid w:val="007B0C89"/>
    <w:rsid w:val="008936CC"/>
    <w:rsid w:val="009D79CF"/>
    <w:rsid w:val="00AA1D8D"/>
    <w:rsid w:val="00B47730"/>
    <w:rsid w:val="00CB0664"/>
    <w:rsid w:val="00D36584"/>
    <w:rsid w:val="00D53161"/>
    <w:rsid w:val="00D6157B"/>
    <w:rsid w:val="00DE44E7"/>
    <w:rsid w:val="00F22E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FA07C"/>
  <w14:defaultImageDpi w14:val="33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61"/>
    <w:pPr>
      <w:spacing w:after="12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45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45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1435</Words>
  <Characters>8184</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5</cp:revision>
  <dcterms:created xsi:type="dcterms:W3CDTF">2026-10-14T04:48:00Z</dcterms:created>
  <dcterms:modified xsi:type="dcterms:W3CDTF">2026-10-14T20:11:00Z</dcterms:modified>
  <cp:category/>
</cp:coreProperties>
</file>