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665EC9FE"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BF4A08">
        <w:rPr>
          <w:rFonts w:ascii="Calibri" w:hAnsi="Calibri" w:cs="Calibri"/>
          <w:sz w:val="22"/>
          <w:u w:val="single"/>
        </w:rPr>
        <w:t>2</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NorthWestern Corporation (NorthWestern Energy)</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Butte Area Wildfire Risk GridScope Monitoring Project</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Butte Industrial Park 32, Butte Cora 51 (Silver Bow County), and Anaconda City 1 (Deer Lodge County), Montana; final pole locations pending</w:t>
      </w:r>
    </w:p>
    <w:p w14:paraId="67CE6C11" w14:textId="5D583E67" w:rsidR="007B0C89" w:rsidRPr="00D53161" w:rsidRDefault="00BF4A08">
      <w:pPr>
        <w:pStyle w:val="Heading1"/>
        <w:rPr>
          <w:rFonts w:ascii="Calibri" w:hAnsi="Calibri" w:cs="Calibri"/>
        </w:rPr>
      </w:pPr>
      <w:r>
        <w:rPr>
          <w:rFonts w:ascii="Calibri" w:hAnsi="Calibri" w:cs="Calibri"/>
        </w:rPr>
        <w:t>1</w:t>
      </w:r>
      <w:r w:rsidR="00D53161"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The following comments reference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application proposes 548 self-powered GridScope monitoring devices to improve detection and localization of hazards and faults in remote distribution areas. It describes difficult patrol access, specific monitored line sections, and a plan to track notification, patrol, restoration, and safety outcomes. Existing baseline values and project-specific performance targets have not yet been established.</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available historical outage, fault, patrol, and restoration information for the selected zones, or explain any limitations in the available records. Identify the baseline period and the measurable post-deployment outcomes that will be used to assess project benefits.</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Clarify the anticipated benefit of monitoring and faster hazard awareness separately from actions that require switching, repair, or other intervention. Explain how detected events will be validated and documented as reliability or wildfire-risk outcomes.</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narrative identifies 434 estimated customers across three listed recloser zones: Butte Cora 51–1R044 (31), Anaconda City 1–1R006 (28), and Butte Industrial Park 32–1R049 (375). The Butte Industrial Park description also identifies 1R046 and several additional downstream reclosers, which makes the relationship between the customer table and full monitored scope unclear.</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Confirm whether the 434 customers represent all customers directly served by the proposed 548-device deployment. Reconcile the customer table with reclosers 1R046 and the additional downstream protection areas referenced in the project description, distinguishing direct from indirect benefits.</w:t>
      </w:r>
    </w:p>
    <w:p w14:paraId="3EA289F2" w14:textId="77777777" w:rsidR="007B0C89" w:rsidRPr="00D53161" w:rsidRDefault="009D79CF">
      <w:pPr>
        <w:pStyle w:val="Heading2"/>
        <w:rPr>
          <w:rFonts w:ascii="Calibri" w:hAnsi="Calibri" w:cs="Calibri"/>
        </w:rPr>
      </w:pPr>
      <w:r w:rsidRPr="00D53161">
        <w:rPr>
          <w:rFonts w:ascii="Calibri" w:hAnsi="Calibri" w:cs="Calibri"/>
        </w:rPr>
        <w:lastRenderedPageBreak/>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t>The application explains potential benefits to essential services from improved fault localization and response, but the narrative states that the inventory of directly served critical and essential facilities will be prepared for the final submission.</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any specific critical or essential facilities served by the proposed monitoring zones, where reasonably available, or indicate if none have been identified. Distinguish facilities directly served by monitored lines from those that may experience only broader regional wildfire-risk benefits.</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The narrative provides area maps and identifies wildfire-risk screening through NorthWestern Energy’s 2025 Wildfire Mitigation Plan. It describes remote, difficult-to-patrol areas, including the Moulton Reservoir and Warm Springs Road lines. Final device coordinates, county and service-area information are identified as forthcoming.</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sufficiently specific project boundaries, confirmed installation locations or GIS information, and associated county/service-area details for DEQ’s FEMA RAPT evaluation. The applicant is not required to perform the DEQ RAPT assessment.</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the wildfire-risk tiers or other vulnerability characteristics of the selected Butte-area zones and how these conditions relate to the customers and communities served. Distinguish location-specific evidence from general statewide risk descriptions.</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application identifies 1,096 represented line-worker installation hours and 677 engineering and project-management hours, and anticipates Montana employees and contractors as practicable. It describes training for operations, field response, and system administration, but worker counts and training outcomes remain preliminary.</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Provide the anticipated number and types of participating workers, any new or temporary positions, and the planned training topics, estimated hours, and completion measures as available. Clarify which activities will be performed by utility employees versus contractors.</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The narrative explains GridScope sensing, local analytics, self-powered operation, and device-to-device, cellular, and satellite communications. It describes commissioning, alert handling, and operational integration. The referenced manufacturer data sheet and vendor quotation were not identified among the five submitted documents.</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lastRenderedPageBreak/>
        <w:t>Provide the referenced technical data sheet and vendor quotation or other supporting cost/specification documentation. Clarify the proposed communications and software configuration, subscription/support terms, warranty, and whether related costs are included in the current project budget.</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Describe the operational process for receiving, validating, escalating, and acting on alerts, including integration with existing NorthWestern systems and how functionality will be tested and accepted at commissioning.</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5EC98E3F" w:rsidR="007B0C89" w:rsidRPr="009D79CF" w:rsidRDefault="009D79CF">
      <w:pPr>
        <w:rPr>
          <w:rFonts w:ascii="Calibri" w:hAnsi="Calibri" w:cs="Calibri"/>
          <w:sz w:val="22"/>
          <w:u w:val="single"/>
        </w:rPr>
      </w:pPr>
      <w:r w:rsidRPr="009D79CF">
        <w:rPr>
          <w:rFonts w:ascii="Calibri" w:hAnsi="Calibri" w:cs="Calibri"/>
          <w:sz w:val="22"/>
          <w:u w:val="single"/>
        </w:rPr>
        <w:t xml:space="preserve">The budget identifies a $638,613 federal share and $638,613 applicant match. The signed commitment letter instead describes $1,277,226 as the amount being applied for and commits to matching funds of at least 100% of the subaward plus an additional 15.5%. </w:t>
      </w:r>
    </w:p>
    <w:p w14:paraId="10358CE4" w14:textId="37BC9950"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The equipment worksheet cites a vendor quote for 548 GridScope devices, but the quote was not identified in the submitted package. Provide the referenced quotation or supporting cost basis and clarify whether communications, subscriptions, integration, training, and ongoing support are included in the budget or are separately funded.</w:t>
      </w:r>
    </w:p>
    <w:p w14:paraId="73A50D4F" w14:textId="77777777" w:rsidR="00BF4A08" w:rsidRPr="00D53161" w:rsidRDefault="00BF4A08" w:rsidP="00BF4A08">
      <w:pPr>
        <w:pStyle w:val="Heading2"/>
        <w:rPr>
          <w:rFonts w:ascii="Calibri" w:hAnsi="Calibri" w:cs="Calibri"/>
        </w:rPr>
      </w:pPr>
      <w:r w:rsidRPr="00D53161">
        <w:rPr>
          <w:rFonts w:ascii="Calibri" w:hAnsi="Calibri" w:cs="Calibri"/>
        </w:rPr>
        <w:t>H. Project Immediacy</w:t>
      </w:r>
    </w:p>
    <w:p w14:paraId="52D5E9C9" w14:textId="53029319"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narrative provides an implementation schedule, identifies a 35-week equipment lead time, and anticipates installation in approximately two weeks once equipment is available.</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The narrative outlines a relative 20-month schedule for scoping, environmental review, procurement, installation, commissioning, training, and closeout. It anticipates a BABA waiver process during months 0–12, and the application form indicates that the project does not currently comply with BABA. Final device locations and several technical/procurement inputs remain to be confirmed.</w:t>
      </w:r>
    </w:p>
    <w:p w14:paraId="52B2F3B4" w14:textId="741FECAF"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Clarify the affected equipment, anticipated BABA waiver pathway and status, and how procurement timing will depend on required approvals. </w:t>
      </w:r>
    </w:p>
    <w:p w14:paraId="363C15A9" w14:textId="77777777" w:rsidR="007B0C89" w:rsidRPr="00D53161" w:rsidRDefault="009D79CF">
      <w:pPr>
        <w:pStyle w:val="Heading1"/>
        <w:rPr>
          <w:rFonts w:ascii="Calibri" w:hAnsi="Calibri" w:cs="Calibri"/>
        </w:rPr>
      </w:pPr>
      <w:r w:rsidRPr="00D53161">
        <w:rPr>
          <w:rFonts w:ascii="Calibri" w:hAnsi="Calibri" w:cs="Calibri"/>
        </w:rPr>
        <w:t>3.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NorthWestern Energy proposes a targeted deployment of 548 GridScope monitoring devices in selected Butte- and Anaconda-area distribution zones to improve hazard awareness, fault localization, and response. The application provides a clear description of the monitoring technology, identifies candidate recloser areas with maps, explains difficult patrol conditions, and outlines operational performance measures. The budget itemizes equipment and utility labor costs, and a signed cost-match commitment is included.</w:t>
      </w:r>
    </w:p>
    <w:p w14:paraId="3CA078DE" w14:textId="438967F0" w:rsidR="007B0C89" w:rsidRPr="00D53161" w:rsidRDefault="009D79CF">
      <w:pPr>
        <w:rPr>
          <w:rFonts w:ascii="Calibri" w:hAnsi="Calibri" w:cs="Calibri"/>
          <w:sz w:val="22"/>
        </w:rPr>
      </w:pPr>
      <w:r w:rsidRPr="00D53161">
        <w:rPr>
          <w:rFonts w:ascii="Calibri" w:hAnsi="Calibri" w:cs="Calibri"/>
          <w:sz w:val="22"/>
        </w:rPr>
        <w:t xml:space="preserve">The principal items requiring clarification are the final device and protection-zone boundaries, customer and critical-facility counts directly associated with the project, and available baseline reliability data and </w:t>
      </w:r>
      <w:r w:rsidRPr="00D53161">
        <w:rPr>
          <w:rFonts w:ascii="Calibri" w:hAnsi="Calibri" w:cs="Calibri"/>
          <w:sz w:val="22"/>
        </w:rPr>
        <w:lastRenderedPageBreak/>
        <w:t>measurable results. The funding request and match documentation should be reconciled, and the equipment quotation and communications/support cost assumptions should be confirmed. Location-specific environmental information, BABA waiver dependencies, and the proposed implementation sequence should also be clarified to support consistent evaluation against the EIRGP criteria.</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pwkRYCAogGjHSkGKCjX2+rwt8UKOTOAom22cLEAn/KcEgHADsvaEu9mRKIDDBW33gMYCsxiu3fdGvAQDPmw7Ow==" w:salt="okaDa9CHYbzgyYjwXjBIxw=="/>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F3887"/>
    <w:rsid w:val="007B0C89"/>
    <w:rsid w:val="0098399F"/>
    <w:rsid w:val="009D79CF"/>
    <w:rsid w:val="00A427A2"/>
    <w:rsid w:val="00AA1D8D"/>
    <w:rsid w:val="00B47730"/>
    <w:rsid w:val="00BF4A08"/>
    <w:rsid w:val="00CB0664"/>
    <w:rsid w:val="00D53161"/>
    <w:rsid w:val="00DE44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1172</Words>
  <Characters>6687</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3</cp:revision>
  <dcterms:created xsi:type="dcterms:W3CDTF">2026-10-14T03:58:00Z</dcterms:created>
  <dcterms:modified xsi:type="dcterms:W3CDTF">2026-10-14T19:56:00Z</dcterms:modified>
  <cp:category/>
</cp:coreProperties>
</file>