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F56C3" w14:textId="77777777" w:rsidR="007B0C89" w:rsidRPr="00D53161" w:rsidRDefault="009D79CF">
      <w:pPr>
        <w:pStyle w:val="Title"/>
        <w:rPr>
          <w:rFonts w:ascii="Calibri" w:hAnsi="Calibri" w:cs="Calibri"/>
        </w:rPr>
      </w:pPr>
      <w:r w:rsidRPr="00D53161">
        <w:rPr>
          <w:rFonts w:ascii="Calibri" w:hAnsi="Calibri" w:cs="Calibri"/>
        </w:rPr>
        <w:t>Draft Application Review &amp; Feedback Form</w:t>
      </w:r>
    </w:p>
    <w:p w14:paraId="2690357B" w14:textId="1E388CEA" w:rsidR="007B0C89" w:rsidRPr="009D79CF" w:rsidRDefault="009D79CF">
      <w:pPr>
        <w:rPr>
          <w:rFonts w:ascii="Calibri" w:hAnsi="Calibri" w:cs="Calibri"/>
          <w:sz w:val="22"/>
          <w:u w:val="single"/>
        </w:rPr>
      </w:pPr>
      <w:r w:rsidRPr="009D79CF">
        <w:rPr>
          <w:rFonts w:ascii="Calibri" w:hAnsi="Calibri" w:cs="Calibri"/>
          <w:sz w:val="22"/>
          <w:u w:val="single"/>
        </w:rPr>
        <w:t>Reviewer: Jessi Finstad     Review date: October 1, 2026</w:t>
      </w:r>
    </w:p>
    <w:p w14:paraId="056083D5" w14:textId="2C06DB59" w:rsidR="007B0C89" w:rsidRPr="009D79CF" w:rsidRDefault="009D79CF">
      <w:pPr>
        <w:rPr>
          <w:rFonts w:ascii="Calibri" w:hAnsi="Calibri" w:cs="Calibri"/>
          <w:sz w:val="22"/>
          <w:u w:val="single"/>
        </w:rPr>
      </w:pPr>
      <w:r w:rsidRPr="009D79CF">
        <w:rPr>
          <w:rFonts w:ascii="Calibri" w:hAnsi="Calibri" w:cs="Calibri"/>
          <w:sz w:val="22"/>
          <w:u w:val="single"/>
        </w:rPr>
        <w:t xml:space="preserve">Applicant: </w:t>
      </w:r>
      <w:proofErr w:type="spellStart"/>
      <w:r w:rsidRPr="009D79CF">
        <w:rPr>
          <w:rFonts w:ascii="Calibri" w:hAnsi="Calibri" w:cs="Calibri"/>
          <w:sz w:val="22"/>
          <w:u w:val="single"/>
        </w:rPr>
        <w:t>NorthWestern</w:t>
      </w:r>
      <w:proofErr w:type="spellEnd"/>
      <w:r w:rsidRPr="009D79CF">
        <w:rPr>
          <w:rFonts w:ascii="Calibri" w:hAnsi="Calibri" w:cs="Calibri"/>
          <w:sz w:val="22"/>
          <w:u w:val="single"/>
        </w:rPr>
        <w:t xml:space="preserve"> </w:t>
      </w:r>
      <w:r w:rsidR="006A1134">
        <w:rPr>
          <w:rFonts w:ascii="Calibri" w:hAnsi="Calibri" w:cs="Calibri"/>
          <w:sz w:val="22"/>
          <w:u w:val="single"/>
        </w:rPr>
        <w:t>Energy</w:t>
      </w:r>
    </w:p>
    <w:p w14:paraId="62AE352E" w14:textId="77777777" w:rsidR="007B0C89" w:rsidRPr="009D79CF" w:rsidRDefault="009D79CF">
      <w:pPr>
        <w:rPr>
          <w:rFonts w:ascii="Calibri" w:hAnsi="Calibri" w:cs="Calibri"/>
          <w:sz w:val="22"/>
          <w:u w:val="single"/>
        </w:rPr>
      </w:pPr>
      <w:r w:rsidRPr="009D79CF">
        <w:rPr>
          <w:rFonts w:ascii="Calibri" w:hAnsi="Calibri" w:cs="Calibri"/>
          <w:sz w:val="22"/>
          <w:u w:val="single"/>
        </w:rPr>
        <w:t>Project title: Billings Area Wildfire Risk GridScope Monitoring Project</w:t>
      </w:r>
    </w:p>
    <w:p w14:paraId="503B0565" w14:textId="77777777" w:rsidR="007B0C89" w:rsidRPr="009D79CF" w:rsidRDefault="009D79CF">
      <w:pPr>
        <w:rPr>
          <w:rFonts w:ascii="Calibri" w:hAnsi="Calibri" w:cs="Calibri"/>
          <w:sz w:val="22"/>
          <w:u w:val="single"/>
        </w:rPr>
      </w:pPr>
      <w:r w:rsidRPr="009D79CF">
        <w:rPr>
          <w:rFonts w:ascii="Calibri" w:hAnsi="Calibri" w:cs="Calibri"/>
          <w:sz w:val="22"/>
          <w:u w:val="single"/>
        </w:rPr>
        <w:t>Project location / county: Johnson Lane/Lockwood (Yellowstone County), Reed Point (Stillwater County), and Greycliff (Sweet Grass County), Montana; final device locations pending</w:t>
      </w:r>
    </w:p>
    <w:p w14:paraId="67CE6C11" w14:textId="779D8569" w:rsidR="007B0C89" w:rsidRPr="00D53161" w:rsidRDefault="00E532FA">
      <w:pPr>
        <w:pStyle w:val="Heading1"/>
        <w:rPr>
          <w:rFonts w:ascii="Calibri" w:hAnsi="Calibri" w:cs="Calibri"/>
        </w:rPr>
      </w:pPr>
      <w:r>
        <w:rPr>
          <w:rFonts w:ascii="Calibri" w:hAnsi="Calibri" w:cs="Calibri"/>
        </w:rPr>
        <w:t>1</w:t>
      </w:r>
      <w:r w:rsidR="00D53161" w:rsidRPr="00D53161">
        <w:rPr>
          <w:rFonts w:ascii="Calibri" w:hAnsi="Calibri" w:cs="Calibri"/>
        </w:rPr>
        <w:t>. Applicant feedback</w:t>
      </w:r>
    </w:p>
    <w:p w14:paraId="7514B472" w14:textId="77777777" w:rsidR="007B0C89" w:rsidRPr="00D53161" w:rsidRDefault="009D79CF">
      <w:pPr>
        <w:rPr>
          <w:rFonts w:ascii="Calibri" w:hAnsi="Calibri" w:cs="Calibri"/>
          <w:sz w:val="22"/>
        </w:rPr>
      </w:pPr>
      <w:r w:rsidRPr="00D53161">
        <w:rPr>
          <w:rFonts w:ascii="Calibri" w:hAnsi="Calibri" w:cs="Calibri"/>
          <w:sz w:val="22"/>
        </w:rPr>
        <w:t>The following comments reference the EIRGP review criteria and submitted draft materials. They do not constitute scores, eligibility determinations, or funding recommendations.</w:t>
      </w:r>
    </w:p>
    <w:p w14:paraId="365B6550" w14:textId="77777777" w:rsidR="007B0C89" w:rsidRPr="00D53161" w:rsidRDefault="009D79CF">
      <w:pPr>
        <w:pStyle w:val="Heading2"/>
        <w:rPr>
          <w:rFonts w:ascii="Calibri" w:hAnsi="Calibri" w:cs="Calibri"/>
        </w:rPr>
      </w:pPr>
      <w:r w:rsidRPr="00D53161">
        <w:rPr>
          <w:rFonts w:ascii="Calibri" w:hAnsi="Calibri" w:cs="Calibri"/>
        </w:rPr>
        <w:t>A. Resilience &amp; Reliability Benefits</w:t>
      </w:r>
    </w:p>
    <w:p w14:paraId="4073D9F8" w14:textId="32CF9043"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6B4A771E" w14:textId="0526E6E0" w:rsidR="007B0C89" w:rsidRPr="00D53161" w:rsidRDefault="009D79CF">
      <w:pPr>
        <w:rPr>
          <w:rFonts w:ascii="Calibri" w:hAnsi="Calibri" w:cs="Calibri"/>
          <w:sz w:val="22"/>
          <w:u w:val="single"/>
        </w:rPr>
      </w:pPr>
      <w:r w:rsidRPr="00D53161">
        <w:rPr>
          <w:rFonts w:ascii="Calibri" w:hAnsi="Calibri" w:cs="Calibri"/>
          <w:sz w:val="22"/>
          <w:u w:val="single"/>
        </w:rPr>
        <w:t>The proposal explains how 201 self-powered GridScope pole-mounted sensors could improve visibility into line conditions, fault location, and wildfire-related hazards. It identifies selected recloser zones, uses NorthWestern Energy’s 2025 Wildfire Mitigation Plan risk framework, and proposes a practical sequence of detection, notification, field confirmation, and documented response.</w:t>
      </w:r>
    </w:p>
    <w:p w14:paraId="22C89790" w14:textId="7AF0B79B"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Provide available baseline outage, fault, patrol, or dispatch records for the selected zones and identify the proposed measurement period and targets for event-location time, patrol requirements, restoration performance, and wildfire-related interventions. The narrative currently describes measures to be established after deployment rather than supplying baseline values.</w:t>
      </w:r>
    </w:p>
    <w:p w14:paraId="046B24E4" w14:textId="60217A9A" w:rsidR="007B0C89" w:rsidRPr="00D53161" w:rsidRDefault="009D79CF" w:rsidP="00D53161">
      <w:pPr>
        <w:pStyle w:val="ListParagraph"/>
        <w:numPr>
          <w:ilvl w:val="0"/>
          <w:numId w:val="10"/>
        </w:numPr>
        <w:rPr>
          <w:rFonts w:ascii="Calibri" w:hAnsi="Calibri" w:cs="Calibri"/>
          <w:sz w:val="22"/>
        </w:rPr>
      </w:pPr>
      <w:r w:rsidRPr="00D53161">
        <w:rPr>
          <w:rFonts w:ascii="Calibri" w:hAnsi="Calibri" w:cs="Calibri"/>
          <w:sz w:val="22"/>
        </w:rPr>
        <w:t xml:space="preserve">Clarify the specific risk reduction expected from monitoring alone, as distinct from protective-device operation or physical hardening. </w:t>
      </w:r>
    </w:p>
    <w:p w14:paraId="1D72ED70" w14:textId="77777777" w:rsidR="007B0C89" w:rsidRDefault="009D79CF">
      <w:pPr>
        <w:pStyle w:val="Heading2"/>
        <w:rPr>
          <w:rFonts w:ascii="Calibri" w:hAnsi="Calibri" w:cs="Calibri"/>
        </w:rPr>
      </w:pPr>
      <w:r w:rsidRPr="00D53161">
        <w:rPr>
          <w:rFonts w:ascii="Calibri" w:hAnsi="Calibri" w:cs="Calibri"/>
        </w:rPr>
        <w:t>B. Customer Benefits</w:t>
      </w:r>
    </w:p>
    <w:p w14:paraId="2BD2A954" w14:textId="40ADCF86"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5D0B946A" w14:textId="77777777" w:rsidR="007B0C89" w:rsidRPr="00D53161" w:rsidRDefault="009D79CF">
      <w:pPr>
        <w:rPr>
          <w:rFonts w:ascii="Calibri" w:hAnsi="Calibri" w:cs="Calibri"/>
          <w:sz w:val="22"/>
          <w:u w:val="single"/>
        </w:rPr>
      </w:pPr>
      <w:r w:rsidRPr="00D53161">
        <w:rPr>
          <w:rFonts w:ascii="Calibri" w:hAnsi="Calibri" w:cs="Calibri"/>
          <w:sz w:val="22"/>
          <w:u w:val="single"/>
        </w:rPr>
        <w:t>The narrative identifies direct benefits for customers downstream of selected reclosers and distinguishes those customers from potentially indirect beneficiaries elsewhere on the circuits. The customer table estimates 188 customers across Greycliff 7R020, Johnson Lane 3R014, and Reed Point 3R061.</w:t>
      </w:r>
    </w:p>
    <w:p w14:paraId="20497F3A"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Reconcile the customer-benefit table with the complete proposed monitoring scope: the location descriptions also identify reclosers 3R015 and 3R063, while the overview refers to four protection zones. Confirm the number of monitored zones, customer counts for each zone, and whether 188 represents the full directly served population.</w:t>
      </w:r>
    </w:p>
    <w:p w14:paraId="3EA289F2" w14:textId="77777777" w:rsidR="007B0C89" w:rsidRPr="00D53161" w:rsidRDefault="009D79CF">
      <w:pPr>
        <w:pStyle w:val="Heading2"/>
        <w:rPr>
          <w:rFonts w:ascii="Calibri" w:hAnsi="Calibri" w:cs="Calibri"/>
        </w:rPr>
      </w:pPr>
      <w:r w:rsidRPr="00D53161">
        <w:rPr>
          <w:rFonts w:ascii="Calibri" w:hAnsi="Calibri" w:cs="Calibri"/>
        </w:rPr>
        <w:lastRenderedPageBreak/>
        <w:t>C. Critical &amp; Essential Facility Benefits</w:t>
      </w:r>
    </w:p>
    <w:p w14:paraId="240E8A11" w14:textId="77777777" w:rsidR="00D53161" w:rsidRPr="00D53161" w:rsidRDefault="00D53161" w:rsidP="00D53161">
      <w:pPr>
        <w:rPr>
          <w:rFonts w:ascii="Calibri" w:hAnsi="Calibri" w:cs="Calibri"/>
          <w:b/>
          <w:bCs/>
          <w:sz w:val="22"/>
          <w:u w:val="single"/>
        </w:rPr>
      </w:pPr>
      <w:r w:rsidRPr="00D53161">
        <w:rPr>
          <w:rFonts w:ascii="Calibri" w:hAnsi="Calibri" w:cs="Calibri"/>
          <w:b/>
          <w:bCs/>
          <w:sz w:val="22"/>
          <w:u w:val="single"/>
        </w:rPr>
        <w:t>Reviewer Notes:</w:t>
      </w:r>
    </w:p>
    <w:p w14:paraId="7C92D364" w14:textId="04A1AAF5" w:rsidR="007B0C89" w:rsidRPr="00D53161" w:rsidRDefault="009D79CF">
      <w:pPr>
        <w:rPr>
          <w:rFonts w:ascii="Calibri" w:hAnsi="Calibri" w:cs="Calibri"/>
          <w:sz w:val="22"/>
          <w:u w:val="single"/>
        </w:rPr>
      </w:pPr>
      <w:r w:rsidRPr="00D53161">
        <w:rPr>
          <w:rFonts w:ascii="Calibri" w:hAnsi="Calibri" w:cs="Calibri"/>
          <w:sz w:val="22"/>
          <w:u w:val="single"/>
        </w:rPr>
        <w:t>The application describes how more precise event information could reduce interruption impacts to critical and essential facilities, and lists facility types that will be evaluated. It does not yet identify facilities served by the selected recloser zones.</w:t>
      </w:r>
    </w:p>
    <w:p w14:paraId="27C4924C" w14:textId="0EEE394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Identify any specific critical and essential facilities directly served by the monitored zones, or state if none have been identified. Distinguish direct electrical-service benefits from broader regional wildfire-risk benefits, as the narrative proposes to do in its final submission.</w:t>
      </w:r>
    </w:p>
    <w:p w14:paraId="3B2D47E6" w14:textId="77777777" w:rsidR="007B0C89" w:rsidRPr="00D53161" w:rsidRDefault="009D79CF">
      <w:pPr>
        <w:pStyle w:val="Heading2"/>
        <w:rPr>
          <w:rFonts w:ascii="Calibri" w:hAnsi="Calibri" w:cs="Calibri"/>
        </w:rPr>
      </w:pPr>
      <w:r w:rsidRPr="00D53161">
        <w:rPr>
          <w:rFonts w:ascii="Calibri" w:hAnsi="Calibri" w:cs="Calibri"/>
        </w:rPr>
        <w:t>D. Community Vulnerability &amp; Resilience</w:t>
      </w:r>
    </w:p>
    <w:p w14:paraId="09FA6079" w14:textId="200F29A4"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32C17AC" w14:textId="64180EBD" w:rsidR="007B0C89" w:rsidRPr="00D53161" w:rsidRDefault="009D79CF">
      <w:pPr>
        <w:rPr>
          <w:rFonts w:ascii="Calibri" w:hAnsi="Calibri" w:cs="Calibri"/>
          <w:sz w:val="22"/>
          <w:u w:val="single"/>
        </w:rPr>
      </w:pPr>
      <w:r w:rsidRPr="00D53161">
        <w:rPr>
          <w:rFonts w:ascii="Calibri" w:hAnsi="Calibri" w:cs="Calibri"/>
          <w:sz w:val="22"/>
          <w:u w:val="single"/>
        </w:rPr>
        <w:t>The narrative identifies selected line segments and reclosers in the Billings/Lockwood, Reed Point, and Greycliff areas and references wildfire-risk tiers. Maps show approximate protection-zone geography, but exact pole/device locations and county/service-territory information are still being developed.</w:t>
      </w:r>
    </w:p>
    <w:p w14:paraId="5D950882"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Provide confirmed device locations or sufficiently specific GIS project boundaries, county information, and affected service areas for DEQ’s FEMA RAPT evaluation. The applicant is not required to conduct its own FEMA RAPT assessment.</w:t>
      </w:r>
    </w:p>
    <w:p w14:paraId="39745A10" w14:textId="77777777" w:rsidR="007B0C89" w:rsidRPr="00D53161" w:rsidRDefault="009D79CF" w:rsidP="00D53161">
      <w:pPr>
        <w:pStyle w:val="ListParagraph"/>
        <w:numPr>
          <w:ilvl w:val="0"/>
          <w:numId w:val="11"/>
        </w:numPr>
        <w:rPr>
          <w:rFonts w:ascii="Calibri" w:hAnsi="Calibri" w:cs="Calibri"/>
          <w:sz w:val="22"/>
        </w:rPr>
      </w:pPr>
      <w:r w:rsidRPr="00D53161">
        <w:rPr>
          <w:rFonts w:ascii="Calibri" w:hAnsi="Calibri" w:cs="Calibri"/>
          <w:sz w:val="22"/>
        </w:rPr>
        <w:t>Clarify how the identified wildfire exposure, remote-access conditions, and community characteristics relate to the customers and locations directly affected by the proposed deployment. Confirm the applicable risk-tier designations for each zone.</w:t>
      </w:r>
    </w:p>
    <w:p w14:paraId="3FAFF4CD" w14:textId="77777777" w:rsidR="007B0C89" w:rsidRPr="00D53161" w:rsidRDefault="009D79CF">
      <w:pPr>
        <w:pStyle w:val="Heading2"/>
        <w:rPr>
          <w:rFonts w:ascii="Calibri" w:hAnsi="Calibri" w:cs="Calibri"/>
        </w:rPr>
      </w:pPr>
      <w:r w:rsidRPr="00D53161">
        <w:rPr>
          <w:rFonts w:ascii="Calibri" w:hAnsi="Calibri" w:cs="Calibri"/>
        </w:rPr>
        <w:t>E. Workforce &amp; Economic Development Benefits</w:t>
      </w:r>
    </w:p>
    <w:p w14:paraId="54C87782" w14:textId="012923B6"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5C4F1FE8" w14:textId="19E0812E" w:rsidR="007B0C89" w:rsidRPr="00D53161" w:rsidRDefault="009D79CF">
      <w:pPr>
        <w:rPr>
          <w:rFonts w:ascii="Calibri" w:hAnsi="Calibri" w:cs="Calibri"/>
          <w:sz w:val="22"/>
          <w:u w:val="single"/>
        </w:rPr>
      </w:pPr>
      <w:r w:rsidRPr="00D53161">
        <w:rPr>
          <w:rFonts w:ascii="Calibri" w:hAnsi="Calibri" w:cs="Calibri"/>
          <w:sz w:val="22"/>
          <w:u w:val="single"/>
        </w:rPr>
        <w:t>The narrative identifies Montana utility personnel and qualified contractors for engineering, installation, commissioning, operations, and training. The budget specifies 402 represented lineworker hours and 405 engineering/project-management hours.</w:t>
      </w:r>
    </w:p>
    <w:p w14:paraId="6287F367" w14:textId="43ABCFD6"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Clarify the anticipated number of participating employees or contractors, whether any positions are newly created or temporary, and the planned training topics and estimated hours or completion measures. Distinguish existing employee time charged to the project from new workforce impacts.</w:t>
      </w:r>
    </w:p>
    <w:p w14:paraId="14919462" w14:textId="77777777" w:rsidR="007B0C89" w:rsidRPr="00D53161" w:rsidRDefault="009D79CF">
      <w:pPr>
        <w:pStyle w:val="Heading2"/>
        <w:rPr>
          <w:rFonts w:ascii="Calibri" w:hAnsi="Calibri" w:cs="Calibri"/>
        </w:rPr>
      </w:pPr>
      <w:r w:rsidRPr="00D53161">
        <w:rPr>
          <w:rFonts w:ascii="Calibri" w:hAnsi="Calibri" w:cs="Calibri"/>
        </w:rPr>
        <w:t>F. Advanced Grid Technology</w:t>
      </w:r>
    </w:p>
    <w:p w14:paraId="124B1211" w14:textId="007D234D" w:rsidR="00D53161" w:rsidRPr="00D53161" w:rsidRDefault="00D53161">
      <w:pPr>
        <w:rPr>
          <w:rFonts w:ascii="Calibri" w:hAnsi="Calibri" w:cs="Calibri"/>
          <w:b/>
          <w:bCs/>
          <w:sz w:val="22"/>
          <w:u w:val="single"/>
        </w:rPr>
      </w:pPr>
      <w:r w:rsidRPr="00D53161">
        <w:rPr>
          <w:rFonts w:ascii="Calibri" w:hAnsi="Calibri" w:cs="Calibri"/>
          <w:b/>
          <w:bCs/>
          <w:sz w:val="22"/>
          <w:u w:val="single"/>
        </w:rPr>
        <w:t>Reviewer Notes:</w:t>
      </w:r>
    </w:p>
    <w:p w14:paraId="2FF61E89" w14:textId="31512D7E" w:rsidR="007B0C89" w:rsidRPr="00D53161" w:rsidRDefault="009D79CF">
      <w:pPr>
        <w:rPr>
          <w:rFonts w:ascii="Calibri" w:hAnsi="Calibri" w:cs="Calibri"/>
          <w:sz w:val="22"/>
          <w:u w:val="single"/>
        </w:rPr>
      </w:pPr>
      <w:r w:rsidRPr="00D53161">
        <w:rPr>
          <w:rFonts w:ascii="Calibri" w:hAnsi="Calibri" w:cs="Calibri"/>
          <w:sz w:val="22"/>
          <w:u w:val="single"/>
        </w:rPr>
        <w:t>The narrative describes GridScope sensing, local analytics, self-powered operation, communications options, event alerts, and operational integration. The proposed equipment quantity is 201 devices at $2,000 each, with deployment locations subject to field and communications validation.</w:t>
      </w:r>
    </w:p>
    <w:p w14:paraId="0FFE4AAF"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 xml:space="preserve">Provide the referenced Gridware technical data, vendor quotation, and information on the proposed device configuration, communications subscriptions, software access, warranty, and </w:t>
      </w:r>
      <w:r w:rsidRPr="00D53161">
        <w:rPr>
          <w:rFonts w:ascii="Calibri" w:hAnsi="Calibri" w:cs="Calibri"/>
          <w:sz w:val="22"/>
        </w:rPr>
        <w:lastRenderedPageBreak/>
        <w:t>support. Confirm which capabilities and associated service costs are included in the $402,000 equipment estimate.</w:t>
      </w:r>
    </w:p>
    <w:p w14:paraId="2983D80B" w14:textId="77777777" w:rsidR="007B0C89" w:rsidRPr="00D53161" w:rsidRDefault="009D79CF" w:rsidP="00D53161">
      <w:pPr>
        <w:pStyle w:val="ListParagraph"/>
        <w:numPr>
          <w:ilvl w:val="0"/>
          <w:numId w:val="12"/>
        </w:numPr>
        <w:rPr>
          <w:rFonts w:ascii="Calibri" w:hAnsi="Calibri" w:cs="Calibri"/>
          <w:sz w:val="22"/>
        </w:rPr>
      </w:pPr>
      <w:r w:rsidRPr="00D53161">
        <w:rPr>
          <w:rFonts w:ascii="Calibri" w:hAnsi="Calibri" w:cs="Calibri"/>
          <w:sz w:val="22"/>
        </w:rPr>
        <w:t>Explain how alerts will reach operations personnel, be validated and acted upon, and be tested during commissioning; identify any integration with existing systems and how continued communications and monitoring will be maintained after the grant-funded deployment.</w:t>
      </w:r>
    </w:p>
    <w:p w14:paraId="4203E7E0" w14:textId="77777777" w:rsidR="007B0C89" w:rsidRPr="00D53161" w:rsidRDefault="009D79CF">
      <w:pPr>
        <w:pStyle w:val="Heading2"/>
        <w:rPr>
          <w:rFonts w:ascii="Calibri" w:hAnsi="Calibri" w:cs="Calibri"/>
        </w:rPr>
      </w:pPr>
      <w:r w:rsidRPr="00D53161">
        <w:rPr>
          <w:rFonts w:ascii="Calibri" w:hAnsi="Calibri" w:cs="Calibri"/>
        </w:rPr>
        <w:t>G. Budget &amp; Cost</w:t>
      </w:r>
    </w:p>
    <w:p w14:paraId="31556EB0" w14:textId="2B913250"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AE359F6" w14:textId="07E863D8" w:rsidR="007B0C89" w:rsidRPr="009D79CF" w:rsidRDefault="009D79CF">
      <w:pPr>
        <w:rPr>
          <w:rFonts w:ascii="Calibri" w:hAnsi="Calibri" w:cs="Calibri"/>
          <w:sz w:val="22"/>
          <w:u w:val="single"/>
        </w:rPr>
      </w:pPr>
      <w:r w:rsidRPr="009D79CF">
        <w:rPr>
          <w:rFonts w:ascii="Calibri" w:hAnsi="Calibri" w:cs="Calibri"/>
          <w:sz w:val="22"/>
          <w:u w:val="single"/>
        </w:rPr>
        <w:t>The workbook totals $482,376 in project costs. It identifies $241,188 as the federal share and $241,188 as applicant match. The signed commitment letter instead describes $482,376 as the amount being applied for and commits to at least 100% matching funds plus the additional 15.5% contribution.</w:t>
      </w:r>
    </w:p>
    <w:p w14:paraId="6EFF072F" w14:textId="49FC467E"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Reconcile the requested federal subaward, total project cost, and applicant match across the signed letter, narrative, and workbook. Confirm the intended federal </w:t>
      </w:r>
      <w:r w:rsidR="006A1134">
        <w:rPr>
          <w:rFonts w:ascii="Calibri" w:hAnsi="Calibri" w:cs="Calibri"/>
          <w:sz w:val="22"/>
        </w:rPr>
        <w:t xml:space="preserve">subaward </w:t>
      </w:r>
      <w:r w:rsidRPr="009D79CF">
        <w:rPr>
          <w:rFonts w:ascii="Calibri" w:hAnsi="Calibri" w:cs="Calibri"/>
          <w:sz w:val="22"/>
        </w:rPr>
        <w:t>request</w:t>
      </w:r>
      <w:r w:rsidR="006A1134">
        <w:rPr>
          <w:rFonts w:ascii="Calibri" w:hAnsi="Calibri" w:cs="Calibri"/>
          <w:sz w:val="22"/>
        </w:rPr>
        <w:t>.</w:t>
      </w:r>
    </w:p>
    <w:p w14:paraId="10358CE4" w14:textId="3B1D3232"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The equipment worksheet cites a vendor quote for 201 GridScope devices, but the quot</w:t>
      </w:r>
      <w:r w:rsidR="006A1134">
        <w:rPr>
          <w:rFonts w:ascii="Calibri" w:hAnsi="Calibri" w:cs="Calibri"/>
          <w:sz w:val="22"/>
        </w:rPr>
        <w:t>e</w:t>
      </w:r>
      <w:r w:rsidRPr="009D79CF">
        <w:rPr>
          <w:rFonts w:ascii="Calibri" w:hAnsi="Calibri" w:cs="Calibri"/>
          <w:sz w:val="22"/>
        </w:rPr>
        <w:t xml:space="preserve"> and technical documentation are listed as items to obtain and were not included in the submitted package. Provide the cost basis or referenced quote, and clarify whether communications, software, subscriptions, training, or ongoing support will generate costs beyond the current budget.</w:t>
      </w:r>
    </w:p>
    <w:p w14:paraId="7821B62F" w14:textId="5F9D91B1" w:rsidR="007B0C89" w:rsidRPr="009D79CF" w:rsidRDefault="009D79CF" w:rsidP="009D79CF">
      <w:pPr>
        <w:pStyle w:val="ListParagraph"/>
        <w:numPr>
          <w:ilvl w:val="0"/>
          <w:numId w:val="13"/>
        </w:numPr>
        <w:rPr>
          <w:rFonts w:ascii="Calibri" w:hAnsi="Calibri" w:cs="Calibri"/>
          <w:sz w:val="22"/>
        </w:rPr>
      </w:pPr>
      <w:r w:rsidRPr="009D79CF">
        <w:rPr>
          <w:rFonts w:ascii="Calibri" w:hAnsi="Calibri" w:cs="Calibri"/>
          <w:sz w:val="22"/>
        </w:rPr>
        <w:t xml:space="preserve">Clarify the designation of the $241,188 applicant contribution as “In Kind” and the “Federal Part A” descriptions in the match worksheets. </w:t>
      </w:r>
    </w:p>
    <w:p w14:paraId="716AC2EB" w14:textId="77777777" w:rsidR="007B0C89" w:rsidRPr="00D53161" w:rsidRDefault="009D79CF">
      <w:pPr>
        <w:pStyle w:val="Heading2"/>
        <w:rPr>
          <w:rFonts w:ascii="Calibri" w:hAnsi="Calibri" w:cs="Calibri"/>
        </w:rPr>
      </w:pPr>
      <w:r w:rsidRPr="00D53161">
        <w:rPr>
          <w:rFonts w:ascii="Calibri" w:hAnsi="Calibri" w:cs="Calibri"/>
        </w:rPr>
        <w:t>H. Project Immediacy</w:t>
      </w:r>
    </w:p>
    <w:p w14:paraId="52D5E9C9" w14:textId="2A75BCDE" w:rsidR="009D79CF" w:rsidRPr="009D79CF" w:rsidRDefault="009D79CF">
      <w:pPr>
        <w:rPr>
          <w:rFonts w:ascii="Calibri" w:hAnsi="Calibri" w:cs="Calibri"/>
          <w:b/>
          <w:bCs/>
          <w:sz w:val="22"/>
          <w:u w:val="single"/>
        </w:rPr>
      </w:pPr>
      <w:r w:rsidRPr="00D53161">
        <w:rPr>
          <w:rFonts w:ascii="Calibri" w:hAnsi="Calibri" w:cs="Calibri"/>
          <w:b/>
          <w:bCs/>
          <w:sz w:val="22"/>
          <w:u w:val="single"/>
        </w:rPr>
        <w:t>Reviewer Notes:</w:t>
      </w:r>
    </w:p>
    <w:p w14:paraId="27C4A523" w14:textId="7C43DF2E" w:rsidR="007B0C89" w:rsidRPr="009D79CF" w:rsidRDefault="009D79CF">
      <w:pPr>
        <w:rPr>
          <w:rFonts w:ascii="Calibri" w:hAnsi="Calibri" w:cs="Calibri"/>
          <w:sz w:val="22"/>
          <w:u w:val="single"/>
        </w:rPr>
      </w:pPr>
      <w:r w:rsidRPr="009D79CF">
        <w:rPr>
          <w:rFonts w:ascii="Calibri" w:hAnsi="Calibri" w:cs="Calibri"/>
          <w:sz w:val="22"/>
          <w:u w:val="single"/>
        </w:rPr>
        <w:t>The narrative provides a relative schedule extending to approximately 20 months after contract execution and includes design, environmental review, procurement, deployment, commissioning, and training. It anticipates a BABA waiver process during months 0–12; the application form marks BABA compliance “No.”</w:t>
      </w:r>
    </w:p>
    <w:p w14:paraId="2064B651"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Clarify the anticipated BABA waiver need, affected equipment, waiver status, and procurement dependencies. The schedule should reflect that any necessary approval must be obtained before proceeding with affected purchases; a proposed waiver should not be treated as approved.</w:t>
      </w:r>
    </w:p>
    <w:p w14:paraId="4057174B" w14:textId="77777777"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The environmental questionnaire selects Group A (administrative and planning activities) although the project includes physical installation of devices on existing utility poles. Confirm the appropriate work-activity classification and complete the applicable installation-related environmental information, including land/agency coordination where relevant. The questionnaire also contains differing statements about proximity to tribal lands and future SHPO coordination.</w:t>
      </w:r>
    </w:p>
    <w:p w14:paraId="52B2F3B4" w14:textId="5F7FC88C" w:rsidR="007B0C89" w:rsidRPr="009D79CF" w:rsidRDefault="009D79CF" w:rsidP="009D79CF">
      <w:pPr>
        <w:pStyle w:val="ListParagraph"/>
        <w:numPr>
          <w:ilvl w:val="0"/>
          <w:numId w:val="14"/>
        </w:numPr>
        <w:rPr>
          <w:rFonts w:ascii="Calibri" w:hAnsi="Calibri" w:cs="Calibri"/>
          <w:sz w:val="22"/>
        </w:rPr>
      </w:pPr>
      <w:r w:rsidRPr="009D79CF">
        <w:rPr>
          <w:rFonts w:ascii="Calibri" w:hAnsi="Calibri" w:cs="Calibri"/>
          <w:sz w:val="22"/>
        </w:rPr>
        <w:t xml:space="preserve">The environmental questionnaire identifies the Billings area but also lists Helena, Butte, and Missoula as other work locations, while the Billings narrative describes Johnson Lane, Reed Point, and Greycliff. Confirm the geographic scope of this application and provide the </w:t>
      </w:r>
      <w:r w:rsidRPr="009D79CF">
        <w:rPr>
          <w:rFonts w:ascii="Calibri" w:hAnsi="Calibri" w:cs="Calibri"/>
          <w:sz w:val="22"/>
        </w:rPr>
        <w:lastRenderedPageBreak/>
        <w:t>appropriate location-specific questionnaires and site maps for all actual installation areas</w:t>
      </w:r>
      <w:r w:rsidR="006A1134">
        <w:rPr>
          <w:rFonts w:ascii="Calibri" w:hAnsi="Calibri" w:cs="Calibri"/>
          <w:sz w:val="22"/>
        </w:rPr>
        <w:t xml:space="preserve"> specific to each application/project</w:t>
      </w:r>
      <w:r w:rsidRPr="009D79CF">
        <w:rPr>
          <w:rFonts w:ascii="Calibri" w:hAnsi="Calibri" w:cs="Calibri"/>
          <w:sz w:val="22"/>
        </w:rPr>
        <w:t>.</w:t>
      </w:r>
    </w:p>
    <w:p w14:paraId="363C15A9" w14:textId="26573A5B" w:rsidR="007B0C89" w:rsidRPr="00D53161" w:rsidRDefault="00E532FA">
      <w:pPr>
        <w:pStyle w:val="Heading1"/>
        <w:rPr>
          <w:rFonts w:ascii="Calibri" w:hAnsi="Calibri" w:cs="Calibri"/>
        </w:rPr>
      </w:pPr>
      <w:r>
        <w:rPr>
          <w:rFonts w:ascii="Calibri" w:hAnsi="Calibri" w:cs="Calibri"/>
        </w:rPr>
        <w:t>2</w:t>
      </w:r>
      <w:r w:rsidR="009D79CF" w:rsidRPr="00D53161">
        <w:rPr>
          <w:rFonts w:ascii="Calibri" w:hAnsi="Calibri" w:cs="Calibri"/>
        </w:rPr>
        <w:t>. Summary feedback for applicant</w:t>
      </w:r>
    </w:p>
    <w:p w14:paraId="3A17C2FF" w14:textId="77777777" w:rsidR="007B0C89" w:rsidRPr="00D53161" w:rsidRDefault="009D79CF">
      <w:pPr>
        <w:rPr>
          <w:rFonts w:ascii="Calibri" w:hAnsi="Calibri" w:cs="Calibri"/>
          <w:sz w:val="22"/>
        </w:rPr>
      </w:pPr>
      <w:r w:rsidRPr="00D53161">
        <w:rPr>
          <w:rFonts w:ascii="Calibri" w:hAnsi="Calibri" w:cs="Calibri"/>
          <w:sz w:val="22"/>
        </w:rPr>
        <w:t>NorthWestern Energy proposes to deploy approximately 201 GridScope monitoring devices to improve hazard awareness and fault localization in selected wildfire-exposed distribution zones. The narrative provides an understandable operational rationale, identifies candidate circuits and reclosers, describes a risk-based selection approach, and outlines monitoring and reporting measures. The budget itemizes device and internal labor costs, and a signed cost-match commitment has been provided.</w:t>
      </w:r>
    </w:p>
    <w:p w14:paraId="3CA078DE" w14:textId="438967F0" w:rsidR="007B0C89" w:rsidRPr="00D53161" w:rsidRDefault="009D79CF">
      <w:pPr>
        <w:rPr>
          <w:rFonts w:ascii="Calibri" w:hAnsi="Calibri" w:cs="Calibri"/>
          <w:sz w:val="22"/>
        </w:rPr>
      </w:pPr>
      <w:r w:rsidRPr="00D53161">
        <w:rPr>
          <w:rFonts w:ascii="Calibri" w:hAnsi="Calibri" w:cs="Calibri"/>
          <w:sz w:val="22"/>
        </w:rPr>
        <w:t>The principal areas requiring clarification are the final monitored-zone inventory and corresponding customer counts; available baseline reliability data and project-specific outcomes; and the operational, communications, and vendor support included in the proposed technology. The funding request and matching contributions should be reconciled across the budget and signed letter. Location-specific environmental documentation, the proposed BABA waiver approach, and supporting equipment cost information should also be completed or clarified to allow consistent review against the EIRGP criteria.</w:t>
      </w:r>
    </w:p>
    <w:sectPr w:rsidR="007B0C89" w:rsidRPr="00D53161" w:rsidSect="00D53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D06ECB"/>
    <w:multiLevelType w:val="hybridMultilevel"/>
    <w:tmpl w:val="7444D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F132D49"/>
    <w:multiLevelType w:val="hybridMultilevel"/>
    <w:tmpl w:val="3602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344045"/>
    <w:multiLevelType w:val="hybridMultilevel"/>
    <w:tmpl w:val="FB9E8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090335E"/>
    <w:multiLevelType w:val="hybridMultilevel"/>
    <w:tmpl w:val="00CAC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A66463"/>
    <w:multiLevelType w:val="hybridMultilevel"/>
    <w:tmpl w:val="F334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6422245">
    <w:abstractNumId w:val="8"/>
  </w:num>
  <w:num w:numId="2" w16cid:durableId="214319278">
    <w:abstractNumId w:val="6"/>
  </w:num>
  <w:num w:numId="3" w16cid:durableId="1711760280">
    <w:abstractNumId w:val="5"/>
  </w:num>
  <w:num w:numId="4" w16cid:durableId="730689168">
    <w:abstractNumId w:val="4"/>
  </w:num>
  <w:num w:numId="5" w16cid:durableId="1279415884">
    <w:abstractNumId w:val="7"/>
  </w:num>
  <w:num w:numId="6" w16cid:durableId="2010907135">
    <w:abstractNumId w:val="3"/>
  </w:num>
  <w:num w:numId="7" w16cid:durableId="991562503">
    <w:abstractNumId w:val="2"/>
  </w:num>
  <w:num w:numId="8" w16cid:durableId="768768591">
    <w:abstractNumId w:val="1"/>
  </w:num>
  <w:num w:numId="9" w16cid:durableId="1959527942">
    <w:abstractNumId w:val="0"/>
  </w:num>
  <w:num w:numId="10" w16cid:durableId="961498491">
    <w:abstractNumId w:val="10"/>
  </w:num>
  <w:num w:numId="11" w16cid:durableId="299000291">
    <w:abstractNumId w:val="9"/>
  </w:num>
  <w:num w:numId="12" w16cid:durableId="1684625322">
    <w:abstractNumId w:val="12"/>
  </w:num>
  <w:num w:numId="13" w16cid:durableId="492379418">
    <w:abstractNumId w:val="11"/>
  </w:num>
  <w:num w:numId="14" w16cid:durableId="1000325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readOnly" w:enforcement="1" w:cryptProviderType="rsaAES" w:cryptAlgorithmClass="hash" w:cryptAlgorithmType="typeAny" w:cryptAlgorithmSid="14" w:cryptSpinCount="100000" w:hash="PBiuj1YdGGgntQUtQWD6Nb1mYWKJ+fG1chrqMSckigs7SbX3uaLOqS0CKnNldx2Om4VVWlWbD7aQotfEcdCXhg==" w:salt="t2ljdcG32mQezW0+r9geUw=="/>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D5"/>
    <w:rsid w:val="00034616"/>
    <w:rsid w:val="0006063C"/>
    <w:rsid w:val="0015074B"/>
    <w:rsid w:val="001E7797"/>
    <w:rsid w:val="0029639D"/>
    <w:rsid w:val="00326F90"/>
    <w:rsid w:val="006A1134"/>
    <w:rsid w:val="007B0C89"/>
    <w:rsid w:val="009D79CF"/>
    <w:rsid w:val="00A427A2"/>
    <w:rsid w:val="00AA09DB"/>
    <w:rsid w:val="00AA1D8D"/>
    <w:rsid w:val="00B47730"/>
    <w:rsid w:val="00C17D03"/>
    <w:rsid w:val="00CB0664"/>
    <w:rsid w:val="00CE2D33"/>
    <w:rsid w:val="00D53161"/>
    <w:rsid w:val="00DE44E7"/>
    <w:rsid w:val="00E532F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FFA07C"/>
  <w14:defaultImageDpi w14:val="330"/>
  <w15:docId w15:val="{D82366AC-E4D1-4F4D-BD41-7AD84245B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161"/>
    <w:pPr>
      <w:spacing w:after="12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C45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C45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1310</Words>
  <Characters>7473</Characters>
  <Application>Microsoft Office Word</Application>
  <DocSecurity>8</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Fullerton, Kristyn</cp:lastModifiedBy>
  <cp:revision>5</cp:revision>
  <dcterms:created xsi:type="dcterms:W3CDTF">2026-10-14T03:49:00Z</dcterms:created>
  <dcterms:modified xsi:type="dcterms:W3CDTF">2026-10-14T19:55:00Z</dcterms:modified>
  <cp:category/>
</cp:coreProperties>
</file>