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39CF" w14:textId="77777777" w:rsidR="00F60679" w:rsidRPr="00587E84" w:rsidRDefault="001F6AFC">
      <w:pPr>
        <w:pStyle w:val="Title"/>
        <w:jc w:val="center"/>
        <w:rPr>
          <w:rFonts w:ascii="Calibri" w:hAnsi="Calibri" w:cs="Calibri"/>
          <w:color w:val="auto"/>
        </w:rPr>
      </w:pPr>
      <w:r w:rsidRPr="00587E84">
        <w:rPr>
          <w:rFonts w:ascii="Calibri" w:hAnsi="Calibri" w:cs="Calibri"/>
          <w:color w:val="auto"/>
        </w:rPr>
        <w:t>Draft Application Review &amp; Feedback Form</w:t>
      </w:r>
    </w:p>
    <w:p w14:paraId="38AE8F8B" w14:textId="21912A72" w:rsidR="00F60679" w:rsidRPr="00587E84" w:rsidRDefault="001F6AFC">
      <w:pPr>
        <w:rPr>
          <w:rFonts w:ascii="Calibri" w:hAnsi="Calibri" w:cs="Calibri"/>
          <w:sz w:val="22"/>
        </w:rPr>
      </w:pPr>
      <w:r w:rsidRPr="00587E84">
        <w:rPr>
          <w:rFonts w:ascii="Calibri" w:hAnsi="Calibri" w:cs="Calibri"/>
          <w:b/>
          <w:sz w:val="22"/>
        </w:rPr>
        <w:t xml:space="preserve">Reviewer: </w:t>
      </w:r>
      <w:r w:rsidRPr="00587E84">
        <w:rPr>
          <w:rFonts w:ascii="Calibri" w:hAnsi="Calibri" w:cs="Calibri"/>
          <w:sz w:val="22"/>
        </w:rPr>
        <w:t>_____</w:t>
      </w:r>
      <w:r w:rsidR="00587E84">
        <w:rPr>
          <w:rFonts w:ascii="Calibri" w:hAnsi="Calibri" w:cs="Calibri"/>
          <w:sz w:val="22"/>
          <w:u w:val="single"/>
        </w:rPr>
        <w:t xml:space="preserve">Jessi </w:t>
      </w:r>
      <w:proofErr w:type="gramStart"/>
      <w:r w:rsidR="00587E84">
        <w:rPr>
          <w:rFonts w:ascii="Calibri" w:hAnsi="Calibri" w:cs="Calibri"/>
          <w:sz w:val="22"/>
          <w:u w:val="single"/>
        </w:rPr>
        <w:t>Finstad</w:t>
      </w:r>
      <w:r w:rsidRPr="00587E84">
        <w:rPr>
          <w:rFonts w:ascii="Calibri" w:hAnsi="Calibri" w:cs="Calibri"/>
          <w:sz w:val="22"/>
        </w:rPr>
        <w:t>__</w:t>
      </w:r>
      <w:proofErr w:type="gramEnd"/>
      <w:r w:rsidRPr="00587E84">
        <w:rPr>
          <w:rFonts w:ascii="Calibri" w:hAnsi="Calibri" w:cs="Calibri"/>
          <w:sz w:val="22"/>
        </w:rPr>
        <w:t xml:space="preserve">________________________   </w:t>
      </w:r>
      <w:r w:rsidRPr="00587E84">
        <w:rPr>
          <w:rFonts w:ascii="Calibri" w:hAnsi="Calibri" w:cs="Calibri"/>
          <w:b/>
          <w:sz w:val="22"/>
        </w:rPr>
        <w:t xml:space="preserve">Review date: </w:t>
      </w:r>
      <w:r w:rsidRPr="00587E84">
        <w:rPr>
          <w:rFonts w:ascii="Calibri" w:hAnsi="Calibri" w:cs="Calibri"/>
          <w:sz w:val="22"/>
        </w:rPr>
        <w:t>_</w:t>
      </w:r>
      <w:r w:rsidR="00587E84">
        <w:rPr>
          <w:rFonts w:ascii="Calibri" w:hAnsi="Calibri" w:cs="Calibri"/>
          <w:sz w:val="22"/>
          <w:u w:val="single"/>
        </w:rPr>
        <w:t>9/2</w:t>
      </w:r>
      <w:r w:rsidR="002C2C0B">
        <w:rPr>
          <w:rFonts w:ascii="Calibri" w:hAnsi="Calibri" w:cs="Calibri"/>
          <w:sz w:val="22"/>
          <w:u w:val="single"/>
        </w:rPr>
        <w:t>6</w:t>
      </w:r>
      <w:r w:rsidR="00587E84">
        <w:rPr>
          <w:rFonts w:ascii="Calibri" w:hAnsi="Calibri" w:cs="Calibri"/>
          <w:sz w:val="22"/>
          <w:u w:val="single"/>
        </w:rPr>
        <w:t>/2026</w:t>
      </w:r>
      <w:r w:rsidRPr="00587E84">
        <w:rPr>
          <w:rFonts w:ascii="Calibri" w:hAnsi="Calibri" w:cs="Calibri"/>
          <w:sz w:val="22"/>
        </w:rPr>
        <w:t>___________</w:t>
      </w:r>
    </w:p>
    <w:p w14:paraId="1BC59D11" w14:textId="75E0BA79" w:rsidR="00F60679" w:rsidRPr="00587E84" w:rsidRDefault="001F6AFC">
      <w:pPr>
        <w:rPr>
          <w:rFonts w:ascii="Calibri" w:hAnsi="Calibri" w:cs="Calibri"/>
          <w:sz w:val="22"/>
        </w:rPr>
      </w:pPr>
      <w:proofErr w:type="gramStart"/>
      <w:r w:rsidRPr="00587E84">
        <w:rPr>
          <w:rFonts w:ascii="Calibri" w:hAnsi="Calibri" w:cs="Calibri"/>
          <w:b/>
          <w:sz w:val="22"/>
        </w:rPr>
        <w:t>Applicant :</w:t>
      </w:r>
      <w:proofErr w:type="gramEnd"/>
      <w:r w:rsidRPr="00587E84">
        <w:rPr>
          <w:rFonts w:ascii="Calibri" w:hAnsi="Calibri" w:cs="Calibri"/>
          <w:b/>
          <w:sz w:val="22"/>
        </w:rPr>
        <w:t xml:space="preserve"> </w:t>
      </w:r>
      <w:r w:rsidRPr="00587E84">
        <w:rPr>
          <w:rFonts w:ascii="Calibri" w:hAnsi="Calibri" w:cs="Calibri"/>
          <w:sz w:val="22"/>
        </w:rPr>
        <w:t>______</w:t>
      </w:r>
      <w:r w:rsidR="000C513A">
        <w:rPr>
          <w:rFonts w:ascii="Calibri" w:hAnsi="Calibri" w:cs="Calibri"/>
          <w:sz w:val="22"/>
          <w:u w:val="single"/>
        </w:rPr>
        <w:t>Lincoln Electric Cooperative</w:t>
      </w:r>
      <w:r w:rsidRPr="00587E84">
        <w:rPr>
          <w:rFonts w:ascii="Calibri" w:hAnsi="Calibri" w:cs="Calibri"/>
          <w:sz w:val="22"/>
        </w:rPr>
        <w:t>______________________________________</w:t>
      </w:r>
    </w:p>
    <w:p w14:paraId="0727594A" w14:textId="02F2A220" w:rsidR="00F60679" w:rsidRPr="00587E84" w:rsidRDefault="001F6AFC">
      <w:pPr>
        <w:rPr>
          <w:rFonts w:ascii="Calibri" w:hAnsi="Calibri" w:cs="Calibri"/>
          <w:sz w:val="22"/>
        </w:rPr>
      </w:pPr>
      <w:r w:rsidRPr="00587E84">
        <w:rPr>
          <w:rFonts w:ascii="Calibri" w:hAnsi="Calibri" w:cs="Calibri"/>
          <w:b/>
          <w:sz w:val="22"/>
        </w:rPr>
        <w:t xml:space="preserve">Project title: </w:t>
      </w:r>
      <w:r w:rsidRPr="00587E84">
        <w:rPr>
          <w:rFonts w:ascii="Calibri" w:hAnsi="Calibri" w:cs="Calibri"/>
          <w:sz w:val="22"/>
        </w:rPr>
        <w:t>____</w:t>
      </w:r>
      <w:r w:rsidR="000C513A">
        <w:rPr>
          <w:rFonts w:ascii="Calibri" w:hAnsi="Calibri" w:cs="Calibri"/>
          <w:sz w:val="22"/>
          <w:u w:val="single"/>
        </w:rPr>
        <w:t>Lincoln Electric Cooperative Automation Project (LECAP)</w:t>
      </w:r>
      <w:r w:rsidRPr="00587E84">
        <w:rPr>
          <w:rFonts w:ascii="Calibri" w:hAnsi="Calibri" w:cs="Calibri"/>
          <w:sz w:val="22"/>
        </w:rPr>
        <w:t>____</w:t>
      </w:r>
    </w:p>
    <w:p w14:paraId="0B9923A2" w14:textId="600FAF82" w:rsidR="00F60679" w:rsidRPr="00587E84" w:rsidRDefault="001F6AFC">
      <w:pPr>
        <w:rPr>
          <w:rFonts w:ascii="Calibri" w:hAnsi="Calibri" w:cs="Calibri"/>
          <w:sz w:val="22"/>
        </w:rPr>
      </w:pPr>
      <w:r w:rsidRPr="00587E84">
        <w:rPr>
          <w:rFonts w:ascii="Calibri" w:hAnsi="Calibri" w:cs="Calibri"/>
          <w:b/>
          <w:sz w:val="22"/>
        </w:rPr>
        <w:t xml:space="preserve">Project location / county: </w:t>
      </w:r>
      <w:r w:rsidRPr="00587E84">
        <w:rPr>
          <w:rFonts w:ascii="Calibri" w:hAnsi="Calibri" w:cs="Calibri"/>
          <w:sz w:val="22"/>
        </w:rPr>
        <w:t>_____</w:t>
      </w:r>
      <w:r w:rsidR="000C513A">
        <w:rPr>
          <w:rFonts w:ascii="Calibri" w:hAnsi="Calibri" w:cs="Calibri"/>
          <w:sz w:val="22"/>
          <w:u w:val="single"/>
        </w:rPr>
        <w:t xml:space="preserve">Lincoln County, </w:t>
      </w:r>
      <w:r w:rsidR="002C2C0B">
        <w:rPr>
          <w:rFonts w:ascii="Calibri" w:hAnsi="Calibri" w:cs="Calibri"/>
          <w:sz w:val="22"/>
          <w:u w:val="single"/>
        </w:rPr>
        <w:t>Flathead County</w:t>
      </w:r>
      <w:r w:rsidRPr="00587E84">
        <w:rPr>
          <w:rFonts w:ascii="Calibri" w:hAnsi="Calibri" w:cs="Calibri"/>
          <w:sz w:val="22"/>
        </w:rPr>
        <w:t>_________________________________________</w:t>
      </w:r>
    </w:p>
    <w:p w14:paraId="7A0DF682" w14:textId="4339F1E7" w:rsidR="00F60679" w:rsidRPr="00587E84" w:rsidRDefault="009A5B74" w:rsidP="009A5B74">
      <w:pPr>
        <w:pStyle w:val="Heading1"/>
        <w:rPr>
          <w:rFonts w:ascii="Calibri" w:hAnsi="Calibri" w:cs="Calibri"/>
          <w:sz w:val="28"/>
        </w:rPr>
      </w:pPr>
      <w:r>
        <w:rPr>
          <w:rFonts w:ascii="Calibri" w:hAnsi="Calibri" w:cs="Calibri"/>
          <w:sz w:val="28"/>
        </w:rPr>
        <w:t>1</w:t>
      </w:r>
      <w:r w:rsidR="001F6AFC" w:rsidRPr="00587E84">
        <w:rPr>
          <w:rFonts w:ascii="Calibri" w:hAnsi="Calibri" w:cs="Calibri"/>
          <w:sz w:val="28"/>
        </w:rPr>
        <w:t>. Applicant feedback</w:t>
      </w:r>
    </w:p>
    <w:p w14:paraId="04B6C32E" w14:textId="0522532D" w:rsidR="00F60679" w:rsidRPr="00587E84" w:rsidRDefault="001F6AFC">
      <w:pPr>
        <w:rPr>
          <w:rFonts w:ascii="Calibri" w:hAnsi="Calibri" w:cs="Calibri"/>
          <w:sz w:val="22"/>
        </w:rPr>
      </w:pPr>
      <w:r w:rsidRPr="00587E84">
        <w:rPr>
          <w:rFonts w:ascii="Calibri" w:hAnsi="Calibri" w:cs="Calibri"/>
          <w:sz w:val="22"/>
        </w:rPr>
        <w:t>Use the notes fields to identify what is supported by the application, what is unclear or insufficiently documented, and what additional explanation or evidence would strengthen the application.</w:t>
      </w:r>
    </w:p>
    <w:p w14:paraId="726A6931"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A. Resilience &amp; Reliability Benefits</w:t>
      </w:r>
    </w:p>
    <w:p w14:paraId="77526074" w14:textId="77777777" w:rsidR="00F60679" w:rsidRPr="00587E84" w:rsidRDefault="001F6AFC">
      <w:pPr>
        <w:spacing w:after="40"/>
        <w:rPr>
          <w:rFonts w:ascii="Calibri" w:hAnsi="Calibri" w:cs="Calibri"/>
          <w:sz w:val="22"/>
        </w:rPr>
      </w:pPr>
      <w:r w:rsidRPr="00587E84">
        <w:rPr>
          <w:rFonts w:ascii="Calibri" w:hAnsi="Calibri" w:cs="Calibri"/>
          <w:sz w:val="22"/>
        </w:rPr>
        <w:t>Review current system measurements and performance related to anticipating, withstanding, adapting to, and recovering from major events; electrical service; asset damage; response/restoration; monetary impacts; and estimated improvements from the project. Note supporting documentation, especially for DOE reporting metrics.</w:t>
      </w:r>
    </w:p>
    <w:p w14:paraId="350A4259" w14:textId="65E55C1C"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F2DD799" w14:textId="78C9DDDF" w:rsidR="00D50796" w:rsidRPr="00587E84" w:rsidRDefault="0043285D">
      <w:pPr>
        <w:rPr>
          <w:rFonts w:ascii="Calibri" w:hAnsi="Calibri" w:cs="Calibri"/>
          <w:sz w:val="22"/>
          <w:u w:val="single"/>
        </w:rPr>
      </w:pPr>
      <w:r w:rsidRPr="0043285D">
        <w:rPr>
          <w:rFonts w:ascii="Calibri" w:hAnsi="Calibri" w:cs="Calibri"/>
          <w:sz w:val="22"/>
          <w:u w:val="single"/>
        </w:rPr>
        <w:t xml:space="preserve">The application </w:t>
      </w:r>
      <w:r w:rsidR="000C513A" w:rsidRPr="000C513A">
        <w:rPr>
          <w:rFonts w:ascii="Calibri" w:hAnsi="Calibri" w:cs="Calibri"/>
          <w:sz w:val="22"/>
          <w:u w:val="single"/>
        </w:rPr>
        <w:t>explains the existing reliance on manual substation switching and field verification, including travel times of approximately 15 minutes to Eureka, 30 minutes to Trego and at least one hour to Stillwater. It identifies centralized SCADA visibility, alarms, remote-control capability and historical records as measurable outcomes.</w:t>
      </w:r>
    </w:p>
    <w:p w14:paraId="23EB4D2B" w14:textId="77777777" w:rsidR="000C513A" w:rsidRDefault="000C513A" w:rsidP="00D50796">
      <w:pPr>
        <w:pStyle w:val="ListParagraph"/>
        <w:numPr>
          <w:ilvl w:val="0"/>
          <w:numId w:val="10"/>
        </w:numPr>
        <w:rPr>
          <w:rFonts w:ascii="Calibri" w:hAnsi="Calibri" w:cs="Calibri"/>
          <w:sz w:val="22"/>
        </w:rPr>
      </w:pPr>
      <w:r w:rsidRPr="000C513A">
        <w:rPr>
          <w:rFonts w:ascii="Calibri" w:hAnsi="Calibri" w:cs="Calibri"/>
          <w:sz w:val="22"/>
        </w:rPr>
        <w:t>Provide available historical outage/reliability measures or documented event examples, including relevant outage frequency, duration, customer interruptions, switching/restoration times, and wildfire-related operational impacts. The performance table largely measures SCADA functionality and travel time rather than the expected change in system reliability.</w:t>
      </w:r>
    </w:p>
    <w:p w14:paraId="2D765E80" w14:textId="4D4DBAC8" w:rsidR="0043285D" w:rsidRDefault="000C513A" w:rsidP="00D50796">
      <w:pPr>
        <w:pStyle w:val="ListParagraph"/>
        <w:numPr>
          <w:ilvl w:val="0"/>
          <w:numId w:val="10"/>
        </w:numPr>
        <w:rPr>
          <w:rFonts w:ascii="Calibri" w:hAnsi="Calibri" w:cs="Calibri"/>
          <w:sz w:val="22"/>
        </w:rPr>
      </w:pPr>
      <w:r w:rsidRPr="000C513A">
        <w:rPr>
          <w:rFonts w:ascii="Calibri" w:hAnsi="Calibri" w:cs="Calibri"/>
          <w:sz w:val="22"/>
        </w:rPr>
        <w:t>Clarify how the projected ability to switch “within minutes” will be measured and under which circumstances remote operation is permitted; distinguish switching time savings from overall outage restoration time, which may still require patrols or other field work.</w:t>
      </w:r>
    </w:p>
    <w:p w14:paraId="2441CB05"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B. Customer Benefits</w:t>
      </w:r>
    </w:p>
    <w:p w14:paraId="0B16463A" w14:textId="77777777" w:rsidR="00F60679" w:rsidRPr="00587E84" w:rsidRDefault="001F6AFC">
      <w:pPr>
        <w:spacing w:after="40"/>
        <w:rPr>
          <w:rFonts w:ascii="Calibri" w:hAnsi="Calibri" w:cs="Calibri"/>
          <w:sz w:val="22"/>
        </w:rPr>
      </w:pPr>
      <w:r w:rsidRPr="00587E84">
        <w:rPr>
          <w:rFonts w:ascii="Calibri" w:hAnsi="Calibri" w:cs="Calibri"/>
          <w:sz w:val="22"/>
        </w:rPr>
        <w:t xml:space="preserve">Review the number of customers expected to directly benefit, by customer class, and </w:t>
      </w:r>
      <w:proofErr w:type="gramStart"/>
      <w:r w:rsidRPr="00587E84">
        <w:rPr>
          <w:rFonts w:ascii="Calibri" w:hAnsi="Calibri" w:cs="Calibri"/>
          <w:sz w:val="22"/>
        </w:rPr>
        <w:t>the</w:t>
      </w:r>
      <w:proofErr w:type="gramEnd"/>
      <w:r w:rsidRPr="00587E84">
        <w:rPr>
          <w:rFonts w:ascii="Calibri" w:hAnsi="Calibri" w:cs="Calibri"/>
          <w:sz w:val="22"/>
        </w:rPr>
        <w:t xml:space="preserve"> explanation of expected improvements such as reduced outage frequency or duration and improved reliability.</w:t>
      </w:r>
    </w:p>
    <w:p w14:paraId="0B4543A4"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7F826FAC" w14:textId="666950EF" w:rsidR="00F60679" w:rsidRPr="00587E84" w:rsidRDefault="00B211D3">
      <w:pPr>
        <w:spacing w:after="80"/>
        <w:rPr>
          <w:rFonts w:ascii="Calibri" w:hAnsi="Calibri" w:cs="Calibri"/>
          <w:sz w:val="22"/>
          <w:u w:val="single"/>
        </w:rPr>
      </w:pPr>
      <w:r>
        <w:rPr>
          <w:rFonts w:ascii="Calibri" w:hAnsi="Calibri" w:cs="Calibri"/>
          <w:sz w:val="22"/>
          <w:u w:val="single"/>
        </w:rPr>
        <w:t xml:space="preserve">The </w:t>
      </w:r>
      <w:r w:rsidR="0043285D">
        <w:rPr>
          <w:rFonts w:ascii="Calibri" w:hAnsi="Calibri" w:cs="Calibri"/>
          <w:sz w:val="22"/>
          <w:u w:val="single"/>
        </w:rPr>
        <w:t xml:space="preserve">application </w:t>
      </w:r>
      <w:r w:rsidR="000C513A" w:rsidRPr="000C513A">
        <w:rPr>
          <w:rFonts w:ascii="Calibri" w:hAnsi="Calibri" w:cs="Calibri"/>
          <w:sz w:val="22"/>
          <w:u w:val="single"/>
        </w:rPr>
        <w:t xml:space="preserve">provides a useful system-wide inventory of 6,993 meters by customer class, while the environmental questionnaire refers to approximately 5,500 members. These may represent different </w:t>
      </w:r>
      <w:proofErr w:type="gramStart"/>
      <w:r w:rsidR="000C513A" w:rsidRPr="000C513A">
        <w:rPr>
          <w:rFonts w:ascii="Calibri" w:hAnsi="Calibri" w:cs="Calibri"/>
          <w:sz w:val="22"/>
          <w:u w:val="single"/>
        </w:rPr>
        <w:t>measures, but</w:t>
      </w:r>
      <w:proofErr w:type="gramEnd"/>
      <w:r w:rsidR="000C513A" w:rsidRPr="000C513A">
        <w:rPr>
          <w:rFonts w:ascii="Calibri" w:hAnsi="Calibri" w:cs="Calibri"/>
          <w:sz w:val="22"/>
          <w:u w:val="single"/>
        </w:rPr>
        <w:t xml:space="preserve"> should be labeled consistently.</w:t>
      </w:r>
    </w:p>
    <w:p w14:paraId="2A6B0069" w14:textId="0A1EEBA1" w:rsidR="00B211D3" w:rsidRDefault="0043285D" w:rsidP="00B211D3">
      <w:pPr>
        <w:pStyle w:val="ListParagraph"/>
        <w:numPr>
          <w:ilvl w:val="0"/>
          <w:numId w:val="11"/>
        </w:numPr>
        <w:spacing w:after="80"/>
        <w:rPr>
          <w:rFonts w:ascii="Calibri" w:hAnsi="Calibri" w:cs="Calibri"/>
          <w:sz w:val="22"/>
        </w:rPr>
      </w:pPr>
      <w:r>
        <w:rPr>
          <w:rFonts w:ascii="Calibri" w:hAnsi="Calibri" w:cs="Calibri"/>
          <w:sz w:val="22"/>
        </w:rPr>
        <w:t xml:space="preserve">Provide the </w:t>
      </w:r>
      <w:r w:rsidR="000C513A" w:rsidRPr="000C513A">
        <w:rPr>
          <w:rFonts w:ascii="Calibri" w:hAnsi="Calibri" w:cs="Calibri"/>
          <w:sz w:val="22"/>
        </w:rPr>
        <w:t>number of customers/meters directly served by the project substations and affected feeders, by customer class. Distinguish direct improvements to monitored circuits from broader system-wide operational benefits.</w:t>
      </w:r>
    </w:p>
    <w:p w14:paraId="4E8866CD" w14:textId="09024EAA" w:rsidR="0043285D" w:rsidRPr="00B211D3" w:rsidRDefault="004466F4" w:rsidP="00B211D3">
      <w:pPr>
        <w:pStyle w:val="ListParagraph"/>
        <w:numPr>
          <w:ilvl w:val="0"/>
          <w:numId w:val="11"/>
        </w:numPr>
        <w:spacing w:after="80"/>
        <w:rPr>
          <w:rFonts w:ascii="Calibri" w:hAnsi="Calibri" w:cs="Calibri"/>
          <w:sz w:val="22"/>
        </w:rPr>
      </w:pPr>
      <w:r w:rsidRPr="004466F4">
        <w:rPr>
          <w:rFonts w:ascii="Calibri" w:hAnsi="Calibri" w:cs="Calibri"/>
          <w:sz w:val="22"/>
        </w:rPr>
        <w:lastRenderedPageBreak/>
        <w:t xml:space="preserve">Explain how customer benefits will be measured, including whether faster remote switching is expected to reduce the frequency or duration of customer interruptions and how those outcomes relate to the identified baseline. </w:t>
      </w:r>
    </w:p>
    <w:p w14:paraId="4A03251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C. Critical &amp; Essential Facility Benefits</w:t>
      </w:r>
    </w:p>
    <w:p w14:paraId="75B23306" w14:textId="77777777" w:rsidR="00F60679" w:rsidRPr="00587E84" w:rsidRDefault="001F6AFC">
      <w:pPr>
        <w:spacing w:after="40"/>
        <w:rPr>
          <w:rFonts w:ascii="Calibri" w:hAnsi="Calibri" w:cs="Calibri"/>
          <w:sz w:val="22"/>
        </w:rPr>
      </w:pPr>
      <w:r w:rsidRPr="00587E84">
        <w:rPr>
          <w:rFonts w:ascii="Calibri" w:hAnsi="Calibri" w:cs="Calibri"/>
          <w:sz w:val="22"/>
        </w:rPr>
        <w:t>Review the number and types of critical/essential facilities that benefit and the explanation of expected improvements in outage frequency, outage duration, reliability, or resilience.</w:t>
      </w:r>
    </w:p>
    <w:p w14:paraId="7979D783"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3F444E7" w14:textId="155980AA" w:rsidR="00F60679" w:rsidRPr="00587E84" w:rsidRDefault="00B211D3">
      <w:pPr>
        <w:spacing w:after="80"/>
        <w:rPr>
          <w:rFonts w:ascii="Calibri" w:hAnsi="Calibri" w:cs="Calibri"/>
          <w:sz w:val="22"/>
          <w:u w:val="single"/>
        </w:rPr>
      </w:pPr>
      <w:r>
        <w:rPr>
          <w:rFonts w:ascii="Calibri" w:hAnsi="Calibri" w:cs="Calibri"/>
          <w:sz w:val="22"/>
          <w:u w:val="single"/>
        </w:rPr>
        <w:t xml:space="preserve">The </w:t>
      </w:r>
      <w:r w:rsidR="004466F4" w:rsidRPr="004466F4">
        <w:rPr>
          <w:rFonts w:ascii="Calibri" w:hAnsi="Calibri" w:cs="Calibri"/>
          <w:sz w:val="22"/>
          <w:u w:val="single"/>
        </w:rPr>
        <w:t>scope identifies critical and essential facilities by substation area, including medical care, fire/EMS, water/wastewater, schools, public agencies, border operations and rail infrastructure. It also lists Eureka, Trego and Stillwater service areas as 64%, 19% and 17% of the LEC system.</w:t>
      </w:r>
    </w:p>
    <w:p w14:paraId="75907C80" w14:textId="286CA7EE" w:rsidR="00760114" w:rsidRDefault="004466F4" w:rsidP="0043285D">
      <w:pPr>
        <w:pStyle w:val="ListParagraph"/>
        <w:numPr>
          <w:ilvl w:val="0"/>
          <w:numId w:val="12"/>
        </w:numPr>
        <w:spacing w:after="80"/>
        <w:rPr>
          <w:rFonts w:ascii="Calibri" w:hAnsi="Calibri" w:cs="Calibri"/>
          <w:sz w:val="22"/>
        </w:rPr>
      </w:pPr>
      <w:r w:rsidRPr="004466F4">
        <w:rPr>
          <w:rFonts w:ascii="Calibri" w:hAnsi="Calibri" w:cs="Calibri"/>
          <w:sz w:val="22"/>
        </w:rPr>
        <w:t>Clarify whether these percentages represent customers, meters, load, circuit mileage or another measure. Confirm which listed facilities are served by the identified project feeders and provide facility counts by location, distinguishing direct electrical service from broader regional or operational benefits.</w:t>
      </w:r>
    </w:p>
    <w:p w14:paraId="3CC23075" w14:textId="021839EA" w:rsidR="004466F4" w:rsidRDefault="004466F4" w:rsidP="0043285D">
      <w:pPr>
        <w:pStyle w:val="ListParagraph"/>
        <w:numPr>
          <w:ilvl w:val="0"/>
          <w:numId w:val="12"/>
        </w:numPr>
        <w:spacing w:after="80"/>
        <w:rPr>
          <w:rFonts w:ascii="Calibri" w:hAnsi="Calibri" w:cs="Calibri"/>
          <w:sz w:val="22"/>
        </w:rPr>
      </w:pPr>
      <w:r>
        <w:rPr>
          <w:rFonts w:ascii="Calibri" w:hAnsi="Calibri" w:cs="Calibri"/>
          <w:sz w:val="22"/>
        </w:rPr>
        <w:t xml:space="preserve">Describe </w:t>
      </w:r>
      <w:r w:rsidRPr="004466F4">
        <w:rPr>
          <w:rFonts w:ascii="Calibri" w:hAnsi="Calibri" w:cs="Calibri"/>
          <w:sz w:val="22"/>
        </w:rPr>
        <w:t>the expected reliability or restoration benefit for the facilities identified, recognizing that SCADA monitoring and remote switching do not by themselves guarantee uninterrupted service.</w:t>
      </w:r>
    </w:p>
    <w:p w14:paraId="4D04076B"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D. Community Vulnerability &amp; Resilience</w:t>
      </w:r>
    </w:p>
    <w:p w14:paraId="2E9D61DF" w14:textId="5CF992F2" w:rsidR="00F60679" w:rsidRPr="00587E84" w:rsidRDefault="001F6AFC">
      <w:pPr>
        <w:spacing w:after="40"/>
        <w:rPr>
          <w:rFonts w:ascii="Calibri" w:hAnsi="Calibri" w:cs="Calibri"/>
          <w:sz w:val="22"/>
        </w:rPr>
      </w:pPr>
      <w:r w:rsidRPr="00587E84">
        <w:rPr>
          <w:rFonts w:ascii="Calibri" w:hAnsi="Calibri" w:cs="Calibri"/>
          <w:sz w:val="22"/>
        </w:rPr>
        <w:t xml:space="preserve">Confirm the project location information needed for DEQ's RAPT review. </w:t>
      </w:r>
    </w:p>
    <w:p w14:paraId="506E0F28"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07882970" w14:textId="28C4920A" w:rsidR="00C075C5" w:rsidRPr="00587E84" w:rsidRDefault="00760114">
      <w:pPr>
        <w:spacing w:after="80"/>
        <w:rPr>
          <w:rFonts w:ascii="Calibri" w:hAnsi="Calibri" w:cs="Calibri"/>
          <w:sz w:val="22"/>
          <w:u w:val="single"/>
        </w:rPr>
      </w:pPr>
      <w:r>
        <w:rPr>
          <w:rFonts w:ascii="Calibri" w:hAnsi="Calibri" w:cs="Calibri"/>
          <w:sz w:val="22"/>
          <w:u w:val="single"/>
        </w:rPr>
        <w:t xml:space="preserve">The </w:t>
      </w:r>
      <w:r w:rsidR="004466F4" w:rsidRPr="004466F4">
        <w:rPr>
          <w:rFonts w:ascii="Calibri" w:hAnsi="Calibri" w:cs="Calibri"/>
          <w:sz w:val="22"/>
          <w:u w:val="single"/>
        </w:rPr>
        <w:t>application describes mountainous, heavily forested and sparsely populated service areas and includes Lincoln County poverty and income statistics. It explains how difficult access and manual switching can affect outage response.</w:t>
      </w:r>
    </w:p>
    <w:p w14:paraId="09915F75" w14:textId="4C7092B3" w:rsidR="00C075C5" w:rsidRDefault="004466F4" w:rsidP="00C04233">
      <w:pPr>
        <w:pStyle w:val="ListParagraph"/>
        <w:numPr>
          <w:ilvl w:val="0"/>
          <w:numId w:val="13"/>
        </w:numPr>
        <w:spacing w:after="80"/>
        <w:rPr>
          <w:rFonts w:ascii="Calibri" w:hAnsi="Calibri" w:cs="Calibri"/>
          <w:sz w:val="22"/>
        </w:rPr>
      </w:pPr>
      <w:r w:rsidRPr="004466F4">
        <w:rPr>
          <w:rFonts w:ascii="Calibri" w:hAnsi="Calibri" w:cs="Calibri"/>
          <w:sz w:val="22"/>
        </w:rPr>
        <w:t>The submitted map identifies the project substations and feeder geography for DEQ’s FEMA RAPT evaluation. Confirm precise project locations/feeder boundaries and the relevant counties or census geographies where needed; DEQ, rather than the applicant, conducts the RAPT assessment under the scoring criteria.</w:t>
      </w:r>
    </w:p>
    <w:p w14:paraId="455F9423" w14:textId="6325A177" w:rsidR="00192186" w:rsidRPr="00C04233" w:rsidRDefault="004466F4" w:rsidP="00C04233">
      <w:pPr>
        <w:pStyle w:val="ListParagraph"/>
        <w:numPr>
          <w:ilvl w:val="0"/>
          <w:numId w:val="13"/>
        </w:numPr>
        <w:spacing w:after="80"/>
        <w:rPr>
          <w:rFonts w:ascii="Calibri" w:hAnsi="Calibri" w:cs="Calibri"/>
          <w:sz w:val="22"/>
        </w:rPr>
      </w:pPr>
      <w:r w:rsidRPr="004466F4">
        <w:rPr>
          <w:rFonts w:ascii="Calibri" w:hAnsi="Calibri" w:cs="Calibri"/>
          <w:sz w:val="22"/>
        </w:rPr>
        <w:t>Identify the source and reference year for the cited Lincoln County and Montana socioeconomic statistics and explain how the project addresses the described community vulnerabilities, including any distinct impacts in Flathead County</w:t>
      </w:r>
      <w:r>
        <w:rPr>
          <w:rFonts w:ascii="Calibri" w:hAnsi="Calibri" w:cs="Calibri"/>
          <w:sz w:val="22"/>
        </w:rPr>
        <w:t>.</w:t>
      </w:r>
    </w:p>
    <w:p w14:paraId="28DF101F"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E. Workforce &amp; Economic Development Benefits</w:t>
      </w:r>
    </w:p>
    <w:p w14:paraId="107A2DFD" w14:textId="77777777" w:rsidR="00F60679" w:rsidRPr="00587E84" w:rsidRDefault="001F6AFC">
      <w:pPr>
        <w:spacing w:after="40"/>
        <w:rPr>
          <w:rFonts w:ascii="Calibri" w:hAnsi="Calibri" w:cs="Calibri"/>
          <w:sz w:val="22"/>
        </w:rPr>
      </w:pPr>
      <w:r w:rsidRPr="00587E84">
        <w:rPr>
          <w:rFonts w:ascii="Calibri" w:hAnsi="Calibri" w:cs="Calibri"/>
          <w:sz w:val="22"/>
        </w:rPr>
        <w:t>Review the number of people receiving project-related training/apprenticeships; Montana-based employees; construction jobs; permanent operations and maintenance jobs; job quality/safety; and indirect community economic impacts.</w:t>
      </w:r>
    </w:p>
    <w:p w14:paraId="3CC23D21" w14:textId="3BF442B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36887EEA" w14:textId="4452FDBA" w:rsidR="00F60679" w:rsidRPr="00587E84" w:rsidRDefault="00C04233">
      <w:pPr>
        <w:spacing w:after="80"/>
        <w:rPr>
          <w:rFonts w:ascii="Calibri" w:hAnsi="Calibri" w:cs="Calibri"/>
          <w:sz w:val="22"/>
          <w:u w:val="single"/>
        </w:rPr>
      </w:pPr>
      <w:r>
        <w:rPr>
          <w:rFonts w:ascii="Calibri" w:hAnsi="Calibri" w:cs="Calibri"/>
          <w:sz w:val="22"/>
          <w:u w:val="single"/>
        </w:rPr>
        <w:t xml:space="preserve">The </w:t>
      </w:r>
      <w:r w:rsidR="004466F4" w:rsidRPr="004466F4">
        <w:rPr>
          <w:rFonts w:ascii="Calibri" w:hAnsi="Calibri" w:cs="Calibri"/>
          <w:sz w:val="22"/>
          <w:u w:val="single"/>
        </w:rPr>
        <w:t>application identifies 14 LEC employees expected to receive SCADA, communications, cybersecurity, data-use and operating-procedure training, with relevant employee groups described.</w:t>
      </w:r>
    </w:p>
    <w:p w14:paraId="30077130" w14:textId="265E6126" w:rsidR="00C04233" w:rsidRPr="00587E84" w:rsidRDefault="00C04233" w:rsidP="00C075C5">
      <w:pPr>
        <w:pStyle w:val="ListParagraph"/>
        <w:numPr>
          <w:ilvl w:val="0"/>
          <w:numId w:val="14"/>
        </w:numPr>
        <w:spacing w:after="80"/>
        <w:rPr>
          <w:rFonts w:ascii="Calibri" w:hAnsi="Calibri" w:cs="Calibri"/>
          <w:sz w:val="22"/>
        </w:rPr>
      </w:pPr>
      <w:r>
        <w:rPr>
          <w:rFonts w:ascii="Calibri" w:hAnsi="Calibri" w:cs="Calibri"/>
          <w:sz w:val="22"/>
        </w:rPr>
        <w:t xml:space="preserve">Clarify </w:t>
      </w:r>
      <w:r w:rsidR="004466F4" w:rsidRPr="004466F4">
        <w:rPr>
          <w:rFonts w:ascii="Calibri" w:hAnsi="Calibri" w:cs="Calibri"/>
          <w:sz w:val="22"/>
        </w:rPr>
        <w:t>the planned training delivery, approximate hours, completion records and whether any vendor or contractor training is included. Identify any expected Montana-based contractor work or employment impacts, distinguishing temporary implementation services from permanent positions and existing staff time.</w:t>
      </w:r>
      <w:r w:rsidR="004466F4">
        <w:rPr>
          <w:rFonts w:ascii="Calibri" w:hAnsi="Calibri" w:cs="Calibri"/>
          <w:sz w:val="22"/>
        </w:rPr>
        <w:t xml:space="preserve"> </w:t>
      </w:r>
    </w:p>
    <w:p w14:paraId="2D7999EC"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lastRenderedPageBreak/>
        <w:t>F. Advanced Grid Technology</w:t>
      </w:r>
    </w:p>
    <w:p w14:paraId="2D12AE14" w14:textId="77777777" w:rsidR="00F60679" w:rsidRPr="00587E84" w:rsidRDefault="001F6AFC">
      <w:pPr>
        <w:spacing w:after="40"/>
        <w:rPr>
          <w:rFonts w:ascii="Calibri" w:hAnsi="Calibri" w:cs="Calibri"/>
          <w:sz w:val="22"/>
        </w:rPr>
      </w:pPr>
      <w:r w:rsidRPr="00587E84">
        <w:rPr>
          <w:rFonts w:ascii="Calibri" w:hAnsi="Calibri" w:cs="Calibri"/>
          <w:sz w:val="22"/>
        </w:rPr>
        <w:t>Review investments that reduce wildfire ignition potential, use distribution assets for backup power/reduced transmission requirements (such as microgrids), or explain how the project is innovative if it does not deploy the listed advanced grid technologies.</w:t>
      </w:r>
    </w:p>
    <w:p w14:paraId="36515C26" w14:textId="77777777"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495A59CB" w14:textId="24C506A4" w:rsidR="00F60679" w:rsidRPr="00587E84" w:rsidRDefault="00C04233">
      <w:pPr>
        <w:spacing w:after="80"/>
        <w:rPr>
          <w:rFonts w:ascii="Calibri" w:hAnsi="Calibri" w:cs="Calibri"/>
          <w:sz w:val="22"/>
          <w:u w:val="single"/>
        </w:rPr>
      </w:pPr>
      <w:r>
        <w:rPr>
          <w:rFonts w:ascii="Calibri" w:hAnsi="Calibri" w:cs="Calibri"/>
          <w:sz w:val="22"/>
          <w:u w:val="single"/>
        </w:rPr>
        <w:t xml:space="preserve">The </w:t>
      </w:r>
      <w:r w:rsidR="004466F4" w:rsidRPr="004466F4">
        <w:rPr>
          <w:rFonts w:ascii="Calibri" w:hAnsi="Calibri" w:cs="Calibri"/>
          <w:sz w:val="22"/>
          <w:u w:val="single"/>
        </w:rPr>
        <w:t>proposed SCADA, RTU/IED interfaces, secure communications, HMI, alarms, historian and remote controls constitute a well-described modernization of predominantly manual operations. The application also discusses potential future adaptive protection and outage-management capabilities.</w:t>
      </w:r>
      <w:r w:rsidR="004466F4">
        <w:rPr>
          <w:rFonts w:ascii="Calibri" w:hAnsi="Calibri" w:cs="Calibri"/>
          <w:sz w:val="22"/>
          <w:u w:val="single"/>
        </w:rPr>
        <w:t xml:space="preserve"> </w:t>
      </w:r>
    </w:p>
    <w:p w14:paraId="10FFABE9" w14:textId="6EE0A1AD" w:rsidR="00851A2F" w:rsidRDefault="004466F4" w:rsidP="00A942BB">
      <w:pPr>
        <w:pStyle w:val="ListParagraph"/>
        <w:numPr>
          <w:ilvl w:val="0"/>
          <w:numId w:val="15"/>
        </w:numPr>
        <w:spacing w:after="80"/>
        <w:rPr>
          <w:rFonts w:ascii="Calibri" w:hAnsi="Calibri" w:cs="Calibri"/>
          <w:sz w:val="22"/>
        </w:rPr>
      </w:pPr>
      <w:r w:rsidRPr="004466F4">
        <w:rPr>
          <w:rFonts w:ascii="Calibri" w:hAnsi="Calibri" w:cs="Calibri"/>
          <w:sz w:val="22"/>
        </w:rPr>
        <w:t xml:space="preserve">Clarify which breakers and regulators will be monitored or remotely controlled under this funded project, which existing devices will be integrated without replacement, and which equipment will </w:t>
      </w:r>
      <w:proofErr w:type="gramStart"/>
      <w:r w:rsidRPr="004466F4">
        <w:rPr>
          <w:rFonts w:ascii="Calibri" w:hAnsi="Calibri" w:cs="Calibri"/>
          <w:sz w:val="22"/>
        </w:rPr>
        <w:t>actually be</w:t>
      </w:r>
      <w:proofErr w:type="gramEnd"/>
      <w:r w:rsidRPr="004466F4">
        <w:rPr>
          <w:rFonts w:ascii="Calibri" w:hAnsi="Calibri" w:cs="Calibri"/>
          <w:sz w:val="22"/>
        </w:rPr>
        <w:t xml:space="preserve"> replaced. The system map shows 15 breakers and 34 regulators, while the equipment budget includes 15 recloser cards, 37 regulator cards and two breaker/control units; reconcile these quantities or explain spare/future capacity.</w:t>
      </w:r>
    </w:p>
    <w:p w14:paraId="5CCFCFD3" w14:textId="2F3E21EE" w:rsidR="001E1DDD" w:rsidRPr="00A942BB" w:rsidRDefault="004466F4" w:rsidP="00A942BB">
      <w:pPr>
        <w:pStyle w:val="ListParagraph"/>
        <w:numPr>
          <w:ilvl w:val="0"/>
          <w:numId w:val="15"/>
        </w:numPr>
        <w:spacing w:after="80"/>
        <w:rPr>
          <w:rFonts w:ascii="Calibri" w:hAnsi="Calibri" w:cs="Calibri"/>
          <w:sz w:val="22"/>
        </w:rPr>
      </w:pPr>
      <w:r w:rsidRPr="004466F4">
        <w:rPr>
          <w:rFonts w:ascii="Calibri" w:hAnsi="Calibri" w:cs="Calibri"/>
          <w:sz w:val="22"/>
        </w:rPr>
        <w:t xml:space="preserve">Confirm the intended communications media, compatibility assumptions, cybersecurity controls and final acceptance criteria as engineering proceeds. </w:t>
      </w:r>
      <w:proofErr w:type="gramStart"/>
      <w:r w:rsidRPr="004466F4">
        <w:rPr>
          <w:rFonts w:ascii="Calibri" w:hAnsi="Calibri" w:cs="Calibri"/>
          <w:sz w:val="22"/>
        </w:rPr>
        <w:t>Distinguish</w:t>
      </w:r>
      <w:proofErr w:type="gramEnd"/>
      <w:r w:rsidRPr="004466F4">
        <w:rPr>
          <w:rFonts w:ascii="Calibri" w:hAnsi="Calibri" w:cs="Calibri"/>
          <w:sz w:val="22"/>
        </w:rPr>
        <w:t xml:space="preserve"> capabilities delivered at project closeout from future technology enhancements that are not part of this scope.</w:t>
      </w:r>
    </w:p>
    <w:p w14:paraId="2A338FF2"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G. Budget &amp; Cost</w:t>
      </w:r>
    </w:p>
    <w:p w14:paraId="17261088" w14:textId="77777777" w:rsidR="00F60679" w:rsidRPr="00587E84" w:rsidRDefault="001F6AFC">
      <w:pPr>
        <w:spacing w:after="40"/>
        <w:rPr>
          <w:rFonts w:ascii="Calibri" w:hAnsi="Calibri" w:cs="Calibri"/>
          <w:sz w:val="22"/>
        </w:rPr>
      </w:pPr>
      <w:r w:rsidRPr="00587E84">
        <w:rPr>
          <w:rFonts w:ascii="Calibri" w:hAnsi="Calibri" w:cs="Calibri"/>
          <w:sz w:val="22"/>
        </w:rPr>
        <w:t>Review completeness of Attachment B2, the budget narrative and final allocation, and supporting bids, estimates, quotes, engineering reports, and other cost documentation.</w:t>
      </w:r>
    </w:p>
    <w:p w14:paraId="6E8FDDC5" w14:textId="308997F9" w:rsidR="001F6AFC" w:rsidRPr="00587E84" w:rsidRDefault="001F6AFC">
      <w:pPr>
        <w:rPr>
          <w:rFonts w:ascii="Calibri" w:hAnsi="Calibri" w:cs="Calibri"/>
          <w:b/>
          <w:bCs/>
          <w:sz w:val="22"/>
          <w:u w:val="single"/>
        </w:rPr>
      </w:pPr>
      <w:r w:rsidRPr="00587E84">
        <w:rPr>
          <w:rFonts w:ascii="Calibri" w:hAnsi="Calibri" w:cs="Calibri"/>
          <w:b/>
          <w:bCs/>
          <w:sz w:val="22"/>
          <w:u w:val="single"/>
        </w:rPr>
        <w:t>Reviewer notes:</w:t>
      </w:r>
    </w:p>
    <w:p w14:paraId="58A4AFD1" w14:textId="3B9DD7BD" w:rsidR="00DD4947" w:rsidRPr="00587E84" w:rsidRDefault="00A942BB">
      <w:pPr>
        <w:spacing w:after="80"/>
        <w:rPr>
          <w:rFonts w:ascii="Calibri" w:hAnsi="Calibri" w:cs="Calibri"/>
          <w:sz w:val="22"/>
          <w:u w:val="single"/>
        </w:rPr>
      </w:pPr>
      <w:r>
        <w:rPr>
          <w:rFonts w:ascii="Calibri" w:hAnsi="Calibri" w:cs="Calibri"/>
          <w:sz w:val="22"/>
          <w:u w:val="single"/>
        </w:rPr>
        <w:t>The budget workbook (Attachment B2)</w:t>
      </w:r>
      <w:r w:rsidR="001F7B27" w:rsidRPr="001F7B27">
        <w:rPr>
          <w:rFonts w:ascii="Cambria" w:hAnsi="Cambria"/>
          <w:color w:val="000000"/>
          <w:sz w:val="22"/>
          <w:shd w:val="clear" w:color="auto" w:fill="FFFFFF"/>
        </w:rPr>
        <w:t xml:space="preserve"> </w:t>
      </w:r>
      <w:r w:rsidR="001F7B27" w:rsidRPr="001F7B27">
        <w:rPr>
          <w:rFonts w:ascii="Calibri" w:hAnsi="Calibri" w:cs="Calibri"/>
          <w:sz w:val="22"/>
          <w:u w:val="single"/>
        </w:rPr>
        <w:t>i</w:t>
      </w:r>
      <w:r w:rsidR="00A115B2">
        <w:rPr>
          <w:rFonts w:ascii="Calibri" w:hAnsi="Calibri" w:cs="Calibri"/>
          <w:sz w:val="22"/>
          <w:u w:val="single"/>
        </w:rPr>
        <w:t>dentifies the federal subaward request of $670,679.</w:t>
      </w:r>
    </w:p>
    <w:p w14:paraId="60D4DF11" w14:textId="2BAEA6AA" w:rsidR="00A942BB" w:rsidRPr="00A115B2" w:rsidRDefault="001F7B27" w:rsidP="00DD4947">
      <w:pPr>
        <w:pStyle w:val="ListParagraph"/>
        <w:numPr>
          <w:ilvl w:val="0"/>
          <w:numId w:val="18"/>
        </w:numPr>
        <w:rPr>
          <w:rFonts w:ascii="Calibri" w:hAnsi="Calibri" w:cs="Calibri"/>
        </w:rPr>
      </w:pPr>
      <w:r>
        <w:rPr>
          <w:rFonts w:ascii="Calibri" w:hAnsi="Calibri" w:cs="Calibri"/>
          <w:sz w:val="22"/>
        </w:rPr>
        <w:t>The budget</w:t>
      </w:r>
      <w:r w:rsidRPr="001F7B27">
        <w:rPr>
          <w:rFonts w:ascii="Cambria" w:hAnsi="Cambria"/>
          <w:color w:val="000000"/>
          <w:sz w:val="22"/>
          <w:shd w:val="clear" w:color="auto" w:fill="FFFFFF"/>
        </w:rPr>
        <w:t xml:space="preserve"> </w:t>
      </w:r>
      <w:r w:rsidR="00A115B2" w:rsidRPr="00A115B2">
        <w:rPr>
          <w:rFonts w:ascii="Calibri" w:hAnsi="Calibri" w:cs="Calibri"/>
          <w:sz w:val="22"/>
        </w:rPr>
        <w:t>identifies $404,351 as the “1/3 Share” and $188,023.215 as the additional “15.5%” share. These</w:t>
      </w:r>
      <w:r w:rsidR="00A115B2">
        <w:rPr>
          <w:rFonts w:ascii="Calibri" w:hAnsi="Calibri" w:cs="Calibri"/>
          <w:sz w:val="22"/>
        </w:rPr>
        <w:t xml:space="preserve"> </w:t>
      </w:r>
      <w:r w:rsidR="00A115B2" w:rsidRPr="00A115B2">
        <w:rPr>
          <w:rFonts w:ascii="Calibri" w:hAnsi="Calibri" w:cs="Calibri"/>
          <w:sz w:val="22"/>
        </w:rPr>
        <w:t>figures are calculated against total project cost ($1,213,053), not the $620,679 federal subaward referenced in the signed letter.</w:t>
      </w:r>
      <w:r w:rsidR="00A115B2">
        <w:rPr>
          <w:rFonts w:ascii="Calibri" w:hAnsi="Calibri" w:cs="Calibri"/>
          <w:sz w:val="22"/>
        </w:rPr>
        <w:t xml:space="preserve"> Match should be calculated against the federal subaward amount.</w:t>
      </w:r>
    </w:p>
    <w:p w14:paraId="35BF6933" w14:textId="19660067" w:rsidR="00A115B2" w:rsidRPr="00A115B2" w:rsidRDefault="00A115B2" w:rsidP="00DD4947">
      <w:pPr>
        <w:pStyle w:val="ListParagraph"/>
        <w:numPr>
          <w:ilvl w:val="0"/>
          <w:numId w:val="18"/>
        </w:numPr>
        <w:rPr>
          <w:rFonts w:ascii="Calibri" w:hAnsi="Calibri" w:cs="Calibri"/>
          <w:sz w:val="22"/>
        </w:rPr>
      </w:pPr>
      <w:r w:rsidRPr="00A115B2">
        <w:rPr>
          <w:rFonts w:ascii="Calibri" w:hAnsi="Calibri" w:cs="Calibri"/>
          <w:sz w:val="22"/>
        </w:rPr>
        <w:t>The budget includes a 60% fringe rate ($107,795) but does not provide a supporting rate calculation or indicate a documented approval/proposal basis in the populated fields. Provide the applicable rate support and identify its status.</w:t>
      </w:r>
    </w:p>
    <w:p w14:paraId="583066C3" w14:textId="77777777" w:rsidR="00F60679" w:rsidRPr="00587E84" w:rsidRDefault="001F6AFC">
      <w:pPr>
        <w:pStyle w:val="Heading2"/>
        <w:rPr>
          <w:rFonts w:ascii="Calibri" w:hAnsi="Calibri" w:cs="Calibri"/>
          <w:sz w:val="28"/>
          <w:szCs w:val="28"/>
        </w:rPr>
      </w:pPr>
      <w:r w:rsidRPr="00587E84">
        <w:rPr>
          <w:rFonts w:ascii="Calibri" w:hAnsi="Calibri" w:cs="Calibri"/>
          <w:sz w:val="28"/>
          <w:szCs w:val="28"/>
        </w:rPr>
        <w:t>H. Project Immediacy</w:t>
      </w:r>
    </w:p>
    <w:p w14:paraId="53E31D28" w14:textId="256B0EE6" w:rsidR="00F60679" w:rsidRPr="00587E84" w:rsidRDefault="001F6AFC">
      <w:pPr>
        <w:spacing w:after="40"/>
        <w:rPr>
          <w:rFonts w:ascii="Calibri" w:hAnsi="Calibri" w:cs="Calibri"/>
          <w:sz w:val="22"/>
        </w:rPr>
      </w:pPr>
      <w:r w:rsidRPr="00587E84">
        <w:rPr>
          <w:rFonts w:ascii="Calibri" w:hAnsi="Calibri" w:cs="Calibri"/>
          <w:sz w:val="22"/>
        </w:rPr>
        <w:t>Review schedule detail and milestone dates, anticipated completion timing relative to contract execution (within five years), and review information from Attachment C</w:t>
      </w:r>
      <w:r w:rsidR="001F4525">
        <w:rPr>
          <w:rFonts w:ascii="Calibri" w:hAnsi="Calibri" w:cs="Calibri"/>
          <w:sz w:val="22"/>
        </w:rPr>
        <w:t xml:space="preserve">- Environmental Questionnaire </w:t>
      </w:r>
      <w:r w:rsidR="000371D1">
        <w:rPr>
          <w:rFonts w:ascii="Calibri" w:hAnsi="Calibri" w:cs="Calibri"/>
          <w:sz w:val="22"/>
        </w:rPr>
        <w:t>(EQ)</w:t>
      </w:r>
      <w:r w:rsidR="001F7B27">
        <w:rPr>
          <w:rFonts w:ascii="Calibri" w:hAnsi="Calibri" w:cs="Calibri"/>
          <w:sz w:val="22"/>
        </w:rPr>
        <w:t>.</w:t>
      </w:r>
    </w:p>
    <w:p w14:paraId="4D180ECF" w14:textId="2EFD0A18" w:rsidR="001F6AFC" w:rsidRPr="00587E84" w:rsidRDefault="001F6AFC">
      <w:pPr>
        <w:rPr>
          <w:rFonts w:ascii="Calibri" w:hAnsi="Calibri" w:cs="Calibri"/>
          <w:b/>
          <w:bCs/>
          <w:sz w:val="22"/>
          <w:u w:val="single"/>
        </w:rPr>
      </w:pPr>
      <w:r w:rsidRPr="00587E84">
        <w:rPr>
          <w:rFonts w:ascii="Calibri" w:hAnsi="Calibri" w:cs="Calibri"/>
          <w:b/>
          <w:bCs/>
          <w:sz w:val="22"/>
          <w:u w:val="single"/>
        </w:rPr>
        <w:t xml:space="preserve">Reviewer notes: </w:t>
      </w:r>
    </w:p>
    <w:p w14:paraId="6B2E3AA1" w14:textId="57C29A58" w:rsidR="00F60679" w:rsidRPr="00587E84" w:rsidRDefault="00A942BB">
      <w:pPr>
        <w:spacing w:after="80"/>
        <w:rPr>
          <w:rFonts w:ascii="Calibri" w:hAnsi="Calibri" w:cs="Calibri"/>
          <w:sz w:val="22"/>
          <w:u w:val="single"/>
        </w:rPr>
      </w:pPr>
      <w:r>
        <w:rPr>
          <w:rFonts w:ascii="Calibri" w:hAnsi="Calibri" w:cs="Calibri"/>
          <w:sz w:val="22"/>
          <w:u w:val="single"/>
        </w:rPr>
        <w:t xml:space="preserve">The </w:t>
      </w:r>
      <w:r w:rsidR="00A115B2" w:rsidRPr="00A115B2">
        <w:rPr>
          <w:rFonts w:ascii="Calibri" w:hAnsi="Calibri" w:cs="Calibri"/>
          <w:sz w:val="22"/>
          <w:u w:val="single"/>
        </w:rPr>
        <w:t>scope includes a 24-month implementation schedule with engineering, procurement, communications, phased installations, testing, training and closeout. The budget states an anticipated June 2027–May 2029 period, subject to grant timing.</w:t>
      </w:r>
    </w:p>
    <w:p w14:paraId="02E36377" w14:textId="13DBC29C" w:rsidR="003B0DC1" w:rsidRPr="00A115B2" w:rsidRDefault="001F4525" w:rsidP="00A115B2">
      <w:pPr>
        <w:pStyle w:val="ListParagraph"/>
        <w:numPr>
          <w:ilvl w:val="0"/>
          <w:numId w:val="19"/>
        </w:numPr>
        <w:spacing w:after="80"/>
        <w:rPr>
          <w:rFonts w:ascii="Calibri" w:hAnsi="Calibri" w:cs="Calibri"/>
          <w:sz w:val="22"/>
        </w:rPr>
      </w:pPr>
      <w:r w:rsidRPr="001F7B27">
        <w:rPr>
          <w:rFonts w:ascii="Calibri" w:hAnsi="Calibri" w:cs="Calibri"/>
          <w:sz w:val="22"/>
        </w:rPr>
        <w:t xml:space="preserve">The </w:t>
      </w:r>
      <w:r w:rsidR="000371D1" w:rsidRPr="001F7B27">
        <w:rPr>
          <w:rFonts w:ascii="Calibri" w:hAnsi="Calibri" w:cs="Calibri"/>
          <w:sz w:val="22"/>
        </w:rPr>
        <w:t xml:space="preserve">EQ </w:t>
      </w:r>
      <w:r w:rsidR="00A115B2" w:rsidRPr="00A115B2">
        <w:rPr>
          <w:rFonts w:ascii="Calibri" w:hAnsi="Calibri" w:cs="Calibri"/>
          <w:sz w:val="22"/>
        </w:rPr>
        <w:t>describes removal/replacement of existing breakers and equipment but also marks no construction and limited effects. Clarify the precise removal, installation, disposal/recycling and any wiring/civil work at each substation so the environmental documentation consistently reflects the final scope.</w:t>
      </w:r>
    </w:p>
    <w:p w14:paraId="0420747D" w14:textId="67E47C78" w:rsidR="00F60679" w:rsidRPr="001F7B27" w:rsidRDefault="009A5B74" w:rsidP="001F7B27">
      <w:pPr>
        <w:pStyle w:val="Heading1"/>
        <w:rPr>
          <w:rFonts w:ascii="Calibri" w:hAnsi="Calibri" w:cs="Calibri"/>
          <w:sz w:val="28"/>
        </w:rPr>
      </w:pPr>
      <w:r>
        <w:rPr>
          <w:rFonts w:ascii="Calibri" w:hAnsi="Calibri" w:cs="Calibri"/>
          <w:sz w:val="28"/>
        </w:rPr>
        <w:lastRenderedPageBreak/>
        <w:t>2</w:t>
      </w:r>
      <w:r w:rsidR="001F6AFC" w:rsidRPr="00587E84">
        <w:rPr>
          <w:rFonts w:ascii="Calibri" w:hAnsi="Calibri" w:cs="Calibri"/>
          <w:sz w:val="28"/>
        </w:rPr>
        <w:t>. Summary feedback for applicant</w:t>
      </w:r>
    </w:p>
    <w:p w14:paraId="18D50AC9" w14:textId="77777777" w:rsidR="00A115B2" w:rsidRPr="00A115B2" w:rsidRDefault="00A115B2" w:rsidP="00A115B2">
      <w:pPr>
        <w:rPr>
          <w:rFonts w:ascii="Calibri" w:hAnsi="Calibri" w:cs="Calibri"/>
          <w:sz w:val="22"/>
          <w:u w:val="single"/>
        </w:rPr>
      </w:pPr>
      <w:r w:rsidRPr="00A115B2">
        <w:rPr>
          <w:rFonts w:ascii="Calibri" w:hAnsi="Calibri" w:cs="Calibri"/>
          <w:sz w:val="22"/>
          <w:u w:val="single"/>
        </w:rPr>
        <w:t>Lincoln Electric Cooperative presents a clearly defined SCADA modernization concept grounded in its Wildfire Mitigation Plan and the operational limitations of manual substation switching. The application identifies the Eureka, Trego and Stillwater project locations, describes the monitoring and control functions to be implemented, provides a phased 24-month schedule, and includes a detailed budget and letters of support. Its documented travel times and proposed commissioning measures offer a useful starting point for evaluating operational improvements.</w:t>
      </w:r>
    </w:p>
    <w:p w14:paraId="400B7877" w14:textId="3F61ACBA" w:rsidR="00A115B2" w:rsidRPr="00A115B2" w:rsidRDefault="00A115B2" w:rsidP="00A115B2">
      <w:pPr>
        <w:rPr>
          <w:rFonts w:ascii="Calibri" w:hAnsi="Calibri" w:cs="Calibri"/>
          <w:sz w:val="22"/>
          <w:u w:val="single"/>
        </w:rPr>
      </w:pPr>
      <w:r w:rsidRPr="00A115B2">
        <w:rPr>
          <w:rFonts w:ascii="Calibri" w:hAnsi="Calibri" w:cs="Calibri"/>
          <w:sz w:val="22"/>
          <w:u w:val="single"/>
        </w:rPr>
        <w:t xml:space="preserve">The principal areas requiring clarification are the direct customer and critical-facility benefits, supporting baseline reliability measures, final device inventory and replacement scope, and </w:t>
      </w:r>
      <w:proofErr w:type="gramStart"/>
      <w:r w:rsidRPr="00A115B2">
        <w:rPr>
          <w:rFonts w:ascii="Calibri" w:hAnsi="Calibri" w:cs="Calibri"/>
          <w:sz w:val="22"/>
          <w:u w:val="single"/>
        </w:rPr>
        <w:t>the cost</w:t>
      </w:r>
      <w:proofErr w:type="gramEnd"/>
      <w:r w:rsidRPr="00A115B2">
        <w:rPr>
          <w:rFonts w:ascii="Calibri" w:hAnsi="Calibri" w:cs="Calibri"/>
          <w:sz w:val="22"/>
          <w:u w:val="single"/>
        </w:rPr>
        <w:t xml:space="preserve">-match </w:t>
      </w:r>
      <w:r>
        <w:rPr>
          <w:rFonts w:ascii="Calibri" w:hAnsi="Calibri" w:cs="Calibri"/>
          <w:sz w:val="22"/>
          <w:u w:val="single"/>
        </w:rPr>
        <w:t>clarification</w:t>
      </w:r>
      <w:r w:rsidRPr="00A115B2">
        <w:rPr>
          <w:rFonts w:ascii="Calibri" w:hAnsi="Calibri" w:cs="Calibri"/>
          <w:sz w:val="22"/>
          <w:u w:val="single"/>
        </w:rPr>
        <w:t xml:space="preserve">. Additional </w:t>
      </w:r>
      <w:proofErr w:type="gramStart"/>
      <w:r w:rsidRPr="00A115B2">
        <w:rPr>
          <w:rFonts w:ascii="Calibri" w:hAnsi="Calibri" w:cs="Calibri"/>
          <w:sz w:val="22"/>
          <w:u w:val="single"/>
        </w:rPr>
        <w:t>detail</w:t>
      </w:r>
      <w:proofErr w:type="gramEnd"/>
      <w:r w:rsidRPr="00A115B2">
        <w:rPr>
          <w:rFonts w:ascii="Calibri" w:hAnsi="Calibri" w:cs="Calibri"/>
          <w:sz w:val="22"/>
          <w:u w:val="single"/>
        </w:rPr>
        <w:t xml:space="preserve"> on the fringe rate, major equipment and vendor estimates, and location-specific environmental documentation would improve consistency across the submitted materials. The comments above identify specific information for clarification without assigning scores or making a funding recommendation.</w:t>
      </w:r>
    </w:p>
    <w:p w14:paraId="2DCFF7BF" w14:textId="41E837C3" w:rsidR="00F60679" w:rsidRPr="000371D1" w:rsidRDefault="00F60679" w:rsidP="001F7B27">
      <w:pPr>
        <w:rPr>
          <w:rFonts w:ascii="Calibri" w:hAnsi="Calibri" w:cs="Calibri"/>
          <w:sz w:val="22"/>
          <w:u w:val="single"/>
        </w:rPr>
      </w:pPr>
    </w:p>
    <w:sectPr w:rsidR="00F60679" w:rsidRPr="000371D1"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0C473" w14:textId="77777777" w:rsidR="006852E2" w:rsidRDefault="006852E2">
      <w:pPr>
        <w:spacing w:after="0" w:line="240" w:lineRule="auto"/>
      </w:pPr>
      <w:r>
        <w:separator/>
      </w:r>
    </w:p>
  </w:endnote>
  <w:endnote w:type="continuationSeparator" w:id="0">
    <w:p w14:paraId="4097CE1A" w14:textId="77777777" w:rsidR="006852E2" w:rsidRDefault="00685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FD1C9" w14:textId="1C401A75" w:rsidR="00F60679" w:rsidRDefault="00F60679">
    <w:pPr>
      <w:pStyle w:val="Footer"/>
      <w:jc w:val="center"/>
      <w:rPr>
        <w:i/>
        <w:color w:val="646464"/>
        <w:sz w:val="16"/>
      </w:rPr>
    </w:pPr>
  </w:p>
  <w:p w14:paraId="5B11555C" w14:textId="77777777" w:rsidR="00FD6577" w:rsidRDefault="00FD65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11FC7" w14:textId="77777777" w:rsidR="006852E2" w:rsidRDefault="006852E2">
      <w:pPr>
        <w:spacing w:after="0" w:line="240" w:lineRule="auto"/>
      </w:pPr>
      <w:r>
        <w:separator/>
      </w:r>
    </w:p>
  </w:footnote>
  <w:footnote w:type="continuationSeparator" w:id="0">
    <w:p w14:paraId="725FF618" w14:textId="77777777" w:rsidR="006852E2" w:rsidRDefault="00685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2F3162"/>
    <w:multiLevelType w:val="hybridMultilevel"/>
    <w:tmpl w:val="66229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0EF61687"/>
    <w:multiLevelType w:val="hybridMultilevel"/>
    <w:tmpl w:val="C004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CD5531"/>
    <w:multiLevelType w:val="hybridMultilevel"/>
    <w:tmpl w:val="1F427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33AAF"/>
    <w:multiLevelType w:val="hybridMultilevel"/>
    <w:tmpl w:val="3104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76E2B"/>
    <w:multiLevelType w:val="hybridMultilevel"/>
    <w:tmpl w:val="6958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7B2B8E"/>
    <w:multiLevelType w:val="hybridMultilevel"/>
    <w:tmpl w:val="6630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87711F"/>
    <w:multiLevelType w:val="hybridMultilevel"/>
    <w:tmpl w:val="0894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CA49F9"/>
    <w:multiLevelType w:val="hybridMultilevel"/>
    <w:tmpl w:val="1E1E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1A0365"/>
    <w:multiLevelType w:val="hybridMultilevel"/>
    <w:tmpl w:val="B464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991743"/>
    <w:multiLevelType w:val="hybridMultilevel"/>
    <w:tmpl w:val="16AAE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3020649">
    <w:abstractNumId w:val="8"/>
  </w:num>
  <w:num w:numId="2" w16cid:durableId="1043292006">
    <w:abstractNumId w:val="6"/>
  </w:num>
  <w:num w:numId="3" w16cid:durableId="280694686">
    <w:abstractNumId w:val="5"/>
  </w:num>
  <w:num w:numId="4" w16cid:durableId="228461496">
    <w:abstractNumId w:val="4"/>
  </w:num>
  <w:num w:numId="5" w16cid:durableId="113520241">
    <w:abstractNumId w:val="7"/>
  </w:num>
  <w:num w:numId="6" w16cid:durableId="1145902025">
    <w:abstractNumId w:val="3"/>
  </w:num>
  <w:num w:numId="7" w16cid:durableId="2013994517">
    <w:abstractNumId w:val="2"/>
  </w:num>
  <w:num w:numId="8" w16cid:durableId="905720641">
    <w:abstractNumId w:val="1"/>
  </w:num>
  <w:num w:numId="9" w16cid:durableId="58066083">
    <w:abstractNumId w:val="0"/>
  </w:num>
  <w:num w:numId="10" w16cid:durableId="340934756">
    <w:abstractNumId w:val="10"/>
  </w:num>
  <w:num w:numId="11" w16cid:durableId="1757090019">
    <w:abstractNumId w:val="11"/>
  </w:num>
  <w:num w:numId="12" w16cid:durableId="1053696030">
    <w:abstractNumId w:val="16"/>
  </w:num>
  <w:num w:numId="13" w16cid:durableId="79330934">
    <w:abstractNumId w:val="13"/>
  </w:num>
  <w:num w:numId="14" w16cid:durableId="1272543720">
    <w:abstractNumId w:val="18"/>
  </w:num>
  <w:num w:numId="15" w16cid:durableId="2030838533">
    <w:abstractNumId w:val="12"/>
  </w:num>
  <w:num w:numId="16" w16cid:durableId="442313325">
    <w:abstractNumId w:val="14"/>
  </w:num>
  <w:num w:numId="17" w16cid:durableId="1709991722">
    <w:abstractNumId w:val="9"/>
  </w:num>
  <w:num w:numId="18" w16cid:durableId="1206870208">
    <w:abstractNumId w:val="17"/>
  </w:num>
  <w:num w:numId="19" w16cid:durableId="16566905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1HK6XDSyO7+cb74GuqJK1UE3kar3So3FIbq7FdMeuJoVtibedHlKdcrGM8zrxRq+gGaYzOCHTSK572n4ZUAIPg==" w:salt="s3Bjo/zEP+mES1nVNuSkt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1D1"/>
    <w:rsid w:val="0006063C"/>
    <w:rsid w:val="000C513A"/>
    <w:rsid w:val="00130995"/>
    <w:rsid w:val="0015074B"/>
    <w:rsid w:val="00192186"/>
    <w:rsid w:val="001B1649"/>
    <w:rsid w:val="001E1DDD"/>
    <w:rsid w:val="001F15AE"/>
    <w:rsid w:val="001F4525"/>
    <w:rsid w:val="001F6AFC"/>
    <w:rsid w:val="001F7B27"/>
    <w:rsid w:val="0029639D"/>
    <w:rsid w:val="002C2C0B"/>
    <w:rsid w:val="00326F90"/>
    <w:rsid w:val="00346648"/>
    <w:rsid w:val="003B0DC1"/>
    <w:rsid w:val="0043285D"/>
    <w:rsid w:val="004466F4"/>
    <w:rsid w:val="0053077E"/>
    <w:rsid w:val="005861FF"/>
    <w:rsid w:val="00587E84"/>
    <w:rsid w:val="006852E2"/>
    <w:rsid w:val="00760114"/>
    <w:rsid w:val="00851A2F"/>
    <w:rsid w:val="009A5B74"/>
    <w:rsid w:val="00A115B2"/>
    <w:rsid w:val="00A40B7F"/>
    <w:rsid w:val="00A942BB"/>
    <w:rsid w:val="00AA1D8D"/>
    <w:rsid w:val="00B211D3"/>
    <w:rsid w:val="00B47730"/>
    <w:rsid w:val="00C04233"/>
    <w:rsid w:val="00C075C5"/>
    <w:rsid w:val="00CB0664"/>
    <w:rsid w:val="00D25DA0"/>
    <w:rsid w:val="00D50796"/>
    <w:rsid w:val="00DD4947"/>
    <w:rsid w:val="00DE44E7"/>
    <w:rsid w:val="00E7160C"/>
    <w:rsid w:val="00ED7CE7"/>
    <w:rsid w:val="00F60679"/>
    <w:rsid w:val="00F66052"/>
    <w:rsid w:val="00FC693F"/>
    <w:rsid w:val="00FD6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0E91A"/>
  <w14:defaultImageDpi w14:val="33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A942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056115">
      <w:bodyDiv w:val="1"/>
      <w:marLeft w:val="0"/>
      <w:marRight w:val="0"/>
      <w:marTop w:val="0"/>
      <w:marBottom w:val="0"/>
      <w:divBdr>
        <w:top w:val="none" w:sz="0" w:space="0" w:color="auto"/>
        <w:left w:val="none" w:sz="0" w:space="0" w:color="auto"/>
        <w:bottom w:val="none" w:sz="0" w:space="0" w:color="auto"/>
        <w:right w:val="none" w:sz="0" w:space="0" w:color="auto"/>
      </w:divBdr>
    </w:div>
    <w:div w:id="469252052">
      <w:bodyDiv w:val="1"/>
      <w:marLeft w:val="0"/>
      <w:marRight w:val="0"/>
      <w:marTop w:val="0"/>
      <w:marBottom w:val="0"/>
      <w:divBdr>
        <w:top w:val="none" w:sz="0" w:space="0" w:color="auto"/>
        <w:left w:val="none" w:sz="0" w:space="0" w:color="auto"/>
        <w:bottom w:val="none" w:sz="0" w:space="0" w:color="auto"/>
        <w:right w:val="none" w:sz="0" w:space="0" w:color="auto"/>
      </w:divBdr>
    </w:div>
    <w:div w:id="1246571852">
      <w:bodyDiv w:val="1"/>
      <w:marLeft w:val="0"/>
      <w:marRight w:val="0"/>
      <w:marTop w:val="0"/>
      <w:marBottom w:val="0"/>
      <w:divBdr>
        <w:top w:val="none" w:sz="0" w:space="0" w:color="auto"/>
        <w:left w:val="none" w:sz="0" w:space="0" w:color="auto"/>
        <w:bottom w:val="none" w:sz="0" w:space="0" w:color="auto"/>
        <w:right w:val="none" w:sz="0" w:space="0" w:color="auto"/>
      </w:divBdr>
    </w:div>
    <w:div w:id="1392074200">
      <w:bodyDiv w:val="1"/>
      <w:marLeft w:val="0"/>
      <w:marRight w:val="0"/>
      <w:marTop w:val="0"/>
      <w:marBottom w:val="0"/>
      <w:divBdr>
        <w:top w:val="none" w:sz="0" w:space="0" w:color="auto"/>
        <w:left w:val="none" w:sz="0" w:space="0" w:color="auto"/>
        <w:bottom w:val="none" w:sz="0" w:space="0" w:color="auto"/>
        <w:right w:val="none" w:sz="0" w:space="0" w:color="auto"/>
      </w:divBdr>
    </w:div>
    <w:div w:id="1599871452">
      <w:bodyDiv w:val="1"/>
      <w:marLeft w:val="0"/>
      <w:marRight w:val="0"/>
      <w:marTop w:val="0"/>
      <w:marBottom w:val="0"/>
      <w:divBdr>
        <w:top w:val="none" w:sz="0" w:space="0" w:color="auto"/>
        <w:left w:val="none" w:sz="0" w:space="0" w:color="auto"/>
        <w:bottom w:val="none" w:sz="0" w:space="0" w:color="auto"/>
        <w:right w:val="none" w:sz="0" w:space="0" w:color="auto"/>
      </w:divBdr>
    </w:div>
    <w:div w:id="1850098782">
      <w:bodyDiv w:val="1"/>
      <w:marLeft w:val="0"/>
      <w:marRight w:val="0"/>
      <w:marTop w:val="0"/>
      <w:marBottom w:val="0"/>
      <w:divBdr>
        <w:top w:val="none" w:sz="0" w:space="0" w:color="auto"/>
        <w:left w:val="none" w:sz="0" w:space="0" w:color="auto"/>
        <w:bottom w:val="none" w:sz="0" w:space="0" w:color="auto"/>
        <w:right w:val="none" w:sz="0" w:space="0" w:color="auto"/>
      </w:divBdr>
    </w:div>
    <w:div w:id="1876961560">
      <w:bodyDiv w:val="1"/>
      <w:marLeft w:val="0"/>
      <w:marRight w:val="0"/>
      <w:marTop w:val="0"/>
      <w:marBottom w:val="0"/>
      <w:divBdr>
        <w:top w:val="none" w:sz="0" w:space="0" w:color="auto"/>
        <w:left w:val="none" w:sz="0" w:space="0" w:color="auto"/>
        <w:bottom w:val="none" w:sz="0" w:space="0" w:color="auto"/>
        <w:right w:val="none" w:sz="0" w:space="0" w:color="auto"/>
      </w:divBdr>
    </w:div>
    <w:div w:id="19606432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4</Pages>
  <Words>1443</Words>
  <Characters>8226</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8</cp:revision>
  <dcterms:created xsi:type="dcterms:W3CDTF">2026-10-13T22:35:00Z</dcterms:created>
  <dcterms:modified xsi:type="dcterms:W3CDTF">2026-10-14T19:11:00Z</dcterms:modified>
  <cp:category/>
</cp:coreProperties>
</file>