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839CF" w14:textId="77777777" w:rsidR="00F60679" w:rsidRPr="00587E84" w:rsidRDefault="001F6AFC">
      <w:pPr>
        <w:pStyle w:val="Title"/>
        <w:jc w:val="center"/>
        <w:rPr>
          <w:rFonts w:ascii="Calibri" w:hAnsi="Calibri" w:cs="Calibri"/>
          <w:color w:val="auto"/>
        </w:rPr>
      </w:pPr>
      <w:r w:rsidRPr="00587E84">
        <w:rPr>
          <w:rFonts w:ascii="Calibri" w:hAnsi="Calibri" w:cs="Calibri"/>
          <w:color w:val="auto"/>
        </w:rPr>
        <w:t>Draft Application Review &amp; Feedback Form</w:t>
      </w:r>
    </w:p>
    <w:p w14:paraId="38AE8F8B" w14:textId="15EE7056" w:rsidR="00F60679" w:rsidRPr="00587E84" w:rsidRDefault="001F6AFC">
      <w:pPr>
        <w:rPr>
          <w:rFonts w:ascii="Calibri" w:hAnsi="Calibri" w:cs="Calibri"/>
          <w:sz w:val="22"/>
        </w:rPr>
      </w:pPr>
      <w:r w:rsidRPr="00587E84">
        <w:rPr>
          <w:rFonts w:ascii="Calibri" w:hAnsi="Calibri" w:cs="Calibri"/>
          <w:b/>
          <w:sz w:val="22"/>
        </w:rPr>
        <w:t xml:space="preserve">Reviewer: </w:t>
      </w:r>
      <w:r w:rsidRPr="00587E84">
        <w:rPr>
          <w:rFonts w:ascii="Calibri" w:hAnsi="Calibri" w:cs="Calibri"/>
          <w:sz w:val="22"/>
        </w:rPr>
        <w:t>_____</w:t>
      </w:r>
      <w:r w:rsidR="00587E84">
        <w:rPr>
          <w:rFonts w:ascii="Calibri" w:hAnsi="Calibri" w:cs="Calibri"/>
          <w:sz w:val="22"/>
          <w:u w:val="single"/>
        </w:rPr>
        <w:t xml:space="preserve">Jessi </w:t>
      </w:r>
      <w:proofErr w:type="gramStart"/>
      <w:r w:rsidR="00587E84">
        <w:rPr>
          <w:rFonts w:ascii="Calibri" w:hAnsi="Calibri" w:cs="Calibri"/>
          <w:sz w:val="22"/>
          <w:u w:val="single"/>
        </w:rPr>
        <w:t>Finstad</w:t>
      </w:r>
      <w:r w:rsidRPr="00587E84">
        <w:rPr>
          <w:rFonts w:ascii="Calibri" w:hAnsi="Calibri" w:cs="Calibri"/>
          <w:sz w:val="22"/>
        </w:rPr>
        <w:t>__</w:t>
      </w:r>
      <w:proofErr w:type="gramEnd"/>
      <w:r w:rsidRPr="00587E84">
        <w:rPr>
          <w:rFonts w:ascii="Calibri" w:hAnsi="Calibri" w:cs="Calibri"/>
          <w:sz w:val="22"/>
        </w:rPr>
        <w:t xml:space="preserve">________________________   </w:t>
      </w:r>
      <w:r w:rsidRPr="00587E84">
        <w:rPr>
          <w:rFonts w:ascii="Calibri" w:hAnsi="Calibri" w:cs="Calibri"/>
          <w:b/>
          <w:sz w:val="22"/>
        </w:rPr>
        <w:t xml:space="preserve">Review date: </w:t>
      </w:r>
      <w:r w:rsidRPr="00587E84">
        <w:rPr>
          <w:rFonts w:ascii="Calibri" w:hAnsi="Calibri" w:cs="Calibri"/>
          <w:sz w:val="22"/>
        </w:rPr>
        <w:t>_</w:t>
      </w:r>
      <w:r w:rsidR="00587E84">
        <w:rPr>
          <w:rFonts w:ascii="Calibri" w:hAnsi="Calibri" w:cs="Calibri"/>
          <w:sz w:val="22"/>
          <w:u w:val="single"/>
        </w:rPr>
        <w:t>9/22/2026</w:t>
      </w:r>
      <w:r w:rsidRPr="00587E84">
        <w:rPr>
          <w:rFonts w:ascii="Calibri" w:hAnsi="Calibri" w:cs="Calibri"/>
          <w:sz w:val="22"/>
        </w:rPr>
        <w:t>___________</w:t>
      </w:r>
    </w:p>
    <w:p w14:paraId="1BC59D11" w14:textId="7E35D4FA" w:rsidR="00F60679" w:rsidRPr="00587E84" w:rsidRDefault="001F6AFC">
      <w:pPr>
        <w:rPr>
          <w:rFonts w:ascii="Calibri" w:hAnsi="Calibri" w:cs="Calibri"/>
          <w:sz w:val="22"/>
        </w:rPr>
      </w:pPr>
      <w:proofErr w:type="gramStart"/>
      <w:r w:rsidRPr="00587E84">
        <w:rPr>
          <w:rFonts w:ascii="Calibri" w:hAnsi="Calibri" w:cs="Calibri"/>
          <w:b/>
          <w:sz w:val="22"/>
        </w:rPr>
        <w:t>Applicant :</w:t>
      </w:r>
      <w:proofErr w:type="gramEnd"/>
      <w:r w:rsidRPr="00587E84">
        <w:rPr>
          <w:rFonts w:ascii="Calibri" w:hAnsi="Calibri" w:cs="Calibri"/>
          <w:b/>
          <w:sz w:val="22"/>
        </w:rPr>
        <w:t xml:space="preserve"> </w:t>
      </w:r>
      <w:r w:rsidRPr="00587E84">
        <w:rPr>
          <w:rFonts w:ascii="Calibri" w:hAnsi="Calibri" w:cs="Calibri"/>
          <w:sz w:val="22"/>
        </w:rPr>
        <w:t>______</w:t>
      </w:r>
      <w:r w:rsidR="005861FF">
        <w:rPr>
          <w:rFonts w:ascii="Calibri" w:hAnsi="Calibri" w:cs="Calibri"/>
          <w:sz w:val="22"/>
          <w:u w:val="single"/>
        </w:rPr>
        <w:t>Big Horn County Electric Cooperative</w:t>
      </w:r>
      <w:r w:rsidRPr="00587E84">
        <w:rPr>
          <w:rFonts w:ascii="Calibri" w:hAnsi="Calibri" w:cs="Calibri"/>
          <w:sz w:val="22"/>
        </w:rPr>
        <w:t>______________________________________</w:t>
      </w:r>
    </w:p>
    <w:p w14:paraId="0727594A" w14:textId="2262BB03" w:rsidR="00F60679" w:rsidRPr="00587E84" w:rsidRDefault="001F6AFC">
      <w:pPr>
        <w:rPr>
          <w:rFonts w:ascii="Calibri" w:hAnsi="Calibri" w:cs="Calibri"/>
          <w:sz w:val="22"/>
        </w:rPr>
      </w:pPr>
      <w:r w:rsidRPr="00587E84">
        <w:rPr>
          <w:rFonts w:ascii="Calibri" w:hAnsi="Calibri" w:cs="Calibri"/>
          <w:b/>
          <w:sz w:val="22"/>
        </w:rPr>
        <w:t xml:space="preserve">Project title: </w:t>
      </w:r>
      <w:r w:rsidRPr="00587E84">
        <w:rPr>
          <w:rFonts w:ascii="Calibri" w:hAnsi="Calibri" w:cs="Calibri"/>
          <w:sz w:val="22"/>
        </w:rPr>
        <w:t>____</w:t>
      </w:r>
      <w:r w:rsidR="005861FF">
        <w:rPr>
          <w:rFonts w:ascii="Calibri" w:hAnsi="Calibri" w:cs="Calibri"/>
          <w:sz w:val="22"/>
          <w:u w:val="single"/>
        </w:rPr>
        <w:t>Soap Creek Substation Asset Replacement</w:t>
      </w:r>
      <w:r w:rsidR="00587E84">
        <w:rPr>
          <w:rFonts w:ascii="Calibri" w:hAnsi="Calibri" w:cs="Calibri"/>
          <w:sz w:val="22"/>
          <w:u w:val="single"/>
        </w:rPr>
        <w:t xml:space="preserve"> Project</w:t>
      </w:r>
      <w:r w:rsidRPr="00587E84">
        <w:rPr>
          <w:rFonts w:ascii="Calibri" w:hAnsi="Calibri" w:cs="Calibri"/>
          <w:sz w:val="22"/>
        </w:rPr>
        <w:t>___________</w:t>
      </w:r>
    </w:p>
    <w:p w14:paraId="0B9923A2" w14:textId="6200DA67" w:rsidR="00F60679" w:rsidRPr="00587E84" w:rsidRDefault="001F6AFC">
      <w:pPr>
        <w:rPr>
          <w:rFonts w:ascii="Calibri" w:hAnsi="Calibri" w:cs="Calibri"/>
          <w:sz w:val="22"/>
        </w:rPr>
      </w:pPr>
      <w:r w:rsidRPr="00587E84">
        <w:rPr>
          <w:rFonts w:ascii="Calibri" w:hAnsi="Calibri" w:cs="Calibri"/>
          <w:b/>
          <w:sz w:val="22"/>
        </w:rPr>
        <w:t xml:space="preserve">Project location / county: </w:t>
      </w:r>
      <w:r w:rsidRPr="00587E84">
        <w:rPr>
          <w:rFonts w:ascii="Calibri" w:hAnsi="Calibri" w:cs="Calibri"/>
          <w:sz w:val="22"/>
        </w:rPr>
        <w:t>_____</w:t>
      </w:r>
      <w:r w:rsidR="005861FF">
        <w:rPr>
          <w:rFonts w:ascii="Calibri" w:hAnsi="Calibri" w:cs="Calibri"/>
          <w:sz w:val="22"/>
          <w:u w:val="single"/>
        </w:rPr>
        <w:t>Big Horn County</w:t>
      </w:r>
      <w:r w:rsidRPr="00587E84">
        <w:rPr>
          <w:rFonts w:ascii="Calibri" w:hAnsi="Calibri" w:cs="Calibri"/>
          <w:sz w:val="22"/>
        </w:rPr>
        <w:t>_________________________________________</w:t>
      </w:r>
    </w:p>
    <w:p w14:paraId="7A0DF682" w14:textId="357A1BB0" w:rsidR="00F60679" w:rsidRPr="00587E84" w:rsidRDefault="007948FC" w:rsidP="007948FC">
      <w:pPr>
        <w:pStyle w:val="Heading1"/>
        <w:rPr>
          <w:rFonts w:ascii="Calibri" w:hAnsi="Calibri" w:cs="Calibri"/>
          <w:sz w:val="28"/>
        </w:rPr>
      </w:pPr>
      <w:r>
        <w:rPr>
          <w:rFonts w:ascii="Calibri" w:hAnsi="Calibri" w:cs="Calibri"/>
          <w:sz w:val="28"/>
        </w:rPr>
        <w:t>1</w:t>
      </w:r>
      <w:r w:rsidR="001F6AFC" w:rsidRPr="00587E84">
        <w:rPr>
          <w:rFonts w:ascii="Calibri" w:hAnsi="Calibri" w:cs="Calibri"/>
          <w:sz w:val="28"/>
        </w:rPr>
        <w:t>. Applicant feedback</w:t>
      </w:r>
    </w:p>
    <w:p w14:paraId="04B6C32E" w14:textId="0522532D" w:rsidR="00F60679" w:rsidRPr="00587E84" w:rsidRDefault="001F6AFC">
      <w:pPr>
        <w:rPr>
          <w:rFonts w:ascii="Calibri" w:hAnsi="Calibri" w:cs="Calibri"/>
          <w:sz w:val="22"/>
        </w:rPr>
      </w:pPr>
      <w:r w:rsidRPr="00587E84">
        <w:rPr>
          <w:rFonts w:ascii="Calibri" w:hAnsi="Calibri" w:cs="Calibri"/>
          <w:sz w:val="22"/>
        </w:rPr>
        <w:t>Use the notes fields to identify what is supported by the application, what is unclear or insufficiently documented, and what additional explanation or evidence would strengthen the application.</w:t>
      </w:r>
    </w:p>
    <w:p w14:paraId="726A6931"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A. Resilience &amp; Reliability Benefits</w:t>
      </w:r>
    </w:p>
    <w:p w14:paraId="2B0B9070" w14:textId="153D9BA3" w:rsidR="003B0DC1" w:rsidRPr="00FB69F7" w:rsidRDefault="001F6AFC" w:rsidP="00FB69F7">
      <w:pPr>
        <w:spacing w:after="40"/>
        <w:rPr>
          <w:rFonts w:ascii="Calibri" w:hAnsi="Calibri" w:cs="Calibri"/>
          <w:sz w:val="22"/>
        </w:rPr>
      </w:pPr>
      <w:r w:rsidRPr="00587E84">
        <w:rPr>
          <w:rFonts w:ascii="Calibri" w:hAnsi="Calibri" w:cs="Calibri"/>
          <w:sz w:val="22"/>
        </w:rPr>
        <w:t>Review current system measurements and performance related to anticipating, withstanding, adapting to, and recovering from major events; electrical service; asset damage; response/restoration; monetary impacts; and estimated improvements from the project. Note supporting documentation, especially for DOE reporting metrics.</w:t>
      </w:r>
    </w:p>
    <w:p w14:paraId="350A4259" w14:textId="65E55C1C"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3F2DD799" w14:textId="45BD2F6A" w:rsidR="00D50796" w:rsidRPr="00587E84" w:rsidRDefault="005861FF">
      <w:pPr>
        <w:rPr>
          <w:rFonts w:ascii="Calibri" w:hAnsi="Calibri" w:cs="Calibri"/>
          <w:sz w:val="22"/>
          <w:u w:val="single"/>
        </w:rPr>
      </w:pPr>
      <w:r>
        <w:rPr>
          <w:rFonts w:ascii="Calibri" w:hAnsi="Calibri" w:cs="Calibri"/>
          <w:sz w:val="22"/>
          <w:u w:val="single"/>
        </w:rPr>
        <w:t>The narrative describes annual transformer oil testing, a ten-year pole-testing rotation, vegetation control, manual outage response, and specific concerns identified through transformer testing. It reports two transformers with “okay” saturation test grades and an elevated C1 power factor on one H1 bushing.</w:t>
      </w:r>
    </w:p>
    <w:p w14:paraId="19BB9C58" w14:textId="36487F23" w:rsidR="00D50796" w:rsidRDefault="005861FF" w:rsidP="00D50796">
      <w:pPr>
        <w:pStyle w:val="ListParagraph"/>
        <w:numPr>
          <w:ilvl w:val="0"/>
          <w:numId w:val="10"/>
        </w:numPr>
        <w:rPr>
          <w:rFonts w:ascii="Calibri" w:hAnsi="Calibri" w:cs="Calibri"/>
          <w:sz w:val="22"/>
        </w:rPr>
      </w:pPr>
      <w:r>
        <w:rPr>
          <w:rFonts w:ascii="Calibri" w:hAnsi="Calibri" w:cs="Calibri"/>
          <w:sz w:val="22"/>
        </w:rPr>
        <w:t>Provide or identify the relevant third=party test reports, dates, manufacturer/utility thresholds, and recommendations supporting the characterization that the three transformers and three regulators have reached end of life or failed required testing. The narrative describes transformer results in detail but provides less equipment-</w:t>
      </w:r>
      <w:proofErr w:type="gramStart"/>
      <w:r>
        <w:rPr>
          <w:rFonts w:ascii="Calibri" w:hAnsi="Calibri" w:cs="Calibri"/>
          <w:sz w:val="22"/>
        </w:rPr>
        <w:t>condition</w:t>
      </w:r>
      <w:proofErr w:type="gramEnd"/>
      <w:r>
        <w:rPr>
          <w:rFonts w:ascii="Calibri" w:hAnsi="Calibri" w:cs="Calibri"/>
          <w:sz w:val="22"/>
        </w:rPr>
        <w:t xml:space="preserve"> evidence for the regulators.</w:t>
      </w:r>
    </w:p>
    <w:p w14:paraId="040DBE1E" w14:textId="75BFC5B8" w:rsidR="005861FF" w:rsidRDefault="005861FF" w:rsidP="00D50796">
      <w:pPr>
        <w:pStyle w:val="ListParagraph"/>
        <w:numPr>
          <w:ilvl w:val="0"/>
          <w:numId w:val="10"/>
        </w:numPr>
        <w:rPr>
          <w:rFonts w:ascii="Calibri" w:hAnsi="Calibri" w:cs="Calibri"/>
          <w:sz w:val="22"/>
        </w:rPr>
      </w:pPr>
      <w:r>
        <w:rPr>
          <w:rFonts w:ascii="Calibri" w:hAnsi="Calibri" w:cs="Calibri"/>
          <w:sz w:val="22"/>
        </w:rPr>
        <w:t>Provide available baseline reliability or asset-failure information for the Soap Creek service area (for example, outages, customer interruptions/minutes, restoration times, equipment failures, or maintenance costs</w:t>
      </w:r>
      <w:proofErr w:type="gramStart"/>
      <w:r>
        <w:rPr>
          <w:rFonts w:ascii="Calibri" w:hAnsi="Calibri" w:cs="Calibri"/>
          <w:sz w:val="22"/>
        </w:rPr>
        <w:t>), and</w:t>
      </w:r>
      <w:proofErr w:type="gramEnd"/>
      <w:r>
        <w:rPr>
          <w:rFonts w:ascii="Calibri" w:hAnsi="Calibri" w:cs="Calibri"/>
          <w:sz w:val="22"/>
        </w:rPr>
        <w:t xml:space="preserve"> distinguish observed historical data from potential failure scenarios.</w:t>
      </w:r>
    </w:p>
    <w:p w14:paraId="7E9B74F7" w14:textId="1C90F44B" w:rsidR="005861FF" w:rsidRDefault="005861FF" w:rsidP="00D50796">
      <w:pPr>
        <w:pStyle w:val="ListParagraph"/>
        <w:numPr>
          <w:ilvl w:val="0"/>
          <w:numId w:val="10"/>
        </w:numPr>
        <w:rPr>
          <w:rFonts w:ascii="Calibri" w:hAnsi="Calibri" w:cs="Calibri"/>
          <w:sz w:val="22"/>
        </w:rPr>
      </w:pPr>
      <w:r>
        <w:rPr>
          <w:rFonts w:ascii="Calibri" w:hAnsi="Calibri" w:cs="Calibri"/>
          <w:sz w:val="22"/>
        </w:rPr>
        <w:t>Clarify the expected measurable change in outage frequency, duration, restoration capability, or equipment-related risk following replacement. Claims such as eliminating unplanned downtime, catastrophic failure risk, or all service interruptions should be qualified to reflect the specific failure mo</w:t>
      </w:r>
      <w:r w:rsidR="00B211D3">
        <w:rPr>
          <w:rFonts w:ascii="Calibri" w:hAnsi="Calibri" w:cs="Calibri"/>
          <w:sz w:val="22"/>
        </w:rPr>
        <w:t>des addressed by this project.</w:t>
      </w:r>
    </w:p>
    <w:p w14:paraId="0142AE4B" w14:textId="69482CB6" w:rsidR="00B211D3" w:rsidRPr="00587E84" w:rsidRDefault="00B211D3" w:rsidP="00D50796">
      <w:pPr>
        <w:pStyle w:val="ListParagraph"/>
        <w:numPr>
          <w:ilvl w:val="0"/>
          <w:numId w:val="10"/>
        </w:numPr>
        <w:rPr>
          <w:rFonts w:ascii="Calibri" w:hAnsi="Calibri" w:cs="Calibri"/>
          <w:sz w:val="22"/>
        </w:rPr>
      </w:pPr>
      <w:r>
        <w:rPr>
          <w:rFonts w:ascii="Calibri" w:hAnsi="Calibri" w:cs="Calibri"/>
          <w:sz w:val="22"/>
        </w:rPr>
        <w:t>Explain the basis for the statement that neighboring substations can carry the transferred load for a maximum of two weeks, including relevant seasonal loading or capacity assumptions.</w:t>
      </w:r>
    </w:p>
    <w:p w14:paraId="2441CB05"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B. Customer Benefits</w:t>
      </w:r>
    </w:p>
    <w:p w14:paraId="0B16463A" w14:textId="77777777" w:rsidR="00F60679" w:rsidRPr="00587E84" w:rsidRDefault="001F6AFC">
      <w:pPr>
        <w:spacing w:after="40"/>
        <w:rPr>
          <w:rFonts w:ascii="Calibri" w:hAnsi="Calibri" w:cs="Calibri"/>
          <w:sz w:val="22"/>
        </w:rPr>
      </w:pPr>
      <w:r w:rsidRPr="00587E84">
        <w:rPr>
          <w:rFonts w:ascii="Calibri" w:hAnsi="Calibri" w:cs="Calibri"/>
          <w:sz w:val="22"/>
        </w:rPr>
        <w:t xml:space="preserve">Review the number of customers expected to directly benefit, by customer class, and </w:t>
      </w:r>
      <w:proofErr w:type="gramStart"/>
      <w:r w:rsidRPr="00587E84">
        <w:rPr>
          <w:rFonts w:ascii="Calibri" w:hAnsi="Calibri" w:cs="Calibri"/>
          <w:sz w:val="22"/>
        </w:rPr>
        <w:t>the</w:t>
      </w:r>
      <w:proofErr w:type="gramEnd"/>
      <w:r w:rsidRPr="00587E84">
        <w:rPr>
          <w:rFonts w:ascii="Calibri" w:hAnsi="Calibri" w:cs="Calibri"/>
          <w:sz w:val="22"/>
        </w:rPr>
        <w:t xml:space="preserve"> explanation of expected improvements such as reduced outage frequency or duration and improved reliability.</w:t>
      </w:r>
    </w:p>
    <w:p w14:paraId="0B4543A4"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7F826FAC" w14:textId="4CEBC42C" w:rsidR="00F60679" w:rsidRPr="00587E84" w:rsidRDefault="00B211D3">
      <w:pPr>
        <w:spacing w:after="80"/>
        <w:rPr>
          <w:rFonts w:ascii="Calibri" w:hAnsi="Calibri" w:cs="Calibri"/>
          <w:sz w:val="22"/>
          <w:u w:val="single"/>
        </w:rPr>
      </w:pPr>
      <w:r>
        <w:rPr>
          <w:rFonts w:ascii="Calibri" w:hAnsi="Calibri" w:cs="Calibri"/>
          <w:sz w:val="22"/>
          <w:u w:val="single"/>
        </w:rPr>
        <w:t xml:space="preserve">The narrative identifies 193 meters; 120 residential, 35 small commercial, 32 large commercial, and six </w:t>
      </w:r>
      <w:proofErr w:type="gramStart"/>
      <w:r>
        <w:rPr>
          <w:rFonts w:ascii="Calibri" w:hAnsi="Calibri" w:cs="Calibri"/>
          <w:sz w:val="22"/>
          <w:u w:val="single"/>
        </w:rPr>
        <w:t>irrigation</w:t>
      </w:r>
      <w:proofErr w:type="gramEnd"/>
      <w:r>
        <w:rPr>
          <w:rFonts w:ascii="Calibri" w:hAnsi="Calibri" w:cs="Calibri"/>
          <w:sz w:val="22"/>
          <w:u w:val="single"/>
        </w:rPr>
        <w:t>.</w:t>
      </w:r>
    </w:p>
    <w:p w14:paraId="2654787C" w14:textId="1C40123D" w:rsidR="00B211D3" w:rsidRDefault="00D50796" w:rsidP="00B211D3">
      <w:pPr>
        <w:pStyle w:val="ListParagraph"/>
        <w:numPr>
          <w:ilvl w:val="0"/>
          <w:numId w:val="11"/>
        </w:numPr>
        <w:spacing w:after="80"/>
        <w:rPr>
          <w:rFonts w:ascii="Calibri" w:hAnsi="Calibri" w:cs="Calibri"/>
          <w:sz w:val="22"/>
        </w:rPr>
      </w:pPr>
      <w:r w:rsidRPr="00587E84">
        <w:rPr>
          <w:rFonts w:ascii="Calibri" w:hAnsi="Calibri" w:cs="Calibri"/>
          <w:sz w:val="22"/>
        </w:rPr>
        <w:lastRenderedPageBreak/>
        <w:t xml:space="preserve">Clarify </w:t>
      </w:r>
      <w:r w:rsidR="00B211D3">
        <w:rPr>
          <w:rFonts w:ascii="Calibri" w:hAnsi="Calibri" w:cs="Calibri"/>
          <w:sz w:val="22"/>
        </w:rPr>
        <w:t>whether all 193 meters are expected to benefit directly from the equipment replacement and provide available supporting customer-class or feeder records for the reported counts.</w:t>
      </w:r>
    </w:p>
    <w:p w14:paraId="1BB5C372" w14:textId="2FB44FC0" w:rsidR="00B211D3" w:rsidRDefault="00B211D3" w:rsidP="00B211D3">
      <w:pPr>
        <w:pStyle w:val="ListParagraph"/>
        <w:numPr>
          <w:ilvl w:val="0"/>
          <w:numId w:val="11"/>
        </w:numPr>
        <w:spacing w:after="80"/>
        <w:rPr>
          <w:rFonts w:ascii="Calibri" w:hAnsi="Calibri" w:cs="Calibri"/>
          <w:sz w:val="22"/>
        </w:rPr>
      </w:pPr>
      <w:r>
        <w:rPr>
          <w:rFonts w:ascii="Calibri" w:hAnsi="Calibri" w:cs="Calibri"/>
          <w:sz w:val="22"/>
        </w:rPr>
        <w:t xml:space="preserve">Explain the expected </w:t>
      </w:r>
      <w:proofErr w:type="gramStart"/>
      <w:r>
        <w:rPr>
          <w:rFonts w:ascii="Calibri" w:hAnsi="Calibri" w:cs="Calibri"/>
          <w:sz w:val="22"/>
        </w:rPr>
        <w:t>service benefit</w:t>
      </w:r>
      <w:proofErr w:type="gramEnd"/>
      <w:r>
        <w:rPr>
          <w:rFonts w:ascii="Calibri" w:hAnsi="Calibri" w:cs="Calibri"/>
          <w:sz w:val="22"/>
        </w:rPr>
        <w:t xml:space="preserve"> using an appropriate baseline or operational comparison, distinguishing reduced risk of a particular substation failure from a quantified reduction in overall customer outages.</w:t>
      </w:r>
    </w:p>
    <w:p w14:paraId="2A6B0069" w14:textId="3816BF8F" w:rsidR="00B211D3" w:rsidRPr="00B211D3" w:rsidRDefault="00B211D3" w:rsidP="00B211D3">
      <w:pPr>
        <w:pStyle w:val="ListParagraph"/>
        <w:numPr>
          <w:ilvl w:val="0"/>
          <w:numId w:val="11"/>
        </w:numPr>
        <w:spacing w:after="80"/>
        <w:rPr>
          <w:rFonts w:ascii="Calibri" w:hAnsi="Calibri" w:cs="Calibri"/>
          <w:sz w:val="22"/>
        </w:rPr>
      </w:pPr>
      <w:r>
        <w:rPr>
          <w:rFonts w:ascii="Calibri" w:hAnsi="Calibri" w:cs="Calibri"/>
          <w:sz w:val="22"/>
        </w:rPr>
        <w:t xml:space="preserve">The narrative </w:t>
      </w:r>
      <w:proofErr w:type="gramStart"/>
      <w:r>
        <w:rPr>
          <w:rFonts w:ascii="Calibri" w:hAnsi="Calibri" w:cs="Calibri"/>
          <w:sz w:val="22"/>
        </w:rPr>
        <w:t>state</w:t>
      </w:r>
      <w:proofErr w:type="gramEnd"/>
      <w:r>
        <w:rPr>
          <w:rFonts w:ascii="Calibri" w:hAnsi="Calibri" w:cs="Calibri"/>
          <w:sz w:val="22"/>
        </w:rPr>
        <w:t xml:space="preserve"> that preventing emergency repair costs will avoid sudden ra</w:t>
      </w:r>
      <w:r w:rsidR="003B0DC1">
        <w:rPr>
          <w:rFonts w:ascii="Calibri" w:hAnsi="Calibri" w:cs="Calibri"/>
          <w:sz w:val="22"/>
        </w:rPr>
        <w:t>te</w:t>
      </w:r>
      <w:r>
        <w:rPr>
          <w:rFonts w:ascii="Calibri" w:hAnsi="Calibri" w:cs="Calibri"/>
          <w:sz w:val="22"/>
        </w:rPr>
        <w:t xml:space="preserve"> increases. Clarify whether this is an anticipated indirect benefit or is supported by a cost/rate analysis.</w:t>
      </w:r>
    </w:p>
    <w:p w14:paraId="4A032513"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C. Critical &amp; Essential Facility Benefits</w:t>
      </w:r>
    </w:p>
    <w:p w14:paraId="75B23306" w14:textId="77777777" w:rsidR="00F60679" w:rsidRPr="00587E84" w:rsidRDefault="001F6AFC">
      <w:pPr>
        <w:spacing w:after="40"/>
        <w:rPr>
          <w:rFonts w:ascii="Calibri" w:hAnsi="Calibri" w:cs="Calibri"/>
          <w:sz w:val="22"/>
        </w:rPr>
      </w:pPr>
      <w:r w:rsidRPr="00587E84">
        <w:rPr>
          <w:rFonts w:ascii="Calibri" w:hAnsi="Calibri" w:cs="Calibri"/>
          <w:sz w:val="22"/>
        </w:rPr>
        <w:t>Review the number and types of critical/essential facilities that benefit and the explanation of expected improvements in outage frequency, outage duration, reliability, or resilience.</w:t>
      </w:r>
    </w:p>
    <w:p w14:paraId="7979D783"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03F444E7" w14:textId="7F696793" w:rsidR="00F60679" w:rsidRPr="00587E84" w:rsidRDefault="00B211D3">
      <w:pPr>
        <w:spacing w:after="80"/>
        <w:rPr>
          <w:rFonts w:ascii="Calibri" w:hAnsi="Calibri" w:cs="Calibri"/>
          <w:sz w:val="22"/>
          <w:u w:val="single"/>
        </w:rPr>
      </w:pPr>
      <w:r>
        <w:rPr>
          <w:rFonts w:ascii="Calibri" w:hAnsi="Calibri" w:cs="Calibri"/>
          <w:sz w:val="22"/>
          <w:u w:val="single"/>
        </w:rPr>
        <w:t>The narrative identifies 31 oil-field-related meters among the 193 served and describes the importance of pump jacks and wastewater treatment systems.</w:t>
      </w:r>
    </w:p>
    <w:p w14:paraId="387A636A" w14:textId="498CED26" w:rsidR="00ED7CE7" w:rsidRDefault="00B211D3" w:rsidP="00ED7CE7">
      <w:pPr>
        <w:pStyle w:val="ListParagraph"/>
        <w:numPr>
          <w:ilvl w:val="0"/>
          <w:numId w:val="12"/>
        </w:numPr>
        <w:spacing w:after="80"/>
        <w:rPr>
          <w:rFonts w:ascii="Calibri" w:hAnsi="Calibri" w:cs="Calibri"/>
          <w:sz w:val="22"/>
        </w:rPr>
      </w:pPr>
      <w:r>
        <w:rPr>
          <w:rFonts w:ascii="Calibri" w:hAnsi="Calibri" w:cs="Calibri"/>
          <w:sz w:val="22"/>
        </w:rPr>
        <w:t xml:space="preserve">Clarify the number and types of distinct critical or essential facilities represented by the 31 meters, their connection to the Soap Creek Substation, and the basis for designating them as critical/essential under the application </w:t>
      </w:r>
      <w:r w:rsidR="00760114">
        <w:rPr>
          <w:rFonts w:ascii="Calibri" w:hAnsi="Calibri" w:cs="Calibri"/>
          <w:sz w:val="22"/>
        </w:rPr>
        <w:t xml:space="preserve">scoring </w:t>
      </w:r>
      <w:r>
        <w:rPr>
          <w:rFonts w:ascii="Calibri" w:hAnsi="Calibri" w:cs="Calibri"/>
          <w:sz w:val="22"/>
        </w:rPr>
        <w:t>criteria.</w:t>
      </w:r>
    </w:p>
    <w:p w14:paraId="75907C80" w14:textId="355EE771" w:rsidR="00760114" w:rsidRDefault="00760114" w:rsidP="00ED7CE7">
      <w:pPr>
        <w:pStyle w:val="ListParagraph"/>
        <w:numPr>
          <w:ilvl w:val="0"/>
          <w:numId w:val="12"/>
        </w:numPr>
        <w:spacing w:after="80"/>
        <w:rPr>
          <w:rFonts w:ascii="Calibri" w:hAnsi="Calibri" w:cs="Calibri"/>
          <w:sz w:val="22"/>
        </w:rPr>
      </w:pPr>
      <w:r>
        <w:rPr>
          <w:rFonts w:ascii="Calibri" w:hAnsi="Calibri" w:cs="Calibri"/>
          <w:sz w:val="22"/>
        </w:rPr>
        <w:t>Explain the consequences of an outage for the identified wastewater systems, including whether alternative power, storage, or contingency measure exist, and qualify statements that the project guarantees uninterrupted operations.</w:t>
      </w:r>
    </w:p>
    <w:p w14:paraId="4D04076B"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D. Community Vulnerability &amp; Resilience</w:t>
      </w:r>
    </w:p>
    <w:p w14:paraId="2E9D61DF" w14:textId="77777777" w:rsidR="00F60679" w:rsidRPr="00587E84" w:rsidRDefault="001F6AFC">
      <w:pPr>
        <w:spacing w:after="40"/>
        <w:rPr>
          <w:rFonts w:ascii="Calibri" w:hAnsi="Calibri" w:cs="Calibri"/>
          <w:sz w:val="22"/>
        </w:rPr>
      </w:pPr>
      <w:r w:rsidRPr="00587E84">
        <w:rPr>
          <w:rFonts w:ascii="Calibri" w:hAnsi="Calibri" w:cs="Calibri"/>
          <w:sz w:val="22"/>
        </w:rPr>
        <w:t>Confirm the project location information needed for DEQ's RAPT review. Record applicable NRI Community Resilience and Social Vulnerability ratings and note how the application explains risk mitigation and resilience benefits.</w:t>
      </w:r>
    </w:p>
    <w:p w14:paraId="506E0F28"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02C3B40D" w14:textId="1CBA1515" w:rsidR="00F60679" w:rsidRPr="00587E84" w:rsidRDefault="00760114">
      <w:pPr>
        <w:spacing w:after="80"/>
        <w:rPr>
          <w:rFonts w:ascii="Calibri" w:hAnsi="Calibri" w:cs="Calibri"/>
          <w:sz w:val="22"/>
          <w:u w:val="single"/>
        </w:rPr>
      </w:pPr>
      <w:r>
        <w:rPr>
          <w:rFonts w:ascii="Calibri" w:hAnsi="Calibri" w:cs="Calibri"/>
          <w:sz w:val="22"/>
          <w:u w:val="single"/>
        </w:rPr>
        <w:t>The application identifies the Soap Creek Substa</w:t>
      </w:r>
      <w:r w:rsidR="00C04233">
        <w:rPr>
          <w:rFonts w:ascii="Calibri" w:hAnsi="Calibri" w:cs="Calibri"/>
          <w:sz w:val="22"/>
          <w:u w:val="single"/>
        </w:rPr>
        <w:t>tion in Big Horn County within the Crow Indian Reservation and describes 193 meters serves, but the submitted materials do not identify a FEMA RAPT assessment or provide corresponding community vulnerability data.</w:t>
      </w:r>
    </w:p>
    <w:p w14:paraId="11568172" w14:textId="77777777" w:rsidR="00C04233" w:rsidRDefault="00760114" w:rsidP="00192186">
      <w:pPr>
        <w:pStyle w:val="ListParagraph"/>
        <w:numPr>
          <w:ilvl w:val="0"/>
          <w:numId w:val="13"/>
        </w:numPr>
        <w:spacing w:after="80"/>
        <w:rPr>
          <w:rFonts w:ascii="Calibri" w:hAnsi="Calibri" w:cs="Calibri"/>
          <w:sz w:val="22"/>
        </w:rPr>
      </w:pPr>
      <w:r>
        <w:rPr>
          <w:rFonts w:ascii="Calibri" w:hAnsi="Calibri" w:cs="Calibri"/>
          <w:sz w:val="22"/>
        </w:rPr>
        <w:t xml:space="preserve">Provide the </w:t>
      </w:r>
      <w:r w:rsidR="00C04233">
        <w:rPr>
          <w:rFonts w:ascii="Calibri" w:hAnsi="Calibri" w:cs="Calibri"/>
          <w:sz w:val="22"/>
        </w:rPr>
        <w:t>FEMA RAPT assessment or applicable RAPT data used to evaluate community vulnerability and resilience, including the geographic area and indicators considered.</w:t>
      </w:r>
    </w:p>
    <w:p w14:paraId="455F9423" w14:textId="1A67701E" w:rsidR="00192186" w:rsidRPr="00C04233" w:rsidRDefault="00C04233" w:rsidP="00C04233">
      <w:pPr>
        <w:pStyle w:val="ListParagraph"/>
        <w:numPr>
          <w:ilvl w:val="0"/>
          <w:numId w:val="13"/>
        </w:numPr>
        <w:spacing w:after="80"/>
        <w:rPr>
          <w:rFonts w:ascii="Calibri" w:hAnsi="Calibri" w:cs="Calibri"/>
          <w:sz w:val="22"/>
        </w:rPr>
      </w:pPr>
      <w:r>
        <w:rPr>
          <w:rFonts w:ascii="Calibri" w:hAnsi="Calibri" w:cs="Calibri"/>
          <w:sz w:val="22"/>
        </w:rPr>
        <w:t>Explain how the identified community vulnerability and resilience characteristics relate to the customers served by Soap Creek Substation and the anticipated benefits of the proposed equipment replacement.</w:t>
      </w:r>
      <w:r w:rsidR="00760114" w:rsidRPr="00C04233">
        <w:rPr>
          <w:rFonts w:ascii="Calibri" w:hAnsi="Calibri" w:cs="Calibri"/>
          <w:sz w:val="22"/>
        </w:rPr>
        <w:t xml:space="preserve"> </w:t>
      </w:r>
    </w:p>
    <w:p w14:paraId="28DF101F"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E. Workforce &amp; Economic Development Benefits</w:t>
      </w:r>
    </w:p>
    <w:p w14:paraId="107A2DFD" w14:textId="77777777" w:rsidR="00F60679" w:rsidRPr="00587E84" w:rsidRDefault="001F6AFC">
      <w:pPr>
        <w:spacing w:after="40"/>
        <w:rPr>
          <w:rFonts w:ascii="Calibri" w:hAnsi="Calibri" w:cs="Calibri"/>
          <w:sz w:val="22"/>
        </w:rPr>
      </w:pPr>
      <w:r w:rsidRPr="00587E84">
        <w:rPr>
          <w:rFonts w:ascii="Calibri" w:hAnsi="Calibri" w:cs="Calibri"/>
          <w:sz w:val="22"/>
        </w:rPr>
        <w:t>Review the number of people receiving project-related training/apprenticeships; Montana-based employees; construction jobs; permanent operations and maintenance jobs; job quality/safety; and indirect community economic impacts.</w:t>
      </w:r>
    </w:p>
    <w:p w14:paraId="3CC23D21" w14:textId="3BF442B9"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36887EEA" w14:textId="1F3391E9" w:rsidR="00F60679" w:rsidRPr="00587E84" w:rsidRDefault="00C04233">
      <w:pPr>
        <w:spacing w:after="80"/>
        <w:rPr>
          <w:rFonts w:ascii="Calibri" w:hAnsi="Calibri" w:cs="Calibri"/>
          <w:sz w:val="22"/>
          <w:u w:val="single"/>
        </w:rPr>
      </w:pPr>
      <w:r>
        <w:rPr>
          <w:rFonts w:ascii="Calibri" w:hAnsi="Calibri" w:cs="Calibri"/>
          <w:sz w:val="22"/>
          <w:u w:val="single"/>
        </w:rPr>
        <w:t>The narrative states that internal utility lineman will perform removal, installation, and commissioning, avoiding outside engineering and contractor costs. The budget workbook (Attachment B) budgets 280 lineman hours at $47.81/</w:t>
      </w:r>
      <w:proofErr w:type="spellStart"/>
      <w:r>
        <w:rPr>
          <w:rFonts w:ascii="Calibri" w:hAnsi="Calibri" w:cs="Calibri"/>
          <w:sz w:val="22"/>
          <w:u w:val="single"/>
        </w:rPr>
        <w:t>hr</w:t>
      </w:r>
      <w:proofErr w:type="spellEnd"/>
      <w:r>
        <w:rPr>
          <w:rFonts w:ascii="Calibri" w:hAnsi="Calibri" w:cs="Calibri"/>
          <w:sz w:val="22"/>
          <w:u w:val="single"/>
        </w:rPr>
        <w:t>, totaling approximately 13,387 in personnel.</w:t>
      </w:r>
    </w:p>
    <w:p w14:paraId="2994DE9D" w14:textId="587DB359" w:rsidR="00851A2F" w:rsidRDefault="00C04233" w:rsidP="00851A2F">
      <w:pPr>
        <w:pStyle w:val="ListParagraph"/>
        <w:numPr>
          <w:ilvl w:val="0"/>
          <w:numId w:val="14"/>
        </w:numPr>
        <w:spacing w:after="80"/>
        <w:rPr>
          <w:rFonts w:ascii="Calibri" w:hAnsi="Calibri" w:cs="Calibri"/>
          <w:sz w:val="22"/>
        </w:rPr>
      </w:pPr>
      <w:r>
        <w:rPr>
          <w:rFonts w:ascii="Calibri" w:hAnsi="Calibri" w:cs="Calibri"/>
          <w:sz w:val="22"/>
        </w:rPr>
        <w:lastRenderedPageBreak/>
        <w:t>Clarify whether “Lineman (7)” and 280 hours mean 280 combined project hours for seven existing employees or another labor assumption; identify any planned training, apprenticeships, new jobs, or state if none are anticipated.</w:t>
      </w:r>
    </w:p>
    <w:p w14:paraId="30077130" w14:textId="6DDFE666" w:rsidR="00C04233" w:rsidRPr="00587E84" w:rsidRDefault="00C04233" w:rsidP="00851A2F">
      <w:pPr>
        <w:pStyle w:val="ListParagraph"/>
        <w:numPr>
          <w:ilvl w:val="0"/>
          <w:numId w:val="14"/>
        </w:numPr>
        <w:spacing w:after="80"/>
        <w:rPr>
          <w:rFonts w:ascii="Calibri" w:hAnsi="Calibri" w:cs="Calibri"/>
          <w:sz w:val="22"/>
        </w:rPr>
      </w:pPr>
      <w:r>
        <w:rPr>
          <w:rFonts w:ascii="Calibri" w:hAnsi="Calibri" w:cs="Calibri"/>
          <w:sz w:val="22"/>
        </w:rPr>
        <w:t xml:space="preserve">Reminder: Davis-Bacon Act is a requirement under this grant. </w:t>
      </w:r>
    </w:p>
    <w:p w14:paraId="2D7999EC"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F. Advanced Grid Technology</w:t>
      </w:r>
    </w:p>
    <w:p w14:paraId="2D12AE14" w14:textId="77777777" w:rsidR="00F60679" w:rsidRPr="00587E84" w:rsidRDefault="001F6AFC">
      <w:pPr>
        <w:spacing w:after="40"/>
        <w:rPr>
          <w:rFonts w:ascii="Calibri" w:hAnsi="Calibri" w:cs="Calibri"/>
          <w:sz w:val="22"/>
        </w:rPr>
      </w:pPr>
      <w:r w:rsidRPr="00587E84">
        <w:rPr>
          <w:rFonts w:ascii="Calibri" w:hAnsi="Calibri" w:cs="Calibri"/>
          <w:sz w:val="22"/>
        </w:rPr>
        <w:t>Review investments that reduce wildfire ignition potential, use distribution assets for backup power/reduced transmission requirements (such as microgrids), or explain how the project is innovative if it does not deploy the listed advanced grid technologies.</w:t>
      </w:r>
    </w:p>
    <w:p w14:paraId="36515C26"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495A59CB" w14:textId="561F15A1" w:rsidR="00F60679" w:rsidRPr="00587E84" w:rsidRDefault="00C04233">
      <w:pPr>
        <w:spacing w:after="80"/>
        <w:rPr>
          <w:rFonts w:ascii="Calibri" w:hAnsi="Calibri" w:cs="Calibri"/>
          <w:sz w:val="22"/>
          <w:u w:val="single"/>
        </w:rPr>
      </w:pPr>
      <w:r>
        <w:rPr>
          <w:rFonts w:ascii="Calibri" w:hAnsi="Calibri" w:cs="Calibri"/>
          <w:sz w:val="22"/>
          <w:u w:val="single"/>
        </w:rPr>
        <w:t xml:space="preserve">The proposed work consists of replacing existing transformers and step-type voltage regulators at an established substation, plus a spare transformer and selected spare components. The narrative does not identify </w:t>
      </w:r>
      <w:proofErr w:type="gramStart"/>
      <w:r>
        <w:rPr>
          <w:rFonts w:ascii="Calibri" w:hAnsi="Calibri" w:cs="Calibri"/>
          <w:sz w:val="22"/>
          <w:u w:val="single"/>
        </w:rPr>
        <w:t>a new</w:t>
      </w:r>
      <w:proofErr w:type="gramEnd"/>
      <w:r>
        <w:rPr>
          <w:rFonts w:ascii="Calibri" w:hAnsi="Calibri" w:cs="Calibri"/>
          <w:sz w:val="22"/>
          <w:u w:val="single"/>
        </w:rPr>
        <w:t xml:space="preserve"> monitoring, automation, communications, or advanced grid technology.</w:t>
      </w:r>
    </w:p>
    <w:p w14:paraId="2CE0D56B" w14:textId="77777777" w:rsidR="00A942BB" w:rsidRPr="00A942BB" w:rsidRDefault="00A942BB" w:rsidP="00A942BB">
      <w:pPr>
        <w:pStyle w:val="ListParagraph"/>
        <w:numPr>
          <w:ilvl w:val="0"/>
          <w:numId w:val="15"/>
        </w:numPr>
        <w:spacing w:after="80"/>
        <w:rPr>
          <w:rFonts w:ascii="Calibri" w:hAnsi="Calibri" w:cs="Calibri"/>
          <w:sz w:val="22"/>
        </w:rPr>
      </w:pPr>
      <w:r>
        <w:rPr>
          <w:rFonts w:ascii="Calibri" w:hAnsi="Calibri" w:cs="Calibri"/>
          <w:sz w:val="22"/>
        </w:rPr>
        <w:t xml:space="preserve">Explain whether the replacement </w:t>
      </w:r>
      <w:r w:rsidRPr="00A942BB">
        <w:rPr>
          <w:rFonts w:ascii="Calibri" w:hAnsi="Calibri" w:cs="Calibri"/>
          <w:sz w:val="22"/>
        </w:rPr>
        <w:t>regulators or transformer configurations provide any new operating, monitoring, protection, or resilience capabilities beyond like-for-like replacement; if not, clearly describe the project as targeted equipment replacement.</w:t>
      </w:r>
    </w:p>
    <w:p w14:paraId="48683493" w14:textId="77777777" w:rsidR="00A942BB" w:rsidRPr="00A942BB" w:rsidRDefault="00A942BB" w:rsidP="00A942BB">
      <w:pPr>
        <w:pStyle w:val="ListParagraph"/>
        <w:numPr>
          <w:ilvl w:val="0"/>
          <w:numId w:val="15"/>
        </w:numPr>
        <w:spacing w:after="80"/>
        <w:rPr>
          <w:rFonts w:ascii="Calibri" w:hAnsi="Calibri" w:cs="Calibri"/>
          <w:sz w:val="22"/>
        </w:rPr>
      </w:pPr>
      <w:r w:rsidRPr="00A942BB">
        <w:rPr>
          <w:rFonts w:ascii="Calibri" w:hAnsi="Calibri" w:cs="Calibri"/>
          <w:sz w:val="22"/>
        </w:rPr>
        <w:t>Identify how the proposed equipment specifically addresses the identified failure mechanisms and any resilience-related functions, without implying that standard equipment replacement necessarily qualifies as advanced grid technology.</w:t>
      </w:r>
    </w:p>
    <w:p w14:paraId="10FFABE9" w14:textId="5D6C50FA" w:rsidR="00851A2F" w:rsidRPr="00A942BB" w:rsidRDefault="00A942BB" w:rsidP="00A942BB">
      <w:pPr>
        <w:pStyle w:val="ListParagraph"/>
        <w:numPr>
          <w:ilvl w:val="0"/>
          <w:numId w:val="15"/>
        </w:numPr>
        <w:spacing w:after="80"/>
        <w:rPr>
          <w:rFonts w:ascii="Calibri" w:hAnsi="Calibri" w:cs="Calibri"/>
          <w:sz w:val="22"/>
        </w:rPr>
      </w:pPr>
      <w:r w:rsidRPr="00A942BB">
        <w:rPr>
          <w:rFonts w:ascii="Calibri" w:hAnsi="Calibri" w:cs="Calibri"/>
          <w:sz w:val="22"/>
        </w:rPr>
        <w:t>Clarify the intended operational role and storage/location of the fourth transformer and separate spare components, including whether they are intended as inventory for future emergency restoration.</w:t>
      </w:r>
    </w:p>
    <w:p w14:paraId="2A338FF2"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G. Budget &amp; Cost</w:t>
      </w:r>
    </w:p>
    <w:p w14:paraId="17261088" w14:textId="77777777" w:rsidR="00F60679" w:rsidRPr="00587E84" w:rsidRDefault="001F6AFC">
      <w:pPr>
        <w:spacing w:after="40"/>
        <w:rPr>
          <w:rFonts w:ascii="Calibri" w:hAnsi="Calibri" w:cs="Calibri"/>
          <w:sz w:val="22"/>
        </w:rPr>
      </w:pPr>
      <w:r w:rsidRPr="00587E84">
        <w:rPr>
          <w:rFonts w:ascii="Calibri" w:hAnsi="Calibri" w:cs="Calibri"/>
          <w:sz w:val="22"/>
        </w:rPr>
        <w:t>Review completeness of Attachment B2, the budget narrative and final allocation, and supporting bids, estimates, quotes, engineering reports, and other cost documentation.</w:t>
      </w:r>
    </w:p>
    <w:p w14:paraId="6E8FDDC5" w14:textId="308997F9"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58A4AFD1" w14:textId="02DD44CD" w:rsidR="00DD4947" w:rsidRPr="00587E84" w:rsidRDefault="00A942BB">
      <w:pPr>
        <w:spacing w:after="80"/>
        <w:rPr>
          <w:rFonts w:ascii="Calibri" w:hAnsi="Calibri" w:cs="Calibri"/>
          <w:sz w:val="22"/>
          <w:u w:val="single"/>
        </w:rPr>
      </w:pPr>
      <w:r>
        <w:rPr>
          <w:rFonts w:ascii="Calibri" w:hAnsi="Calibri" w:cs="Calibri"/>
          <w:sz w:val="22"/>
          <w:u w:val="single"/>
        </w:rPr>
        <w:t>The budget workbook (Attachment B2) reports $736,318 in total project costs, comprising $494,593 in federal share and $241,725 in match.</w:t>
      </w:r>
    </w:p>
    <w:p w14:paraId="5591ED25" w14:textId="549D5F88" w:rsidR="00A942BB" w:rsidRPr="00A942BB" w:rsidRDefault="00A942BB" w:rsidP="00DD4947">
      <w:pPr>
        <w:pStyle w:val="ListParagraph"/>
        <w:numPr>
          <w:ilvl w:val="0"/>
          <w:numId w:val="18"/>
        </w:numPr>
        <w:rPr>
          <w:rFonts w:ascii="Calibri" w:hAnsi="Calibri" w:cs="Calibri"/>
        </w:rPr>
      </w:pPr>
      <w:r w:rsidRPr="00A942BB">
        <w:rPr>
          <w:rFonts w:ascii="Calibri" w:hAnsi="Calibri" w:cs="Calibri"/>
          <w:sz w:val="22"/>
        </w:rPr>
        <w:t>The letter commits to the required match percentages but does not state the specific $241,725 committed amount. Confirm the dollar amount and sources of match, and ensure the letter and workbook agree. The workbook identifies an existing line of credit as the cash match source; clarify the availability and planned use of those funds.</w:t>
      </w:r>
    </w:p>
    <w:p w14:paraId="2DF55420" w14:textId="47732523" w:rsidR="00A942BB" w:rsidRDefault="00A942BB" w:rsidP="00DD4947">
      <w:pPr>
        <w:pStyle w:val="ListParagraph"/>
        <w:numPr>
          <w:ilvl w:val="0"/>
          <w:numId w:val="18"/>
        </w:numPr>
        <w:rPr>
          <w:rFonts w:ascii="Calibri" w:hAnsi="Calibri" w:cs="Calibri"/>
        </w:rPr>
      </w:pPr>
      <w:r w:rsidRPr="00A942BB">
        <w:rPr>
          <w:rFonts w:ascii="Calibri" w:hAnsi="Calibri" w:cs="Calibri"/>
          <w:sz w:val="22"/>
        </w:rPr>
        <w:t>The equipment budget includes four transformers at $153,571 each ($614,284), three regulators totaling $83,296.53, and four spare-parts lines totaling $12,900. These reconcile to approximately $710,481. Clarify the program-eligible purpose and cost allocation of the fourth transformer and separately purchased spares; the narrative’s installation scope describes replacement of three transformers</w:t>
      </w:r>
      <w:r w:rsidRPr="00A942BB">
        <w:rPr>
          <w:rFonts w:ascii="Calibri" w:hAnsi="Calibri" w:cs="Calibri"/>
        </w:rPr>
        <w:t>.</w:t>
      </w:r>
    </w:p>
    <w:p w14:paraId="60D4DF11" w14:textId="77777777" w:rsidR="00A942BB" w:rsidRPr="00587E84" w:rsidRDefault="00A942BB" w:rsidP="00DD4947">
      <w:pPr>
        <w:pStyle w:val="ListParagraph"/>
        <w:numPr>
          <w:ilvl w:val="0"/>
          <w:numId w:val="18"/>
        </w:numPr>
        <w:rPr>
          <w:rFonts w:ascii="Calibri" w:hAnsi="Calibri" w:cs="Calibri"/>
        </w:rPr>
      </w:pPr>
    </w:p>
    <w:p w14:paraId="583066C3"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H. Project Immediacy</w:t>
      </w:r>
    </w:p>
    <w:p w14:paraId="53E31D28" w14:textId="4690D20C" w:rsidR="00F60679" w:rsidRPr="00587E84" w:rsidRDefault="001F6AFC">
      <w:pPr>
        <w:spacing w:after="40"/>
        <w:rPr>
          <w:rFonts w:ascii="Calibri" w:hAnsi="Calibri" w:cs="Calibri"/>
          <w:sz w:val="22"/>
        </w:rPr>
      </w:pPr>
      <w:r w:rsidRPr="00587E84">
        <w:rPr>
          <w:rFonts w:ascii="Calibri" w:hAnsi="Calibri" w:cs="Calibri"/>
          <w:sz w:val="22"/>
        </w:rPr>
        <w:t>Review schedule detail and milestone dates, anticipated completion timing relative to contract execution (within five years), and review information from Attachment C</w:t>
      </w:r>
      <w:r w:rsidR="001F4525">
        <w:rPr>
          <w:rFonts w:ascii="Calibri" w:hAnsi="Calibri" w:cs="Calibri"/>
          <w:sz w:val="22"/>
        </w:rPr>
        <w:t xml:space="preserve">- Environmental Questionnaire </w:t>
      </w:r>
      <w:r w:rsidR="000371D1">
        <w:rPr>
          <w:rFonts w:ascii="Calibri" w:hAnsi="Calibri" w:cs="Calibri"/>
          <w:sz w:val="22"/>
        </w:rPr>
        <w:t>(EQ)</w:t>
      </w:r>
      <w:r w:rsidRPr="00587E84">
        <w:rPr>
          <w:rFonts w:ascii="Calibri" w:hAnsi="Calibri" w:cs="Calibri"/>
          <w:sz w:val="22"/>
        </w:rPr>
        <w:t>, including whether less extensive review may be needed.</w:t>
      </w:r>
    </w:p>
    <w:p w14:paraId="4D180ECF" w14:textId="2EFD0A18" w:rsidR="001F6AFC" w:rsidRPr="00587E84" w:rsidRDefault="001F6AFC">
      <w:pPr>
        <w:rPr>
          <w:rFonts w:ascii="Calibri" w:hAnsi="Calibri" w:cs="Calibri"/>
          <w:b/>
          <w:bCs/>
          <w:sz w:val="22"/>
          <w:u w:val="single"/>
        </w:rPr>
      </w:pPr>
      <w:r w:rsidRPr="00587E84">
        <w:rPr>
          <w:rFonts w:ascii="Calibri" w:hAnsi="Calibri" w:cs="Calibri"/>
          <w:b/>
          <w:bCs/>
          <w:sz w:val="22"/>
          <w:u w:val="single"/>
        </w:rPr>
        <w:t xml:space="preserve">Reviewer notes: </w:t>
      </w:r>
    </w:p>
    <w:p w14:paraId="6B2E3AA1" w14:textId="051F0BC8" w:rsidR="00F60679" w:rsidRPr="00587E84" w:rsidRDefault="00A942BB">
      <w:pPr>
        <w:spacing w:after="80"/>
        <w:rPr>
          <w:rFonts w:ascii="Calibri" w:hAnsi="Calibri" w:cs="Calibri"/>
          <w:sz w:val="22"/>
          <w:u w:val="single"/>
        </w:rPr>
      </w:pPr>
      <w:r>
        <w:rPr>
          <w:rFonts w:ascii="Calibri" w:hAnsi="Calibri" w:cs="Calibri"/>
          <w:sz w:val="22"/>
          <w:u w:val="single"/>
        </w:rPr>
        <w:lastRenderedPageBreak/>
        <w:t>The narrative outlines regulator rec</w:t>
      </w:r>
      <w:r w:rsidR="001F4525">
        <w:rPr>
          <w:rFonts w:ascii="Calibri" w:hAnsi="Calibri" w:cs="Calibri"/>
          <w:sz w:val="22"/>
          <w:u w:val="single"/>
        </w:rPr>
        <w:t>eipt in spring/summer 2027, an approximately 24-month monitored maintenance period, and a 10-day replacement/commissioning sequence within a two-week load-switch window.</w:t>
      </w:r>
    </w:p>
    <w:p w14:paraId="68A27322" w14:textId="25A5B135" w:rsidR="001F4525" w:rsidRDefault="001F4525" w:rsidP="00A40B7F">
      <w:pPr>
        <w:pStyle w:val="ListParagraph"/>
        <w:numPr>
          <w:ilvl w:val="0"/>
          <w:numId w:val="19"/>
        </w:numPr>
        <w:spacing w:after="80"/>
        <w:rPr>
          <w:rFonts w:ascii="Calibri" w:hAnsi="Calibri" w:cs="Calibri"/>
          <w:sz w:val="22"/>
        </w:rPr>
      </w:pPr>
      <w:r>
        <w:rPr>
          <w:rFonts w:ascii="Calibri" w:hAnsi="Calibri" w:cs="Calibri"/>
          <w:sz w:val="22"/>
        </w:rPr>
        <w:t xml:space="preserve">The </w:t>
      </w:r>
      <w:r w:rsidR="000371D1">
        <w:rPr>
          <w:rFonts w:ascii="Calibri" w:hAnsi="Calibri" w:cs="Calibri"/>
          <w:sz w:val="22"/>
        </w:rPr>
        <w:t xml:space="preserve">EQ </w:t>
      </w:r>
      <w:r>
        <w:rPr>
          <w:rFonts w:ascii="Calibri" w:hAnsi="Calibri" w:cs="Calibri"/>
          <w:sz w:val="22"/>
        </w:rPr>
        <w:t>describes replacement within an existing fenced substation footprint and no anticipated ground disturbance. Clarify whether anchoring, equipment removal, handling of insulating oil, staging, and any other work involve excavation, pad modification, soil disturbance, or changes to existing infrastructure.</w:t>
      </w:r>
    </w:p>
    <w:p w14:paraId="45505550" w14:textId="744E0F34" w:rsidR="001F4525" w:rsidRDefault="001F4525" w:rsidP="00A40B7F">
      <w:pPr>
        <w:pStyle w:val="ListParagraph"/>
        <w:numPr>
          <w:ilvl w:val="0"/>
          <w:numId w:val="19"/>
        </w:numPr>
        <w:spacing w:after="80"/>
        <w:rPr>
          <w:rFonts w:ascii="Calibri" w:hAnsi="Calibri" w:cs="Calibri"/>
          <w:sz w:val="22"/>
        </w:rPr>
      </w:pPr>
      <w:r>
        <w:rPr>
          <w:rFonts w:ascii="Calibri" w:hAnsi="Calibri" w:cs="Calibri"/>
          <w:sz w:val="22"/>
        </w:rPr>
        <w:t xml:space="preserve">The </w:t>
      </w:r>
      <w:r w:rsidR="000371D1">
        <w:rPr>
          <w:rFonts w:ascii="Calibri" w:hAnsi="Calibri" w:cs="Calibri"/>
          <w:sz w:val="22"/>
        </w:rPr>
        <w:t>EQ</w:t>
      </w:r>
      <w:r>
        <w:rPr>
          <w:rFonts w:ascii="Calibri" w:hAnsi="Calibri" w:cs="Calibri"/>
          <w:sz w:val="22"/>
        </w:rPr>
        <w:t xml:space="preserve"> identifies Big Horn Canal approximately 225 feet west and describes oil containment, storage, and recycling arrangements. Clarify how removal, temporary storage, transport, spill response, and final disposition of old oil-filled equipment will be documented.</w:t>
      </w:r>
    </w:p>
    <w:p w14:paraId="5B8EFD52" w14:textId="349DC10D" w:rsidR="00A40B7F" w:rsidRDefault="001F4525" w:rsidP="00A40B7F">
      <w:pPr>
        <w:pStyle w:val="ListParagraph"/>
        <w:numPr>
          <w:ilvl w:val="0"/>
          <w:numId w:val="19"/>
        </w:numPr>
        <w:spacing w:after="80"/>
        <w:rPr>
          <w:rFonts w:ascii="Calibri" w:hAnsi="Calibri" w:cs="Calibri"/>
          <w:sz w:val="22"/>
        </w:rPr>
      </w:pPr>
      <w:r>
        <w:rPr>
          <w:rFonts w:ascii="Calibri" w:hAnsi="Calibri" w:cs="Calibri"/>
          <w:sz w:val="22"/>
        </w:rPr>
        <w:t xml:space="preserve">The EQ </w:t>
      </w:r>
      <w:r w:rsidR="000371D1">
        <w:rPr>
          <w:rFonts w:ascii="Calibri" w:hAnsi="Calibri" w:cs="Calibri"/>
          <w:sz w:val="22"/>
        </w:rPr>
        <w:t>marks “significant impacts” in its impacts section while stating there are no adverse impacts. Clarify the intended response and distinguish beneficial project effects from potential environmental impacts. Confirm whether any tribal, landowner, cultural resource, or other reviews/coordination are applicable given the state reservation location.</w:t>
      </w:r>
    </w:p>
    <w:p w14:paraId="02E36377" w14:textId="07E729D2" w:rsidR="003B0DC1" w:rsidRPr="00587E84" w:rsidRDefault="003B0DC1" w:rsidP="00A40B7F">
      <w:pPr>
        <w:pStyle w:val="ListParagraph"/>
        <w:numPr>
          <w:ilvl w:val="0"/>
          <w:numId w:val="19"/>
        </w:numPr>
        <w:spacing w:after="80"/>
        <w:rPr>
          <w:rFonts w:ascii="Calibri" w:hAnsi="Calibri" w:cs="Calibri"/>
          <w:sz w:val="22"/>
        </w:rPr>
      </w:pPr>
      <w:r w:rsidRPr="003B0DC1">
        <w:rPr>
          <w:rFonts w:ascii="Calibri" w:hAnsi="Calibri" w:cs="Calibri"/>
          <w:sz w:val="22"/>
        </w:rPr>
        <w:t>The location on reservation land is material to environmental and project coordination. Clarify the cooperative’s site access/land rights and any applicable tribal coordination or approvals, without assuming that additional consultation is automatically required.</w:t>
      </w:r>
    </w:p>
    <w:p w14:paraId="678C1577" w14:textId="0EC918D8" w:rsidR="00F60679" w:rsidRPr="00587E84" w:rsidRDefault="007948FC">
      <w:pPr>
        <w:pStyle w:val="Heading1"/>
        <w:rPr>
          <w:rFonts w:ascii="Calibri" w:hAnsi="Calibri" w:cs="Calibri"/>
          <w:sz w:val="28"/>
        </w:rPr>
      </w:pPr>
      <w:r>
        <w:rPr>
          <w:rFonts w:ascii="Calibri" w:hAnsi="Calibri" w:cs="Calibri"/>
          <w:sz w:val="28"/>
        </w:rPr>
        <w:t>2</w:t>
      </w:r>
      <w:r w:rsidR="001F6AFC" w:rsidRPr="00587E84">
        <w:rPr>
          <w:rFonts w:ascii="Calibri" w:hAnsi="Calibri" w:cs="Calibri"/>
          <w:sz w:val="28"/>
        </w:rPr>
        <w:t>. Summary feedback for applicant</w:t>
      </w:r>
    </w:p>
    <w:p w14:paraId="0420747D" w14:textId="77777777" w:rsidR="00F60679" w:rsidRPr="00587E84" w:rsidRDefault="001F6AFC">
      <w:pPr>
        <w:pStyle w:val="Heading2"/>
        <w:rPr>
          <w:rFonts w:ascii="Calibri" w:hAnsi="Calibri" w:cs="Calibri"/>
          <w:sz w:val="22"/>
          <w:szCs w:val="22"/>
        </w:rPr>
      </w:pPr>
      <w:r w:rsidRPr="00587E84">
        <w:rPr>
          <w:rFonts w:ascii="Calibri" w:hAnsi="Calibri" w:cs="Calibri"/>
          <w:sz w:val="22"/>
          <w:szCs w:val="22"/>
        </w:rPr>
        <w:t>Strengths of the application</w:t>
      </w:r>
    </w:p>
    <w:p w14:paraId="5FBBBB4D" w14:textId="7FC84CF6" w:rsidR="000371D1" w:rsidRPr="00587E84" w:rsidRDefault="000371D1">
      <w:pPr>
        <w:rPr>
          <w:rFonts w:ascii="Calibri" w:hAnsi="Calibri" w:cs="Calibri"/>
          <w:sz w:val="22"/>
          <w:u w:val="single"/>
        </w:rPr>
      </w:pPr>
      <w:r w:rsidRPr="000371D1">
        <w:rPr>
          <w:rFonts w:ascii="Calibri" w:hAnsi="Calibri" w:cs="Calibri"/>
          <w:sz w:val="22"/>
          <w:u w:val="single"/>
        </w:rPr>
        <w:t>The application presents a clearly defined project to replace aging transformers and voltage regulators at the Soap Creek Substation. The narrative describes specific equipment testing concerns, limitations associated with transferring load to neighboring substations, and potential impacts on the customers served by the substation. The supporting equipment quotations, cost-match commitment, environmental questionnaire, and facility information provide a foundation for reviewing the proposed work.</w:t>
      </w:r>
    </w:p>
    <w:p w14:paraId="4F88A898" w14:textId="77777777" w:rsidR="00F60679" w:rsidRPr="00587E84" w:rsidRDefault="001F6AFC">
      <w:pPr>
        <w:pStyle w:val="Heading2"/>
        <w:rPr>
          <w:rFonts w:ascii="Calibri" w:hAnsi="Calibri" w:cs="Calibri"/>
          <w:sz w:val="22"/>
          <w:szCs w:val="22"/>
        </w:rPr>
      </w:pPr>
      <w:r w:rsidRPr="00587E84">
        <w:rPr>
          <w:rFonts w:ascii="Calibri" w:hAnsi="Calibri" w:cs="Calibri"/>
          <w:sz w:val="22"/>
          <w:szCs w:val="22"/>
        </w:rPr>
        <w:t>Areas where additional detail, justification, or documentation would strengthen the application</w:t>
      </w:r>
    </w:p>
    <w:p w14:paraId="2DCFF7BF" w14:textId="0FF4BB4C" w:rsidR="00F60679" w:rsidRPr="000371D1" w:rsidRDefault="000371D1" w:rsidP="00FD6577">
      <w:pPr>
        <w:rPr>
          <w:rFonts w:ascii="Calibri" w:hAnsi="Calibri" w:cs="Calibri"/>
          <w:sz w:val="22"/>
          <w:u w:val="single"/>
        </w:rPr>
      </w:pPr>
      <w:r w:rsidRPr="000371D1">
        <w:rPr>
          <w:rFonts w:ascii="Calibri" w:hAnsi="Calibri" w:cs="Calibri"/>
          <w:sz w:val="22"/>
          <w:u w:val="single"/>
        </w:rPr>
        <w:t xml:space="preserve">Additional clarification and supporting documentation would help establish how the proposed replacement will improve resilience and reliability and how those benefits relate to the community </w:t>
      </w:r>
      <w:proofErr w:type="gramStart"/>
      <w:r w:rsidRPr="000371D1">
        <w:rPr>
          <w:rFonts w:ascii="Calibri" w:hAnsi="Calibri" w:cs="Calibri"/>
          <w:sz w:val="22"/>
          <w:u w:val="single"/>
        </w:rPr>
        <w:t>served</w:t>
      </w:r>
      <w:proofErr w:type="gramEnd"/>
      <w:r w:rsidRPr="000371D1">
        <w:rPr>
          <w:rFonts w:ascii="Calibri" w:hAnsi="Calibri" w:cs="Calibri"/>
          <w:sz w:val="22"/>
          <w:u w:val="single"/>
        </w:rPr>
        <w:t xml:space="preserve">. In particular, the application would benefit from measurable baseline and anticipated outcomes, clarification of the essential facilities identified, and the applicable FEMA RAPT community vulnerability assessment or supporting data, which was not located in the submitted materials. </w:t>
      </w:r>
    </w:p>
    <w:sectPr w:rsidR="00F60679" w:rsidRPr="000371D1"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798E9" w14:textId="77777777" w:rsidR="0023245F" w:rsidRDefault="0023245F">
      <w:pPr>
        <w:spacing w:after="0" w:line="240" w:lineRule="auto"/>
      </w:pPr>
      <w:r>
        <w:separator/>
      </w:r>
    </w:p>
  </w:endnote>
  <w:endnote w:type="continuationSeparator" w:id="0">
    <w:p w14:paraId="412E7D95" w14:textId="77777777" w:rsidR="0023245F" w:rsidRDefault="00232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FD1C9" w14:textId="1C401A75" w:rsidR="00F60679" w:rsidRDefault="00F60679">
    <w:pPr>
      <w:pStyle w:val="Footer"/>
      <w:jc w:val="center"/>
      <w:rPr>
        <w:i/>
        <w:color w:val="646464"/>
        <w:sz w:val="16"/>
      </w:rPr>
    </w:pPr>
  </w:p>
  <w:p w14:paraId="5B11555C" w14:textId="77777777" w:rsidR="00FD6577" w:rsidRDefault="00FD65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171DB" w14:textId="77777777" w:rsidR="0023245F" w:rsidRDefault="0023245F">
      <w:pPr>
        <w:spacing w:after="0" w:line="240" w:lineRule="auto"/>
      </w:pPr>
      <w:r>
        <w:separator/>
      </w:r>
    </w:p>
  </w:footnote>
  <w:footnote w:type="continuationSeparator" w:id="0">
    <w:p w14:paraId="351F380C" w14:textId="77777777" w:rsidR="0023245F" w:rsidRDefault="00232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2F3162"/>
    <w:multiLevelType w:val="hybridMultilevel"/>
    <w:tmpl w:val="66229C3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0EF61687"/>
    <w:multiLevelType w:val="hybridMultilevel"/>
    <w:tmpl w:val="C004C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CD5531"/>
    <w:multiLevelType w:val="hybridMultilevel"/>
    <w:tmpl w:val="1F427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333AAF"/>
    <w:multiLevelType w:val="hybridMultilevel"/>
    <w:tmpl w:val="3104A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C76E2B"/>
    <w:multiLevelType w:val="hybridMultilevel"/>
    <w:tmpl w:val="6958D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7B2B8E"/>
    <w:multiLevelType w:val="hybridMultilevel"/>
    <w:tmpl w:val="6630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87711F"/>
    <w:multiLevelType w:val="hybridMultilevel"/>
    <w:tmpl w:val="08949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CA49F9"/>
    <w:multiLevelType w:val="hybridMultilevel"/>
    <w:tmpl w:val="1E1EB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1A0365"/>
    <w:multiLevelType w:val="hybridMultilevel"/>
    <w:tmpl w:val="B4640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991743"/>
    <w:multiLevelType w:val="hybridMultilevel"/>
    <w:tmpl w:val="16AAE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3020649">
    <w:abstractNumId w:val="8"/>
  </w:num>
  <w:num w:numId="2" w16cid:durableId="1043292006">
    <w:abstractNumId w:val="6"/>
  </w:num>
  <w:num w:numId="3" w16cid:durableId="280694686">
    <w:abstractNumId w:val="5"/>
  </w:num>
  <w:num w:numId="4" w16cid:durableId="228461496">
    <w:abstractNumId w:val="4"/>
  </w:num>
  <w:num w:numId="5" w16cid:durableId="113520241">
    <w:abstractNumId w:val="7"/>
  </w:num>
  <w:num w:numId="6" w16cid:durableId="1145902025">
    <w:abstractNumId w:val="3"/>
  </w:num>
  <w:num w:numId="7" w16cid:durableId="2013994517">
    <w:abstractNumId w:val="2"/>
  </w:num>
  <w:num w:numId="8" w16cid:durableId="905720641">
    <w:abstractNumId w:val="1"/>
  </w:num>
  <w:num w:numId="9" w16cid:durableId="58066083">
    <w:abstractNumId w:val="0"/>
  </w:num>
  <w:num w:numId="10" w16cid:durableId="340934756">
    <w:abstractNumId w:val="10"/>
  </w:num>
  <w:num w:numId="11" w16cid:durableId="1757090019">
    <w:abstractNumId w:val="11"/>
  </w:num>
  <w:num w:numId="12" w16cid:durableId="1053696030">
    <w:abstractNumId w:val="16"/>
  </w:num>
  <w:num w:numId="13" w16cid:durableId="79330934">
    <w:abstractNumId w:val="13"/>
  </w:num>
  <w:num w:numId="14" w16cid:durableId="1272543720">
    <w:abstractNumId w:val="18"/>
  </w:num>
  <w:num w:numId="15" w16cid:durableId="2030838533">
    <w:abstractNumId w:val="12"/>
  </w:num>
  <w:num w:numId="16" w16cid:durableId="442313325">
    <w:abstractNumId w:val="14"/>
  </w:num>
  <w:num w:numId="17" w16cid:durableId="1709991722">
    <w:abstractNumId w:val="9"/>
  </w:num>
  <w:num w:numId="18" w16cid:durableId="1206870208">
    <w:abstractNumId w:val="17"/>
  </w:num>
  <w:num w:numId="19" w16cid:durableId="16566905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IyF9rU3OoFgoSzT2xhQomNnq1VDqe05PAl1MG1xrM1lt+Q8eKEBUiRiV1bZ+uR8sOJEBb+UTMEtHU/cSU0F4aQ==" w:salt="kdij7DiitJv7/UwZKmqdrw=="/>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1D1"/>
    <w:rsid w:val="00043A3F"/>
    <w:rsid w:val="0006063C"/>
    <w:rsid w:val="0015074B"/>
    <w:rsid w:val="00192186"/>
    <w:rsid w:val="001B1649"/>
    <w:rsid w:val="001F15AE"/>
    <w:rsid w:val="001F4525"/>
    <w:rsid w:val="001F6AFC"/>
    <w:rsid w:val="0023245F"/>
    <w:rsid w:val="002402A5"/>
    <w:rsid w:val="0029639D"/>
    <w:rsid w:val="00326F90"/>
    <w:rsid w:val="00346648"/>
    <w:rsid w:val="003B0DC1"/>
    <w:rsid w:val="005861FF"/>
    <w:rsid w:val="00587E84"/>
    <w:rsid w:val="00760114"/>
    <w:rsid w:val="007948FC"/>
    <w:rsid w:val="00851A2F"/>
    <w:rsid w:val="00A40B7F"/>
    <w:rsid w:val="00A942BB"/>
    <w:rsid w:val="00AA1D8D"/>
    <w:rsid w:val="00B211D3"/>
    <w:rsid w:val="00B47730"/>
    <w:rsid w:val="00C04233"/>
    <w:rsid w:val="00CB0664"/>
    <w:rsid w:val="00D25DA0"/>
    <w:rsid w:val="00D50796"/>
    <w:rsid w:val="00DD4947"/>
    <w:rsid w:val="00DE44E7"/>
    <w:rsid w:val="00E7160C"/>
    <w:rsid w:val="00ED7CE7"/>
    <w:rsid w:val="00F15BC4"/>
    <w:rsid w:val="00F60679"/>
    <w:rsid w:val="00FB69F7"/>
    <w:rsid w:val="00FC693F"/>
    <w:rsid w:val="00FD65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20E91A"/>
  <w14:defaultImageDpi w14:val="330"/>
  <w15:docId w15:val="{D82366AC-E4D1-4F4D-BD41-7AD84245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A942B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871452">
      <w:bodyDiv w:val="1"/>
      <w:marLeft w:val="0"/>
      <w:marRight w:val="0"/>
      <w:marTop w:val="0"/>
      <w:marBottom w:val="0"/>
      <w:divBdr>
        <w:top w:val="none" w:sz="0" w:space="0" w:color="auto"/>
        <w:left w:val="none" w:sz="0" w:space="0" w:color="auto"/>
        <w:bottom w:val="none" w:sz="0" w:space="0" w:color="auto"/>
        <w:right w:val="none" w:sz="0" w:space="0" w:color="auto"/>
      </w:divBdr>
    </w:div>
    <w:div w:id="18500987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Pages>
  <Words>1681</Words>
  <Characters>9587</Characters>
  <Application>Microsoft Office Word</Application>
  <DocSecurity>8</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Fullerton, Kristyn</cp:lastModifiedBy>
  <cp:revision>7</cp:revision>
  <dcterms:created xsi:type="dcterms:W3CDTF">2026-10-13T22:35:00Z</dcterms:created>
  <dcterms:modified xsi:type="dcterms:W3CDTF">2026-10-14T18:53:00Z</dcterms:modified>
  <cp:category/>
</cp:coreProperties>
</file>