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48133079"/>
        <w:docPartObj>
          <w:docPartGallery w:val="Cover Pages"/>
          <w:docPartUnique/>
        </w:docPartObj>
      </w:sdtPr>
      <w:sdtEndPr>
        <w:rPr>
          <w:rStyle w:val="Hyperlink"/>
          <w:color w:val="0000FF"/>
          <w:u w:val="single"/>
        </w:rPr>
      </w:sdtEndPr>
      <w:sdtContent>
        <w:p w14:paraId="6B31BDE8" w14:textId="77777777" w:rsidR="00620E15" w:rsidRDefault="00620E15"/>
        <w:tbl>
          <w:tblPr>
            <w:tblStyle w:val="TableGrid"/>
            <w:tblW w:w="0" w:type="auto"/>
            <w:tblBorders>
              <w:top w:val="none" w:sz="0" w:space="0" w:color="auto"/>
              <w:left w:val="none" w:sz="0" w:space="0" w:color="auto"/>
              <w:bottom w:val="single" w:sz="18" w:space="0" w:color="4F81BD"/>
              <w:right w:val="none" w:sz="0" w:space="0" w:color="auto"/>
              <w:insideH w:val="single" w:sz="12" w:space="0" w:color="4BACC6" w:themeColor="accent5"/>
              <w:insideV w:val="single" w:sz="18" w:space="0" w:color="4F81BD"/>
            </w:tblBorders>
            <w:tblLook w:val="04A0" w:firstRow="1" w:lastRow="0" w:firstColumn="1" w:lastColumn="0" w:noHBand="0" w:noVBand="1"/>
          </w:tblPr>
          <w:tblGrid>
            <w:gridCol w:w="4675"/>
            <w:gridCol w:w="4675"/>
          </w:tblGrid>
          <w:tr w:rsidR="00620E15" w14:paraId="29B177AB" w14:textId="77777777" w:rsidTr="009F5201">
            <w:tc>
              <w:tcPr>
                <w:tcW w:w="4675" w:type="dxa"/>
              </w:tcPr>
              <w:p w14:paraId="6E4F68D6" w14:textId="77777777" w:rsidR="00620E15" w:rsidRDefault="00620E15" w:rsidP="009F5201"/>
              <w:p w14:paraId="7775C7CF" w14:textId="77777777" w:rsidR="00620E15" w:rsidRDefault="00620E15" w:rsidP="009F5201">
                <w:pPr>
                  <w:rPr>
                    <w:rFonts w:ascii="Cambria" w:hAnsi="Cambria"/>
                    <w:sz w:val="72"/>
                    <w:szCs w:val="72"/>
                  </w:rPr>
                </w:pPr>
              </w:p>
              <w:p w14:paraId="7C7F49F4" w14:textId="77777777" w:rsidR="00620E15" w:rsidRDefault="00620E15" w:rsidP="009F5201">
                <w:pPr>
                  <w:rPr>
                    <w:rFonts w:ascii="Cambria" w:hAnsi="Cambria"/>
                    <w:sz w:val="72"/>
                    <w:szCs w:val="72"/>
                  </w:rPr>
                </w:pPr>
              </w:p>
              <w:p w14:paraId="3A451C4A" w14:textId="77777777" w:rsidR="00620E15" w:rsidRDefault="00620E15" w:rsidP="009F5201">
                <w:pPr>
                  <w:jc w:val="center"/>
                </w:pPr>
                <w:r w:rsidRPr="00524ABF">
                  <w:rPr>
                    <w:rFonts w:ascii="Cambria" w:hAnsi="Cambria"/>
                    <w:sz w:val="72"/>
                    <w:szCs w:val="72"/>
                  </w:rPr>
                  <w:t>Emergency Support Function</w:t>
                </w:r>
              </w:p>
              <w:p w14:paraId="085B0619" w14:textId="77777777" w:rsidR="00620E15" w:rsidRDefault="00620E15" w:rsidP="009F5201"/>
              <w:p w14:paraId="27059DF0" w14:textId="77777777" w:rsidR="00620E15" w:rsidRDefault="00620E15" w:rsidP="009F5201"/>
              <w:p w14:paraId="1D88C426" w14:textId="77777777" w:rsidR="00620E15" w:rsidRDefault="00620E15" w:rsidP="009F5201"/>
              <w:p w14:paraId="22D9B5FB" w14:textId="77777777" w:rsidR="00620E15" w:rsidRDefault="00620E15" w:rsidP="009F5201"/>
              <w:p w14:paraId="15271F4D" w14:textId="77777777" w:rsidR="00620E15" w:rsidRDefault="00620E15" w:rsidP="009F5201"/>
            </w:tc>
            <w:tc>
              <w:tcPr>
                <w:tcW w:w="4675" w:type="dxa"/>
              </w:tcPr>
              <w:p w14:paraId="18E87A88" w14:textId="77777777" w:rsidR="00620E15" w:rsidRDefault="00620E15" w:rsidP="009F5201">
                <w:r>
                  <w:rPr>
                    <w:noProof/>
                  </w:rPr>
                  <mc:AlternateContent>
                    <mc:Choice Requires="wps">
                      <w:drawing>
                        <wp:anchor distT="0" distB="0" distL="114300" distR="114300" simplePos="0" relativeHeight="251659264" behindDoc="1" locked="0" layoutInCell="1" allowOverlap="1" wp14:anchorId="3BFB0E87" wp14:editId="296914EE">
                          <wp:simplePos x="0" y="0"/>
                          <wp:positionH relativeFrom="column">
                            <wp:posOffset>558800</wp:posOffset>
                          </wp:positionH>
                          <wp:positionV relativeFrom="paragraph">
                            <wp:posOffset>1424164</wp:posOffset>
                          </wp:positionV>
                          <wp:extent cx="2377440" cy="1172210"/>
                          <wp:effectExtent l="0" t="0" r="0" b="0"/>
                          <wp:wrapNone/>
                          <wp:docPr id="1" name="Text Box 1"/>
                          <wp:cNvGraphicFramePr/>
                          <a:graphic xmlns:a="http://schemas.openxmlformats.org/drawingml/2006/main">
                            <a:graphicData uri="http://schemas.microsoft.com/office/word/2010/wordprocessingShape">
                              <wps:wsp>
                                <wps:cNvSpPr txBox="1"/>
                                <wps:spPr>
                                  <a:xfrm>
                                    <a:off x="0" y="0"/>
                                    <a:ext cx="2377440" cy="1172210"/>
                                  </a:xfrm>
                                  <a:prstGeom prst="rect">
                                    <a:avLst/>
                                  </a:prstGeom>
                                  <a:noFill/>
                                  <a:ln>
                                    <a:noFill/>
                                  </a:ln>
                                  <a:effectLst/>
                                </wps:spPr>
                                <wps:txbx>
                                  <w:txbxContent>
                                    <w:p w14:paraId="30F303D0" w14:textId="77777777" w:rsidR="00620E15" w:rsidRPr="00524ABF" w:rsidRDefault="00620E15" w:rsidP="00620E15">
                                      <w:pPr>
                                        <w:jc w:val="center"/>
                                        <w:rPr>
                                          <w:rFonts w:ascii="Cambria" w:hAnsi="Cambria"/>
                                          <w:b/>
                                          <w:color w:val="4F81BD"/>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ambria" w:hAnsi="Cambria"/>
                                          <w:b/>
                                          <w:color w:val="4F81BD"/>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201</w:t>
                                      </w:r>
                                      <w:r w:rsidR="000870C4">
                                        <w:rPr>
                                          <w:rFonts w:ascii="Cambria" w:hAnsi="Cambria"/>
                                          <w:b/>
                                          <w:color w:val="4F81BD"/>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BFB0E87" id="_x0000_t202" coordsize="21600,21600" o:spt="202" path="m,l,21600r21600,l21600,xe">
                          <v:stroke joinstyle="miter"/>
                          <v:path gradientshapeok="t" o:connecttype="rect"/>
                        </v:shapetype>
                        <v:shape id="Text Box 1" o:spid="_x0000_s1026" type="#_x0000_t202" style="position:absolute;margin-left:44pt;margin-top:112.15pt;width:187.2pt;height:92.3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" filled="f" stroked="f">
                          <v:textbox style="mso-fit-shape-to-text:t">
                            <w:txbxContent>
                              <w:p w14:paraId="30F303D0" w14:textId="77777777" w:rsidR="00620E15" w:rsidRPr="00524ABF" w:rsidRDefault="00620E15" w:rsidP="00620E15">
                                <w:pPr>
                                  <w:jc w:val="center"/>
                                  <w:rPr>
                                    <w:rFonts w:ascii="Cambria" w:hAnsi="Cambria"/>
                                    <w:b/>
                                    <w:color w:val="4F81BD"/>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ambria" w:hAnsi="Cambria"/>
                                    <w:b/>
                                    <w:color w:val="4F81BD"/>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201</w:t>
                                </w:r>
                                <w:r w:rsidR="000870C4">
                                  <w:rPr>
                                    <w:rFonts w:ascii="Cambria" w:hAnsi="Cambria"/>
                                    <w:b/>
                                    <w:color w:val="4F81BD"/>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9</w:t>
                                </w:r>
                              </w:p>
                            </w:txbxContent>
                          </v:textbox>
                        </v:shape>
                      </w:pict>
                    </mc:Fallback>
                  </mc:AlternateContent>
                </w:r>
              </w:p>
            </w:tc>
          </w:tr>
        </w:tbl>
        <w:p w14:paraId="1848A0CF" w14:textId="77777777" w:rsidR="00BA4336" w:rsidRDefault="00BA4336"/>
        <w:p w14:paraId="354DD5D4" w14:textId="77777777" w:rsidR="00620E15" w:rsidRDefault="00620E15" w:rsidP="00620E15">
          <w:pPr>
            <w:jc w:val="center"/>
            <w:rPr>
              <w:rFonts w:ascii="Cambria" w:hAnsi="Cambria"/>
              <w:sz w:val="72"/>
              <w:szCs w:val="72"/>
            </w:rPr>
          </w:pPr>
          <w:r>
            <w:rPr>
              <w:rFonts w:ascii="Cambria" w:hAnsi="Cambria"/>
              <w:sz w:val="72"/>
              <w:szCs w:val="72"/>
            </w:rPr>
            <w:t>Annex # 12</w:t>
          </w:r>
        </w:p>
        <w:p w14:paraId="0610FB70" w14:textId="77777777" w:rsidR="00620E15" w:rsidRDefault="00620E15" w:rsidP="00620E15">
          <w:pPr>
            <w:jc w:val="center"/>
          </w:pPr>
          <w:r>
            <w:rPr>
              <w:rFonts w:ascii="Cambria" w:hAnsi="Cambria"/>
              <w:sz w:val="72"/>
              <w:szCs w:val="72"/>
            </w:rPr>
            <w:t>Energy</w:t>
          </w:r>
        </w:p>
        <w:p w14:paraId="548AADDC" w14:textId="77777777" w:rsidR="00620E15" w:rsidRDefault="00620E15" w:rsidP="00620E15"/>
        <w:p w14:paraId="673CB746" w14:textId="77777777" w:rsidR="00620E15" w:rsidRDefault="00620E15" w:rsidP="00620E15"/>
        <w:p w14:paraId="1F4FD6EB" w14:textId="77777777" w:rsidR="00620E15" w:rsidRDefault="00620E15" w:rsidP="00620E15"/>
        <w:p w14:paraId="54F4AAB8" w14:textId="77777777" w:rsidR="00620E15" w:rsidRDefault="00620E15" w:rsidP="00620E15">
          <w:r>
            <w:rPr>
              <w:noProof/>
            </w:rPr>
            <w:drawing>
              <wp:inline distT="0" distB="0" distL="0" distR="0" wp14:anchorId="3F54B7AB" wp14:editId="3016E05B">
                <wp:extent cx="2432685" cy="13716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2685" cy="1371600"/>
                        </a:xfrm>
                        <a:prstGeom prst="rect">
                          <a:avLst/>
                        </a:prstGeom>
                        <a:noFill/>
                      </pic:spPr>
                    </pic:pic>
                  </a:graphicData>
                </a:graphic>
              </wp:inline>
            </w:drawing>
          </w:r>
          <w:r>
            <w:t xml:space="preserve">                         </w:t>
          </w:r>
          <w:r w:rsidR="009045C5">
            <w:rPr>
              <w:noProof/>
            </w:rPr>
            <w:drawing>
              <wp:inline distT="0" distB="0" distL="0" distR="0" wp14:anchorId="78A9D69A" wp14:editId="269AC017">
                <wp:extent cx="2097405" cy="1554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7405" cy="1554480"/>
                        </a:xfrm>
                        <a:prstGeom prst="rect">
                          <a:avLst/>
                        </a:prstGeom>
                        <a:noFill/>
                      </pic:spPr>
                    </pic:pic>
                  </a:graphicData>
                </a:graphic>
              </wp:inline>
            </w:drawing>
          </w:r>
        </w:p>
        <w:p w14:paraId="49463B45" w14:textId="77777777" w:rsidR="00620E15" w:rsidRDefault="00620E15"/>
        <w:p w14:paraId="265CAB85" w14:textId="77777777" w:rsidR="00161E79" w:rsidRDefault="00BA4336" w:rsidP="00161E79">
          <w:pPr>
            <w:spacing w:after="200" w:line="276" w:lineRule="auto"/>
            <w:rPr>
              <w:rStyle w:val="Hyperlink"/>
              <w:rFonts w:ascii="Arial" w:hAnsi="Arial" w:cs="Arial"/>
              <w:b/>
              <w:smallCaps/>
              <w:szCs w:val="24"/>
            </w:rPr>
          </w:pPr>
          <w:r>
            <w:rPr>
              <w:rStyle w:val="Hyperlink"/>
            </w:rPr>
            <w:br w:type="page"/>
          </w:r>
        </w:p>
        <w:p w14:paraId="4C2CE4E8" w14:textId="77777777" w:rsidR="00161E79" w:rsidRDefault="00C677DE" w:rsidP="00161E79">
          <w:pPr>
            <w:spacing w:after="200" w:line="276" w:lineRule="auto"/>
            <w:rPr>
              <w:rStyle w:val="Hyperlink"/>
            </w:rPr>
          </w:pPr>
        </w:p>
      </w:sdtContent>
    </w:sdt>
    <w:p w14:paraId="71567F15" w14:textId="77777777" w:rsidR="00161E79" w:rsidRPr="003715B3" w:rsidRDefault="003715B3" w:rsidP="00161E79">
      <w:pPr>
        <w:pStyle w:val="Heading1"/>
        <w:spacing w:before="0"/>
        <w:rPr>
          <w:rFonts w:ascii="Palatino Linotype" w:hAnsi="Palatino Linotype" w:cs="Arial"/>
          <w:smallCaps/>
          <w:color w:val="auto"/>
          <w:szCs w:val="24"/>
          <w:u w:val="single"/>
        </w:rPr>
      </w:pPr>
      <w:bookmarkStart w:id="0" w:name="_Toc443920286"/>
      <w:r w:rsidRPr="003715B3">
        <w:rPr>
          <w:rFonts w:ascii="Palatino Linotype" w:hAnsi="Palatino Linotype"/>
          <w:b w:val="0"/>
          <w:color w:val="auto"/>
        </w:rPr>
        <w:t>Authorization &amp; Concurrence</w:t>
      </w:r>
      <w:r w:rsidR="00161E79" w:rsidRPr="003715B3">
        <w:rPr>
          <w:rFonts w:ascii="Palatino Linotype" w:hAnsi="Palatino Linotype" w:cs="Arial"/>
          <w:color w:val="auto"/>
          <w:szCs w:val="24"/>
        </w:rPr>
        <w:t>:</w:t>
      </w:r>
      <w:bookmarkEnd w:id="0"/>
    </w:p>
    <w:p w14:paraId="1E562A90" w14:textId="77777777" w:rsidR="00161E79" w:rsidRPr="003715B3" w:rsidRDefault="00161E79" w:rsidP="00161E79">
      <w:pPr>
        <w:rPr>
          <w:rFonts w:ascii="Palatino Linotype" w:hAnsi="Palatino Linotype" w:cs="Arial"/>
          <w:b/>
          <w:szCs w:val="24"/>
        </w:rPr>
      </w:pPr>
    </w:p>
    <w:p w14:paraId="6AAB995F" w14:textId="77777777" w:rsidR="00161E79" w:rsidRPr="003715B3" w:rsidRDefault="00161E79" w:rsidP="00161E79">
      <w:pPr>
        <w:rPr>
          <w:rFonts w:ascii="Palatino Linotype" w:hAnsi="Palatino Linotype" w:cs="Arial"/>
          <w:szCs w:val="24"/>
        </w:rPr>
      </w:pPr>
      <w:r w:rsidRPr="003715B3">
        <w:rPr>
          <w:rFonts w:ascii="Palatino Linotype" w:hAnsi="Palatino Linotype" w:cs="Arial"/>
          <w:szCs w:val="24"/>
        </w:rPr>
        <w:t xml:space="preserve">This Annex is considered operational and serves as a guide for rendering assistance whenever the </w:t>
      </w:r>
      <w:r w:rsidRPr="003715B3">
        <w:rPr>
          <w:rFonts w:ascii="Palatino Linotype" w:hAnsi="Palatino Linotype" w:cs="Arial"/>
          <w:b/>
          <w:szCs w:val="24"/>
        </w:rPr>
        <w:t>Montana Emergency Response Framework</w:t>
      </w:r>
      <w:r w:rsidRPr="003715B3">
        <w:rPr>
          <w:rFonts w:ascii="Palatino Linotype" w:hAnsi="Palatino Linotype" w:cs="Arial"/>
          <w:szCs w:val="24"/>
        </w:rPr>
        <w:t xml:space="preserve"> (MERF) is activated.  It supersedes all previous editions.</w:t>
      </w:r>
    </w:p>
    <w:p w14:paraId="5427C127" w14:textId="77777777" w:rsidR="00161E79" w:rsidRPr="003715B3" w:rsidRDefault="009A0217" w:rsidP="00161E79">
      <w:pPr>
        <w:rPr>
          <w:rFonts w:ascii="Palatino Linotype" w:hAnsi="Palatino Linotype" w:cs="Arial"/>
          <w:szCs w:val="24"/>
        </w:rPr>
      </w:pPr>
      <w:r w:rsidRPr="009A0217">
        <w:rPr>
          <w:rStyle w:val="Hyperlink"/>
          <w:noProof/>
          <w:color w:val="auto"/>
        </w:rPr>
        <w:drawing>
          <wp:anchor distT="0" distB="0" distL="114300" distR="114300" simplePos="0" relativeHeight="251660288" behindDoc="0" locked="0" layoutInCell="1" allowOverlap="1" wp14:anchorId="19C80CCC" wp14:editId="2A9FAACE">
            <wp:simplePos x="0" y="0"/>
            <wp:positionH relativeFrom="margin">
              <wp:posOffset>0</wp:posOffset>
            </wp:positionH>
            <wp:positionV relativeFrom="margin">
              <wp:posOffset>1609725</wp:posOffset>
            </wp:positionV>
            <wp:extent cx="5943600" cy="126936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1269365"/>
                    </a:xfrm>
                    <a:prstGeom prst="rect">
                      <a:avLst/>
                    </a:prstGeom>
                  </pic:spPr>
                </pic:pic>
              </a:graphicData>
            </a:graphic>
          </wp:anchor>
        </w:drawing>
      </w:r>
    </w:p>
    <w:p w14:paraId="1429E7BC" w14:textId="77777777" w:rsidR="00161E79" w:rsidRPr="003715B3" w:rsidRDefault="00161E79" w:rsidP="00161E79">
      <w:pPr>
        <w:rPr>
          <w:rFonts w:ascii="Palatino Linotype" w:hAnsi="Palatino Linotype" w:cs="Arial"/>
          <w:szCs w:val="24"/>
        </w:rPr>
      </w:pPr>
    </w:p>
    <w:p w14:paraId="26ABE6B9" w14:textId="77777777" w:rsidR="00161E79" w:rsidRDefault="00161E79" w:rsidP="003715B3">
      <w:pPr>
        <w:pStyle w:val="TOC2"/>
        <w:rPr>
          <w:rStyle w:val="Hyperlink"/>
          <w:color w:val="auto"/>
        </w:rPr>
      </w:pPr>
    </w:p>
    <w:p w14:paraId="2BBF0F5D" w14:textId="77777777" w:rsidR="00161E79" w:rsidRDefault="00161E79" w:rsidP="003715B3">
      <w:pPr>
        <w:pStyle w:val="TOC2"/>
        <w:rPr>
          <w:rStyle w:val="Hyperlink"/>
          <w:color w:val="auto"/>
        </w:rPr>
      </w:pPr>
    </w:p>
    <w:p w14:paraId="5BBD398D" w14:textId="77777777" w:rsidR="00161E79" w:rsidRDefault="00161E79" w:rsidP="003715B3">
      <w:pPr>
        <w:pStyle w:val="TOC2"/>
        <w:rPr>
          <w:rStyle w:val="Hyperlink"/>
          <w:color w:val="auto"/>
        </w:rPr>
      </w:pPr>
    </w:p>
    <w:p w14:paraId="0555BD1A" w14:textId="77777777" w:rsidR="00161E79" w:rsidRDefault="00161E79" w:rsidP="003715B3">
      <w:pPr>
        <w:pStyle w:val="TOC2"/>
        <w:rPr>
          <w:rStyle w:val="Hyperlink"/>
          <w:color w:val="auto"/>
        </w:rPr>
      </w:pPr>
    </w:p>
    <w:p w14:paraId="454450FB" w14:textId="77777777" w:rsidR="00161E79" w:rsidRDefault="00161E79" w:rsidP="003715B3">
      <w:pPr>
        <w:pStyle w:val="TOC2"/>
        <w:rPr>
          <w:rStyle w:val="Hyperlink"/>
          <w:color w:val="auto"/>
        </w:rPr>
      </w:pPr>
    </w:p>
    <w:p w14:paraId="68E39269" w14:textId="77777777" w:rsidR="00161E79" w:rsidRDefault="00161E79" w:rsidP="003715B3">
      <w:pPr>
        <w:pStyle w:val="TOC2"/>
        <w:rPr>
          <w:rStyle w:val="Hyperlink"/>
          <w:color w:val="auto"/>
        </w:rPr>
      </w:pPr>
    </w:p>
    <w:p w14:paraId="7D74AF31" w14:textId="77777777" w:rsidR="00161E79" w:rsidRDefault="00161E79" w:rsidP="003715B3">
      <w:pPr>
        <w:pStyle w:val="TOC2"/>
        <w:rPr>
          <w:rStyle w:val="Hyperlink"/>
          <w:color w:val="auto"/>
        </w:rPr>
      </w:pPr>
    </w:p>
    <w:p w14:paraId="0071DDF8" w14:textId="77777777" w:rsidR="00161E79" w:rsidRDefault="00161E79" w:rsidP="003715B3">
      <w:pPr>
        <w:pStyle w:val="TOC2"/>
        <w:rPr>
          <w:rStyle w:val="Hyperlink"/>
          <w:color w:val="auto"/>
        </w:rPr>
      </w:pPr>
    </w:p>
    <w:p w14:paraId="2B5D2D9D" w14:textId="77777777" w:rsidR="00161E79" w:rsidRDefault="00161E79" w:rsidP="003715B3">
      <w:pPr>
        <w:pStyle w:val="TOC2"/>
        <w:rPr>
          <w:rStyle w:val="Hyperlink"/>
          <w:color w:val="auto"/>
        </w:rPr>
      </w:pPr>
    </w:p>
    <w:p w14:paraId="30ABB48F" w14:textId="77777777" w:rsidR="00161E79" w:rsidRDefault="00161E79" w:rsidP="003715B3">
      <w:pPr>
        <w:pStyle w:val="TOC2"/>
        <w:rPr>
          <w:rStyle w:val="Hyperlink"/>
          <w:color w:val="auto"/>
        </w:rPr>
      </w:pPr>
    </w:p>
    <w:p w14:paraId="463A8CBB" w14:textId="77777777" w:rsidR="00161E79" w:rsidRDefault="00161E79" w:rsidP="003715B3">
      <w:pPr>
        <w:pStyle w:val="TOC2"/>
        <w:rPr>
          <w:rStyle w:val="Hyperlink"/>
          <w:color w:val="auto"/>
        </w:rPr>
      </w:pPr>
    </w:p>
    <w:p w14:paraId="4F35BBA9" w14:textId="77777777" w:rsidR="0085189D" w:rsidRDefault="0085189D" w:rsidP="003715B3">
      <w:pPr>
        <w:pStyle w:val="TOC2"/>
        <w:rPr>
          <w:rStyle w:val="Hyperlink"/>
          <w:color w:val="auto"/>
        </w:rPr>
      </w:pPr>
    </w:p>
    <w:p w14:paraId="5B6D1CC2" w14:textId="77777777" w:rsidR="0085189D" w:rsidRDefault="0085189D" w:rsidP="003715B3">
      <w:pPr>
        <w:pStyle w:val="TOC2"/>
        <w:rPr>
          <w:rStyle w:val="Hyperlink"/>
          <w:color w:val="auto"/>
        </w:rPr>
      </w:pPr>
    </w:p>
    <w:p w14:paraId="03F51A91" w14:textId="77777777" w:rsidR="0085189D" w:rsidRDefault="0085189D" w:rsidP="003715B3">
      <w:pPr>
        <w:pStyle w:val="TOC2"/>
        <w:rPr>
          <w:rStyle w:val="Hyperlink"/>
          <w:color w:val="auto"/>
        </w:rPr>
      </w:pPr>
    </w:p>
    <w:p w14:paraId="6D08E937" w14:textId="77777777" w:rsidR="0085189D" w:rsidRDefault="0085189D" w:rsidP="003715B3">
      <w:pPr>
        <w:pStyle w:val="TOC2"/>
        <w:rPr>
          <w:rStyle w:val="Hyperlink"/>
          <w:color w:val="auto"/>
        </w:rPr>
      </w:pPr>
    </w:p>
    <w:p w14:paraId="09E7DA32" w14:textId="77777777" w:rsidR="0085189D" w:rsidRDefault="0085189D" w:rsidP="003715B3">
      <w:pPr>
        <w:pStyle w:val="TOC2"/>
        <w:rPr>
          <w:rStyle w:val="Hyperlink"/>
          <w:color w:val="auto"/>
        </w:rPr>
      </w:pPr>
    </w:p>
    <w:p w14:paraId="1EAA6358" w14:textId="77777777" w:rsidR="0085189D" w:rsidRDefault="0085189D" w:rsidP="003715B3">
      <w:pPr>
        <w:pStyle w:val="TOC2"/>
        <w:rPr>
          <w:rStyle w:val="Hyperlink"/>
          <w:color w:val="auto"/>
        </w:rPr>
      </w:pPr>
    </w:p>
    <w:p w14:paraId="09B1DCC5" w14:textId="77777777" w:rsidR="0085189D" w:rsidRDefault="0085189D" w:rsidP="003715B3">
      <w:pPr>
        <w:pStyle w:val="TOC2"/>
        <w:rPr>
          <w:rStyle w:val="Hyperlink"/>
          <w:color w:val="auto"/>
        </w:rPr>
      </w:pPr>
    </w:p>
    <w:p w14:paraId="076F3515" w14:textId="77777777" w:rsidR="0085189D" w:rsidRDefault="0085189D" w:rsidP="003715B3">
      <w:pPr>
        <w:pStyle w:val="TOC2"/>
        <w:rPr>
          <w:rStyle w:val="Hyperlink"/>
          <w:color w:val="auto"/>
        </w:rPr>
      </w:pPr>
    </w:p>
    <w:p w14:paraId="50540CFE" w14:textId="77777777" w:rsidR="0085189D" w:rsidRDefault="0085189D" w:rsidP="003715B3">
      <w:pPr>
        <w:pStyle w:val="TOC2"/>
        <w:rPr>
          <w:rStyle w:val="Hyperlink"/>
          <w:color w:val="auto"/>
        </w:rPr>
      </w:pPr>
    </w:p>
    <w:p w14:paraId="4383461D" w14:textId="77777777" w:rsidR="0085189D" w:rsidRDefault="0085189D" w:rsidP="003715B3">
      <w:pPr>
        <w:pStyle w:val="TOC2"/>
        <w:rPr>
          <w:rStyle w:val="Hyperlink"/>
          <w:color w:val="auto"/>
        </w:rPr>
      </w:pPr>
    </w:p>
    <w:p w14:paraId="1E259836" w14:textId="77777777" w:rsidR="0085189D" w:rsidRDefault="0085189D" w:rsidP="003715B3">
      <w:pPr>
        <w:pStyle w:val="TOC2"/>
        <w:rPr>
          <w:rStyle w:val="Hyperlink"/>
          <w:color w:val="auto"/>
        </w:rPr>
      </w:pPr>
    </w:p>
    <w:p w14:paraId="234D02A5" w14:textId="77777777" w:rsidR="0085189D" w:rsidRDefault="0085189D" w:rsidP="003715B3">
      <w:pPr>
        <w:pStyle w:val="TOC2"/>
        <w:rPr>
          <w:rStyle w:val="Hyperlink"/>
          <w:color w:val="auto"/>
        </w:rPr>
      </w:pPr>
    </w:p>
    <w:p w14:paraId="5C6B422A" w14:textId="77777777" w:rsidR="0085189D" w:rsidRDefault="0085189D" w:rsidP="003715B3">
      <w:pPr>
        <w:pStyle w:val="TOC2"/>
        <w:rPr>
          <w:rStyle w:val="Hyperlink"/>
          <w:color w:val="auto"/>
        </w:rPr>
      </w:pPr>
    </w:p>
    <w:p w14:paraId="19D63760" w14:textId="77777777" w:rsidR="0085189D" w:rsidRDefault="0085189D" w:rsidP="003715B3">
      <w:pPr>
        <w:pStyle w:val="TOC2"/>
        <w:rPr>
          <w:rStyle w:val="Hyperlink"/>
          <w:color w:val="auto"/>
        </w:rPr>
      </w:pPr>
    </w:p>
    <w:p w14:paraId="4A1729DA" w14:textId="77777777" w:rsidR="0085189D" w:rsidRDefault="0085189D" w:rsidP="003715B3">
      <w:pPr>
        <w:pStyle w:val="TOC2"/>
        <w:rPr>
          <w:rStyle w:val="Hyperlink"/>
          <w:color w:val="auto"/>
        </w:rPr>
      </w:pPr>
    </w:p>
    <w:p w14:paraId="75AD7113" w14:textId="77777777" w:rsidR="0085189D" w:rsidRDefault="0085189D" w:rsidP="003715B3">
      <w:pPr>
        <w:pStyle w:val="TOC2"/>
        <w:rPr>
          <w:rStyle w:val="Hyperlink"/>
          <w:color w:val="auto"/>
        </w:rPr>
      </w:pPr>
    </w:p>
    <w:p w14:paraId="19D7E0CA" w14:textId="77777777" w:rsidR="0085189D" w:rsidRDefault="0085189D" w:rsidP="003715B3">
      <w:pPr>
        <w:pStyle w:val="TOC2"/>
        <w:rPr>
          <w:rStyle w:val="Hyperlink"/>
          <w:color w:val="auto"/>
        </w:rPr>
      </w:pPr>
    </w:p>
    <w:p w14:paraId="09D754AB" w14:textId="77777777" w:rsidR="0085189D" w:rsidRDefault="0085189D" w:rsidP="003715B3">
      <w:pPr>
        <w:pStyle w:val="TOC2"/>
        <w:rPr>
          <w:rStyle w:val="Hyperlink"/>
          <w:color w:val="auto"/>
        </w:rPr>
      </w:pPr>
    </w:p>
    <w:p w14:paraId="24D7C8D7" w14:textId="77777777" w:rsidR="002229D7" w:rsidRPr="001E4823" w:rsidRDefault="003715B3" w:rsidP="001E4823">
      <w:pPr>
        <w:pStyle w:val="Heading1"/>
        <w:rPr>
          <w:rStyle w:val="Hyperlink"/>
          <w:rFonts w:ascii="Palatino Linotype" w:hAnsi="Palatino Linotype"/>
          <w:b w:val="0"/>
          <w:color w:val="auto"/>
          <w:sz w:val="24"/>
          <w:szCs w:val="24"/>
        </w:rPr>
      </w:pPr>
      <w:bookmarkStart w:id="1" w:name="_Toc443920287"/>
      <w:r w:rsidRPr="001E4823">
        <w:rPr>
          <w:rStyle w:val="Hyperlink"/>
          <w:rFonts w:ascii="Palatino Linotype" w:hAnsi="Palatino Linotype"/>
          <w:b w:val="0"/>
          <w:color w:val="auto"/>
          <w:sz w:val="24"/>
          <w:szCs w:val="24"/>
        </w:rPr>
        <w:lastRenderedPageBreak/>
        <w:t>Record of Change</w:t>
      </w:r>
      <w:bookmarkEnd w:id="1"/>
    </w:p>
    <w:p w14:paraId="054093BC" w14:textId="77777777" w:rsidR="002229D7" w:rsidRPr="003715B3" w:rsidRDefault="002229D7" w:rsidP="002229D7">
      <w:pPr>
        <w:jc w:val="center"/>
        <w:rPr>
          <w:rFonts w:ascii="Palatino Linotype" w:hAnsi="Palatino Linotype" w:cs="Arial"/>
        </w:rPr>
      </w:pPr>
    </w:p>
    <w:p w14:paraId="19704C8B" w14:textId="77777777" w:rsidR="002229D7" w:rsidRPr="003715B3" w:rsidRDefault="002229D7" w:rsidP="002229D7">
      <w:pPr>
        <w:rPr>
          <w:rFonts w:ascii="Palatino Linotype" w:hAnsi="Palatino Linotype" w:cs="Arial"/>
        </w:rPr>
      </w:pPr>
      <w:r w:rsidRPr="003715B3">
        <w:rPr>
          <w:rFonts w:ascii="Palatino Linotype" w:hAnsi="Palatino Linotype" w:cs="Arial"/>
        </w:rPr>
        <w:t xml:space="preserve">All changes to this plan annex are to be dated on the master copy kept by the Montana Department of Environmental Quality. </w:t>
      </w:r>
    </w:p>
    <w:p w14:paraId="043541A6" w14:textId="77777777" w:rsidR="002229D7" w:rsidRPr="003715B3" w:rsidRDefault="002229D7" w:rsidP="002229D7">
      <w:pPr>
        <w:rPr>
          <w:rFonts w:ascii="Palatino Linotype" w:hAnsi="Palatino Linotype"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5186"/>
        <w:gridCol w:w="2554"/>
      </w:tblGrid>
      <w:tr w:rsidR="002229D7" w:rsidRPr="003715B3" w14:paraId="12257575" w14:textId="77777777" w:rsidTr="006A577A">
        <w:trPr>
          <w:trHeight w:val="593"/>
        </w:trPr>
        <w:tc>
          <w:tcPr>
            <w:tcW w:w="1548" w:type="dxa"/>
          </w:tcPr>
          <w:p w14:paraId="0A2425EB" w14:textId="77777777" w:rsidR="002229D7" w:rsidRPr="003715B3" w:rsidRDefault="002229D7" w:rsidP="006A577A">
            <w:pPr>
              <w:jc w:val="center"/>
              <w:rPr>
                <w:rFonts w:ascii="Palatino Linotype" w:hAnsi="Palatino Linotype" w:cs="Arial"/>
                <w:b/>
              </w:rPr>
            </w:pPr>
          </w:p>
          <w:p w14:paraId="27CF6D15" w14:textId="77777777" w:rsidR="002229D7" w:rsidRPr="003715B3" w:rsidRDefault="002229D7" w:rsidP="006A577A">
            <w:pPr>
              <w:jc w:val="center"/>
              <w:rPr>
                <w:rFonts w:ascii="Palatino Linotype" w:hAnsi="Palatino Linotype" w:cs="Arial"/>
                <w:b/>
              </w:rPr>
            </w:pPr>
            <w:r w:rsidRPr="003715B3">
              <w:rPr>
                <w:rFonts w:ascii="Palatino Linotype" w:hAnsi="Palatino Linotype" w:cs="Arial"/>
                <w:b/>
                <w:sz w:val="22"/>
              </w:rPr>
              <w:t>Date Posted</w:t>
            </w:r>
          </w:p>
        </w:tc>
        <w:tc>
          <w:tcPr>
            <w:tcW w:w="5186" w:type="dxa"/>
          </w:tcPr>
          <w:p w14:paraId="5B9887C2" w14:textId="77777777" w:rsidR="002229D7" w:rsidRPr="003715B3" w:rsidRDefault="002229D7" w:rsidP="006A577A">
            <w:pPr>
              <w:jc w:val="center"/>
              <w:rPr>
                <w:rFonts w:ascii="Palatino Linotype" w:hAnsi="Palatino Linotype" w:cs="Arial"/>
                <w:b/>
              </w:rPr>
            </w:pPr>
          </w:p>
          <w:p w14:paraId="059D021C" w14:textId="77777777" w:rsidR="002229D7" w:rsidRPr="003715B3" w:rsidRDefault="002229D7" w:rsidP="006A577A">
            <w:pPr>
              <w:jc w:val="center"/>
              <w:rPr>
                <w:rFonts w:ascii="Palatino Linotype" w:hAnsi="Palatino Linotype" w:cs="Arial"/>
                <w:b/>
              </w:rPr>
            </w:pPr>
            <w:r w:rsidRPr="003715B3">
              <w:rPr>
                <w:rFonts w:ascii="Palatino Linotype" w:hAnsi="Palatino Linotype" w:cs="Arial"/>
                <w:b/>
                <w:sz w:val="22"/>
              </w:rPr>
              <w:t>Change</w:t>
            </w:r>
          </w:p>
        </w:tc>
        <w:tc>
          <w:tcPr>
            <w:tcW w:w="2554" w:type="dxa"/>
          </w:tcPr>
          <w:p w14:paraId="73669D79" w14:textId="77777777" w:rsidR="002229D7" w:rsidRPr="003715B3" w:rsidRDefault="002229D7" w:rsidP="006A577A">
            <w:pPr>
              <w:jc w:val="center"/>
              <w:rPr>
                <w:rFonts w:ascii="Palatino Linotype" w:hAnsi="Palatino Linotype" w:cs="Arial"/>
                <w:b/>
              </w:rPr>
            </w:pPr>
          </w:p>
          <w:p w14:paraId="42B418BA" w14:textId="77777777" w:rsidR="002229D7" w:rsidRPr="003715B3" w:rsidRDefault="002229D7" w:rsidP="006A577A">
            <w:pPr>
              <w:jc w:val="center"/>
              <w:rPr>
                <w:rFonts w:ascii="Palatino Linotype" w:hAnsi="Palatino Linotype" w:cs="Arial"/>
                <w:b/>
              </w:rPr>
            </w:pPr>
            <w:r w:rsidRPr="003715B3">
              <w:rPr>
                <w:rFonts w:ascii="Palatino Linotype" w:hAnsi="Palatino Linotype" w:cs="Arial"/>
                <w:b/>
                <w:sz w:val="22"/>
              </w:rPr>
              <w:t>Recommending Agency/Individual</w:t>
            </w:r>
          </w:p>
        </w:tc>
      </w:tr>
      <w:tr w:rsidR="002229D7" w:rsidRPr="003715B3" w14:paraId="21149259" w14:textId="77777777" w:rsidTr="006A577A">
        <w:tc>
          <w:tcPr>
            <w:tcW w:w="1548" w:type="dxa"/>
          </w:tcPr>
          <w:p w14:paraId="4217D3D5" w14:textId="77777777" w:rsidR="002229D7" w:rsidRPr="003715B3" w:rsidRDefault="002229D7" w:rsidP="006A577A">
            <w:pPr>
              <w:jc w:val="center"/>
              <w:rPr>
                <w:rFonts w:ascii="Palatino Linotype" w:hAnsi="Palatino Linotype" w:cs="Arial"/>
              </w:rPr>
            </w:pPr>
            <w:r w:rsidRPr="003715B3">
              <w:rPr>
                <w:rFonts w:ascii="Palatino Linotype" w:hAnsi="Palatino Linotype" w:cs="Arial"/>
              </w:rPr>
              <w:t>9/3/2015</w:t>
            </w:r>
          </w:p>
        </w:tc>
        <w:tc>
          <w:tcPr>
            <w:tcW w:w="5186" w:type="dxa"/>
          </w:tcPr>
          <w:p w14:paraId="2726736A" w14:textId="77777777" w:rsidR="002229D7" w:rsidRPr="003715B3" w:rsidRDefault="002229D7" w:rsidP="006A577A">
            <w:pPr>
              <w:rPr>
                <w:rFonts w:ascii="Palatino Linotype" w:hAnsi="Palatino Linotype" w:cs="Arial"/>
              </w:rPr>
            </w:pPr>
            <w:r w:rsidRPr="003715B3">
              <w:rPr>
                <w:rFonts w:ascii="Palatino Linotype" w:hAnsi="Palatino Linotype" w:cs="Arial"/>
              </w:rPr>
              <w:t>General edits to document</w:t>
            </w:r>
          </w:p>
        </w:tc>
        <w:tc>
          <w:tcPr>
            <w:tcW w:w="2554" w:type="dxa"/>
          </w:tcPr>
          <w:p w14:paraId="0926659B" w14:textId="77777777" w:rsidR="002229D7" w:rsidRPr="003715B3" w:rsidRDefault="002229D7" w:rsidP="006A577A">
            <w:pPr>
              <w:rPr>
                <w:rFonts w:ascii="Palatino Linotype" w:hAnsi="Palatino Linotype"/>
              </w:rPr>
            </w:pPr>
            <w:r w:rsidRPr="003715B3">
              <w:rPr>
                <w:rFonts w:ascii="Palatino Linotype" w:hAnsi="Palatino Linotype"/>
              </w:rPr>
              <w:t>DEQ/Jeff Blend</w:t>
            </w:r>
          </w:p>
        </w:tc>
      </w:tr>
      <w:tr w:rsidR="002229D7" w:rsidRPr="003715B3" w14:paraId="376128B1" w14:textId="77777777" w:rsidTr="006A577A">
        <w:tc>
          <w:tcPr>
            <w:tcW w:w="1548" w:type="dxa"/>
          </w:tcPr>
          <w:p w14:paraId="2D3F2C29" w14:textId="77777777" w:rsidR="002229D7" w:rsidRPr="003715B3" w:rsidRDefault="000E3C4A" w:rsidP="006A577A">
            <w:pPr>
              <w:jc w:val="center"/>
              <w:rPr>
                <w:rFonts w:ascii="Palatino Linotype" w:hAnsi="Palatino Linotype" w:cs="Arial"/>
              </w:rPr>
            </w:pPr>
            <w:r>
              <w:rPr>
                <w:rFonts w:ascii="Palatino Linotype" w:hAnsi="Palatino Linotype" w:cs="Arial"/>
              </w:rPr>
              <w:t>1/6/2016</w:t>
            </w:r>
          </w:p>
        </w:tc>
        <w:tc>
          <w:tcPr>
            <w:tcW w:w="5186" w:type="dxa"/>
          </w:tcPr>
          <w:p w14:paraId="6B8DF3D6" w14:textId="77777777" w:rsidR="002229D7" w:rsidRPr="003715B3" w:rsidRDefault="000E3C4A" w:rsidP="006A577A">
            <w:pPr>
              <w:rPr>
                <w:rFonts w:ascii="Palatino Linotype" w:hAnsi="Palatino Linotype" w:cs="Arial"/>
              </w:rPr>
            </w:pPr>
            <w:r>
              <w:rPr>
                <w:rFonts w:ascii="Palatino Linotype" w:hAnsi="Palatino Linotype" w:cs="Arial"/>
              </w:rPr>
              <w:t>Small edits to document</w:t>
            </w:r>
          </w:p>
        </w:tc>
        <w:tc>
          <w:tcPr>
            <w:tcW w:w="2554" w:type="dxa"/>
          </w:tcPr>
          <w:p w14:paraId="3FD05BDE" w14:textId="77777777" w:rsidR="002229D7" w:rsidRPr="003715B3" w:rsidRDefault="000E3C4A" w:rsidP="006A577A">
            <w:pPr>
              <w:rPr>
                <w:rFonts w:ascii="Palatino Linotype" w:hAnsi="Palatino Linotype"/>
              </w:rPr>
            </w:pPr>
            <w:r>
              <w:rPr>
                <w:rFonts w:ascii="Palatino Linotype" w:hAnsi="Palatino Linotype"/>
              </w:rPr>
              <w:t>DEQ/Jeff Blend</w:t>
            </w:r>
          </w:p>
        </w:tc>
      </w:tr>
      <w:tr w:rsidR="002229D7" w:rsidRPr="003715B3" w14:paraId="0E2023B8" w14:textId="77777777" w:rsidTr="006A577A">
        <w:tc>
          <w:tcPr>
            <w:tcW w:w="1548" w:type="dxa"/>
          </w:tcPr>
          <w:p w14:paraId="2562EE5C" w14:textId="77777777" w:rsidR="002229D7" w:rsidRPr="003715B3" w:rsidRDefault="000E3C4A" w:rsidP="006A577A">
            <w:pPr>
              <w:jc w:val="center"/>
              <w:rPr>
                <w:rFonts w:ascii="Palatino Linotype" w:hAnsi="Palatino Linotype" w:cs="Arial"/>
              </w:rPr>
            </w:pPr>
            <w:r>
              <w:rPr>
                <w:rFonts w:ascii="Palatino Linotype" w:hAnsi="Palatino Linotype" w:cs="Arial"/>
              </w:rPr>
              <w:t>Feb</w:t>
            </w:r>
            <w:r w:rsidR="00FE35DF">
              <w:rPr>
                <w:rFonts w:ascii="Palatino Linotype" w:hAnsi="Palatino Linotype" w:cs="Arial"/>
              </w:rPr>
              <w:t>, March</w:t>
            </w:r>
            <w:r>
              <w:rPr>
                <w:rFonts w:ascii="Palatino Linotype" w:hAnsi="Palatino Linotype" w:cs="Arial"/>
              </w:rPr>
              <w:t>/2016</w:t>
            </w:r>
          </w:p>
        </w:tc>
        <w:tc>
          <w:tcPr>
            <w:tcW w:w="5186" w:type="dxa"/>
          </w:tcPr>
          <w:p w14:paraId="5F5F1404" w14:textId="77777777" w:rsidR="002229D7" w:rsidRPr="003715B3" w:rsidRDefault="000E3C4A" w:rsidP="006A577A">
            <w:pPr>
              <w:rPr>
                <w:rFonts w:ascii="Palatino Linotype" w:hAnsi="Palatino Linotype" w:cs="Arial"/>
              </w:rPr>
            </w:pPr>
            <w:r>
              <w:rPr>
                <w:rFonts w:ascii="Palatino Linotype" w:hAnsi="Palatino Linotype" w:cs="Arial"/>
              </w:rPr>
              <w:t>Large edits to document using new ESF format</w:t>
            </w:r>
          </w:p>
        </w:tc>
        <w:tc>
          <w:tcPr>
            <w:tcW w:w="2554" w:type="dxa"/>
          </w:tcPr>
          <w:p w14:paraId="5D8FBA10" w14:textId="77777777" w:rsidR="002229D7" w:rsidRDefault="000E3C4A" w:rsidP="006A577A">
            <w:pPr>
              <w:rPr>
                <w:rFonts w:ascii="Palatino Linotype" w:hAnsi="Palatino Linotype"/>
              </w:rPr>
            </w:pPr>
            <w:r>
              <w:rPr>
                <w:rFonts w:ascii="Palatino Linotype" w:hAnsi="Palatino Linotype"/>
              </w:rPr>
              <w:t>DEQ/Jeff Blend;</w:t>
            </w:r>
          </w:p>
          <w:p w14:paraId="6DE1E521" w14:textId="77777777" w:rsidR="000E3C4A" w:rsidRPr="003715B3" w:rsidRDefault="000E3C4A" w:rsidP="006A577A">
            <w:pPr>
              <w:rPr>
                <w:rFonts w:ascii="Palatino Linotype" w:hAnsi="Palatino Linotype"/>
              </w:rPr>
            </w:pPr>
            <w:r>
              <w:rPr>
                <w:rFonts w:ascii="Palatino Linotype" w:hAnsi="Palatino Linotype"/>
              </w:rPr>
              <w:t>DES/Ryan Lee</w:t>
            </w:r>
          </w:p>
        </w:tc>
      </w:tr>
      <w:tr w:rsidR="002229D7" w:rsidRPr="003715B3" w14:paraId="62585BB1" w14:textId="77777777" w:rsidTr="006A577A">
        <w:tc>
          <w:tcPr>
            <w:tcW w:w="1548" w:type="dxa"/>
          </w:tcPr>
          <w:p w14:paraId="0206FFB9" w14:textId="77777777" w:rsidR="002229D7" w:rsidRPr="003715B3" w:rsidRDefault="00612B6E" w:rsidP="006A577A">
            <w:pPr>
              <w:jc w:val="center"/>
              <w:rPr>
                <w:rFonts w:ascii="Palatino Linotype" w:hAnsi="Palatino Linotype" w:cs="Arial"/>
              </w:rPr>
            </w:pPr>
            <w:r>
              <w:rPr>
                <w:rFonts w:ascii="Palatino Linotype" w:hAnsi="Palatino Linotype" w:cs="Arial"/>
              </w:rPr>
              <w:t>March/2018</w:t>
            </w:r>
          </w:p>
        </w:tc>
        <w:tc>
          <w:tcPr>
            <w:tcW w:w="5186" w:type="dxa"/>
          </w:tcPr>
          <w:p w14:paraId="618D0052" w14:textId="77777777" w:rsidR="002229D7" w:rsidRPr="003715B3" w:rsidRDefault="00612B6E" w:rsidP="006A577A">
            <w:pPr>
              <w:ind w:right="-232"/>
              <w:rPr>
                <w:rFonts w:ascii="Palatino Linotype" w:hAnsi="Palatino Linotype" w:cs="Arial"/>
              </w:rPr>
            </w:pPr>
            <w:r>
              <w:rPr>
                <w:rFonts w:ascii="Palatino Linotype" w:hAnsi="Palatino Linotype" w:cs="Arial"/>
              </w:rPr>
              <w:t>Modest edits</w:t>
            </w:r>
          </w:p>
        </w:tc>
        <w:tc>
          <w:tcPr>
            <w:tcW w:w="2554" w:type="dxa"/>
          </w:tcPr>
          <w:p w14:paraId="795238C2" w14:textId="77777777" w:rsidR="002229D7" w:rsidRPr="003715B3" w:rsidRDefault="00612B6E" w:rsidP="006A577A">
            <w:pPr>
              <w:rPr>
                <w:rFonts w:ascii="Palatino Linotype" w:hAnsi="Palatino Linotype" w:cs="Arial"/>
              </w:rPr>
            </w:pPr>
            <w:r>
              <w:rPr>
                <w:rFonts w:ascii="Palatino Linotype" w:hAnsi="Palatino Linotype" w:cs="Arial"/>
              </w:rPr>
              <w:t>DEQ/Jeff Blend</w:t>
            </w:r>
          </w:p>
        </w:tc>
      </w:tr>
      <w:tr w:rsidR="002229D7" w:rsidRPr="003715B3" w14:paraId="4FD936E6" w14:textId="77777777" w:rsidTr="006A577A">
        <w:tc>
          <w:tcPr>
            <w:tcW w:w="1548" w:type="dxa"/>
          </w:tcPr>
          <w:p w14:paraId="72C280D2" w14:textId="77777777" w:rsidR="002229D7" w:rsidRPr="003715B3" w:rsidRDefault="00553299" w:rsidP="006A577A">
            <w:pPr>
              <w:jc w:val="center"/>
              <w:rPr>
                <w:rFonts w:ascii="Palatino Linotype" w:hAnsi="Palatino Linotype" w:cs="Arial"/>
              </w:rPr>
            </w:pPr>
            <w:r>
              <w:rPr>
                <w:rFonts w:ascii="Palatino Linotype" w:hAnsi="Palatino Linotype" w:cs="Arial"/>
              </w:rPr>
              <w:t>Aug/2019</w:t>
            </w:r>
          </w:p>
        </w:tc>
        <w:tc>
          <w:tcPr>
            <w:tcW w:w="5186" w:type="dxa"/>
          </w:tcPr>
          <w:p w14:paraId="2AD4EB3B" w14:textId="77777777" w:rsidR="002229D7" w:rsidRPr="003715B3" w:rsidRDefault="00553299" w:rsidP="006A577A">
            <w:pPr>
              <w:rPr>
                <w:rFonts w:ascii="Palatino Linotype" w:hAnsi="Palatino Linotype" w:cs="Arial"/>
              </w:rPr>
            </w:pPr>
            <w:r>
              <w:rPr>
                <w:rFonts w:ascii="Palatino Linotype" w:hAnsi="Palatino Linotype" w:cs="Arial"/>
              </w:rPr>
              <w:t>Modest edits</w:t>
            </w:r>
          </w:p>
        </w:tc>
        <w:tc>
          <w:tcPr>
            <w:tcW w:w="2554" w:type="dxa"/>
          </w:tcPr>
          <w:p w14:paraId="4551027C" w14:textId="77777777" w:rsidR="002229D7" w:rsidRPr="003715B3" w:rsidRDefault="00553299" w:rsidP="006A577A">
            <w:pPr>
              <w:rPr>
                <w:rFonts w:ascii="Palatino Linotype" w:hAnsi="Palatino Linotype" w:cs="Arial"/>
              </w:rPr>
            </w:pPr>
            <w:r>
              <w:rPr>
                <w:rFonts w:ascii="Palatino Linotype" w:hAnsi="Palatino Linotype" w:cs="Arial"/>
              </w:rPr>
              <w:t>DEQ/Jeff Blend</w:t>
            </w:r>
          </w:p>
        </w:tc>
      </w:tr>
      <w:tr w:rsidR="002229D7" w:rsidRPr="003715B3" w14:paraId="5D6F5706" w14:textId="77777777" w:rsidTr="006A577A">
        <w:tc>
          <w:tcPr>
            <w:tcW w:w="1548" w:type="dxa"/>
          </w:tcPr>
          <w:p w14:paraId="5B1BE5F4" w14:textId="77777777" w:rsidR="002229D7" w:rsidRPr="003715B3" w:rsidRDefault="002229D7" w:rsidP="006A577A">
            <w:pPr>
              <w:jc w:val="center"/>
              <w:rPr>
                <w:rFonts w:ascii="Palatino Linotype" w:hAnsi="Palatino Linotype" w:cs="Arial"/>
              </w:rPr>
            </w:pPr>
          </w:p>
        </w:tc>
        <w:tc>
          <w:tcPr>
            <w:tcW w:w="5186" w:type="dxa"/>
          </w:tcPr>
          <w:p w14:paraId="585197A8" w14:textId="77777777" w:rsidR="002229D7" w:rsidRPr="003715B3" w:rsidRDefault="002229D7" w:rsidP="006A577A">
            <w:pPr>
              <w:jc w:val="center"/>
              <w:rPr>
                <w:rFonts w:ascii="Palatino Linotype" w:hAnsi="Palatino Linotype" w:cs="Arial"/>
              </w:rPr>
            </w:pPr>
          </w:p>
        </w:tc>
        <w:tc>
          <w:tcPr>
            <w:tcW w:w="2554" w:type="dxa"/>
          </w:tcPr>
          <w:p w14:paraId="4D33F5F3" w14:textId="77777777" w:rsidR="002229D7" w:rsidRPr="003715B3" w:rsidRDefault="002229D7" w:rsidP="006A577A">
            <w:pPr>
              <w:jc w:val="center"/>
              <w:rPr>
                <w:rFonts w:ascii="Palatino Linotype" w:hAnsi="Palatino Linotype"/>
              </w:rPr>
            </w:pPr>
          </w:p>
        </w:tc>
      </w:tr>
      <w:tr w:rsidR="002229D7" w:rsidRPr="003715B3" w14:paraId="5FE3DF74" w14:textId="77777777" w:rsidTr="006A577A">
        <w:tc>
          <w:tcPr>
            <w:tcW w:w="1548" w:type="dxa"/>
          </w:tcPr>
          <w:p w14:paraId="136A62AA" w14:textId="77777777" w:rsidR="002229D7" w:rsidRPr="003715B3" w:rsidRDefault="002229D7" w:rsidP="006A577A">
            <w:pPr>
              <w:jc w:val="center"/>
              <w:rPr>
                <w:rFonts w:ascii="Palatino Linotype" w:hAnsi="Palatino Linotype" w:cs="Arial"/>
              </w:rPr>
            </w:pPr>
          </w:p>
        </w:tc>
        <w:tc>
          <w:tcPr>
            <w:tcW w:w="5186" w:type="dxa"/>
          </w:tcPr>
          <w:p w14:paraId="7357D34B" w14:textId="77777777" w:rsidR="002229D7" w:rsidRPr="003715B3" w:rsidRDefault="002229D7" w:rsidP="006A577A">
            <w:pPr>
              <w:jc w:val="center"/>
              <w:rPr>
                <w:rFonts w:ascii="Palatino Linotype" w:hAnsi="Palatino Linotype" w:cs="Arial"/>
              </w:rPr>
            </w:pPr>
          </w:p>
        </w:tc>
        <w:tc>
          <w:tcPr>
            <w:tcW w:w="2554" w:type="dxa"/>
          </w:tcPr>
          <w:p w14:paraId="0B51E5A7" w14:textId="77777777" w:rsidR="002229D7" w:rsidRPr="003715B3" w:rsidRDefault="002229D7" w:rsidP="006A577A">
            <w:pPr>
              <w:jc w:val="center"/>
              <w:rPr>
                <w:rFonts w:ascii="Palatino Linotype" w:hAnsi="Palatino Linotype"/>
              </w:rPr>
            </w:pPr>
          </w:p>
        </w:tc>
      </w:tr>
      <w:tr w:rsidR="002229D7" w:rsidRPr="003715B3" w14:paraId="021FED58" w14:textId="77777777" w:rsidTr="006A577A">
        <w:tc>
          <w:tcPr>
            <w:tcW w:w="1548" w:type="dxa"/>
          </w:tcPr>
          <w:p w14:paraId="4400504A" w14:textId="77777777" w:rsidR="002229D7" w:rsidRPr="003715B3" w:rsidRDefault="002229D7" w:rsidP="006A577A">
            <w:pPr>
              <w:jc w:val="center"/>
              <w:rPr>
                <w:rFonts w:ascii="Palatino Linotype" w:hAnsi="Palatino Linotype" w:cs="Arial"/>
              </w:rPr>
            </w:pPr>
          </w:p>
        </w:tc>
        <w:tc>
          <w:tcPr>
            <w:tcW w:w="5186" w:type="dxa"/>
          </w:tcPr>
          <w:p w14:paraId="5B14F6FB" w14:textId="77777777" w:rsidR="002229D7" w:rsidRPr="003715B3" w:rsidRDefault="002229D7" w:rsidP="006A577A">
            <w:pPr>
              <w:jc w:val="center"/>
              <w:rPr>
                <w:rFonts w:ascii="Palatino Linotype" w:hAnsi="Palatino Linotype" w:cs="Arial"/>
              </w:rPr>
            </w:pPr>
          </w:p>
        </w:tc>
        <w:tc>
          <w:tcPr>
            <w:tcW w:w="2554" w:type="dxa"/>
          </w:tcPr>
          <w:p w14:paraId="4E53DBB1" w14:textId="77777777" w:rsidR="002229D7" w:rsidRPr="003715B3" w:rsidRDefault="002229D7" w:rsidP="006A577A">
            <w:pPr>
              <w:jc w:val="center"/>
              <w:rPr>
                <w:rFonts w:ascii="Palatino Linotype" w:hAnsi="Palatino Linotype"/>
              </w:rPr>
            </w:pPr>
          </w:p>
        </w:tc>
      </w:tr>
      <w:tr w:rsidR="002229D7" w:rsidRPr="003715B3" w14:paraId="707C4E87" w14:textId="77777777" w:rsidTr="006A577A">
        <w:tc>
          <w:tcPr>
            <w:tcW w:w="1548" w:type="dxa"/>
          </w:tcPr>
          <w:p w14:paraId="1DE10CDB" w14:textId="77777777" w:rsidR="002229D7" w:rsidRPr="003715B3" w:rsidRDefault="002229D7" w:rsidP="006A577A">
            <w:pPr>
              <w:jc w:val="center"/>
              <w:rPr>
                <w:rFonts w:ascii="Palatino Linotype" w:hAnsi="Palatino Linotype" w:cs="Arial"/>
                <w:szCs w:val="22"/>
              </w:rPr>
            </w:pPr>
          </w:p>
        </w:tc>
        <w:tc>
          <w:tcPr>
            <w:tcW w:w="5186" w:type="dxa"/>
          </w:tcPr>
          <w:p w14:paraId="5DB6F6C4" w14:textId="77777777" w:rsidR="002229D7" w:rsidRPr="003715B3" w:rsidRDefault="002229D7" w:rsidP="006A577A">
            <w:pPr>
              <w:jc w:val="center"/>
              <w:rPr>
                <w:rFonts w:ascii="Palatino Linotype" w:hAnsi="Palatino Linotype" w:cs="Arial"/>
                <w:szCs w:val="22"/>
              </w:rPr>
            </w:pPr>
          </w:p>
        </w:tc>
        <w:tc>
          <w:tcPr>
            <w:tcW w:w="2554" w:type="dxa"/>
          </w:tcPr>
          <w:p w14:paraId="4F259970" w14:textId="77777777" w:rsidR="002229D7" w:rsidRPr="003715B3" w:rsidRDefault="002229D7" w:rsidP="006A577A">
            <w:pPr>
              <w:jc w:val="center"/>
              <w:rPr>
                <w:rFonts w:ascii="Palatino Linotype" w:hAnsi="Palatino Linotype" w:cs="Arial"/>
                <w:szCs w:val="22"/>
              </w:rPr>
            </w:pPr>
          </w:p>
        </w:tc>
      </w:tr>
      <w:tr w:rsidR="002229D7" w:rsidRPr="003715B3" w14:paraId="2DA084F5" w14:textId="77777777" w:rsidTr="006A577A">
        <w:tc>
          <w:tcPr>
            <w:tcW w:w="1548" w:type="dxa"/>
          </w:tcPr>
          <w:p w14:paraId="6BDD8002" w14:textId="77777777" w:rsidR="002229D7" w:rsidRPr="003715B3" w:rsidRDefault="002229D7" w:rsidP="006A577A">
            <w:pPr>
              <w:jc w:val="center"/>
              <w:rPr>
                <w:rFonts w:ascii="Palatino Linotype" w:hAnsi="Palatino Linotype" w:cs="Arial"/>
                <w:szCs w:val="22"/>
              </w:rPr>
            </w:pPr>
          </w:p>
        </w:tc>
        <w:tc>
          <w:tcPr>
            <w:tcW w:w="5186" w:type="dxa"/>
          </w:tcPr>
          <w:p w14:paraId="2B84CD61" w14:textId="77777777" w:rsidR="002229D7" w:rsidRPr="003715B3" w:rsidRDefault="002229D7" w:rsidP="006A577A">
            <w:pPr>
              <w:jc w:val="center"/>
              <w:rPr>
                <w:rFonts w:ascii="Palatino Linotype" w:hAnsi="Palatino Linotype" w:cs="Arial"/>
                <w:szCs w:val="22"/>
              </w:rPr>
            </w:pPr>
          </w:p>
        </w:tc>
        <w:tc>
          <w:tcPr>
            <w:tcW w:w="2554" w:type="dxa"/>
          </w:tcPr>
          <w:p w14:paraId="20C7D76F" w14:textId="77777777" w:rsidR="002229D7" w:rsidRPr="003715B3" w:rsidRDefault="002229D7" w:rsidP="006A577A">
            <w:pPr>
              <w:jc w:val="center"/>
              <w:rPr>
                <w:rFonts w:ascii="Palatino Linotype" w:hAnsi="Palatino Linotype" w:cs="Arial"/>
                <w:szCs w:val="22"/>
              </w:rPr>
            </w:pPr>
          </w:p>
        </w:tc>
      </w:tr>
      <w:tr w:rsidR="002229D7" w:rsidRPr="003715B3" w14:paraId="1CD54654" w14:textId="77777777" w:rsidTr="006A577A">
        <w:tc>
          <w:tcPr>
            <w:tcW w:w="1548" w:type="dxa"/>
          </w:tcPr>
          <w:p w14:paraId="0219775C" w14:textId="77777777" w:rsidR="002229D7" w:rsidRPr="003715B3" w:rsidRDefault="002229D7" w:rsidP="006A577A">
            <w:pPr>
              <w:jc w:val="center"/>
              <w:rPr>
                <w:rFonts w:ascii="Palatino Linotype" w:hAnsi="Palatino Linotype" w:cs="Arial"/>
                <w:szCs w:val="22"/>
              </w:rPr>
            </w:pPr>
          </w:p>
        </w:tc>
        <w:tc>
          <w:tcPr>
            <w:tcW w:w="5186" w:type="dxa"/>
          </w:tcPr>
          <w:p w14:paraId="2604BB6C" w14:textId="77777777" w:rsidR="002229D7" w:rsidRPr="003715B3" w:rsidRDefault="002229D7" w:rsidP="006A577A">
            <w:pPr>
              <w:jc w:val="center"/>
              <w:rPr>
                <w:rFonts w:ascii="Palatino Linotype" w:hAnsi="Palatino Linotype" w:cs="Arial"/>
                <w:szCs w:val="22"/>
              </w:rPr>
            </w:pPr>
          </w:p>
        </w:tc>
        <w:tc>
          <w:tcPr>
            <w:tcW w:w="2554" w:type="dxa"/>
          </w:tcPr>
          <w:p w14:paraId="1E96DE27" w14:textId="77777777" w:rsidR="002229D7" w:rsidRPr="003715B3" w:rsidRDefault="002229D7" w:rsidP="006A577A">
            <w:pPr>
              <w:jc w:val="center"/>
              <w:rPr>
                <w:rFonts w:ascii="Palatino Linotype" w:hAnsi="Palatino Linotype" w:cs="Arial"/>
                <w:szCs w:val="22"/>
              </w:rPr>
            </w:pPr>
          </w:p>
        </w:tc>
      </w:tr>
      <w:tr w:rsidR="002229D7" w:rsidRPr="003715B3" w14:paraId="15E36B40" w14:textId="77777777" w:rsidTr="006A577A">
        <w:tc>
          <w:tcPr>
            <w:tcW w:w="1548" w:type="dxa"/>
          </w:tcPr>
          <w:p w14:paraId="3CF7B4EB" w14:textId="77777777" w:rsidR="002229D7" w:rsidRPr="003715B3" w:rsidRDefault="002229D7" w:rsidP="006A577A">
            <w:pPr>
              <w:jc w:val="center"/>
              <w:rPr>
                <w:rFonts w:ascii="Palatino Linotype" w:hAnsi="Palatino Linotype" w:cs="Arial"/>
                <w:szCs w:val="22"/>
              </w:rPr>
            </w:pPr>
          </w:p>
        </w:tc>
        <w:tc>
          <w:tcPr>
            <w:tcW w:w="5186" w:type="dxa"/>
          </w:tcPr>
          <w:p w14:paraId="05E48240" w14:textId="77777777" w:rsidR="002229D7" w:rsidRPr="003715B3" w:rsidRDefault="002229D7" w:rsidP="006A577A">
            <w:pPr>
              <w:jc w:val="center"/>
              <w:rPr>
                <w:rFonts w:ascii="Palatino Linotype" w:hAnsi="Palatino Linotype" w:cs="Arial"/>
                <w:szCs w:val="22"/>
              </w:rPr>
            </w:pPr>
          </w:p>
        </w:tc>
        <w:tc>
          <w:tcPr>
            <w:tcW w:w="2554" w:type="dxa"/>
          </w:tcPr>
          <w:p w14:paraId="2A6593CA" w14:textId="77777777" w:rsidR="002229D7" w:rsidRPr="003715B3" w:rsidRDefault="002229D7" w:rsidP="006A577A">
            <w:pPr>
              <w:jc w:val="center"/>
              <w:rPr>
                <w:rFonts w:ascii="Palatino Linotype" w:hAnsi="Palatino Linotype" w:cs="Arial"/>
                <w:szCs w:val="22"/>
              </w:rPr>
            </w:pPr>
          </w:p>
        </w:tc>
      </w:tr>
      <w:tr w:rsidR="002229D7" w:rsidRPr="003715B3" w14:paraId="7386F564" w14:textId="77777777" w:rsidTr="006A577A">
        <w:tc>
          <w:tcPr>
            <w:tcW w:w="1548" w:type="dxa"/>
          </w:tcPr>
          <w:p w14:paraId="509638EF" w14:textId="77777777" w:rsidR="002229D7" w:rsidRPr="003715B3" w:rsidRDefault="002229D7" w:rsidP="006A577A">
            <w:pPr>
              <w:jc w:val="center"/>
              <w:rPr>
                <w:rFonts w:ascii="Palatino Linotype" w:hAnsi="Palatino Linotype" w:cs="Arial"/>
                <w:szCs w:val="22"/>
              </w:rPr>
            </w:pPr>
          </w:p>
        </w:tc>
        <w:tc>
          <w:tcPr>
            <w:tcW w:w="5186" w:type="dxa"/>
          </w:tcPr>
          <w:p w14:paraId="2E131BFE" w14:textId="77777777" w:rsidR="002229D7" w:rsidRPr="003715B3" w:rsidRDefault="002229D7" w:rsidP="006A577A">
            <w:pPr>
              <w:jc w:val="center"/>
              <w:rPr>
                <w:rFonts w:ascii="Palatino Linotype" w:hAnsi="Palatino Linotype" w:cs="Arial"/>
                <w:szCs w:val="22"/>
              </w:rPr>
            </w:pPr>
          </w:p>
        </w:tc>
        <w:tc>
          <w:tcPr>
            <w:tcW w:w="2554" w:type="dxa"/>
          </w:tcPr>
          <w:p w14:paraId="2E2599B8" w14:textId="77777777" w:rsidR="002229D7" w:rsidRPr="003715B3" w:rsidRDefault="002229D7" w:rsidP="006A577A">
            <w:pPr>
              <w:jc w:val="center"/>
              <w:rPr>
                <w:rFonts w:ascii="Palatino Linotype" w:hAnsi="Palatino Linotype" w:cs="Arial"/>
                <w:szCs w:val="22"/>
              </w:rPr>
            </w:pPr>
          </w:p>
        </w:tc>
      </w:tr>
      <w:tr w:rsidR="002229D7" w:rsidRPr="003715B3" w14:paraId="561CF2D5" w14:textId="77777777" w:rsidTr="006A577A">
        <w:tc>
          <w:tcPr>
            <w:tcW w:w="1548" w:type="dxa"/>
          </w:tcPr>
          <w:p w14:paraId="1B80FD75" w14:textId="77777777" w:rsidR="002229D7" w:rsidRPr="003715B3" w:rsidRDefault="002229D7" w:rsidP="006A577A">
            <w:pPr>
              <w:jc w:val="center"/>
              <w:rPr>
                <w:rFonts w:ascii="Palatino Linotype" w:hAnsi="Palatino Linotype" w:cs="Arial"/>
                <w:szCs w:val="22"/>
              </w:rPr>
            </w:pPr>
          </w:p>
        </w:tc>
        <w:tc>
          <w:tcPr>
            <w:tcW w:w="5186" w:type="dxa"/>
          </w:tcPr>
          <w:p w14:paraId="3E883C5C" w14:textId="77777777" w:rsidR="002229D7" w:rsidRPr="003715B3" w:rsidRDefault="002229D7" w:rsidP="006A577A">
            <w:pPr>
              <w:jc w:val="center"/>
              <w:rPr>
                <w:rFonts w:ascii="Palatino Linotype" w:hAnsi="Palatino Linotype" w:cs="Arial"/>
                <w:szCs w:val="22"/>
              </w:rPr>
            </w:pPr>
          </w:p>
        </w:tc>
        <w:tc>
          <w:tcPr>
            <w:tcW w:w="2554" w:type="dxa"/>
          </w:tcPr>
          <w:p w14:paraId="0B805A82" w14:textId="77777777" w:rsidR="002229D7" w:rsidRPr="003715B3" w:rsidRDefault="002229D7" w:rsidP="006A577A">
            <w:pPr>
              <w:jc w:val="center"/>
              <w:rPr>
                <w:rFonts w:ascii="Palatino Linotype" w:hAnsi="Palatino Linotype" w:cs="Arial"/>
                <w:szCs w:val="22"/>
              </w:rPr>
            </w:pPr>
          </w:p>
        </w:tc>
      </w:tr>
      <w:tr w:rsidR="002229D7" w:rsidRPr="003715B3" w14:paraId="20DBC4F3" w14:textId="77777777" w:rsidTr="006A577A">
        <w:tc>
          <w:tcPr>
            <w:tcW w:w="1548" w:type="dxa"/>
          </w:tcPr>
          <w:p w14:paraId="2F9CCBC4" w14:textId="77777777" w:rsidR="002229D7" w:rsidRPr="003715B3" w:rsidRDefault="002229D7" w:rsidP="006A577A">
            <w:pPr>
              <w:jc w:val="center"/>
              <w:rPr>
                <w:rFonts w:ascii="Palatino Linotype" w:hAnsi="Palatino Linotype" w:cs="Arial"/>
                <w:szCs w:val="22"/>
              </w:rPr>
            </w:pPr>
          </w:p>
        </w:tc>
        <w:tc>
          <w:tcPr>
            <w:tcW w:w="5186" w:type="dxa"/>
          </w:tcPr>
          <w:p w14:paraId="2D41F7BE" w14:textId="77777777" w:rsidR="002229D7" w:rsidRPr="003715B3" w:rsidRDefault="002229D7" w:rsidP="006A577A">
            <w:pPr>
              <w:jc w:val="center"/>
              <w:rPr>
                <w:rFonts w:ascii="Palatino Linotype" w:hAnsi="Palatino Linotype" w:cs="Arial"/>
                <w:szCs w:val="22"/>
              </w:rPr>
            </w:pPr>
          </w:p>
        </w:tc>
        <w:tc>
          <w:tcPr>
            <w:tcW w:w="2554" w:type="dxa"/>
          </w:tcPr>
          <w:p w14:paraId="56CA102F" w14:textId="77777777" w:rsidR="002229D7" w:rsidRPr="003715B3" w:rsidRDefault="002229D7" w:rsidP="006A577A">
            <w:pPr>
              <w:jc w:val="center"/>
              <w:rPr>
                <w:rFonts w:ascii="Palatino Linotype" w:hAnsi="Palatino Linotype" w:cs="Arial"/>
                <w:szCs w:val="22"/>
              </w:rPr>
            </w:pPr>
          </w:p>
        </w:tc>
      </w:tr>
      <w:tr w:rsidR="002229D7" w:rsidRPr="003715B3" w14:paraId="663130B3" w14:textId="77777777" w:rsidTr="006A577A">
        <w:tc>
          <w:tcPr>
            <w:tcW w:w="1548" w:type="dxa"/>
          </w:tcPr>
          <w:p w14:paraId="2A1F6B01" w14:textId="77777777" w:rsidR="002229D7" w:rsidRPr="003715B3" w:rsidRDefault="002229D7" w:rsidP="006A577A">
            <w:pPr>
              <w:jc w:val="center"/>
              <w:rPr>
                <w:rFonts w:ascii="Palatino Linotype" w:hAnsi="Palatino Linotype" w:cs="Arial"/>
                <w:szCs w:val="22"/>
              </w:rPr>
            </w:pPr>
          </w:p>
        </w:tc>
        <w:tc>
          <w:tcPr>
            <w:tcW w:w="5186" w:type="dxa"/>
          </w:tcPr>
          <w:p w14:paraId="1258DF35" w14:textId="77777777" w:rsidR="002229D7" w:rsidRPr="003715B3" w:rsidRDefault="002229D7" w:rsidP="006A577A">
            <w:pPr>
              <w:jc w:val="center"/>
              <w:rPr>
                <w:rFonts w:ascii="Palatino Linotype" w:hAnsi="Palatino Linotype" w:cs="Arial"/>
                <w:szCs w:val="22"/>
              </w:rPr>
            </w:pPr>
          </w:p>
        </w:tc>
        <w:tc>
          <w:tcPr>
            <w:tcW w:w="2554" w:type="dxa"/>
          </w:tcPr>
          <w:p w14:paraId="76779F8F" w14:textId="77777777" w:rsidR="002229D7" w:rsidRPr="003715B3" w:rsidRDefault="002229D7" w:rsidP="006A577A">
            <w:pPr>
              <w:jc w:val="center"/>
              <w:rPr>
                <w:rFonts w:ascii="Palatino Linotype" w:hAnsi="Palatino Linotype" w:cs="Arial"/>
                <w:szCs w:val="22"/>
              </w:rPr>
            </w:pPr>
          </w:p>
        </w:tc>
      </w:tr>
      <w:tr w:rsidR="002229D7" w:rsidRPr="003715B3" w14:paraId="152B6488" w14:textId="77777777" w:rsidTr="006A577A">
        <w:tc>
          <w:tcPr>
            <w:tcW w:w="1548" w:type="dxa"/>
          </w:tcPr>
          <w:p w14:paraId="082637B2" w14:textId="77777777" w:rsidR="002229D7" w:rsidRPr="003715B3" w:rsidRDefault="002229D7" w:rsidP="006A577A">
            <w:pPr>
              <w:jc w:val="center"/>
              <w:rPr>
                <w:rFonts w:ascii="Palatino Linotype" w:hAnsi="Palatino Linotype" w:cs="Arial"/>
                <w:szCs w:val="22"/>
              </w:rPr>
            </w:pPr>
          </w:p>
        </w:tc>
        <w:tc>
          <w:tcPr>
            <w:tcW w:w="5186" w:type="dxa"/>
          </w:tcPr>
          <w:p w14:paraId="3D335406" w14:textId="77777777" w:rsidR="002229D7" w:rsidRPr="003715B3" w:rsidRDefault="002229D7" w:rsidP="006A577A">
            <w:pPr>
              <w:jc w:val="center"/>
              <w:rPr>
                <w:rFonts w:ascii="Palatino Linotype" w:hAnsi="Palatino Linotype" w:cs="Arial"/>
                <w:szCs w:val="22"/>
              </w:rPr>
            </w:pPr>
          </w:p>
        </w:tc>
        <w:tc>
          <w:tcPr>
            <w:tcW w:w="2554" w:type="dxa"/>
          </w:tcPr>
          <w:p w14:paraId="752B3208" w14:textId="77777777" w:rsidR="002229D7" w:rsidRPr="003715B3" w:rsidRDefault="002229D7" w:rsidP="006A577A">
            <w:pPr>
              <w:jc w:val="center"/>
              <w:rPr>
                <w:rFonts w:ascii="Palatino Linotype" w:hAnsi="Palatino Linotype" w:cs="Arial"/>
                <w:szCs w:val="22"/>
              </w:rPr>
            </w:pPr>
          </w:p>
        </w:tc>
      </w:tr>
      <w:tr w:rsidR="002229D7" w:rsidRPr="003715B3" w14:paraId="437D807E" w14:textId="77777777" w:rsidTr="006A577A">
        <w:tc>
          <w:tcPr>
            <w:tcW w:w="1548" w:type="dxa"/>
          </w:tcPr>
          <w:p w14:paraId="3CBC6031" w14:textId="77777777" w:rsidR="002229D7" w:rsidRPr="003715B3" w:rsidRDefault="002229D7" w:rsidP="006A577A">
            <w:pPr>
              <w:jc w:val="center"/>
              <w:rPr>
                <w:rFonts w:ascii="Palatino Linotype" w:hAnsi="Palatino Linotype" w:cs="Arial"/>
                <w:szCs w:val="22"/>
              </w:rPr>
            </w:pPr>
          </w:p>
        </w:tc>
        <w:tc>
          <w:tcPr>
            <w:tcW w:w="5186" w:type="dxa"/>
          </w:tcPr>
          <w:p w14:paraId="21C306C7" w14:textId="77777777" w:rsidR="002229D7" w:rsidRPr="003715B3" w:rsidRDefault="002229D7" w:rsidP="006A577A">
            <w:pPr>
              <w:jc w:val="center"/>
              <w:rPr>
                <w:rFonts w:ascii="Palatino Linotype" w:hAnsi="Palatino Linotype" w:cs="Arial"/>
                <w:szCs w:val="22"/>
              </w:rPr>
            </w:pPr>
          </w:p>
        </w:tc>
        <w:tc>
          <w:tcPr>
            <w:tcW w:w="2554" w:type="dxa"/>
          </w:tcPr>
          <w:p w14:paraId="51E7C500" w14:textId="77777777" w:rsidR="002229D7" w:rsidRPr="003715B3" w:rsidRDefault="002229D7" w:rsidP="006A577A">
            <w:pPr>
              <w:jc w:val="center"/>
              <w:rPr>
                <w:rFonts w:ascii="Palatino Linotype" w:hAnsi="Palatino Linotype" w:cs="Arial"/>
                <w:szCs w:val="22"/>
              </w:rPr>
            </w:pPr>
          </w:p>
        </w:tc>
      </w:tr>
      <w:tr w:rsidR="002229D7" w:rsidRPr="003715B3" w14:paraId="19A82ADE" w14:textId="77777777" w:rsidTr="006A577A">
        <w:tc>
          <w:tcPr>
            <w:tcW w:w="1548" w:type="dxa"/>
          </w:tcPr>
          <w:p w14:paraId="40B74667" w14:textId="77777777" w:rsidR="002229D7" w:rsidRPr="003715B3" w:rsidRDefault="002229D7" w:rsidP="006A577A">
            <w:pPr>
              <w:jc w:val="center"/>
              <w:rPr>
                <w:rFonts w:ascii="Palatino Linotype" w:hAnsi="Palatino Linotype" w:cs="Arial"/>
                <w:szCs w:val="22"/>
              </w:rPr>
            </w:pPr>
          </w:p>
        </w:tc>
        <w:tc>
          <w:tcPr>
            <w:tcW w:w="5186" w:type="dxa"/>
          </w:tcPr>
          <w:p w14:paraId="5214B515" w14:textId="77777777" w:rsidR="002229D7" w:rsidRPr="003715B3" w:rsidRDefault="002229D7" w:rsidP="006A577A">
            <w:pPr>
              <w:jc w:val="center"/>
              <w:rPr>
                <w:rFonts w:ascii="Palatino Linotype" w:hAnsi="Palatino Linotype" w:cs="Arial"/>
                <w:szCs w:val="22"/>
              </w:rPr>
            </w:pPr>
          </w:p>
        </w:tc>
        <w:tc>
          <w:tcPr>
            <w:tcW w:w="2554" w:type="dxa"/>
          </w:tcPr>
          <w:p w14:paraId="7F73D465" w14:textId="77777777" w:rsidR="002229D7" w:rsidRPr="003715B3" w:rsidRDefault="002229D7" w:rsidP="006A577A">
            <w:pPr>
              <w:jc w:val="center"/>
              <w:rPr>
                <w:rFonts w:ascii="Palatino Linotype" w:hAnsi="Palatino Linotype" w:cs="Arial"/>
                <w:szCs w:val="22"/>
              </w:rPr>
            </w:pPr>
          </w:p>
        </w:tc>
      </w:tr>
      <w:tr w:rsidR="002229D7" w:rsidRPr="003715B3" w14:paraId="60AEC949" w14:textId="77777777" w:rsidTr="006A577A">
        <w:tc>
          <w:tcPr>
            <w:tcW w:w="1548" w:type="dxa"/>
          </w:tcPr>
          <w:p w14:paraId="63814A02" w14:textId="77777777" w:rsidR="002229D7" w:rsidRPr="003715B3" w:rsidRDefault="002229D7" w:rsidP="006A577A">
            <w:pPr>
              <w:jc w:val="center"/>
              <w:rPr>
                <w:rFonts w:ascii="Palatino Linotype" w:hAnsi="Palatino Linotype" w:cs="Arial"/>
                <w:szCs w:val="22"/>
              </w:rPr>
            </w:pPr>
          </w:p>
        </w:tc>
        <w:tc>
          <w:tcPr>
            <w:tcW w:w="5186" w:type="dxa"/>
          </w:tcPr>
          <w:p w14:paraId="720113E1" w14:textId="77777777" w:rsidR="002229D7" w:rsidRPr="003715B3" w:rsidRDefault="002229D7" w:rsidP="006A577A">
            <w:pPr>
              <w:jc w:val="center"/>
              <w:rPr>
                <w:rFonts w:ascii="Palatino Linotype" w:hAnsi="Palatino Linotype" w:cs="Arial"/>
                <w:szCs w:val="22"/>
              </w:rPr>
            </w:pPr>
          </w:p>
        </w:tc>
        <w:tc>
          <w:tcPr>
            <w:tcW w:w="2554" w:type="dxa"/>
          </w:tcPr>
          <w:p w14:paraId="2E6480D2" w14:textId="77777777" w:rsidR="002229D7" w:rsidRPr="003715B3" w:rsidRDefault="002229D7" w:rsidP="006A577A">
            <w:pPr>
              <w:jc w:val="center"/>
              <w:rPr>
                <w:rFonts w:ascii="Palatino Linotype" w:hAnsi="Palatino Linotype" w:cs="Arial"/>
                <w:szCs w:val="22"/>
              </w:rPr>
            </w:pPr>
          </w:p>
        </w:tc>
      </w:tr>
      <w:tr w:rsidR="002229D7" w:rsidRPr="003715B3" w14:paraId="4415DD19" w14:textId="77777777" w:rsidTr="006A577A">
        <w:tc>
          <w:tcPr>
            <w:tcW w:w="1548" w:type="dxa"/>
          </w:tcPr>
          <w:p w14:paraId="2C6CDCEC" w14:textId="77777777" w:rsidR="002229D7" w:rsidRPr="003715B3" w:rsidRDefault="002229D7" w:rsidP="006A577A">
            <w:pPr>
              <w:jc w:val="center"/>
              <w:rPr>
                <w:rFonts w:ascii="Palatino Linotype" w:hAnsi="Palatino Linotype" w:cs="Arial"/>
                <w:szCs w:val="22"/>
              </w:rPr>
            </w:pPr>
          </w:p>
        </w:tc>
        <w:tc>
          <w:tcPr>
            <w:tcW w:w="5186" w:type="dxa"/>
          </w:tcPr>
          <w:p w14:paraId="676416AF" w14:textId="77777777" w:rsidR="002229D7" w:rsidRPr="003715B3" w:rsidRDefault="002229D7" w:rsidP="006A577A">
            <w:pPr>
              <w:jc w:val="center"/>
              <w:rPr>
                <w:rFonts w:ascii="Palatino Linotype" w:hAnsi="Palatino Linotype" w:cs="Arial"/>
                <w:szCs w:val="22"/>
              </w:rPr>
            </w:pPr>
          </w:p>
        </w:tc>
        <w:tc>
          <w:tcPr>
            <w:tcW w:w="2554" w:type="dxa"/>
          </w:tcPr>
          <w:p w14:paraId="05C72652" w14:textId="77777777" w:rsidR="002229D7" w:rsidRPr="003715B3" w:rsidRDefault="002229D7" w:rsidP="006A577A">
            <w:pPr>
              <w:jc w:val="center"/>
              <w:rPr>
                <w:rFonts w:ascii="Palatino Linotype" w:hAnsi="Palatino Linotype" w:cs="Arial"/>
                <w:szCs w:val="22"/>
              </w:rPr>
            </w:pPr>
          </w:p>
        </w:tc>
      </w:tr>
      <w:tr w:rsidR="002229D7" w:rsidRPr="003715B3" w14:paraId="0EEFD70A" w14:textId="77777777" w:rsidTr="006A577A">
        <w:tc>
          <w:tcPr>
            <w:tcW w:w="1548" w:type="dxa"/>
          </w:tcPr>
          <w:p w14:paraId="15CFE299" w14:textId="77777777" w:rsidR="002229D7" w:rsidRPr="003715B3" w:rsidRDefault="002229D7" w:rsidP="006A577A">
            <w:pPr>
              <w:jc w:val="center"/>
              <w:rPr>
                <w:rFonts w:ascii="Palatino Linotype" w:hAnsi="Palatino Linotype" w:cs="Arial"/>
                <w:szCs w:val="22"/>
              </w:rPr>
            </w:pPr>
          </w:p>
        </w:tc>
        <w:tc>
          <w:tcPr>
            <w:tcW w:w="5186" w:type="dxa"/>
          </w:tcPr>
          <w:p w14:paraId="6334CB3E" w14:textId="77777777" w:rsidR="002229D7" w:rsidRPr="003715B3" w:rsidRDefault="002229D7" w:rsidP="006A577A">
            <w:pPr>
              <w:jc w:val="center"/>
              <w:rPr>
                <w:rFonts w:ascii="Palatino Linotype" w:hAnsi="Palatino Linotype" w:cs="Arial"/>
                <w:szCs w:val="22"/>
              </w:rPr>
            </w:pPr>
          </w:p>
        </w:tc>
        <w:tc>
          <w:tcPr>
            <w:tcW w:w="2554" w:type="dxa"/>
          </w:tcPr>
          <w:p w14:paraId="7B65E42F" w14:textId="77777777" w:rsidR="002229D7" w:rsidRPr="003715B3" w:rsidRDefault="002229D7" w:rsidP="006A577A">
            <w:pPr>
              <w:jc w:val="center"/>
              <w:rPr>
                <w:rFonts w:ascii="Palatino Linotype" w:hAnsi="Palatino Linotype" w:cs="Arial"/>
                <w:szCs w:val="22"/>
              </w:rPr>
            </w:pPr>
          </w:p>
        </w:tc>
      </w:tr>
      <w:tr w:rsidR="002229D7" w:rsidRPr="003715B3" w14:paraId="338EEE47" w14:textId="77777777" w:rsidTr="006A577A">
        <w:tc>
          <w:tcPr>
            <w:tcW w:w="1548" w:type="dxa"/>
          </w:tcPr>
          <w:p w14:paraId="221946C5" w14:textId="77777777" w:rsidR="002229D7" w:rsidRPr="003715B3" w:rsidRDefault="002229D7" w:rsidP="006A577A">
            <w:pPr>
              <w:jc w:val="center"/>
              <w:rPr>
                <w:rFonts w:ascii="Palatino Linotype" w:hAnsi="Palatino Linotype" w:cs="Arial"/>
                <w:szCs w:val="22"/>
              </w:rPr>
            </w:pPr>
          </w:p>
        </w:tc>
        <w:tc>
          <w:tcPr>
            <w:tcW w:w="5186" w:type="dxa"/>
          </w:tcPr>
          <w:p w14:paraId="3EBCA685" w14:textId="77777777" w:rsidR="002229D7" w:rsidRPr="003715B3" w:rsidRDefault="002229D7" w:rsidP="006A577A">
            <w:pPr>
              <w:jc w:val="center"/>
              <w:rPr>
                <w:rFonts w:ascii="Palatino Linotype" w:hAnsi="Palatino Linotype" w:cs="Arial"/>
                <w:szCs w:val="22"/>
              </w:rPr>
            </w:pPr>
          </w:p>
        </w:tc>
        <w:tc>
          <w:tcPr>
            <w:tcW w:w="2554" w:type="dxa"/>
          </w:tcPr>
          <w:p w14:paraId="664D0392" w14:textId="77777777" w:rsidR="002229D7" w:rsidRPr="003715B3" w:rsidRDefault="002229D7" w:rsidP="006A577A">
            <w:pPr>
              <w:jc w:val="center"/>
              <w:rPr>
                <w:rFonts w:ascii="Palatino Linotype" w:hAnsi="Palatino Linotype" w:cs="Arial"/>
                <w:szCs w:val="22"/>
              </w:rPr>
            </w:pPr>
          </w:p>
        </w:tc>
      </w:tr>
      <w:tr w:rsidR="002229D7" w:rsidRPr="003715B3" w14:paraId="431E073D" w14:textId="77777777" w:rsidTr="006A577A">
        <w:tc>
          <w:tcPr>
            <w:tcW w:w="1548" w:type="dxa"/>
          </w:tcPr>
          <w:p w14:paraId="0D57E566" w14:textId="77777777" w:rsidR="002229D7" w:rsidRPr="003715B3" w:rsidRDefault="002229D7" w:rsidP="006A577A">
            <w:pPr>
              <w:jc w:val="center"/>
              <w:rPr>
                <w:rFonts w:ascii="Palatino Linotype" w:hAnsi="Palatino Linotype" w:cs="Arial"/>
                <w:szCs w:val="22"/>
              </w:rPr>
            </w:pPr>
          </w:p>
        </w:tc>
        <w:tc>
          <w:tcPr>
            <w:tcW w:w="5186" w:type="dxa"/>
          </w:tcPr>
          <w:p w14:paraId="00083819" w14:textId="77777777" w:rsidR="002229D7" w:rsidRPr="003715B3" w:rsidRDefault="002229D7" w:rsidP="006A577A">
            <w:pPr>
              <w:jc w:val="center"/>
              <w:rPr>
                <w:rFonts w:ascii="Palatino Linotype" w:hAnsi="Palatino Linotype" w:cs="Arial"/>
                <w:szCs w:val="22"/>
              </w:rPr>
            </w:pPr>
          </w:p>
        </w:tc>
        <w:tc>
          <w:tcPr>
            <w:tcW w:w="2554" w:type="dxa"/>
          </w:tcPr>
          <w:p w14:paraId="565CD9D8" w14:textId="77777777" w:rsidR="002229D7" w:rsidRPr="003715B3" w:rsidRDefault="002229D7" w:rsidP="006A577A">
            <w:pPr>
              <w:jc w:val="center"/>
              <w:rPr>
                <w:rFonts w:ascii="Palatino Linotype" w:hAnsi="Palatino Linotype" w:cs="Arial"/>
                <w:szCs w:val="22"/>
              </w:rPr>
            </w:pPr>
          </w:p>
        </w:tc>
      </w:tr>
      <w:tr w:rsidR="002229D7" w:rsidRPr="003715B3" w14:paraId="7BFA94F2" w14:textId="77777777" w:rsidTr="006A577A">
        <w:tc>
          <w:tcPr>
            <w:tcW w:w="1548" w:type="dxa"/>
          </w:tcPr>
          <w:p w14:paraId="7208997B" w14:textId="77777777" w:rsidR="002229D7" w:rsidRPr="003715B3" w:rsidRDefault="002229D7" w:rsidP="006A577A">
            <w:pPr>
              <w:jc w:val="center"/>
              <w:rPr>
                <w:rFonts w:ascii="Palatino Linotype" w:hAnsi="Palatino Linotype" w:cs="Arial"/>
                <w:szCs w:val="22"/>
              </w:rPr>
            </w:pPr>
          </w:p>
        </w:tc>
        <w:tc>
          <w:tcPr>
            <w:tcW w:w="5186" w:type="dxa"/>
          </w:tcPr>
          <w:p w14:paraId="4EF4FA38" w14:textId="77777777" w:rsidR="002229D7" w:rsidRPr="003715B3" w:rsidRDefault="002229D7" w:rsidP="006A577A">
            <w:pPr>
              <w:jc w:val="center"/>
              <w:rPr>
                <w:rFonts w:ascii="Palatino Linotype" w:hAnsi="Palatino Linotype" w:cs="Arial"/>
                <w:szCs w:val="22"/>
              </w:rPr>
            </w:pPr>
          </w:p>
        </w:tc>
        <w:tc>
          <w:tcPr>
            <w:tcW w:w="2554" w:type="dxa"/>
          </w:tcPr>
          <w:p w14:paraId="27301DF9" w14:textId="77777777" w:rsidR="002229D7" w:rsidRPr="003715B3" w:rsidRDefault="002229D7" w:rsidP="006A577A">
            <w:pPr>
              <w:jc w:val="center"/>
              <w:rPr>
                <w:rFonts w:ascii="Palatino Linotype" w:hAnsi="Palatino Linotype" w:cs="Arial"/>
                <w:szCs w:val="22"/>
              </w:rPr>
            </w:pPr>
          </w:p>
        </w:tc>
      </w:tr>
      <w:tr w:rsidR="002229D7" w:rsidRPr="003715B3" w14:paraId="5775F531" w14:textId="77777777" w:rsidTr="006A577A">
        <w:tc>
          <w:tcPr>
            <w:tcW w:w="1548" w:type="dxa"/>
          </w:tcPr>
          <w:p w14:paraId="573110A8" w14:textId="77777777" w:rsidR="002229D7" w:rsidRPr="003715B3" w:rsidRDefault="002229D7" w:rsidP="006A577A">
            <w:pPr>
              <w:jc w:val="center"/>
              <w:rPr>
                <w:rFonts w:ascii="Palatino Linotype" w:hAnsi="Palatino Linotype" w:cs="Arial"/>
                <w:szCs w:val="22"/>
              </w:rPr>
            </w:pPr>
          </w:p>
        </w:tc>
        <w:tc>
          <w:tcPr>
            <w:tcW w:w="5186" w:type="dxa"/>
          </w:tcPr>
          <w:p w14:paraId="1058E9E8" w14:textId="77777777" w:rsidR="002229D7" w:rsidRPr="003715B3" w:rsidRDefault="002229D7" w:rsidP="006A577A">
            <w:pPr>
              <w:jc w:val="center"/>
              <w:rPr>
                <w:rFonts w:ascii="Palatino Linotype" w:hAnsi="Palatino Linotype" w:cs="Arial"/>
                <w:szCs w:val="22"/>
              </w:rPr>
            </w:pPr>
          </w:p>
        </w:tc>
        <w:tc>
          <w:tcPr>
            <w:tcW w:w="2554" w:type="dxa"/>
          </w:tcPr>
          <w:p w14:paraId="3E1219D6" w14:textId="77777777" w:rsidR="002229D7" w:rsidRPr="003715B3" w:rsidRDefault="002229D7" w:rsidP="006A577A">
            <w:pPr>
              <w:jc w:val="center"/>
              <w:rPr>
                <w:rFonts w:ascii="Palatino Linotype" w:hAnsi="Palatino Linotype" w:cs="Arial"/>
                <w:szCs w:val="22"/>
              </w:rPr>
            </w:pPr>
          </w:p>
        </w:tc>
      </w:tr>
      <w:tr w:rsidR="002229D7" w:rsidRPr="003715B3" w14:paraId="6786DB41" w14:textId="77777777" w:rsidTr="006A577A">
        <w:tc>
          <w:tcPr>
            <w:tcW w:w="1548" w:type="dxa"/>
          </w:tcPr>
          <w:p w14:paraId="634C3975" w14:textId="77777777" w:rsidR="002229D7" w:rsidRPr="003715B3" w:rsidRDefault="002229D7" w:rsidP="006A577A">
            <w:pPr>
              <w:jc w:val="center"/>
              <w:rPr>
                <w:rFonts w:ascii="Palatino Linotype" w:hAnsi="Palatino Linotype" w:cs="Arial"/>
                <w:szCs w:val="22"/>
              </w:rPr>
            </w:pPr>
          </w:p>
        </w:tc>
        <w:tc>
          <w:tcPr>
            <w:tcW w:w="5186" w:type="dxa"/>
          </w:tcPr>
          <w:p w14:paraId="7E45237A" w14:textId="77777777" w:rsidR="002229D7" w:rsidRPr="003715B3" w:rsidRDefault="002229D7" w:rsidP="006A577A">
            <w:pPr>
              <w:jc w:val="center"/>
              <w:rPr>
                <w:rFonts w:ascii="Palatino Linotype" w:hAnsi="Palatino Linotype" w:cs="Arial"/>
                <w:szCs w:val="22"/>
              </w:rPr>
            </w:pPr>
          </w:p>
        </w:tc>
        <w:tc>
          <w:tcPr>
            <w:tcW w:w="2554" w:type="dxa"/>
          </w:tcPr>
          <w:p w14:paraId="3D6F07B1" w14:textId="77777777" w:rsidR="002229D7" w:rsidRPr="003715B3" w:rsidRDefault="002229D7" w:rsidP="006A577A">
            <w:pPr>
              <w:jc w:val="center"/>
              <w:rPr>
                <w:rFonts w:ascii="Palatino Linotype" w:hAnsi="Palatino Linotype" w:cs="Arial"/>
                <w:szCs w:val="22"/>
              </w:rPr>
            </w:pPr>
          </w:p>
        </w:tc>
      </w:tr>
      <w:tr w:rsidR="002229D7" w:rsidRPr="003715B3" w14:paraId="476368DC" w14:textId="77777777" w:rsidTr="006A577A">
        <w:tc>
          <w:tcPr>
            <w:tcW w:w="1548" w:type="dxa"/>
          </w:tcPr>
          <w:p w14:paraId="3B96312B" w14:textId="77777777" w:rsidR="002229D7" w:rsidRPr="003715B3" w:rsidRDefault="002229D7" w:rsidP="006A577A">
            <w:pPr>
              <w:jc w:val="center"/>
              <w:rPr>
                <w:rFonts w:ascii="Palatino Linotype" w:hAnsi="Palatino Linotype" w:cs="Arial"/>
                <w:szCs w:val="22"/>
              </w:rPr>
            </w:pPr>
          </w:p>
        </w:tc>
        <w:tc>
          <w:tcPr>
            <w:tcW w:w="5186" w:type="dxa"/>
          </w:tcPr>
          <w:p w14:paraId="0BE90F53" w14:textId="77777777" w:rsidR="002229D7" w:rsidRPr="003715B3" w:rsidRDefault="002229D7" w:rsidP="006A577A">
            <w:pPr>
              <w:jc w:val="center"/>
              <w:rPr>
                <w:rFonts w:ascii="Palatino Linotype" w:hAnsi="Palatino Linotype" w:cs="Arial"/>
                <w:szCs w:val="22"/>
              </w:rPr>
            </w:pPr>
          </w:p>
        </w:tc>
        <w:tc>
          <w:tcPr>
            <w:tcW w:w="2554" w:type="dxa"/>
          </w:tcPr>
          <w:p w14:paraId="06FD8852" w14:textId="77777777" w:rsidR="002229D7" w:rsidRPr="003715B3" w:rsidRDefault="002229D7" w:rsidP="006A577A">
            <w:pPr>
              <w:jc w:val="center"/>
              <w:rPr>
                <w:rFonts w:ascii="Palatino Linotype" w:hAnsi="Palatino Linotype" w:cs="Arial"/>
                <w:szCs w:val="22"/>
              </w:rPr>
            </w:pPr>
          </w:p>
        </w:tc>
      </w:tr>
      <w:tr w:rsidR="002229D7" w:rsidRPr="003715B3" w14:paraId="4EE0B8ED" w14:textId="77777777" w:rsidTr="006A577A">
        <w:tc>
          <w:tcPr>
            <w:tcW w:w="1548" w:type="dxa"/>
          </w:tcPr>
          <w:p w14:paraId="4BBAAD2B" w14:textId="77777777" w:rsidR="002229D7" w:rsidRPr="003715B3" w:rsidRDefault="002229D7" w:rsidP="006A577A">
            <w:pPr>
              <w:jc w:val="center"/>
              <w:rPr>
                <w:rFonts w:ascii="Palatino Linotype" w:hAnsi="Palatino Linotype" w:cs="Arial"/>
                <w:szCs w:val="22"/>
              </w:rPr>
            </w:pPr>
          </w:p>
        </w:tc>
        <w:tc>
          <w:tcPr>
            <w:tcW w:w="5186" w:type="dxa"/>
          </w:tcPr>
          <w:p w14:paraId="53921E04" w14:textId="77777777" w:rsidR="002229D7" w:rsidRPr="003715B3" w:rsidRDefault="002229D7" w:rsidP="006A577A">
            <w:pPr>
              <w:jc w:val="center"/>
              <w:rPr>
                <w:rFonts w:ascii="Palatino Linotype" w:hAnsi="Palatino Linotype" w:cs="Arial"/>
                <w:szCs w:val="22"/>
              </w:rPr>
            </w:pPr>
          </w:p>
        </w:tc>
        <w:tc>
          <w:tcPr>
            <w:tcW w:w="2554" w:type="dxa"/>
          </w:tcPr>
          <w:p w14:paraId="27965FAA" w14:textId="77777777" w:rsidR="002229D7" w:rsidRPr="003715B3" w:rsidRDefault="002229D7" w:rsidP="006A577A">
            <w:pPr>
              <w:jc w:val="center"/>
              <w:rPr>
                <w:rFonts w:ascii="Palatino Linotype" w:hAnsi="Palatino Linotype" w:cs="Arial"/>
                <w:szCs w:val="22"/>
              </w:rPr>
            </w:pPr>
          </w:p>
        </w:tc>
      </w:tr>
      <w:tr w:rsidR="002229D7" w:rsidRPr="003715B3" w14:paraId="330DEA7D" w14:textId="77777777" w:rsidTr="006A577A">
        <w:tc>
          <w:tcPr>
            <w:tcW w:w="1548" w:type="dxa"/>
          </w:tcPr>
          <w:p w14:paraId="1E233078" w14:textId="77777777" w:rsidR="002229D7" w:rsidRPr="003715B3" w:rsidRDefault="002229D7" w:rsidP="006A577A">
            <w:pPr>
              <w:jc w:val="center"/>
              <w:rPr>
                <w:rFonts w:ascii="Palatino Linotype" w:hAnsi="Palatino Linotype" w:cs="Arial"/>
                <w:szCs w:val="22"/>
              </w:rPr>
            </w:pPr>
          </w:p>
        </w:tc>
        <w:tc>
          <w:tcPr>
            <w:tcW w:w="5186" w:type="dxa"/>
          </w:tcPr>
          <w:p w14:paraId="4707334D" w14:textId="77777777" w:rsidR="002229D7" w:rsidRPr="003715B3" w:rsidRDefault="002229D7" w:rsidP="006A577A">
            <w:pPr>
              <w:jc w:val="center"/>
              <w:rPr>
                <w:rFonts w:ascii="Palatino Linotype" w:hAnsi="Palatino Linotype" w:cs="Arial"/>
                <w:szCs w:val="22"/>
              </w:rPr>
            </w:pPr>
          </w:p>
        </w:tc>
        <w:tc>
          <w:tcPr>
            <w:tcW w:w="2554" w:type="dxa"/>
          </w:tcPr>
          <w:p w14:paraId="7A47E44A" w14:textId="77777777" w:rsidR="002229D7" w:rsidRPr="003715B3" w:rsidRDefault="002229D7" w:rsidP="006A577A">
            <w:pPr>
              <w:jc w:val="center"/>
              <w:rPr>
                <w:rFonts w:ascii="Palatino Linotype" w:hAnsi="Palatino Linotype" w:cs="Arial"/>
                <w:szCs w:val="22"/>
              </w:rPr>
            </w:pPr>
          </w:p>
        </w:tc>
      </w:tr>
    </w:tbl>
    <w:sdt>
      <w:sdtPr>
        <w:rPr>
          <w:rFonts w:ascii="Times New Roman" w:eastAsia="Times New Roman" w:hAnsi="Times New Roman" w:cs="Times New Roman"/>
          <w:b w:val="0"/>
          <w:bCs w:val="0"/>
          <w:color w:val="auto"/>
          <w:sz w:val="24"/>
          <w:szCs w:val="20"/>
          <w:lang w:eastAsia="en-US"/>
        </w:rPr>
        <w:id w:val="-968814826"/>
        <w:docPartObj>
          <w:docPartGallery w:val="Table of Contents"/>
          <w:docPartUnique/>
        </w:docPartObj>
      </w:sdtPr>
      <w:sdtEndPr>
        <w:rPr>
          <w:noProof/>
        </w:rPr>
      </w:sdtEndPr>
      <w:sdtContent>
        <w:p w14:paraId="37E97DC6" w14:textId="77777777" w:rsidR="008468C3" w:rsidRPr="008E0C0C" w:rsidRDefault="008468C3">
          <w:pPr>
            <w:pStyle w:val="TOCHeading"/>
            <w:rPr>
              <w:color w:val="auto"/>
            </w:rPr>
          </w:pPr>
          <w:r w:rsidRPr="008E0C0C">
            <w:rPr>
              <w:color w:val="auto"/>
            </w:rPr>
            <w:t>Table of Contents</w:t>
          </w:r>
        </w:p>
        <w:p w14:paraId="138AEFE5" w14:textId="77777777" w:rsidR="003679F5" w:rsidRPr="003679F5" w:rsidRDefault="003679F5" w:rsidP="003679F5">
          <w:pPr>
            <w:rPr>
              <w:lang w:eastAsia="ja-JP"/>
            </w:rPr>
          </w:pPr>
        </w:p>
        <w:p w14:paraId="5421EB4C" w14:textId="77777777" w:rsidR="001E4823" w:rsidRDefault="008468C3">
          <w:pPr>
            <w:pStyle w:val="TOC1"/>
            <w:tabs>
              <w:tab w:val="right" w:leader="dot" w:pos="9350"/>
            </w:tabs>
            <w:rPr>
              <w:rFonts w:asciiTheme="minorHAnsi" w:eastAsiaTheme="minorEastAsia" w:hAnsiTheme="minorHAnsi" w:cstheme="minorBidi"/>
              <w:noProof/>
              <w:sz w:val="22"/>
              <w:szCs w:val="22"/>
            </w:rPr>
          </w:pPr>
          <w:r w:rsidRPr="005C6200">
            <w:rPr>
              <w:b/>
            </w:rPr>
            <w:fldChar w:fldCharType="begin"/>
          </w:r>
          <w:r w:rsidRPr="005C6200">
            <w:rPr>
              <w:b/>
            </w:rPr>
            <w:instrText xml:space="preserve"> TOC \o "1-3" \h \z \u </w:instrText>
          </w:r>
          <w:r w:rsidRPr="005C6200">
            <w:rPr>
              <w:b/>
            </w:rPr>
            <w:fldChar w:fldCharType="separate"/>
          </w:r>
          <w:hyperlink w:anchor="_Toc443920286" w:history="1">
            <w:r w:rsidR="001E4823" w:rsidRPr="002B380F">
              <w:rPr>
                <w:rStyle w:val="Hyperlink"/>
                <w:rFonts w:ascii="Palatino Linotype" w:hAnsi="Palatino Linotype"/>
                <w:noProof/>
              </w:rPr>
              <w:t>Authorization &amp; Concurrence</w:t>
            </w:r>
            <w:r w:rsidR="001E4823" w:rsidRPr="002B380F">
              <w:rPr>
                <w:rStyle w:val="Hyperlink"/>
                <w:rFonts w:ascii="Palatino Linotype" w:hAnsi="Palatino Linotype" w:cs="Arial"/>
                <w:noProof/>
              </w:rPr>
              <w:t>:</w:t>
            </w:r>
            <w:r w:rsidR="001E4823">
              <w:rPr>
                <w:noProof/>
                <w:webHidden/>
              </w:rPr>
              <w:tab/>
            </w:r>
            <w:r w:rsidR="001E4823">
              <w:rPr>
                <w:noProof/>
                <w:webHidden/>
              </w:rPr>
              <w:fldChar w:fldCharType="begin"/>
            </w:r>
            <w:r w:rsidR="001E4823">
              <w:rPr>
                <w:noProof/>
                <w:webHidden/>
              </w:rPr>
              <w:instrText xml:space="preserve"> PAGEREF _Toc443920286 \h </w:instrText>
            </w:r>
            <w:r w:rsidR="001E4823">
              <w:rPr>
                <w:noProof/>
                <w:webHidden/>
              </w:rPr>
            </w:r>
            <w:r w:rsidR="001E4823">
              <w:rPr>
                <w:noProof/>
                <w:webHidden/>
              </w:rPr>
              <w:fldChar w:fldCharType="separate"/>
            </w:r>
            <w:r w:rsidR="001E4823">
              <w:rPr>
                <w:noProof/>
                <w:webHidden/>
              </w:rPr>
              <w:t>1</w:t>
            </w:r>
            <w:r w:rsidR="001E4823">
              <w:rPr>
                <w:noProof/>
                <w:webHidden/>
              </w:rPr>
              <w:fldChar w:fldCharType="end"/>
            </w:r>
          </w:hyperlink>
        </w:p>
        <w:p w14:paraId="344CAAE9" w14:textId="77777777" w:rsidR="001E4823" w:rsidRDefault="00C677DE">
          <w:pPr>
            <w:pStyle w:val="TOC1"/>
            <w:tabs>
              <w:tab w:val="right" w:leader="dot" w:pos="9350"/>
            </w:tabs>
            <w:rPr>
              <w:rFonts w:asciiTheme="minorHAnsi" w:eastAsiaTheme="minorEastAsia" w:hAnsiTheme="minorHAnsi" w:cstheme="minorBidi"/>
              <w:noProof/>
              <w:sz w:val="22"/>
              <w:szCs w:val="22"/>
            </w:rPr>
          </w:pPr>
          <w:hyperlink w:anchor="_Toc443920287" w:history="1">
            <w:r w:rsidR="001E4823" w:rsidRPr="002B380F">
              <w:rPr>
                <w:rStyle w:val="Hyperlink"/>
                <w:rFonts w:ascii="Palatino Linotype" w:hAnsi="Palatino Linotype"/>
                <w:noProof/>
              </w:rPr>
              <w:t>Record of Change</w:t>
            </w:r>
            <w:r w:rsidR="001E4823">
              <w:rPr>
                <w:noProof/>
                <w:webHidden/>
              </w:rPr>
              <w:tab/>
            </w:r>
            <w:r w:rsidR="001E4823">
              <w:rPr>
                <w:noProof/>
                <w:webHidden/>
              </w:rPr>
              <w:fldChar w:fldCharType="begin"/>
            </w:r>
            <w:r w:rsidR="001E4823">
              <w:rPr>
                <w:noProof/>
                <w:webHidden/>
              </w:rPr>
              <w:instrText xml:space="preserve"> PAGEREF _Toc443920287 \h </w:instrText>
            </w:r>
            <w:r w:rsidR="001E4823">
              <w:rPr>
                <w:noProof/>
                <w:webHidden/>
              </w:rPr>
            </w:r>
            <w:r w:rsidR="001E4823">
              <w:rPr>
                <w:noProof/>
                <w:webHidden/>
              </w:rPr>
              <w:fldChar w:fldCharType="separate"/>
            </w:r>
            <w:r w:rsidR="001E4823">
              <w:rPr>
                <w:noProof/>
                <w:webHidden/>
              </w:rPr>
              <w:t>2</w:t>
            </w:r>
            <w:r w:rsidR="001E4823">
              <w:rPr>
                <w:noProof/>
                <w:webHidden/>
              </w:rPr>
              <w:fldChar w:fldCharType="end"/>
            </w:r>
          </w:hyperlink>
        </w:p>
        <w:p w14:paraId="7C45807C" w14:textId="77777777" w:rsidR="001E4823" w:rsidRDefault="00C677DE">
          <w:pPr>
            <w:pStyle w:val="TOC1"/>
            <w:tabs>
              <w:tab w:val="right" w:leader="dot" w:pos="9350"/>
            </w:tabs>
            <w:rPr>
              <w:rFonts w:asciiTheme="minorHAnsi" w:eastAsiaTheme="minorEastAsia" w:hAnsiTheme="minorHAnsi" w:cstheme="minorBidi"/>
              <w:noProof/>
              <w:sz w:val="22"/>
              <w:szCs w:val="22"/>
            </w:rPr>
          </w:pPr>
          <w:hyperlink w:anchor="_Toc443920288" w:history="1">
            <w:r w:rsidR="001E4823" w:rsidRPr="002B380F">
              <w:rPr>
                <w:rStyle w:val="Hyperlink"/>
                <w:rFonts w:ascii="Palatino Linotype" w:hAnsi="Palatino Linotype"/>
                <w:noProof/>
              </w:rPr>
              <w:t>Record of Concurrence</w:t>
            </w:r>
            <w:r w:rsidR="001E4823">
              <w:rPr>
                <w:noProof/>
                <w:webHidden/>
              </w:rPr>
              <w:tab/>
            </w:r>
            <w:r w:rsidR="001E4823">
              <w:rPr>
                <w:noProof/>
                <w:webHidden/>
              </w:rPr>
              <w:fldChar w:fldCharType="begin"/>
            </w:r>
            <w:r w:rsidR="001E4823">
              <w:rPr>
                <w:noProof/>
                <w:webHidden/>
              </w:rPr>
              <w:instrText xml:space="preserve"> PAGEREF _Toc443920288 \h </w:instrText>
            </w:r>
            <w:r w:rsidR="001E4823">
              <w:rPr>
                <w:noProof/>
                <w:webHidden/>
              </w:rPr>
            </w:r>
            <w:r w:rsidR="001E4823">
              <w:rPr>
                <w:noProof/>
                <w:webHidden/>
              </w:rPr>
              <w:fldChar w:fldCharType="separate"/>
            </w:r>
            <w:r w:rsidR="001E4823">
              <w:rPr>
                <w:noProof/>
                <w:webHidden/>
              </w:rPr>
              <w:t>3</w:t>
            </w:r>
            <w:r w:rsidR="001E4823">
              <w:rPr>
                <w:noProof/>
                <w:webHidden/>
              </w:rPr>
              <w:fldChar w:fldCharType="end"/>
            </w:r>
          </w:hyperlink>
        </w:p>
        <w:p w14:paraId="115F1F11" w14:textId="77777777" w:rsidR="001E4823" w:rsidRDefault="00C677DE">
          <w:pPr>
            <w:pStyle w:val="TOC1"/>
            <w:tabs>
              <w:tab w:val="right" w:leader="dot" w:pos="9350"/>
            </w:tabs>
            <w:rPr>
              <w:rFonts w:asciiTheme="minorHAnsi" w:eastAsiaTheme="minorEastAsia" w:hAnsiTheme="minorHAnsi" w:cstheme="minorBidi"/>
              <w:noProof/>
              <w:sz w:val="22"/>
              <w:szCs w:val="22"/>
            </w:rPr>
          </w:pPr>
          <w:hyperlink w:anchor="_Toc443920289" w:history="1">
            <w:r w:rsidR="001E4823" w:rsidRPr="002B380F">
              <w:rPr>
                <w:rStyle w:val="Hyperlink"/>
                <w:rFonts w:ascii="Palatino Linotype" w:hAnsi="Palatino Linotype"/>
                <w:i/>
                <w:noProof/>
              </w:rPr>
              <w:t>Section I:  Agencies</w:t>
            </w:r>
            <w:r w:rsidR="001E4823">
              <w:rPr>
                <w:noProof/>
                <w:webHidden/>
              </w:rPr>
              <w:tab/>
            </w:r>
            <w:r w:rsidR="001E4823">
              <w:rPr>
                <w:noProof/>
                <w:webHidden/>
              </w:rPr>
              <w:fldChar w:fldCharType="begin"/>
            </w:r>
            <w:r w:rsidR="001E4823">
              <w:rPr>
                <w:noProof/>
                <w:webHidden/>
              </w:rPr>
              <w:instrText xml:space="preserve"> PAGEREF _Toc443920289 \h </w:instrText>
            </w:r>
            <w:r w:rsidR="001E4823">
              <w:rPr>
                <w:noProof/>
                <w:webHidden/>
              </w:rPr>
            </w:r>
            <w:r w:rsidR="001E4823">
              <w:rPr>
                <w:noProof/>
                <w:webHidden/>
              </w:rPr>
              <w:fldChar w:fldCharType="separate"/>
            </w:r>
            <w:r w:rsidR="001E4823">
              <w:rPr>
                <w:noProof/>
                <w:webHidden/>
              </w:rPr>
              <w:t>5</w:t>
            </w:r>
            <w:r w:rsidR="001E4823">
              <w:rPr>
                <w:noProof/>
                <w:webHidden/>
              </w:rPr>
              <w:fldChar w:fldCharType="end"/>
            </w:r>
          </w:hyperlink>
        </w:p>
        <w:p w14:paraId="09379922" w14:textId="77777777" w:rsidR="001E4823" w:rsidRDefault="00C677DE">
          <w:pPr>
            <w:pStyle w:val="TOC1"/>
            <w:tabs>
              <w:tab w:val="right" w:leader="dot" w:pos="9350"/>
            </w:tabs>
            <w:rPr>
              <w:rFonts w:asciiTheme="minorHAnsi" w:eastAsiaTheme="minorEastAsia" w:hAnsiTheme="minorHAnsi" w:cstheme="minorBidi"/>
              <w:noProof/>
              <w:sz w:val="22"/>
              <w:szCs w:val="22"/>
            </w:rPr>
          </w:pPr>
          <w:hyperlink w:anchor="_Toc443920290" w:history="1">
            <w:r w:rsidR="001E4823" w:rsidRPr="00AA09DA">
              <w:rPr>
                <w:rStyle w:val="Hyperlink"/>
                <w:rFonts w:ascii="Palatino Linotype" w:eastAsia="Calibri" w:hAnsi="Palatino Linotype"/>
                <w:bCs/>
                <w:i/>
                <w:noProof/>
              </w:rPr>
              <w:t>Section II:  Purpose &amp; Scope</w:t>
            </w:r>
            <w:r w:rsidR="001E4823">
              <w:rPr>
                <w:noProof/>
                <w:webHidden/>
              </w:rPr>
              <w:tab/>
            </w:r>
            <w:r w:rsidR="001E4823">
              <w:rPr>
                <w:noProof/>
                <w:webHidden/>
              </w:rPr>
              <w:fldChar w:fldCharType="begin"/>
            </w:r>
            <w:r w:rsidR="001E4823">
              <w:rPr>
                <w:noProof/>
                <w:webHidden/>
              </w:rPr>
              <w:instrText xml:space="preserve"> PAGEREF _Toc443920290 \h </w:instrText>
            </w:r>
            <w:r w:rsidR="001E4823">
              <w:rPr>
                <w:noProof/>
                <w:webHidden/>
              </w:rPr>
            </w:r>
            <w:r w:rsidR="001E4823">
              <w:rPr>
                <w:noProof/>
                <w:webHidden/>
              </w:rPr>
              <w:fldChar w:fldCharType="separate"/>
            </w:r>
            <w:r w:rsidR="001E4823">
              <w:rPr>
                <w:noProof/>
                <w:webHidden/>
              </w:rPr>
              <w:t>5</w:t>
            </w:r>
            <w:r w:rsidR="001E4823">
              <w:rPr>
                <w:noProof/>
                <w:webHidden/>
              </w:rPr>
              <w:fldChar w:fldCharType="end"/>
            </w:r>
          </w:hyperlink>
        </w:p>
        <w:p w14:paraId="34FA6B8B" w14:textId="77777777" w:rsidR="001E4823" w:rsidRDefault="00AA09DA">
          <w:pPr>
            <w:pStyle w:val="TOC2"/>
            <w:rPr>
              <w:rFonts w:asciiTheme="minorHAnsi" w:eastAsiaTheme="minorEastAsia" w:hAnsiTheme="minorHAnsi" w:cstheme="minorBidi"/>
              <w:smallCaps w:val="0"/>
              <w:sz w:val="22"/>
              <w:szCs w:val="22"/>
            </w:rPr>
          </w:pPr>
          <w:r>
            <w:rPr>
              <w:rStyle w:val="Hyperlink"/>
              <w:u w:val="none"/>
            </w:rPr>
            <w:t xml:space="preserve">     </w:t>
          </w:r>
          <w:hyperlink w:anchor="_Toc443920291" w:history="1">
            <w:r w:rsidR="001E4823" w:rsidRPr="002B380F">
              <w:rPr>
                <w:rStyle w:val="Hyperlink"/>
                <w:rFonts w:ascii="Palatino Linotype" w:hAnsi="Palatino Linotype"/>
              </w:rPr>
              <w:t>Purpose:</w:t>
            </w:r>
            <w:r w:rsidR="001E4823">
              <w:rPr>
                <w:webHidden/>
              </w:rPr>
              <w:tab/>
            </w:r>
            <w:r w:rsidR="001E4823">
              <w:rPr>
                <w:webHidden/>
              </w:rPr>
              <w:fldChar w:fldCharType="begin"/>
            </w:r>
            <w:r w:rsidR="001E4823">
              <w:rPr>
                <w:webHidden/>
              </w:rPr>
              <w:instrText xml:space="preserve"> PAGEREF _Toc443920291 \h </w:instrText>
            </w:r>
            <w:r w:rsidR="001E4823">
              <w:rPr>
                <w:webHidden/>
              </w:rPr>
            </w:r>
            <w:r w:rsidR="001E4823">
              <w:rPr>
                <w:webHidden/>
              </w:rPr>
              <w:fldChar w:fldCharType="separate"/>
            </w:r>
            <w:r w:rsidR="001E4823">
              <w:rPr>
                <w:webHidden/>
              </w:rPr>
              <w:t>5</w:t>
            </w:r>
            <w:r w:rsidR="001E4823">
              <w:rPr>
                <w:webHidden/>
              </w:rPr>
              <w:fldChar w:fldCharType="end"/>
            </w:r>
          </w:hyperlink>
        </w:p>
        <w:p w14:paraId="05FC8433" w14:textId="77777777" w:rsidR="001E4823" w:rsidRDefault="00AA09DA">
          <w:pPr>
            <w:pStyle w:val="TOC2"/>
            <w:rPr>
              <w:rFonts w:asciiTheme="minorHAnsi" w:eastAsiaTheme="minorEastAsia" w:hAnsiTheme="minorHAnsi" w:cstheme="minorBidi"/>
              <w:smallCaps w:val="0"/>
              <w:sz w:val="22"/>
              <w:szCs w:val="22"/>
            </w:rPr>
          </w:pPr>
          <w:r>
            <w:rPr>
              <w:rStyle w:val="Hyperlink"/>
              <w:u w:val="none"/>
            </w:rPr>
            <w:t xml:space="preserve">     </w:t>
          </w:r>
          <w:hyperlink w:anchor="_Toc443920292" w:history="1">
            <w:r w:rsidR="001E4823" w:rsidRPr="002B380F">
              <w:rPr>
                <w:rStyle w:val="Hyperlink"/>
                <w:rFonts w:ascii="Palatino Linotype" w:hAnsi="Palatino Linotype"/>
              </w:rPr>
              <w:t>Scope:</w:t>
            </w:r>
            <w:r w:rsidR="001E4823">
              <w:rPr>
                <w:webHidden/>
              </w:rPr>
              <w:tab/>
            </w:r>
            <w:r w:rsidR="001E4823">
              <w:rPr>
                <w:webHidden/>
              </w:rPr>
              <w:fldChar w:fldCharType="begin"/>
            </w:r>
            <w:r w:rsidR="001E4823">
              <w:rPr>
                <w:webHidden/>
              </w:rPr>
              <w:instrText xml:space="preserve"> PAGEREF _Toc443920292 \h </w:instrText>
            </w:r>
            <w:r w:rsidR="001E4823">
              <w:rPr>
                <w:webHidden/>
              </w:rPr>
            </w:r>
            <w:r w:rsidR="001E4823">
              <w:rPr>
                <w:webHidden/>
              </w:rPr>
              <w:fldChar w:fldCharType="separate"/>
            </w:r>
            <w:r w:rsidR="001E4823">
              <w:rPr>
                <w:webHidden/>
              </w:rPr>
              <w:t>6</w:t>
            </w:r>
            <w:r w:rsidR="001E4823">
              <w:rPr>
                <w:webHidden/>
              </w:rPr>
              <w:fldChar w:fldCharType="end"/>
            </w:r>
          </w:hyperlink>
        </w:p>
        <w:p w14:paraId="43683DB1" w14:textId="77777777" w:rsidR="001E4823" w:rsidRDefault="00C677DE">
          <w:pPr>
            <w:pStyle w:val="TOC1"/>
            <w:tabs>
              <w:tab w:val="right" w:leader="dot" w:pos="9350"/>
            </w:tabs>
            <w:rPr>
              <w:rFonts w:asciiTheme="minorHAnsi" w:eastAsiaTheme="minorEastAsia" w:hAnsiTheme="minorHAnsi" w:cstheme="minorBidi"/>
              <w:noProof/>
              <w:sz w:val="22"/>
              <w:szCs w:val="22"/>
            </w:rPr>
          </w:pPr>
          <w:hyperlink w:anchor="_Toc443920293" w:history="1">
            <w:r w:rsidR="001E4823" w:rsidRPr="00AA09DA">
              <w:rPr>
                <w:rStyle w:val="Hyperlink"/>
                <w:rFonts w:ascii="Palatino Linotype" w:eastAsia="Calibri" w:hAnsi="Palatino Linotype"/>
                <w:bCs/>
                <w:i/>
                <w:noProof/>
              </w:rPr>
              <w:t>Section III:  Assumptions</w:t>
            </w:r>
            <w:r w:rsidR="001E4823">
              <w:rPr>
                <w:noProof/>
                <w:webHidden/>
              </w:rPr>
              <w:tab/>
            </w:r>
            <w:r w:rsidR="001E4823">
              <w:rPr>
                <w:noProof/>
                <w:webHidden/>
              </w:rPr>
              <w:fldChar w:fldCharType="begin"/>
            </w:r>
            <w:r w:rsidR="001E4823">
              <w:rPr>
                <w:noProof/>
                <w:webHidden/>
              </w:rPr>
              <w:instrText xml:space="preserve"> PAGEREF _Toc443920293 \h </w:instrText>
            </w:r>
            <w:r w:rsidR="001E4823">
              <w:rPr>
                <w:noProof/>
                <w:webHidden/>
              </w:rPr>
            </w:r>
            <w:r w:rsidR="001E4823">
              <w:rPr>
                <w:noProof/>
                <w:webHidden/>
              </w:rPr>
              <w:fldChar w:fldCharType="separate"/>
            </w:r>
            <w:r w:rsidR="001E4823">
              <w:rPr>
                <w:noProof/>
                <w:webHidden/>
              </w:rPr>
              <w:t>6</w:t>
            </w:r>
            <w:r w:rsidR="001E4823">
              <w:rPr>
                <w:noProof/>
                <w:webHidden/>
              </w:rPr>
              <w:fldChar w:fldCharType="end"/>
            </w:r>
          </w:hyperlink>
        </w:p>
        <w:p w14:paraId="11138CBD" w14:textId="77777777" w:rsidR="001E4823" w:rsidRDefault="00C677DE">
          <w:pPr>
            <w:pStyle w:val="TOC1"/>
            <w:tabs>
              <w:tab w:val="right" w:leader="dot" w:pos="9350"/>
            </w:tabs>
            <w:rPr>
              <w:rFonts w:asciiTheme="minorHAnsi" w:eastAsiaTheme="minorEastAsia" w:hAnsiTheme="minorHAnsi" w:cstheme="minorBidi"/>
              <w:noProof/>
              <w:sz w:val="22"/>
              <w:szCs w:val="22"/>
            </w:rPr>
          </w:pPr>
          <w:hyperlink w:anchor="_Toc443920294" w:history="1">
            <w:r w:rsidR="001E4823" w:rsidRPr="00AA09DA">
              <w:rPr>
                <w:rStyle w:val="Hyperlink"/>
                <w:rFonts w:ascii="Palatino Linotype" w:eastAsia="Calibri" w:hAnsi="Palatino Linotype"/>
                <w:bCs/>
                <w:i/>
                <w:noProof/>
              </w:rPr>
              <w:t>Section IV:  Core Capabilities</w:t>
            </w:r>
            <w:r w:rsidR="001E4823">
              <w:rPr>
                <w:noProof/>
                <w:webHidden/>
              </w:rPr>
              <w:tab/>
            </w:r>
            <w:r w:rsidR="001E4823">
              <w:rPr>
                <w:noProof/>
                <w:webHidden/>
              </w:rPr>
              <w:fldChar w:fldCharType="begin"/>
            </w:r>
            <w:r w:rsidR="001E4823">
              <w:rPr>
                <w:noProof/>
                <w:webHidden/>
              </w:rPr>
              <w:instrText xml:space="preserve"> PAGEREF _Toc443920294 \h </w:instrText>
            </w:r>
            <w:r w:rsidR="001E4823">
              <w:rPr>
                <w:noProof/>
                <w:webHidden/>
              </w:rPr>
            </w:r>
            <w:r w:rsidR="001E4823">
              <w:rPr>
                <w:noProof/>
                <w:webHidden/>
              </w:rPr>
              <w:fldChar w:fldCharType="separate"/>
            </w:r>
            <w:r w:rsidR="001E4823">
              <w:rPr>
                <w:noProof/>
                <w:webHidden/>
              </w:rPr>
              <w:t>7</w:t>
            </w:r>
            <w:r w:rsidR="001E4823">
              <w:rPr>
                <w:noProof/>
                <w:webHidden/>
              </w:rPr>
              <w:fldChar w:fldCharType="end"/>
            </w:r>
          </w:hyperlink>
        </w:p>
        <w:p w14:paraId="360AF58B" w14:textId="77777777" w:rsidR="001E4823" w:rsidRDefault="00C677DE">
          <w:pPr>
            <w:pStyle w:val="TOC1"/>
            <w:tabs>
              <w:tab w:val="right" w:leader="dot" w:pos="9350"/>
            </w:tabs>
            <w:rPr>
              <w:rFonts w:asciiTheme="minorHAnsi" w:eastAsiaTheme="minorEastAsia" w:hAnsiTheme="minorHAnsi" w:cstheme="minorBidi"/>
              <w:noProof/>
              <w:sz w:val="22"/>
              <w:szCs w:val="22"/>
            </w:rPr>
          </w:pPr>
          <w:hyperlink w:anchor="_Toc443920295" w:history="1">
            <w:r w:rsidR="001E4823" w:rsidRPr="00AA09DA">
              <w:rPr>
                <w:rStyle w:val="Hyperlink"/>
                <w:rFonts w:ascii="Palatino Linotype" w:eastAsia="Calibri" w:hAnsi="Palatino Linotype"/>
                <w:bCs/>
                <w:i/>
                <w:noProof/>
              </w:rPr>
              <w:t>Section V: Operational Functions</w:t>
            </w:r>
            <w:r w:rsidR="001E4823">
              <w:rPr>
                <w:noProof/>
                <w:webHidden/>
              </w:rPr>
              <w:tab/>
            </w:r>
            <w:r w:rsidR="001E4823">
              <w:rPr>
                <w:noProof/>
                <w:webHidden/>
              </w:rPr>
              <w:fldChar w:fldCharType="begin"/>
            </w:r>
            <w:r w:rsidR="001E4823">
              <w:rPr>
                <w:noProof/>
                <w:webHidden/>
              </w:rPr>
              <w:instrText xml:space="preserve"> PAGEREF _Toc443920295 \h </w:instrText>
            </w:r>
            <w:r w:rsidR="001E4823">
              <w:rPr>
                <w:noProof/>
                <w:webHidden/>
              </w:rPr>
            </w:r>
            <w:r w:rsidR="001E4823">
              <w:rPr>
                <w:noProof/>
                <w:webHidden/>
              </w:rPr>
              <w:fldChar w:fldCharType="separate"/>
            </w:r>
            <w:r w:rsidR="001E4823">
              <w:rPr>
                <w:noProof/>
                <w:webHidden/>
              </w:rPr>
              <w:t>9</w:t>
            </w:r>
            <w:r w:rsidR="001E4823">
              <w:rPr>
                <w:noProof/>
                <w:webHidden/>
              </w:rPr>
              <w:fldChar w:fldCharType="end"/>
            </w:r>
          </w:hyperlink>
        </w:p>
        <w:p w14:paraId="5D7AA8E4" w14:textId="77777777" w:rsidR="008468C3" w:rsidRPr="005C6200" w:rsidRDefault="008468C3">
          <w:r w:rsidRPr="005C6200">
            <w:rPr>
              <w:b/>
              <w:bCs/>
              <w:noProof/>
            </w:rPr>
            <w:fldChar w:fldCharType="end"/>
          </w:r>
        </w:p>
      </w:sdtContent>
    </w:sdt>
    <w:p w14:paraId="45AE1309" w14:textId="77777777" w:rsidR="00BA4336" w:rsidRDefault="00BA4336"/>
    <w:p w14:paraId="421D22CD" w14:textId="77777777" w:rsidR="00BA4336" w:rsidRDefault="00BA4336"/>
    <w:p w14:paraId="72CCE6D7" w14:textId="77777777" w:rsidR="00BA4336" w:rsidRDefault="00BA4336"/>
    <w:p w14:paraId="39C0B42D" w14:textId="77777777" w:rsidR="005F4B7E" w:rsidRDefault="005F4B7E"/>
    <w:p w14:paraId="30CCF5BE" w14:textId="77777777" w:rsidR="005F4B7E" w:rsidRDefault="005F4B7E"/>
    <w:p w14:paraId="41FC5A3B" w14:textId="77777777" w:rsidR="003C77AA" w:rsidRDefault="003C77AA"/>
    <w:p w14:paraId="091E6BF8" w14:textId="77777777" w:rsidR="008E0C0C" w:rsidRDefault="008E0C0C">
      <w:pPr>
        <w:rPr>
          <w:rFonts w:ascii="Palatino Linotype" w:hAnsi="Palatino Linotype"/>
          <w:sz w:val="36"/>
          <w:szCs w:val="36"/>
        </w:rPr>
      </w:pPr>
    </w:p>
    <w:p w14:paraId="6F20B719" w14:textId="77777777" w:rsidR="00AD1834" w:rsidRDefault="00AD1834">
      <w:pPr>
        <w:rPr>
          <w:rFonts w:ascii="Palatino Linotype" w:hAnsi="Palatino Linotype"/>
          <w:sz w:val="36"/>
          <w:szCs w:val="36"/>
        </w:rPr>
      </w:pPr>
    </w:p>
    <w:p w14:paraId="551D2827" w14:textId="77777777" w:rsidR="00AD1834" w:rsidRDefault="00AD1834">
      <w:pPr>
        <w:rPr>
          <w:rFonts w:ascii="Palatino Linotype" w:hAnsi="Palatino Linotype"/>
          <w:sz w:val="36"/>
          <w:szCs w:val="36"/>
        </w:rPr>
      </w:pPr>
    </w:p>
    <w:p w14:paraId="5A9A3390" w14:textId="77777777" w:rsidR="001E4823" w:rsidRDefault="001E4823">
      <w:pPr>
        <w:rPr>
          <w:rFonts w:ascii="Palatino Linotype" w:hAnsi="Palatino Linotype"/>
          <w:sz w:val="36"/>
          <w:szCs w:val="36"/>
        </w:rPr>
      </w:pPr>
    </w:p>
    <w:p w14:paraId="68B8FB85" w14:textId="77777777" w:rsidR="001E4823" w:rsidRDefault="001E4823">
      <w:pPr>
        <w:rPr>
          <w:rFonts w:ascii="Palatino Linotype" w:hAnsi="Palatino Linotype"/>
          <w:sz w:val="36"/>
          <w:szCs w:val="36"/>
        </w:rPr>
      </w:pPr>
    </w:p>
    <w:p w14:paraId="1B95FFDA" w14:textId="77777777" w:rsidR="008E0C0C" w:rsidRDefault="008E0C0C">
      <w:pPr>
        <w:rPr>
          <w:rFonts w:ascii="Palatino Linotype" w:hAnsi="Palatino Linotype"/>
          <w:sz w:val="36"/>
          <w:szCs w:val="36"/>
        </w:rPr>
      </w:pPr>
    </w:p>
    <w:p w14:paraId="6484FC33" w14:textId="77777777" w:rsidR="008E0C0C" w:rsidRDefault="008E0C0C">
      <w:pPr>
        <w:rPr>
          <w:rFonts w:ascii="Palatino Linotype" w:hAnsi="Palatino Linotype"/>
          <w:sz w:val="36"/>
          <w:szCs w:val="36"/>
        </w:rPr>
      </w:pPr>
    </w:p>
    <w:p w14:paraId="5CCC1E98" w14:textId="77777777" w:rsidR="008E0C0C" w:rsidRDefault="008E0C0C">
      <w:pPr>
        <w:rPr>
          <w:rFonts w:ascii="Palatino Linotype" w:hAnsi="Palatino Linotype"/>
          <w:sz w:val="36"/>
          <w:szCs w:val="36"/>
        </w:rPr>
      </w:pPr>
    </w:p>
    <w:p w14:paraId="1DBEA6E8" w14:textId="77777777" w:rsidR="008E0C0C" w:rsidRDefault="008E0C0C">
      <w:pPr>
        <w:rPr>
          <w:rFonts w:ascii="Palatino Linotype" w:hAnsi="Palatino Linotype"/>
          <w:sz w:val="36"/>
          <w:szCs w:val="36"/>
        </w:rPr>
      </w:pPr>
    </w:p>
    <w:p w14:paraId="3615C529" w14:textId="77777777" w:rsidR="00553299" w:rsidRDefault="00553299">
      <w:pPr>
        <w:spacing w:after="200" w:line="276" w:lineRule="auto"/>
        <w:rPr>
          <w:rFonts w:ascii="Palatino Linotype" w:eastAsiaTheme="majorEastAsia" w:hAnsi="Palatino Linotype" w:cstheme="majorBidi"/>
          <w:bCs/>
          <w:sz w:val="36"/>
          <w:szCs w:val="36"/>
        </w:rPr>
      </w:pPr>
      <w:bookmarkStart w:id="2" w:name="_Toc443920289"/>
      <w:r>
        <w:rPr>
          <w:rFonts w:ascii="Palatino Linotype" w:hAnsi="Palatino Linotype"/>
          <w:b/>
          <w:sz w:val="36"/>
          <w:szCs w:val="36"/>
        </w:rPr>
        <w:br w:type="page"/>
      </w:r>
    </w:p>
    <w:p w14:paraId="7C39762E" w14:textId="77777777" w:rsidR="003C77AA" w:rsidRPr="00B04AB3" w:rsidRDefault="003715B3" w:rsidP="00AD1834">
      <w:pPr>
        <w:pStyle w:val="Heading1"/>
        <w:rPr>
          <w:rFonts w:ascii="Palatino Linotype" w:hAnsi="Palatino Linotype"/>
          <w:color w:val="auto"/>
          <w:sz w:val="36"/>
          <w:szCs w:val="36"/>
        </w:rPr>
      </w:pPr>
      <w:r w:rsidRPr="00B04AB3">
        <w:rPr>
          <w:rFonts w:ascii="Palatino Linotype" w:hAnsi="Palatino Linotype"/>
          <w:color w:val="auto"/>
          <w:sz w:val="36"/>
          <w:szCs w:val="36"/>
        </w:rPr>
        <w:lastRenderedPageBreak/>
        <w:t>Section I:  Agencies</w:t>
      </w:r>
      <w:bookmarkEnd w:id="2"/>
    </w:p>
    <w:p w14:paraId="4377BD12" w14:textId="77777777" w:rsidR="003715B3" w:rsidRPr="00AD1834" w:rsidRDefault="003715B3">
      <w:pPr>
        <w:rPr>
          <w:rFonts w:ascii="Palatino Linotype" w:hAnsi="Palatino Linotype"/>
          <w:sz w:val="22"/>
          <w:szCs w:val="22"/>
        </w:rPr>
      </w:pPr>
    </w:p>
    <w:tbl>
      <w:tblPr>
        <w:tblStyle w:val="TableGrid1"/>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5760"/>
      </w:tblGrid>
      <w:tr w:rsidR="003715B3" w:rsidRPr="003715B3" w14:paraId="44D10D30" w14:textId="77777777" w:rsidTr="00CD5C36">
        <w:tc>
          <w:tcPr>
            <w:tcW w:w="4068" w:type="dxa"/>
          </w:tcPr>
          <w:p w14:paraId="639D26D7" w14:textId="77777777" w:rsidR="003715B3" w:rsidRPr="003715B3" w:rsidRDefault="003715B3" w:rsidP="003715B3">
            <w:pPr>
              <w:rPr>
                <w:rFonts w:ascii="Palatino Linotype" w:hAnsi="Palatino Linotype"/>
                <w:b/>
                <w:sz w:val="22"/>
                <w:szCs w:val="22"/>
              </w:rPr>
            </w:pPr>
            <w:r w:rsidRPr="003715B3">
              <w:rPr>
                <w:rFonts w:ascii="Palatino Linotype" w:hAnsi="Palatino Linotype"/>
                <w:b/>
                <w:sz w:val="22"/>
                <w:szCs w:val="22"/>
              </w:rPr>
              <w:t>Coordinating Agency:</w:t>
            </w:r>
          </w:p>
          <w:p w14:paraId="1EE7F500" w14:textId="77777777" w:rsidR="003715B3" w:rsidRPr="003715B3" w:rsidRDefault="003715B3" w:rsidP="003715B3">
            <w:pPr>
              <w:rPr>
                <w:rFonts w:ascii="Palatino Linotype" w:hAnsi="Palatino Linotype"/>
                <w:sz w:val="22"/>
                <w:szCs w:val="22"/>
              </w:rPr>
            </w:pPr>
            <w:r w:rsidRPr="003715B3">
              <w:rPr>
                <w:rFonts w:ascii="Palatino Linotype" w:hAnsi="Palatino Linotype"/>
                <w:sz w:val="22"/>
                <w:szCs w:val="22"/>
              </w:rPr>
              <w:t>Montana Disaster &amp; Emergency Services</w:t>
            </w:r>
          </w:p>
          <w:p w14:paraId="43AED43F" w14:textId="77777777" w:rsidR="003715B3" w:rsidRPr="003715B3" w:rsidRDefault="003715B3" w:rsidP="003715B3">
            <w:pPr>
              <w:rPr>
                <w:rFonts w:ascii="Palatino Linotype" w:hAnsi="Palatino Linotype"/>
                <w:b/>
                <w:sz w:val="22"/>
                <w:szCs w:val="22"/>
              </w:rPr>
            </w:pPr>
          </w:p>
          <w:p w14:paraId="25114729" w14:textId="77777777" w:rsidR="003715B3" w:rsidRPr="003715B3" w:rsidRDefault="003715B3" w:rsidP="003715B3">
            <w:pPr>
              <w:rPr>
                <w:rFonts w:ascii="Palatino Linotype" w:hAnsi="Palatino Linotype"/>
                <w:b/>
                <w:sz w:val="22"/>
                <w:szCs w:val="22"/>
              </w:rPr>
            </w:pPr>
            <w:r w:rsidRPr="003715B3">
              <w:rPr>
                <w:rFonts w:ascii="Palatino Linotype" w:hAnsi="Palatino Linotype"/>
                <w:b/>
                <w:sz w:val="22"/>
                <w:szCs w:val="22"/>
              </w:rPr>
              <w:t>Primary Agency:</w:t>
            </w:r>
          </w:p>
          <w:p w14:paraId="22E3B44E" w14:textId="77777777" w:rsidR="003715B3" w:rsidRPr="003715B3" w:rsidRDefault="003715B3" w:rsidP="003715B3">
            <w:pPr>
              <w:rPr>
                <w:rFonts w:ascii="Palatino Linotype" w:hAnsi="Palatino Linotype"/>
                <w:sz w:val="22"/>
                <w:szCs w:val="22"/>
              </w:rPr>
            </w:pPr>
            <w:r w:rsidRPr="003715B3">
              <w:rPr>
                <w:rFonts w:ascii="Palatino Linotype" w:hAnsi="Palatino Linotype"/>
                <w:sz w:val="22"/>
                <w:szCs w:val="22"/>
              </w:rPr>
              <w:t>Montana Department of Environmental Quality</w:t>
            </w:r>
          </w:p>
        </w:tc>
        <w:tc>
          <w:tcPr>
            <w:tcW w:w="5760" w:type="dxa"/>
          </w:tcPr>
          <w:p w14:paraId="1488E7F5" w14:textId="77777777" w:rsidR="003715B3" w:rsidRPr="003715B3" w:rsidRDefault="003715B3" w:rsidP="003715B3">
            <w:pPr>
              <w:rPr>
                <w:rFonts w:ascii="Palatino Linotype" w:hAnsi="Palatino Linotype"/>
                <w:b/>
                <w:sz w:val="22"/>
                <w:szCs w:val="22"/>
              </w:rPr>
            </w:pPr>
            <w:r w:rsidRPr="003715B3">
              <w:rPr>
                <w:rFonts w:ascii="Palatino Linotype" w:hAnsi="Palatino Linotype"/>
                <w:b/>
                <w:sz w:val="22"/>
                <w:szCs w:val="22"/>
              </w:rPr>
              <w:t>Support Agencies:</w:t>
            </w:r>
          </w:p>
          <w:p w14:paraId="633770C0" w14:textId="77777777" w:rsidR="003715B3" w:rsidRPr="003715B3" w:rsidRDefault="003715B3" w:rsidP="003715B3">
            <w:pPr>
              <w:rPr>
                <w:rFonts w:ascii="Palatino Linotype" w:hAnsi="Palatino Linotype"/>
                <w:sz w:val="22"/>
                <w:szCs w:val="22"/>
              </w:rPr>
            </w:pPr>
            <w:r w:rsidRPr="003715B3">
              <w:rPr>
                <w:rFonts w:ascii="Palatino Linotype" w:hAnsi="Palatino Linotype"/>
                <w:sz w:val="22"/>
                <w:szCs w:val="22"/>
              </w:rPr>
              <w:t xml:space="preserve">Governor’s </w:t>
            </w:r>
            <w:r w:rsidR="00AD1834">
              <w:rPr>
                <w:rFonts w:ascii="Palatino Linotype" w:hAnsi="Palatino Linotype"/>
                <w:sz w:val="22"/>
                <w:szCs w:val="22"/>
              </w:rPr>
              <w:t xml:space="preserve">Office </w:t>
            </w:r>
          </w:p>
          <w:p w14:paraId="60ED7247" w14:textId="77777777" w:rsidR="003715B3" w:rsidRPr="003715B3" w:rsidRDefault="003715B3" w:rsidP="003715B3">
            <w:pPr>
              <w:rPr>
                <w:rFonts w:ascii="Palatino Linotype" w:hAnsi="Palatino Linotype"/>
                <w:sz w:val="22"/>
                <w:szCs w:val="22"/>
              </w:rPr>
            </w:pPr>
            <w:r w:rsidRPr="003715B3">
              <w:rPr>
                <w:rFonts w:ascii="Palatino Linotype" w:hAnsi="Palatino Linotype"/>
                <w:sz w:val="22"/>
                <w:szCs w:val="22"/>
              </w:rPr>
              <w:t>Depar</w:t>
            </w:r>
            <w:r w:rsidR="00AD1834">
              <w:rPr>
                <w:rFonts w:ascii="Palatino Linotype" w:hAnsi="Palatino Linotype"/>
                <w:sz w:val="22"/>
                <w:szCs w:val="22"/>
              </w:rPr>
              <w:t xml:space="preserve">tment of Administration </w:t>
            </w:r>
          </w:p>
          <w:p w14:paraId="104609A7" w14:textId="77777777" w:rsidR="003715B3" w:rsidRPr="003715B3" w:rsidRDefault="00AD1834" w:rsidP="003715B3">
            <w:pPr>
              <w:rPr>
                <w:rFonts w:ascii="Palatino Linotype" w:hAnsi="Palatino Linotype"/>
                <w:sz w:val="22"/>
                <w:szCs w:val="22"/>
              </w:rPr>
            </w:pPr>
            <w:r>
              <w:rPr>
                <w:rFonts w:ascii="Palatino Linotype" w:hAnsi="Palatino Linotype"/>
                <w:sz w:val="22"/>
                <w:szCs w:val="22"/>
              </w:rPr>
              <w:t xml:space="preserve">Department of Justice </w:t>
            </w:r>
          </w:p>
          <w:p w14:paraId="69ED08CF" w14:textId="77777777" w:rsidR="003715B3" w:rsidRPr="003715B3" w:rsidRDefault="003715B3" w:rsidP="003715B3">
            <w:pPr>
              <w:rPr>
                <w:rFonts w:ascii="Palatino Linotype" w:hAnsi="Palatino Linotype"/>
                <w:sz w:val="22"/>
                <w:szCs w:val="22"/>
              </w:rPr>
            </w:pPr>
            <w:r w:rsidRPr="003715B3">
              <w:rPr>
                <w:rFonts w:ascii="Palatino Linotype" w:hAnsi="Palatino Linotype"/>
                <w:sz w:val="22"/>
                <w:szCs w:val="22"/>
              </w:rPr>
              <w:t>Departm</w:t>
            </w:r>
            <w:r w:rsidR="00AD1834">
              <w:rPr>
                <w:rFonts w:ascii="Palatino Linotype" w:hAnsi="Palatino Linotype"/>
                <w:sz w:val="22"/>
                <w:szCs w:val="22"/>
              </w:rPr>
              <w:t xml:space="preserve">ent of Transportation </w:t>
            </w:r>
          </w:p>
          <w:p w14:paraId="4577CF6E" w14:textId="77777777" w:rsidR="003715B3" w:rsidRPr="003715B3" w:rsidRDefault="003715B3" w:rsidP="003715B3">
            <w:pPr>
              <w:rPr>
                <w:rFonts w:ascii="Palatino Linotype" w:hAnsi="Palatino Linotype"/>
                <w:sz w:val="22"/>
                <w:szCs w:val="22"/>
              </w:rPr>
            </w:pPr>
            <w:r w:rsidRPr="003715B3">
              <w:rPr>
                <w:rFonts w:ascii="Palatino Linotype" w:hAnsi="Palatino Linotype"/>
                <w:sz w:val="22"/>
                <w:szCs w:val="22"/>
              </w:rPr>
              <w:t>Department of Natural R</w:t>
            </w:r>
            <w:r w:rsidR="00AD1834">
              <w:rPr>
                <w:rFonts w:ascii="Palatino Linotype" w:hAnsi="Palatino Linotype"/>
                <w:sz w:val="22"/>
                <w:szCs w:val="22"/>
              </w:rPr>
              <w:t xml:space="preserve">esources &amp; Conservation </w:t>
            </w:r>
          </w:p>
          <w:p w14:paraId="205D8DD3" w14:textId="77777777" w:rsidR="003715B3" w:rsidRPr="003715B3" w:rsidRDefault="003715B3" w:rsidP="003715B3">
            <w:pPr>
              <w:rPr>
                <w:rFonts w:ascii="Palatino Linotype" w:hAnsi="Palatino Linotype"/>
                <w:sz w:val="22"/>
                <w:szCs w:val="22"/>
              </w:rPr>
            </w:pPr>
            <w:r w:rsidRPr="003715B3">
              <w:rPr>
                <w:rFonts w:ascii="Palatino Linotype" w:hAnsi="Palatino Linotype"/>
                <w:sz w:val="22"/>
                <w:szCs w:val="22"/>
              </w:rPr>
              <w:t>Public Service Commission</w:t>
            </w:r>
          </w:p>
          <w:p w14:paraId="4016897B" w14:textId="77777777" w:rsidR="003715B3" w:rsidRPr="003715B3" w:rsidRDefault="003715B3" w:rsidP="003715B3">
            <w:pPr>
              <w:rPr>
                <w:rFonts w:ascii="Palatino Linotype" w:hAnsi="Palatino Linotype"/>
                <w:sz w:val="22"/>
                <w:szCs w:val="22"/>
              </w:rPr>
            </w:pPr>
            <w:r w:rsidRPr="003715B3">
              <w:rPr>
                <w:rFonts w:ascii="Palatino Linotype" w:hAnsi="Palatino Linotype"/>
                <w:sz w:val="22"/>
                <w:szCs w:val="22"/>
              </w:rPr>
              <w:t xml:space="preserve">Federal Department of Energy </w:t>
            </w:r>
          </w:p>
          <w:p w14:paraId="3BA50582" w14:textId="77777777" w:rsidR="003715B3" w:rsidRPr="003715B3" w:rsidRDefault="003715B3" w:rsidP="003715B3">
            <w:pPr>
              <w:rPr>
                <w:rFonts w:ascii="Palatino Linotype" w:hAnsi="Palatino Linotype"/>
                <w:sz w:val="22"/>
                <w:szCs w:val="22"/>
              </w:rPr>
            </w:pPr>
            <w:r w:rsidRPr="003715B3">
              <w:rPr>
                <w:rFonts w:ascii="Palatino Linotype" w:hAnsi="Palatino Linotype"/>
                <w:sz w:val="22"/>
                <w:szCs w:val="22"/>
              </w:rPr>
              <w:t>Energy Sector Private Companies &amp; Agencies</w:t>
            </w:r>
          </w:p>
        </w:tc>
      </w:tr>
    </w:tbl>
    <w:p w14:paraId="22F3D6C9" w14:textId="77777777" w:rsidR="003715B3" w:rsidRPr="00B04AB3" w:rsidRDefault="003715B3" w:rsidP="003715B3">
      <w:pPr>
        <w:keepNext/>
        <w:keepLines/>
        <w:spacing w:before="480" w:line="276" w:lineRule="auto"/>
        <w:outlineLvl w:val="0"/>
        <w:rPr>
          <w:rFonts w:ascii="Palatino Linotype" w:eastAsia="Calibri" w:hAnsi="Palatino Linotype"/>
          <w:b/>
          <w:sz w:val="36"/>
          <w:szCs w:val="36"/>
        </w:rPr>
      </w:pPr>
      <w:bookmarkStart w:id="3" w:name="_Toc440461647"/>
      <w:bookmarkStart w:id="4" w:name="_Toc443920290"/>
      <w:r w:rsidRPr="00B04AB3">
        <w:rPr>
          <w:rFonts w:ascii="Palatino Linotype" w:eastAsia="Calibri" w:hAnsi="Palatino Linotype"/>
          <w:b/>
          <w:bCs/>
          <w:sz w:val="36"/>
          <w:szCs w:val="36"/>
        </w:rPr>
        <w:t>Section II:  Purpose &amp; Scope</w:t>
      </w:r>
      <w:bookmarkEnd w:id="3"/>
      <w:bookmarkEnd w:id="4"/>
    </w:p>
    <w:p w14:paraId="7F83A985" w14:textId="77777777" w:rsidR="00C12EF0" w:rsidRPr="003715B3" w:rsidRDefault="008468C3" w:rsidP="003715B3">
      <w:pPr>
        <w:pStyle w:val="Heading2"/>
        <w:rPr>
          <w:rFonts w:ascii="Palatino Linotype" w:hAnsi="Palatino Linotype" w:cs="Times New Roman"/>
          <w:color w:val="auto"/>
          <w:sz w:val="22"/>
          <w:szCs w:val="22"/>
        </w:rPr>
      </w:pPr>
      <w:bookmarkStart w:id="5" w:name="_Toc443920291"/>
      <w:r w:rsidRPr="003715B3">
        <w:rPr>
          <w:rFonts w:ascii="Palatino Linotype" w:hAnsi="Palatino Linotype" w:cs="Times New Roman"/>
          <w:color w:val="auto"/>
          <w:sz w:val="22"/>
          <w:szCs w:val="22"/>
        </w:rPr>
        <w:t>Purpose:</w:t>
      </w:r>
      <w:bookmarkEnd w:id="5"/>
    </w:p>
    <w:p w14:paraId="790B3E9C" w14:textId="77777777" w:rsidR="00322A2C" w:rsidRPr="003715B3" w:rsidRDefault="00C12EF0" w:rsidP="008468C3">
      <w:pPr>
        <w:rPr>
          <w:rFonts w:ascii="Palatino Linotype" w:hAnsi="Palatino Linotype"/>
          <w:sz w:val="22"/>
          <w:szCs w:val="22"/>
        </w:rPr>
      </w:pPr>
      <w:r w:rsidRPr="003715B3">
        <w:rPr>
          <w:rFonts w:ascii="Palatino Linotype" w:hAnsi="Palatino Linotype"/>
          <w:sz w:val="22"/>
          <w:szCs w:val="22"/>
        </w:rPr>
        <w:t>Emergency Support Function 12 (ESF-12) is designated for the energy component(s) of an emergency at the state level.  The purpose of this annex, or plan, is to provide a framework of guidance and information for response support in the event of an impending or actual energy emergency. This plan is a part of the Montana Emergency Response Framework (MERF) developed by the Montana DES, and was designed to be consistent with higher-level plans, including the National Response Framework (NRF).  This annex is supported by Standard Operating Procedures (SOPs) and Job Action Sheets related to ESF-12.</w:t>
      </w:r>
    </w:p>
    <w:p w14:paraId="3F6DEB12" w14:textId="77777777" w:rsidR="0085189D" w:rsidRPr="003715B3" w:rsidRDefault="0085189D" w:rsidP="0085189D">
      <w:pPr>
        <w:rPr>
          <w:rFonts w:ascii="Palatino Linotype" w:hAnsi="Palatino Linotype"/>
          <w:sz w:val="22"/>
          <w:szCs w:val="22"/>
        </w:rPr>
      </w:pPr>
    </w:p>
    <w:p w14:paraId="76DFE9E0" w14:textId="77777777" w:rsidR="00612B6E" w:rsidRPr="00612B6E" w:rsidRDefault="0085189D" w:rsidP="00612B6E">
      <w:pPr>
        <w:rPr>
          <w:rFonts w:ascii="Palatino Linotype" w:hAnsi="Palatino Linotype"/>
          <w:sz w:val="22"/>
          <w:szCs w:val="22"/>
        </w:rPr>
      </w:pPr>
      <w:r w:rsidRPr="003715B3">
        <w:rPr>
          <w:rFonts w:ascii="Palatino Linotype" w:hAnsi="Palatino Linotype"/>
          <w:sz w:val="22"/>
          <w:szCs w:val="22"/>
        </w:rPr>
        <w:t>This ESF-12 Annex is a planning document that defines the role of ESF-12</w:t>
      </w:r>
      <w:r w:rsidR="00612B6E">
        <w:rPr>
          <w:rFonts w:ascii="Palatino Linotype" w:hAnsi="Palatino Linotype"/>
          <w:sz w:val="22"/>
          <w:szCs w:val="22"/>
        </w:rPr>
        <w:t>.  This annex</w:t>
      </w:r>
      <w:r w:rsidR="00612B6E" w:rsidRPr="00612B6E">
        <w:rPr>
          <w:rFonts w:ascii="Palatino Linotype" w:hAnsi="Palatino Linotype"/>
          <w:sz w:val="22"/>
          <w:szCs w:val="22"/>
        </w:rPr>
        <w:t xml:space="preserve"> provides for a coordinated response to actual or potential </w:t>
      </w:r>
      <w:r w:rsidR="00612B6E">
        <w:rPr>
          <w:rFonts w:ascii="Palatino Linotype" w:hAnsi="Palatino Linotype"/>
          <w:sz w:val="22"/>
          <w:szCs w:val="22"/>
        </w:rPr>
        <w:t>energy events</w:t>
      </w:r>
      <w:r w:rsidR="00612B6E" w:rsidRPr="00612B6E">
        <w:rPr>
          <w:rFonts w:ascii="Palatino Linotype" w:hAnsi="Palatino Linotype"/>
          <w:sz w:val="22"/>
          <w:szCs w:val="22"/>
        </w:rPr>
        <w:t xml:space="preserve"> anywhere within the State of Montana and/or those in neighboring states/countries having the potential to impact Montana.</w:t>
      </w:r>
    </w:p>
    <w:p w14:paraId="071C3C80" w14:textId="77777777" w:rsidR="00C12EF0" w:rsidRPr="003715B3" w:rsidRDefault="00C12EF0" w:rsidP="0085189D">
      <w:pPr>
        <w:rPr>
          <w:rFonts w:ascii="Palatino Linotype" w:hAnsi="Palatino Linotype"/>
          <w:sz w:val="22"/>
          <w:szCs w:val="22"/>
        </w:rPr>
      </w:pPr>
    </w:p>
    <w:p w14:paraId="6149B35E" w14:textId="77777777" w:rsidR="00C12EF0" w:rsidRPr="003715B3" w:rsidRDefault="00C12EF0" w:rsidP="00C12EF0">
      <w:pPr>
        <w:rPr>
          <w:rFonts w:ascii="Palatino Linotype" w:hAnsi="Palatino Linotype"/>
          <w:sz w:val="22"/>
          <w:szCs w:val="22"/>
        </w:rPr>
      </w:pPr>
      <w:r w:rsidRPr="003715B3">
        <w:rPr>
          <w:rFonts w:ascii="Palatino Linotype" w:hAnsi="Palatino Linotype"/>
          <w:sz w:val="22"/>
          <w:szCs w:val="22"/>
        </w:rPr>
        <w:t>Specifically, the purpose of the ESF-12 function includes the following:</w:t>
      </w:r>
    </w:p>
    <w:p w14:paraId="6373182E" w14:textId="77777777" w:rsidR="00C12EF0" w:rsidRPr="003715B3" w:rsidRDefault="00C12EF0" w:rsidP="00994689">
      <w:pPr>
        <w:pStyle w:val="ListParagraph"/>
        <w:numPr>
          <w:ilvl w:val="0"/>
          <w:numId w:val="4"/>
        </w:numPr>
        <w:rPr>
          <w:rFonts w:ascii="Palatino Linotype" w:hAnsi="Palatino Linotype"/>
          <w:sz w:val="22"/>
          <w:szCs w:val="22"/>
        </w:rPr>
      </w:pPr>
      <w:r w:rsidRPr="003715B3">
        <w:rPr>
          <w:rFonts w:ascii="Palatino Linotype" w:hAnsi="Palatino Linotype"/>
          <w:sz w:val="22"/>
          <w:szCs w:val="22"/>
        </w:rPr>
        <w:t xml:space="preserve">To coordinate the state’s efforts in the restoration and protection of Montana’s critical electricity, natural gas, and liquid fuels infrastructure, and related fuel supply systems, during and following a disaster or significant disruption. </w:t>
      </w:r>
    </w:p>
    <w:p w14:paraId="5173804A" w14:textId="77777777" w:rsidR="00C12EF0" w:rsidRPr="003715B3" w:rsidRDefault="00C12EF0" w:rsidP="00994689">
      <w:pPr>
        <w:pStyle w:val="ListParagraph"/>
        <w:numPr>
          <w:ilvl w:val="0"/>
          <w:numId w:val="4"/>
        </w:numPr>
        <w:rPr>
          <w:rFonts w:ascii="Palatino Linotype" w:hAnsi="Palatino Linotype"/>
          <w:sz w:val="22"/>
          <w:szCs w:val="22"/>
        </w:rPr>
      </w:pPr>
      <w:r w:rsidRPr="003715B3">
        <w:rPr>
          <w:rFonts w:ascii="Palatino Linotype" w:hAnsi="Palatino Linotype"/>
          <w:sz w:val="22"/>
          <w:szCs w:val="22"/>
        </w:rPr>
        <w:t>To establish DEQ as the single point of contact and liaison for the State on energy issue</w:t>
      </w:r>
      <w:r w:rsidR="00152E9D">
        <w:rPr>
          <w:rFonts w:ascii="Palatino Linotype" w:hAnsi="Palatino Linotype"/>
          <w:sz w:val="22"/>
          <w:szCs w:val="22"/>
        </w:rPr>
        <w:t>s in the event of an emergency.</w:t>
      </w:r>
    </w:p>
    <w:p w14:paraId="570D8015" w14:textId="77777777" w:rsidR="00C12EF0" w:rsidRPr="003715B3" w:rsidRDefault="00C12EF0" w:rsidP="00994689">
      <w:pPr>
        <w:pStyle w:val="ListParagraph"/>
        <w:numPr>
          <w:ilvl w:val="0"/>
          <w:numId w:val="4"/>
        </w:numPr>
        <w:rPr>
          <w:rFonts w:ascii="Palatino Linotype" w:hAnsi="Palatino Linotype"/>
          <w:sz w:val="22"/>
          <w:szCs w:val="22"/>
        </w:rPr>
      </w:pPr>
      <w:r w:rsidRPr="003715B3">
        <w:rPr>
          <w:rFonts w:ascii="Palatino Linotype" w:hAnsi="Palatino Linotype"/>
          <w:sz w:val="22"/>
          <w:szCs w:val="22"/>
        </w:rPr>
        <w:t xml:space="preserve">Providing direct coordination with all relevant state, regional, local, and federal entities as well as with private entities. </w:t>
      </w:r>
    </w:p>
    <w:p w14:paraId="3BF7805E" w14:textId="77777777" w:rsidR="00C12EF0" w:rsidRPr="003715B3" w:rsidRDefault="00C12EF0" w:rsidP="00994689">
      <w:pPr>
        <w:pStyle w:val="ListParagraph"/>
        <w:numPr>
          <w:ilvl w:val="0"/>
          <w:numId w:val="4"/>
        </w:numPr>
        <w:rPr>
          <w:rFonts w:ascii="Palatino Linotype" w:hAnsi="Palatino Linotype"/>
          <w:sz w:val="22"/>
          <w:szCs w:val="22"/>
        </w:rPr>
      </w:pPr>
      <w:r w:rsidRPr="003715B3">
        <w:rPr>
          <w:rFonts w:ascii="Palatino Linotype" w:hAnsi="Palatino Linotype"/>
          <w:sz w:val="22"/>
          <w:szCs w:val="22"/>
        </w:rPr>
        <w:t>To meet the planning and situational awareness needs of the Governor, policy makers, private industry and other ESF partners during an emergency.</w:t>
      </w:r>
    </w:p>
    <w:p w14:paraId="21046EB7" w14:textId="77777777" w:rsidR="00C12EF0" w:rsidRPr="00785F5D" w:rsidRDefault="00C12EF0" w:rsidP="00994689">
      <w:pPr>
        <w:pStyle w:val="ListParagraph"/>
        <w:numPr>
          <w:ilvl w:val="0"/>
          <w:numId w:val="4"/>
        </w:numPr>
        <w:rPr>
          <w:rFonts w:ascii="Palatino Linotype" w:hAnsi="Palatino Linotype"/>
          <w:sz w:val="22"/>
          <w:szCs w:val="22"/>
        </w:rPr>
      </w:pPr>
      <w:r w:rsidRPr="00785F5D">
        <w:rPr>
          <w:rFonts w:ascii="Palatino Linotype" w:hAnsi="Palatino Linotype"/>
          <w:sz w:val="22"/>
          <w:szCs w:val="22"/>
        </w:rPr>
        <w:t xml:space="preserve">To process requests for assistance from local utilities, fuel suppliers, and deliverers to facilitate restoration and protection efforts, or to channel those requests to the appropriate operational units. </w:t>
      </w:r>
    </w:p>
    <w:p w14:paraId="421830C8" w14:textId="77777777" w:rsidR="00C12EF0" w:rsidRPr="00785F5D" w:rsidRDefault="00C12EF0" w:rsidP="00994689">
      <w:pPr>
        <w:pStyle w:val="ListParagraph"/>
        <w:numPr>
          <w:ilvl w:val="0"/>
          <w:numId w:val="4"/>
        </w:numPr>
        <w:rPr>
          <w:rFonts w:ascii="Palatino Linotype" w:hAnsi="Palatino Linotype"/>
          <w:sz w:val="22"/>
          <w:szCs w:val="22"/>
        </w:rPr>
      </w:pPr>
      <w:r w:rsidRPr="00785F5D">
        <w:rPr>
          <w:rFonts w:ascii="Palatino Linotype" w:hAnsi="Palatino Linotype"/>
          <w:sz w:val="22"/>
          <w:szCs w:val="22"/>
        </w:rPr>
        <w:lastRenderedPageBreak/>
        <w:t xml:space="preserve">To provide energy consumers with advice on ways to meet their energy needs during the emergency, and to generally provide an effective source of information to the public.  </w:t>
      </w:r>
    </w:p>
    <w:p w14:paraId="35143B61" w14:textId="77777777" w:rsidR="0085189D" w:rsidRPr="009045C5" w:rsidRDefault="008468C3" w:rsidP="009045C5">
      <w:pPr>
        <w:pStyle w:val="Heading2"/>
        <w:rPr>
          <w:rFonts w:ascii="Palatino Linotype" w:hAnsi="Palatino Linotype" w:cs="Times New Roman"/>
          <w:color w:val="auto"/>
          <w:sz w:val="22"/>
          <w:szCs w:val="22"/>
        </w:rPr>
      </w:pPr>
      <w:bookmarkStart w:id="6" w:name="_Toc443920292"/>
      <w:r w:rsidRPr="003715B3">
        <w:rPr>
          <w:rFonts w:ascii="Palatino Linotype" w:hAnsi="Palatino Linotype" w:cs="Times New Roman"/>
          <w:color w:val="auto"/>
          <w:sz w:val="22"/>
          <w:szCs w:val="22"/>
        </w:rPr>
        <w:t>Scope:</w:t>
      </w:r>
      <w:bookmarkEnd w:id="6"/>
    </w:p>
    <w:p w14:paraId="6436C018" w14:textId="77777777" w:rsidR="0085189D" w:rsidRDefault="0085189D" w:rsidP="0085189D">
      <w:pPr>
        <w:rPr>
          <w:rFonts w:ascii="Palatino Linotype" w:hAnsi="Palatino Linotype"/>
          <w:sz w:val="22"/>
          <w:szCs w:val="22"/>
        </w:rPr>
      </w:pPr>
      <w:r w:rsidRPr="003715B3">
        <w:rPr>
          <w:rFonts w:ascii="Palatino Linotype" w:hAnsi="Palatino Linotype"/>
          <w:sz w:val="22"/>
          <w:szCs w:val="22"/>
        </w:rPr>
        <w:t xml:space="preserve">This </w:t>
      </w:r>
      <w:r w:rsidR="00FE35DF">
        <w:rPr>
          <w:rFonts w:ascii="Palatino Linotype" w:hAnsi="Palatino Linotype"/>
          <w:sz w:val="22"/>
          <w:szCs w:val="22"/>
        </w:rPr>
        <w:t>annex</w:t>
      </w:r>
      <w:r w:rsidRPr="003715B3">
        <w:rPr>
          <w:rFonts w:ascii="Palatino Linotype" w:hAnsi="Palatino Linotype"/>
          <w:sz w:val="22"/>
          <w:szCs w:val="22"/>
        </w:rPr>
        <w:t xml:space="preserve"> addresses significant disruption in energy supplies</w:t>
      </w:r>
      <w:r w:rsidR="00FE35DF">
        <w:rPr>
          <w:rFonts w:ascii="Palatino Linotype" w:hAnsi="Palatino Linotype"/>
          <w:sz w:val="22"/>
          <w:szCs w:val="22"/>
        </w:rPr>
        <w:t xml:space="preserve"> in Montana</w:t>
      </w:r>
      <w:r w:rsidRPr="003715B3">
        <w:rPr>
          <w:rFonts w:ascii="Palatino Linotype" w:hAnsi="Palatino Linotype"/>
          <w:sz w:val="22"/>
          <w:szCs w:val="22"/>
        </w:rPr>
        <w:t xml:space="preserve"> for any reason, whether caused by physical disruption of energy transmission and distribution systems, unexpected operational failure of such systems, or unusual economic and/or human caused events.  </w:t>
      </w:r>
      <w:r w:rsidR="00FE35DF">
        <w:rPr>
          <w:rFonts w:ascii="Palatino Linotype" w:hAnsi="Palatino Linotype"/>
          <w:sz w:val="22"/>
          <w:szCs w:val="22"/>
        </w:rPr>
        <w:t xml:space="preserve">In select cases, this framework may need to address disruptions outside the state that affect Montana as the energy system is interconnected with other states and Canada.  </w:t>
      </w:r>
      <w:r w:rsidRPr="003715B3">
        <w:rPr>
          <w:rFonts w:ascii="Palatino Linotype" w:hAnsi="Palatino Linotype"/>
          <w:sz w:val="22"/>
          <w:szCs w:val="22"/>
        </w:rPr>
        <w:t>This annex does not supersede the rate-making authority of the PSC, FERC, or the boards of directors for electric cooperatives. This annex does not supersede other regulations that private energy companies must meet. This ESF-12 annex incorporates</w:t>
      </w:r>
      <w:r w:rsidR="00FE35DF">
        <w:rPr>
          <w:rFonts w:ascii="Palatino Linotype" w:hAnsi="Palatino Linotype"/>
          <w:sz w:val="22"/>
          <w:szCs w:val="22"/>
        </w:rPr>
        <w:t xml:space="preserve"> portions of</w:t>
      </w:r>
      <w:r w:rsidRPr="003715B3">
        <w:rPr>
          <w:rFonts w:ascii="Palatino Linotype" w:hAnsi="Palatino Linotype"/>
          <w:sz w:val="22"/>
          <w:szCs w:val="22"/>
        </w:rPr>
        <w:t xml:space="preserve"> the </w:t>
      </w:r>
      <w:r w:rsidR="00612B6E">
        <w:rPr>
          <w:rFonts w:ascii="Palatino Linotype" w:hAnsi="Palatino Linotype"/>
          <w:sz w:val="22"/>
          <w:szCs w:val="22"/>
        </w:rPr>
        <w:t xml:space="preserve">Montana </w:t>
      </w:r>
      <w:r w:rsidRPr="003715B3">
        <w:rPr>
          <w:rFonts w:ascii="Palatino Linotype" w:hAnsi="Palatino Linotype"/>
          <w:sz w:val="22"/>
          <w:szCs w:val="22"/>
        </w:rPr>
        <w:t>Energy Assurance Plan (EAP), which addresses both short-term response and longer-term assistance in greater detail.</w:t>
      </w:r>
    </w:p>
    <w:p w14:paraId="237439FA" w14:textId="77777777" w:rsidR="00FE35DF" w:rsidRDefault="00FE35DF" w:rsidP="0085189D">
      <w:pPr>
        <w:rPr>
          <w:rFonts w:ascii="Palatino Linotype" w:hAnsi="Palatino Linotype"/>
          <w:sz w:val="22"/>
          <w:szCs w:val="22"/>
        </w:rPr>
      </w:pPr>
    </w:p>
    <w:p w14:paraId="3CE0FCD1" w14:textId="77777777" w:rsidR="00FE35DF" w:rsidRPr="003715B3" w:rsidRDefault="00FE35DF" w:rsidP="00FE35DF">
      <w:pPr>
        <w:rPr>
          <w:rFonts w:ascii="Palatino Linotype" w:hAnsi="Palatino Linotype"/>
          <w:sz w:val="22"/>
          <w:szCs w:val="22"/>
        </w:rPr>
      </w:pPr>
      <w:r w:rsidRPr="003715B3">
        <w:rPr>
          <w:rFonts w:ascii="Palatino Linotype" w:hAnsi="Palatino Linotype"/>
          <w:sz w:val="22"/>
          <w:szCs w:val="22"/>
        </w:rPr>
        <w:t>This annex covers some emergency preparedness actions as well as emergency response actions.   The focus of this annex is primarily on providing support to “response” operations and on assistance for an emergency of temporary nature.  Long-term assistance is part of “recovery” and is generally beyond the scope of this annex</w:t>
      </w:r>
    </w:p>
    <w:p w14:paraId="1E4FC554" w14:textId="77777777" w:rsidR="00FE35DF" w:rsidRDefault="00FE35DF" w:rsidP="0085189D">
      <w:pPr>
        <w:rPr>
          <w:rFonts w:ascii="Palatino Linotype" w:hAnsi="Palatino Linotype"/>
          <w:sz w:val="22"/>
          <w:szCs w:val="22"/>
        </w:rPr>
      </w:pPr>
    </w:p>
    <w:p w14:paraId="7551F477" w14:textId="77777777" w:rsidR="00FE35DF" w:rsidRPr="003715B3" w:rsidRDefault="00FE35DF" w:rsidP="00FE35DF">
      <w:pPr>
        <w:rPr>
          <w:rFonts w:ascii="Palatino Linotype" w:hAnsi="Palatino Linotype"/>
          <w:sz w:val="22"/>
          <w:szCs w:val="22"/>
        </w:rPr>
      </w:pPr>
      <w:r w:rsidRPr="003715B3">
        <w:rPr>
          <w:rFonts w:ascii="Palatino Linotype" w:hAnsi="Palatino Linotype"/>
          <w:sz w:val="22"/>
          <w:szCs w:val="22"/>
        </w:rPr>
        <w:t>Although DEQ is the primary coordinating agency for ESF-12, its activities are dependent upon supporting agencies and utilities.</w:t>
      </w:r>
    </w:p>
    <w:p w14:paraId="641C67F9" w14:textId="77777777" w:rsidR="00FE35DF" w:rsidRPr="003715B3" w:rsidRDefault="00FE35DF" w:rsidP="00FE35DF">
      <w:pPr>
        <w:tabs>
          <w:tab w:val="left" w:pos="2130"/>
        </w:tabs>
        <w:rPr>
          <w:rFonts w:ascii="Palatino Linotype" w:hAnsi="Palatino Linotype"/>
          <w:sz w:val="22"/>
          <w:szCs w:val="22"/>
        </w:rPr>
      </w:pPr>
      <w:r w:rsidRPr="003715B3">
        <w:rPr>
          <w:rFonts w:ascii="Palatino Linotype" w:hAnsi="Palatino Linotype"/>
          <w:sz w:val="22"/>
          <w:szCs w:val="22"/>
        </w:rPr>
        <w:tab/>
      </w:r>
    </w:p>
    <w:p w14:paraId="30CDA748" w14:textId="77777777" w:rsidR="00FE35DF" w:rsidRPr="003715B3" w:rsidRDefault="00FE35DF" w:rsidP="00FE35DF">
      <w:pPr>
        <w:rPr>
          <w:rFonts w:ascii="Palatino Linotype" w:hAnsi="Palatino Linotype"/>
          <w:sz w:val="22"/>
          <w:szCs w:val="22"/>
        </w:rPr>
      </w:pPr>
      <w:r w:rsidRPr="003715B3">
        <w:rPr>
          <w:rFonts w:ascii="Palatino Linotype" w:hAnsi="Palatino Linotype"/>
          <w:sz w:val="22"/>
          <w:szCs w:val="22"/>
        </w:rPr>
        <w:t>This annex applies to several different possible scenarios including, but not limited to:</w:t>
      </w:r>
    </w:p>
    <w:p w14:paraId="5C97373E" w14:textId="77777777" w:rsidR="00FE35DF" w:rsidRPr="003715B3" w:rsidRDefault="00FE35DF" w:rsidP="00994689">
      <w:pPr>
        <w:pStyle w:val="ListParagraph"/>
        <w:numPr>
          <w:ilvl w:val="0"/>
          <w:numId w:val="1"/>
        </w:numPr>
        <w:rPr>
          <w:rFonts w:ascii="Palatino Linotype" w:hAnsi="Palatino Linotype"/>
          <w:sz w:val="22"/>
          <w:szCs w:val="22"/>
        </w:rPr>
      </w:pPr>
      <w:r w:rsidRPr="003715B3">
        <w:rPr>
          <w:rFonts w:ascii="Palatino Linotype" w:hAnsi="Palatino Linotype"/>
          <w:sz w:val="22"/>
          <w:szCs w:val="22"/>
        </w:rPr>
        <w:t xml:space="preserve">Requests for State assistance from in-state </w:t>
      </w:r>
      <w:r>
        <w:rPr>
          <w:rFonts w:ascii="Palatino Linotype" w:hAnsi="Palatino Linotype"/>
          <w:sz w:val="22"/>
          <w:szCs w:val="22"/>
        </w:rPr>
        <w:t xml:space="preserve">local </w:t>
      </w:r>
      <w:r w:rsidRPr="003715B3">
        <w:rPr>
          <w:rFonts w:ascii="Palatino Linotype" w:hAnsi="Palatino Linotype"/>
          <w:sz w:val="22"/>
          <w:szCs w:val="22"/>
        </w:rPr>
        <w:t xml:space="preserve">jurisdictions and </w:t>
      </w:r>
      <w:r>
        <w:rPr>
          <w:rFonts w:ascii="Palatino Linotype" w:hAnsi="Palatino Linotype"/>
          <w:sz w:val="22"/>
          <w:szCs w:val="22"/>
        </w:rPr>
        <w:t xml:space="preserve">other </w:t>
      </w:r>
      <w:r w:rsidRPr="003715B3">
        <w:rPr>
          <w:rFonts w:ascii="Palatino Linotype" w:hAnsi="Palatino Linotype"/>
          <w:sz w:val="22"/>
          <w:szCs w:val="22"/>
        </w:rPr>
        <w:t>agencies</w:t>
      </w:r>
    </w:p>
    <w:p w14:paraId="302F274E" w14:textId="77777777" w:rsidR="00FE35DF" w:rsidRPr="003715B3" w:rsidRDefault="00FE35DF" w:rsidP="00994689">
      <w:pPr>
        <w:pStyle w:val="ListParagraph"/>
        <w:numPr>
          <w:ilvl w:val="0"/>
          <w:numId w:val="1"/>
        </w:numPr>
        <w:rPr>
          <w:rFonts w:ascii="Palatino Linotype" w:hAnsi="Palatino Linotype"/>
          <w:sz w:val="22"/>
          <w:szCs w:val="22"/>
        </w:rPr>
      </w:pPr>
      <w:r w:rsidRPr="003715B3">
        <w:rPr>
          <w:rFonts w:ascii="Palatino Linotype" w:hAnsi="Palatino Linotype"/>
          <w:sz w:val="22"/>
          <w:szCs w:val="22"/>
        </w:rPr>
        <w:t>Request for State assistance from utilities and other energy companies</w:t>
      </w:r>
    </w:p>
    <w:p w14:paraId="1C03B6C0" w14:textId="77777777" w:rsidR="00FE35DF" w:rsidRPr="009045C5" w:rsidRDefault="00FE35DF" w:rsidP="00994689">
      <w:pPr>
        <w:pStyle w:val="ListParagraph"/>
        <w:numPr>
          <w:ilvl w:val="0"/>
          <w:numId w:val="1"/>
        </w:numPr>
        <w:rPr>
          <w:rFonts w:ascii="Palatino Linotype" w:hAnsi="Palatino Linotype"/>
          <w:sz w:val="22"/>
          <w:szCs w:val="22"/>
        </w:rPr>
      </w:pPr>
      <w:r w:rsidRPr="003715B3">
        <w:rPr>
          <w:rFonts w:ascii="Palatino Linotype" w:hAnsi="Palatino Linotype"/>
          <w:sz w:val="22"/>
          <w:szCs w:val="22"/>
        </w:rPr>
        <w:t>Requests for “Host State” assistance from out-of-state agencies (e.g., FEMA, interstate mutual aid, etc.)</w:t>
      </w:r>
    </w:p>
    <w:p w14:paraId="5586AE4D" w14:textId="77777777" w:rsidR="003715B3" w:rsidRPr="00B04AB3" w:rsidRDefault="003715B3" w:rsidP="003715B3">
      <w:pPr>
        <w:keepNext/>
        <w:keepLines/>
        <w:spacing w:before="480" w:line="276" w:lineRule="auto"/>
        <w:outlineLvl w:val="0"/>
        <w:rPr>
          <w:rFonts w:ascii="Palatino Linotype" w:eastAsia="Calibri" w:hAnsi="Palatino Linotype"/>
          <w:b/>
          <w:bCs/>
          <w:sz w:val="28"/>
          <w:szCs w:val="28"/>
        </w:rPr>
      </w:pPr>
      <w:bookmarkStart w:id="7" w:name="_Toc440461650"/>
      <w:bookmarkStart w:id="8" w:name="_Toc443920293"/>
      <w:r w:rsidRPr="00B04AB3">
        <w:rPr>
          <w:rFonts w:ascii="Palatino Linotype" w:eastAsia="Calibri" w:hAnsi="Palatino Linotype"/>
          <w:b/>
          <w:bCs/>
          <w:sz w:val="36"/>
          <w:szCs w:val="36"/>
        </w:rPr>
        <w:t>Section III:  Assumptions</w:t>
      </w:r>
      <w:bookmarkEnd w:id="7"/>
      <w:bookmarkEnd w:id="8"/>
    </w:p>
    <w:p w14:paraId="2AD9B5E9" w14:textId="77777777" w:rsidR="005C6200" w:rsidRDefault="005C6200" w:rsidP="008468C3">
      <w:pPr>
        <w:rPr>
          <w:szCs w:val="24"/>
        </w:rPr>
      </w:pPr>
    </w:p>
    <w:p w14:paraId="7D2481BC" w14:textId="77777777" w:rsidR="003715B3" w:rsidRPr="003715B3" w:rsidRDefault="003715B3" w:rsidP="003715B3">
      <w:pPr>
        <w:rPr>
          <w:b/>
          <w:szCs w:val="24"/>
        </w:rPr>
      </w:pPr>
      <w:r w:rsidRPr="003715B3">
        <w:rPr>
          <w:b/>
          <w:szCs w:val="24"/>
        </w:rPr>
        <w:t>Assumptions:</w:t>
      </w:r>
    </w:p>
    <w:p w14:paraId="7C91FE2E" w14:textId="77777777" w:rsidR="00AD1834" w:rsidRDefault="003B0CD5" w:rsidP="00994689">
      <w:pPr>
        <w:pStyle w:val="ListParagraph"/>
        <w:numPr>
          <w:ilvl w:val="0"/>
          <w:numId w:val="5"/>
        </w:numPr>
        <w:tabs>
          <w:tab w:val="left" w:pos="450"/>
        </w:tabs>
        <w:rPr>
          <w:rFonts w:ascii="Palatino Linotype" w:hAnsi="Palatino Linotype"/>
          <w:sz w:val="22"/>
          <w:szCs w:val="22"/>
        </w:rPr>
      </w:pPr>
      <w:r w:rsidRPr="00AD1834">
        <w:rPr>
          <w:rFonts w:ascii="Palatino Linotype" w:hAnsi="Palatino Linotype"/>
          <w:sz w:val="22"/>
          <w:szCs w:val="22"/>
        </w:rPr>
        <w:t>Events affecting systems that move or deliver an energy product (transportation systems) generally will be more critical than those affecting an energy production center</w:t>
      </w:r>
      <w:r w:rsidR="00FE35DF">
        <w:rPr>
          <w:rFonts w:ascii="Palatino Linotype" w:hAnsi="Palatino Linotype"/>
          <w:sz w:val="22"/>
          <w:szCs w:val="22"/>
        </w:rPr>
        <w:t xml:space="preserve"> such as a single generation plant</w:t>
      </w:r>
      <w:r w:rsidRPr="00AD1834">
        <w:rPr>
          <w:rFonts w:ascii="Palatino Linotype" w:hAnsi="Palatino Linotype"/>
          <w:sz w:val="22"/>
          <w:szCs w:val="22"/>
        </w:rPr>
        <w:t>.</w:t>
      </w:r>
    </w:p>
    <w:p w14:paraId="07D138B4" w14:textId="77777777" w:rsidR="00D22BF1" w:rsidRDefault="00D22BF1" w:rsidP="00994689">
      <w:pPr>
        <w:pStyle w:val="ListParagraph"/>
        <w:numPr>
          <w:ilvl w:val="0"/>
          <w:numId w:val="5"/>
        </w:numPr>
        <w:tabs>
          <w:tab w:val="left" w:pos="450"/>
        </w:tabs>
        <w:rPr>
          <w:rFonts w:ascii="Palatino Linotype" w:hAnsi="Palatino Linotype"/>
          <w:sz w:val="22"/>
          <w:szCs w:val="22"/>
        </w:rPr>
      </w:pPr>
      <w:r>
        <w:rPr>
          <w:rFonts w:ascii="Palatino Linotype" w:hAnsi="Palatino Linotype"/>
          <w:sz w:val="22"/>
          <w:szCs w:val="22"/>
        </w:rPr>
        <w:t>Energy systems in Montana could be affected by events in other states, Canada and other parts of the world</w:t>
      </w:r>
    </w:p>
    <w:p w14:paraId="00790CF6" w14:textId="77777777" w:rsidR="00AD1834" w:rsidRDefault="003B0CD5" w:rsidP="00994689">
      <w:pPr>
        <w:pStyle w:val="ListParagraph"/>
        <w:numPr>
          <w:ilvl w:val="0"/>
          <w:numId w:val="5"/>
        </w:numPr>
        <w:tabs>
          <w:tab w:val="left" w:pos="450"/>
        </w:tabs>
        <w:rPr>
          <w:rFonts w:ascii="Palatino Linotype" w:hAnsi="Palatino Linotype"/>
          <w:sz w:val="22"/>
          <w:szCs w:val="22"/>
        </w:rPr>
      </w:pPr>
      <w:r w:rsidRPr="00AD1834">
        <w:rPr>
          <w:rFonts w:ascii="Palatino Linotype" w:hAnsi="Palatino Linotype"/>
          <w:sz w:val="22"/>
          <w:szCs w:val="22"/>
        </w:rPr>
        <w:t>Most emergency events are likely to be resolved in a matter of hours or days for the majority of customers in the affected area as the affected utility, company, or agency makes repairs. The State may or may not need to be involved in the resolution of these events.</w:t>
      </w:r>
    </w:p>
    <w:p w14:paraId="3EF2FC5A" w14:textId="77777777" w:rsidR="00AD1834" w:rsidRDefault="003B0CD5" w:rsidP="00994689">
      <w:pPr>
        <w:pStyle w:val="ListParagraph"/>
        <w:numPr>
          <w:ilvl w:val="0"/>
          <w:numId w:val="5"/>
        </w:numPr>
        <w:tabs>
          <w:tab w:val="left" w:pos="450"/>
        </w:tabs>
        <w:rPr>
          <w:rFonts w:ascii="Palatino Linotype" w:hAnsi="Palatino Linotype"/>
          <w:sz w:val="22"/>
          <w:szCs w:val="22"/>
        </w:rPr>
      </w:pPr>
      <w:r w:rsidRPr="00AD1834">
        <w:rPr>
          <w:rFonts w:ascii="Palatino Linotype" w:hAnsi="Palatino Linotype"/>
          <w:sz w:val="22"/>
          <w:szCs w:val="22"/>
        </w:rPr>
        <w:lastRenderedPageBreak/>
        <w:t>This ESF-12 annex is prepared for all types of energy emergencies. However, more extensive emergencies may require federal assistance; consequently, this annex complements guidance in the National Response Framework (NRF</w:t>
      </w:r>
      <w:r w:rsidR="003715B3" w:rsidRPr="00AD1834">
        <w:rPr>
          <w:rFonts w:ascii="Palatino Linotype" w:hAnsi="Palatino Linotype"/>
          <w:sz w:val="22"/>
          <w:szCs w:val="22"/>
        </w:rPr>
        <w:t>)</w:t>
      </w:r>
      <w:r w:rsidRPr="00AD1834">
        <w:rPr>
          <w:rFonts w:ascii="Palatino Linotype" w:hAnsi="Palatino Linotype"/>
          <w:sz w:val="22"/>
          <w:szCs w:val="22"/>
        </w:rPr>
        <w:t>.</w:t>
      </w:r>
    </w:p>
    <w:p w14:paraId="0AC7F160" w14:textId="17A4CD53" w:rsidR="007A789B" w:rsidRDefault="00AD1834" w:rsidP="00994689">
      <w:pPr>
        <w:pStyle w:val="ListParagraph"/>
        <w:numPr>
          <w:ilvl w:val="0"/>
          <w:numId w:val="5"/>
        </w:numPr>
        <w:tabs>
          <w:tab w:val="left" w:pos="450"/>
        </w:tabs>
        <w:rPr>
          <w:rFonts w:ascii="Palatino Linotype" w:hAnsi="Palatino Linotype"/>
          <w:sz w:val="22"/>
          <w:szCs w:val="22"/>
        </w:rPr>
      </w:pPr>
      <w:r>
        <w:rPr>
          <w:rFonts w:ascii="Palatino Linotype" w:hAnsi="Palatino Linotype"/>
          <w:sz w:val="22"/>
          <w:szCs w:val="22"/>
        </w:rPr>
        <w:t>E</w:t>
      </w:r>
      <w:r w:rsidR="003B0CD5" w:rsidRPr="00AD1834">
        <w:rPr>
          <w:rFonts w:ascii="Palatino Linotype" w:hAnsi="Palatino Linotype"/>
          <w:sz w:val="22"/>
          <w:szCs w:val="22"/>
        </w:rPr>
        <w:t xml:space="preserve">nergy emergencies </w:t>
      </w:r>
      <w:r w:rsidR="003B0CD5" w:rsidRPr="00AD1834">
        <w:rPr>
          <w:rFonts w:ascii="Palatino Linotype" w:hAnsi="Palatino Linotype"/>
          <w:sz w:val="22"/>
          <w:szCs w:val="22"/>
          <w:u w:val="single"/>
        </w:rPr>
        <w:t>may</w:t>
      </w:r>
      <w:r w:rsidR="003B0CD5" w:rsidRPr="00AD1834">
        <w:rPr>
          <w:rFonts w:ascii="Palatino Linotype" w:hAnsi="Palatino Linotype"/>
          <w:sz w:val="22"/>
          <w:szCs w:val="22"/>
        </w:rPr>
        <w:t xml:space="preserve"> involve damage to infrastructure and </w:t>
      </w:r>
      <w:r w:rsidR="003B0CD5" w:rsidRPr="00AD1834">
        <w:rPr>
          <w:rFonts w:ascii="Palatino Linotype" w:hAnsi="Palatino Linotype"/>
          <w:sz w:val="22"/>
          <w:szCs w:val="22"/>
          <w:u w:val="single"/>
        </w:rPr>
        <w:t>will</w:t>
      </w:r>
      <w:r w:rsidR="003B0CD5" w:rsidRPr="00AD1834">
        <w:rPr>
          <w:rFonts w:ascii="Palatino Linotype" w:hAnsi="Palatino Linotype"/>
          <w:sz w:val="22"/>
          <w:szCs w:val="22"/>
        </w:rPr>
        <w:t xml:space="preserve"> involve economic impacts and threats to public health and safety. Accordingly, ESF-12 is </w:t>
      </w:r>
      <w:r w:rsidR="00994689">
        <w:rPr>
          <w:rFonts w:ascii="Palatino Linotype" w:hAnsi="Palatino Linotype"/>
          <w:sz w:val="22"/>
          <w:szCs w:val="22"/>
        </w:rPr>
        <w:t>may</w:t>
      </w:r>
      <w:r w:rsidR="003B0CD5" w:rsidRPr="00AD1834">
        <w:rPr>
          <w:rFonts w:ascii="Palatino Linotype" w:hAnsi="Palatino Linotype"/>
          <w:sz w:val="22"/>
          <w:szCs w:val="22"/>
        </w:rPr>
        <w:t xml:space="preserve"> be activated on its own, </w:t>
      </w:r>
      <w:r w:rsidR="00994689">
        <w:rPr>
          <w:rFonts w:ascii="Palatino Linotype" w:hAnsi="Palatino Linotype"/>
          <w:sz w:val="22"/>
          <w:szCs w:val="22"/>
        </w:rPr>
        <w:t xml:space="preserve">or may </w:t>
      </w:r>
      <w:r w:rsidR="003B0CD5" w:rsidRPr="00AD1834">
        <w:rPr>
          <w:rFonts w:ascii="Palatino Linotype" w:hAnsi="Palatino Linotype"/>
          <w:sz w:val="22"/>
          <w:szCs w:val="22"/>
        </w:rPr>
        <w:t>work in conjunction with other emergency support functions.</w:t>
      </w:r>
      <w:r w:rsidR="007A789B">
        <w:rPr>
          <w:rFonts w:ascii="Palatino Linotype" w:hAnsi="Palatino Linotype"/>
          <w:sz w:val="22"/>
          <w:szCs w:val="22"/>
        </w:rPr>
        <w:t xml:space="preserve">  </w:t>
      </w:r>
    </w:p>
    <w:p w14:paraId="3383A54D" w14:textId="55262AB5" w:rsidR="007A789B" w:rsidRPr="007A789B" w:rsidRDefault="007A789B" w:rsidP="00994689">
      <w:pPr>
        <w:pStyle w:val="ListParagraph"/>
        <w:numPr>
          <w:ilvl w:val="0"/>
          <w:numId w:val="5"/>
        </w:numPr>
        <w:tabs>
          <w:tab w:val="left" w:pos="450"/>
        </w:tabs>
        <w:rPr>
          <w:rFonts w:ascii="Palatino Linotype" w:hAnsi="Palatino Linotype"/>
          <w:sz w:val="22"/>
          <w:szCs w:val="22"/>
        </w:rPr>
      </w:pPr>
      <w:r w:rsidRPr="007A789B">
        <w:rPr>
          <w:rFonts w:ascii="Palatino Linotype" w:hAnsi="Palatino Linotype"/>
          <w:sz w:val="22"/>
          <w:szCs w:val="22"/>
        </w:rPr>
        <w:t xml:space="preserve">All ESF-12 activities will normally be conducted in Helena, at </w:t>
      </w:r>
      <w:r w:rsidR="00C07EB6">
        <w:rPr>
          <w:rFonts w:ascii="Palatino Linotype" w:hAnsi="Palatino Linotype"/>
          <w:sz w:val="22"/>
          <w:szCs w:val="22"/>
        </w:rPr>
        <w:t xml:space="preserve">either </w:t>
      </w:r>
      <w:r w:rsidRPr="007A789B">
        <w:rPr>
          <w:rFonts w:ascii="Palatino Linotype" w:hAnsi="Palatino Linotype"/>
          <w:sz w:val="22"/>
          <w:szCs w:val="22"/>
        </w:rPr>
        <w:t xml:space="preserve">the SECC </w:t>
      </w:r>
      <w:r w:rsidR="00FE35DF">
        <w:rPr>
          <w:rFonts w:ascii="Palatino Linotype" w:hAnsi="Palatino Linotype"/>
          <w:sz w:val="22"/>
          <w:szCs w:val="22"/>
        </w:rPr>
        <w:t xml:space="preserve">located at Fort Harrison (west of Helena) </w:t>
      </w:r>
      <w:r w:rsidRPr="007A789B">
        <w:rPr>
          <w:rFonts w:ascii="Palatino Linotype" w:hAnsi="Palatino Linotype"/>
          <w:sz w:val="22"/>
          <w:szCs w:val="22"/>
        </w:rPr>
        <w:t xml:space="preserve">or at the DEQ Headquarters at 1520 E. 6th Ave, Helena, MT. Which of these two locations will be used will depend upon the particular emergency, the severity of the emergency, and the availability of needed information at the SECC.  Generally, the SECC will be used </w:t>
      </w:r>
      <w:r w:rsidR="00C07EB6">
        <w:rPr>
          <w:rFonts w:ascii="Palatino Linotype" w:hAnsi="Palatino Linotype"/>
          <w:sz w:val="22"/>
          <w:szCs w:val="22"/>
        </w:rPr>
        <w:t xml:space="preserve">only </w:t>
      </w:r>
      <w:r w:rsidRPr="007A789B">
        <w:rPr>
          <w:rFonts w:ascii="Palatino Linotype" w:hAnsi="Palatino Linotype"/>
          <w:sz w:val="22"/>
          <w:szCs w:val="22"/>
        </w:rPr>
        <w:t>for more severe events.</w:t>
      </w:r>
    </w:p>
    <w:p w14:paraId="5C694201" w14:textId="77777777" w:rsidR="00AD1834" w:rsidRDefault="003B0CD5" w:rsidP="00994689">
      <w:pPr>
        <w:pStyle w:val="ListParagraph"/>
        <w:numPr>
          <w:ilvl w:val="0"/>
          <w:numId w:val="5"/>
        </w:numPr>
        <w:tabs>
          <w:tab w:val="left" w:pos="450"/>
        </w:tabs>
        <w:rPr>
          <w:rFonts w:ascii="Palatino Linotype" w:hAnsi="Palatino Linotype"/>
          <w:sz w:val="22"/>
          <w:szCs w:val="22"/>
        </w:rPr>
      </w:pPr>
      <w:r w:rsidRPr="00AD1834">
        <w:rPr>
          <w:rFonts w:ascii="Palatino Linotype" w:hAnsi="Palatino Linotype"/>
          <w:sz w:val="22"/>
          <w:szCs w:val="22"/>
        </w:rPr>
        <w:t xml:space="preserve">DEQ, along with its utility and other partners, will lead identification of needed state emergency services and help prioritize their deployment. However, DEQ cannot operate energy systems, nor will the agency directly provide supplies to the public (i.e., shelter, water) or assign the use of heavy machinery. </w:t>
      </w:r>
    </w:p>
    <w:p w14:paraId="4D1601B2" w14:textId="77777777" w:rsidR="00AD1834" w:rsidRDefault="003B0CD5" w:rsidP="00994689">
      <w:pPr>
        <w:pStyle w:val="ListParagraph"/>
        <w:numPr>
          <w:ilvl w:val="0"/>
          <w:numId w:val="5"/>
        </w:numPr>
        <w:tabs>
          <w:tab w:val="left" w:pos="450"/>
        </w:tabs>
        <w:rPr>
          <w:rFonts w:ascii="Palatino Linotype" w:hAnsi="Palatino Linotype"/>
          <w:sz w:val="22"/>
          <w:szCs w:val="22"/>
        </w:rPr>
      </w:pPr>
      <w:r w:rsidRPr="00AD1834">
        <w:rPr>
          <w:rFonts w:ascii="Palatino Linotype" w:hAnsi="Palatino Linotype"/>
          <w:sz w:val="22"/>
          <w:szCs w:val="22"/>
        </w:rPr>
        <w:t>DEQ will direct state agency information and outreach programs during energy emergencies, especially during prolonged events, and will contact partners in the energy sectors and coordinate with them in the dissemination of information.</w:t>
      </w:r>
    </w:p>
    <w:p w14:paraId="604BE1A1" w14:textId="47158DA0" w:rsidR="007D6948" w:rsidRPr="00D22BF1" w:rsidRDefault="003B0CD5" w:rsidP="00994689">
      <w:pPr>
        <w:pStyle w:val="ListParagraph"/>
        <w:numPr>
          <w:ilvl w:val="0"/>
          <w:numId w:val="5"/>
        </w:numPr>
        <w:tabs>
          <w:tab w:val="left" w:pos="450"/>
        </w:tabs>
        <w:rPr>
          <w:rFonts w:ascii="Palatino Linotype" w:hAnsi="Palatino Linotype"/>
          <w:sz w:val="22"/>
          <w:szCs w:val="22"/>
        </w:rPr>
      </w:pPr>
      <w:r w:rsidRPr="00AD1834">
        <w:rPr>
          <w:rFonts w:ascii="Palatino Linotype" w:hAnsi="Palatino Linotype"/>
          <w:sz w:val="22"/>
          <w:szCs w:val="22"/>
        </w:rPr>
        <w:t xml:space="preserve">Energy producers and suppliers (utilities) have their own plans for use in emergency situations.   The plans and procedures described in this annex </w:t>
      </w:r>
      <w:r w:rsidR="00C07EB6">
        <w:rPr>
          <w:rFonts w:ascii="Palatino Linotype" w:hAnsi="Palatino Linotype"/>
          <w:sz w:val="22"/>
          <w:szCs w:val="22"/>
        </w:rPr>
        <w:t xml:space="preserve">are designed to </w:t>
      </w:r>
      <w:r w:rsidRPr="00AD1834">
        <w:rPr>
          <w:rFonts w:ascii="Palatino Linotype" w:hAnsi="Palatino Linotype"/>
          <w:sz w:val="22"/>
          <w:szCs w:val="22"/>
        </w:rPr>
        <w:t>complement the energy producers’ and suppliers’ own plans and actions as well as those plans of local governments, state, and federal agencies.</w:t>
      </w:r>
      <w:r w:rsidR="000A1D1C" w:rsidRPr="00AD1834">
        <w:rPr>
          <w:szCs w:val="24"/>
        </w:rPr>
        <w:t xml:space="preserve">  </w:t>
      </w:r>
    </w:p>
    <w:p w14:paraId="5A1BC0C4" w14:textId="77777777" w:rsidR="00D22BF1" w:rsidRPr="00612B6E" w:rsidRDefault="00612B6E" w:rsidP="00994689">
      <w:pPr>
        <w:pStyle w:val="ListParagraph"/>
        <w:numPr>
          <w:ilvl w:val="0"/>
          <w:numId w:val="5"/>
        </w:numPr>
        <w:autoSpaceDE w:val="0"/>
        <w:autoSpaceDN w:val="0"/>
        <w:adjustRightInd w:val="0"/>
        <w:rPr>
          <w:rFonts w:ascii="Palatino Linotype" w:hAnsi="Palatino Linotype"/>
          <w:sz w:val="22"/>
          <w:szCs w:val="22"/>
        </w:rPr>
      </w:pPr>
      <w:r w:rsidRPr="00612B6E">
        <w:rPr>
          <w:rFonts w:ascii="Palatino Linotype" w:hAnsi="Palatino Linotype"/>
          <w:sz w:val="22"/>
          <w:szCs w:val="22"/>
        </w:rPr>
        <w:t>The MERF follows the principle that “all incidents are local”.  As such, it is the responsibility of the local jurisdiction(s) to establish and manage the initial on</w:t>
      </w:r>
      <w:r w:rsidR="00F803B4">
        <w:rPr>
          <w:rFonts w:ascii="Palatino Linotype" w:hAnsi="Palatino Linotype"/>
          <w:sz w:val="22"/>
          <w:szCs w:val="22"/>
        </w:rPr>
        <w:t>-</w:t>
      </w:r>
      <w:r w:rsidRPr="00612B6E">
        <w:rPr>
          <w:rFonts w:ascii="Palatino Linotype" w:hAnsi="Palatino Linotype"/>
          <w:sz w:val="22"/>
          <w:szCs w:val="22"/>
        </w:rPr>
        <w:t xml:space="preserve">scene Incident Command System (ICS) structure.  This includes notification of local emergency response agencies and elected officials / field representatives.  Thus, </w:t>
      </w:r>
      <w:r>
        <w:rPr>
          <w:rFonts w:ascii="Palatino Linotype" w:hAnsi="Palatino Linotype"/>
          <w:sz w:val="22"/>
          <w:szCs w:val="22"/>
        </w:rPr>
        <w:t>l</w:t>
      </w:r>
      <w:r w:rsidR="00D22BF1" w:rsidRPr="00612B6E">
        <w:rPr>
          <w:rFonts w:ascii="Palatino Linotype" w:hAnsi="Palatino Linotype"/>
          <w:sz w:val="22"/>
          <w:szCs w:val="22"/>
        </w:rPr>
        <w:t>ocal responders and utilities will provide initial support and response to an energy situation and will request state help when needed.</w:t>
      </w:r>
    </w:p>
    <w:p w14:paraId="75BF12E4" w14:textId="77777777" w:rsidR="003715B3" w:rsidRPr="00B04AB3" w:rsidRDefault="003715B3" w:rsidP="00AD1834">
      <w:pPr>
        <w:keepNext/>
        <w:keepLines/>
        <w:spacing w:before="480" w:line="276" w:lineRule="auto"/>
        <w:outlineLvl w:val="0"/>
        <w:rPr>
          <w:rFonts w:ascii="Palatino Linotype" w:eastAsia="Calibri" w:hAnsi="Palatino Linotype"/>
          <w:b/>
          <w:bCs/>
          <w:sz w:val="28"/>
          <w:szCs w:val="28"/>
        </w:rPr>
      </w:pPr>
      <w:bookmarkStart w:id="9" w:name="_Toc440461655"/>
      <w:bookmarkStart w:id="10" w:name="_Toc443920294"/>
      <w:r w:rsidRPr="00B04AB3">
        <w:rPr>
          <w:rFonts w:ascii="Palatino Linotype" w:eastAsia="Calibri" w:hAnsi="Palatino Linotype"/>
          <w:b/>
          <w:bCs/>
          <w:sz w:val="36"/>
          <w:szCs w:val="36"/>
        </w:rPr>
        <w:t>Section IV:  Core Capabilities</w:t>
      </w:r>
      <w:bookmarkEnd w:id="9"/>
      <w:bookmarkEnd w:id="10"/>
    </w:p>
    <w:p w14:paraId="3E44A00D" w14:textId="77777777" w:rsidR="003D6931" w:rsidRPr="003715B3" w:rsidRDefault="000A1D1C" w:rsidP="005F4B7E">
      <w:pPr>
        <w:rPr>
          <w:rFonts w:ascii="Palatino Linotype" w:hAnsi="Palatino Linotype"/>
          <w:sz w:val="22"/>
          <w:szCs w:val="22"/>
        </w:rPr>
      </w:pPr>
      <w:r w:rsidRPr="003715B3">
        <w:rPr>
          <w:rFonts w:ascii="Palatino Linotype" w:hAnsi="Palatino Linotype"/>
          <w:sz w:val="22"/>
          <w:szCs w:val="22"/>
        </w:rPr>
        <w:t xml:space="preserve">As described in the NRF, responsibility for achieving the objectives of each core capability rests with no single entity or level of government but, rather, is the responsibility of all members of the whole community. The ESF construct is an effective way to bundle and manage the portfolio of resources to deliver core capabilities to local, tribal, and other responders. ESF #12 is particularly suited to support the Infrastructure Systems, </w:t>
      </w:r>
      <w:r w:rsidR="009B3BD8">
        <w:rPr>
          <w:rFonts w:ascii="Palatino Linotype" w:hAnsi="Palatino Linotype"/>
          <w:sz w:val="22"/>
          <w:szCs w:val="22"/>
        </w:rPr>
        <w:t xml:space="preserve">Logistics and Supply Chain Management, Situational Assessment, and </w:t>
      </w:r>
      <w:r w:rsidRPr="003715B3">
        <w:rPr>
          <w:rFonts w:ascii="Palatino Linotype" w:hAnsi="Palatino Linotype"/>
          <w:sz w:val="22"/>
          <w:szCs w:val="22"/>
        </w:rPr>
        <w:t>Public</w:t>
      </w:r>
      <w:r w:rsidR="009B3BD8">
        <w:rPr>
          <w:rFonts w:ascii="Palatino Linotype" w:hAnsi="Palatino Linotype"/>
          <w:sz w:val="22"/>
          <w:szCs w:val="22"/>
        </w:rPr>
        <w:t xml:space="preserve"> Information and Warning</w:t>
      </w:r>
      <w:r w:rsidRPr="003715B3">
        <w:rPr>
          <w:rFonts w:ascii="Palatino Linotype" w:hAnsi="Palatino Linotype"/>
          <w:sz w:val="22"/>
          <w:szCs w:val="22"/>
        </w:rPr>
        <w:t xml:space="preserve"> core capabilities.</w:t>
      </w:r>
      <w:r w:rsidR="009045C5">
        <w:rPr>
          <w:rFonts w:ascii="Palatino Linotype" w:hAnsi="Palatino Linotype"/>
          <w:sz w:val="22"/>
          <w:szCs w:val="22"/>
        </w:rPr>
        <w:t xml:space="preserve">  The following table</w:t>
      </w:r>
      <w:r w:rsidR="00B71462" w:rsidRPr="003715B3">
        <w:rPr>
          <w:rFonts w:ascii="Palatino Linotype" w:hAnsi="Palatino Linotype"/>
          <w:sz w:val="22"/>
          <w:szCs w:val="22"/>
        </w:rPr>
        <w:t xml:space="preserve"> </w:t>
      </w:r>
      <w:r w:rsidR="003D6931" w:rsidRPr="003715B3">
        <w:rPr>
          <w:rFonts w:ascii="Palatino Linotype" w:hAnsi="Palatino Linotype"/>
          <w:sz w:val="22"/>
          <w:szCs w:val="22"/>
        </w:rPr>
        <w:t>lists the Respon</w:t>
      </w:r>
      <w:r w:rsidRPr="003715B3">
        <w:rPr>
          <w:rFonts w:ascii="Palatino Linotype" w:hAnsi="Palatino Linotype"/>
          <w:sz w:val="22"/>
          <w:szCs w:val="22"/>
        </w:rPr>
        <w:t>se core capabilities that ESF #12</w:t>
      </w:r>
      <w:r w:rsidR="003D6931" w:rsidRPr="003715B3">
        <w:rPr>
          <w:rFonts w:ascii="Palatino Linotype" w:hAnsi="Palatino Linotype"/>
          <w:sz w:val="22"/>
          <w:szCs w:val="22"/>
        </w:rPr>
        <w:t xml:space="preserve"> most directly suppo</w:t>
      </w:r>
      <w:r w:rsidR="00B71462" w:rsidRPr="003715B3">
        <w:rPr>
          <w:rFonts w:ascii="Palatino Linotype" w:hAnsi="Palatino Linotype"/>
          <w:sz w:val="22"/>
          <w:szCs w:val="22"/>
        </w:rPr>
        <w:t>rt:</w:t>
      </w:r>
    </w:p>
    <w:p w14:paraId="69BCE9DD" w14:textId="77777777" w:rsidR="009045C5" w:rsidRDefault="009045C5" w:rsidP="007E2BFD">
      <w:pPr>
        <w:rPr>
          <w:rFonts w:ascii="Palatino Linotype" w:hAnsi="Palatino Linotype"/>
          <w:b/>
          <w:sz w:val="22"/>
          <w:szCs w:val="22"/>
        </w:rPr>
      </w:pPr>
    </w:p>
    <w:p w14:paraId="0F64A6A5" w14:textId="77777777" w:rsidR="009045C5" w:rsidRDefault="009045C5" w:rsidP="007E2BFD">
      <w:pPr>
        <w:rPr>
          <w:rFonts w:ascii="Palatino Linotype" w:hAnsi="Palatino Linotype"/>
          <w:b/>
          <w:sz w:val="22"/>
          <w:szCs w:val="22"/>
        </w:rPr>
      </w:pPr>
    </w:p>
    <w:p w14:paraId="2359B5E0" w14:textId="77777777" w:rsidR="009045C5" w:rsidRDefault="009045C5" w:rsidP="007E2BFD">
      <w:pPr>
        <w:rPr>
          <w:rFonts w:ascii="Palatino Linotype" w:hAnsi="Palatino Linotype"/>
          <w:b/>
          <w:sz w:val="22"/>
          <w:szCs w:val="22"/>
        </w:rPr>
      </w:pPr>
    </w:p>
    <w:tbl>
      <w:tblPr>
        <w:tblStyle w:val="TableGrid"/>
        <w:tblW w:w="0" w:type="auto"/>
        <w:tblLook w:val="04A0" w:firstRow="1" w:lastRow="0" w:firstColumn="1" w:lastColumn="0" w:noHBand="0" w:noVBand="1"/>
      </w:tblPr>
      <w:tblGrid>
        <w:gridCol w:w="2415"/>
        <w:gridCol w:w="6935"/>
      </w:tblGrid>
      <w:tr w:rsidR="003715B3" w:rsidRPr="003715B3" w14:paraId="2A7B4DB0" w14:textId="77777777" w:rsidTr="00152E9D">
        <w:trPr>
          <w:trHeight w:val="530"/>
        </w:trPr>
        <w:tc>
          <w:tcPr>
            <w:tcW w:w="2415" w:type="dxa"/>
            <w:shd w:val="clear" w:color="auto" w:fill="FBD4B4" w:themeFill="accent6" w:themeFillTint="66"/>
            <w:vAlign w:val="center"/>
          </w:tcPr>
          <w:p w14:paraId="43A3131D" w14:textId="77777777" w:rsidR="003715B3" w:rsidRPr="003715B3" w:rsidRDefault="003715B3" w:rsidP="00152E9D">
            <w:pPr>
              <w:jc w:val="center"/>
              <w:rPr>
                <w:rFonts w:ascii="Palatino Linotype" w:hAnsi="Palatino Linotype"/>
                <w:b/>
                <w:sz w:val="22"/>
                <w:szCs w:val="22"/>
              </w:rPr>
            </w:pPr>
            <w:r w:rsidRPr="003715B3">
              <w:rPr>
                <w:rFonts w:ascii="Palatino Linotype" w:hAnsi="Palatino Linotype"/>
                <w:b/>
                <w:sz w:val="22"/>
                <w:szCs w:val="22"/>
              </w:rPr>
              <w:t>Core Capability</w:t>
            </w:r>
          </w:p>
        </w:tc>
        <w:tc>
          <w:tcPr>
            <w:tcW w:w="6935" w:type="dxa"/>
            <w:shd w:val="clear" w:color="auto" w:fill="FBD4B4" w:themeFill="accent6" w:themeFillTint="66"/>
            <w:vAlign w:val="center"/>
          </w:tcPr>
          <w:p w14:paraId="622116FA" w14:textId="77777777" w:rsidR="003715B3" w:rsidRPr="003715B3" w:rsidRDefault="003715B3" w:rsidP="00152E9D">
            <w:pPr>
              <w:jc w:val="center"/>
              <w:rPr>
                <w:rFonts w:ascii="Palatino Linotype" w:hAnsi="Palatino Linotype"/>
                <w:b/>
                <w:sz w:val="22"/>
                <w:szCs w:val="22"/>
              </w:rPr>
            </w:pPr>
            <w:r w:rsidRPr="003715B3">
              <w:rPr>
                <w:rFonts w:ascii="Palatino Linotype" w:hAnsi="Palatino Linotype"/>
                <w:b/>
                <w:sz w:val="22"/>
                <w:szCs w:val="22"/>
              </w:rPr>
              <w:t>ESF #12 – Energy</w:t>
            </w:r>
          </w:p>
        </w:tc>
      </w:tr>
      <w:tr w:rsidR="003715B3" w:rsidRPr="003715B3" w14:paraId="4B8644BE" w14:textId="77777777" w:rsidTr="00F137A1">
        <w:tc>
          <w:tcPr>
            <w:tcW w:w="2415" w:type="dxa"/>
            <w:shd w:val="clear" w:color="auto" w:fill="D6E3BC" w:themeFill="accent3" w:themeFillTint="66"/>
            <w:vAlign w:val="center"/>
          </w:tcPr>
          <w:p w14:paraId="57601CBF" w14:textId="77777777" w:rsidR="003715B3" w:rsidRPr="003715B3" w:rsidRDefault="003715B3" w:rsidP="00CD5C36">
            <w:pPr>
              <w:jc w:val="center"/>
              <w:rPr>
                <w:rFonts w:ascii="Palatino Linotype" w:hAnsi="Palatino Linotype"/>
                <w:b/>
                <w:sz w:val="22"/>
                <w:szCs w:val="22"/>
              </w:rPr>
            </w:pPr>
            <w:r w:rsidRPr="003715B3">
              <w:rPr>
                <w:rFonts w:ascii="Palatino Linotype" w:hAnsi="Palatino Linotype"/>
                <w:b/>
                <w:sz w:val="22"/>
                <w:szCs w:val="22"/>
              </w:rPr>
              <w:lastRenderedPageBreak/>
              <w:t>Infrastructure Systems</w:t>
            </w:r>
          </w:p>
        </w:tc>
        <w:tc>
          <w:tcPr>
            <w:tcW w:w="6935" w:type="dxa"/>
          </w:tcPr>
          <w:p w14:paraId="1D3BB3FD" w14:textId="77777777" w:rsidR="003715B3" w:rsidRPr="009045C5" w:rsidRDefault="003715B3" w:rsidP="00994689">
            <w:pPr>
              <w:pStyle w:val="ListParagraph"/>
              <w:numPr>
                <w:ilvl w:val="0"/>
                <w:numId w:val="2"/>
              </w:numPr>
              <w:rPr>
                <w:rFonts w:ascii="Palatino Linotype" w:hAnsi="Palatino Linotype"/>
                <w:sz w:val="20"/>
              </w:rPr>
            </w:pPr>
            <w:r w:rsidRPr="009045C5">
              <w:rPr>
                <w:rFonts w:ascii="Palatino Linotype" w:hAnsi="Palatino Linotype"/>
                <w:sz w:val="20"/>
              </w:rPr>
              <w:t>In coordination with the Energy Sector-Specific Organization, addresses significant disruptions in energy supplies for any reason, whether caused by physical disruption of energy transmission and distribution systems, unexpected operational failure of such systems, acts of terrorism or sabotage, or unusual economic, international, or political events.</w:t>
            </w:r>
          </w:p>
          <w:p w14:paraId="1674BA45" w14:textId="77777777" w:rsidR="007A789B" w:rsidRPr="009045C5" w:rsidRDefault="00FE35DF" w:rsidP="00994689">
            <w:pPr>
              <w:pStyle w:val="ListParagraph"/>
              <w:numPr>
                <w:ilvl w:val="0"/>
                <w:numId w:val="2"/>
              </w:numPr>
              <w:rPr>
                <w:rFonts w:ascii="Palatino Linotype" w:hAnsi="Palatino Linotype"/>
                <w:sz w:val="20"/>
              </w:rPr>
            </w:pPr>
            <w:r w:rsidRPr="009045C5">
              <w:rPr>
                <w:rFonts w:ascii="Palatino Linotype" w:hAnsi="Palatino Linotype"/>
                <w:sz w:val="20"/>
              </w:rPr>
              <w:t>May support natural gas pilot relighting efforts by utilities</w:t>
            </w:r>
          </w:p>
          <w:p w14:paraId="71F47DAD" w14:textId="204B0104" w:rsidR="00A4498D" w:rsidRPr="009045C5" w:rsidRDefault="00994689" w:rsidP="00994689">
            <w:pPr>
              <w:numPr>
                <w:ilvl w:val="0"/>
                <w:numId w:val="2"/>
              </w:numPr>
              <w:spacing w:before="120"/>
              <w:contextualSpacing/>
              <w:rPr>
                <w:rFonts w:ascii="Palatino Linotype" w:hAnsi="Palatino Linotype"/>
                <w:sz w:val="20"/>
              </w:rPr>
            </w:pPr>
            <w:r>
              <w:rPr>
                <w:rFonts w:ascii="Palatino Linotype" w:hAnsi="Palatino Linotype"/>
                <w:sz w:val="20"/>
              </w:rPr>
              <w:t>Act</w:t>
            </w:r>
            <w:r w:rsidR="00A4498D" w:rsidRPr="009045C5">
              <w:rPr>
                <w:rFonts w:ascii="Palatino Linotype" w:hAnsi="Palatino Linotype"/>
                <w:sz w:val="20"/>
              </w:rPr>
              <w:t xml:space="preserve"> as liaison between state agencies providing assistance to energy sector entities and the public, in order to facilitate critical infrastructure protection and restoration efforts.</w:t>
            </w:r>
          </w:p>
        </w:tc>
      </w:tr>
    </w:tbl>
    <w:tbl>
      <w:tblPr>
        <w:tblStyle w:val="TableGrid1"/>
        <w:tblW w:w="0" w:type="auto"/>
        <w:tblLook w:val="04A0" w:firstRow="1" w:lastRow="0" w:firstColumn="1" w:lastColumn="0" w:noHBand="0" w:noVBand="1"/>
      </w:tblPr>
      <w:tblGrid>
        <w:gridCol w:w="2411"/>
        <w:gridCol w:w="6939"/>
      </w:tblGrid>
      <w:tr w:rsidR="003715B3" w:rsidRPr="003715B3" w14:paraId="4B88ADCE" w14:textId="77777777" w:rsidTr="00866E00">
        <w:tc>
          <w:tcPr>
            <w:tcW w:w="2411" w:type="dxa"/>
            <w:shd w:val="clear" w:color="auto" w:fill="D6E3BC" w:themeFill="accent3" w:themeFillTint="66"/>
            <w:vAlign w:val="center"/>
          </w:tcPr>
          <w:p w14:paraId="79080044" w14:textId="77777777" w:rsidR="003715B3" w:rsidRPr="003715B3" w:rsidRDefault="003715B3" w:rsidP="00CD5C36">
            <w:pPr>
              <w:jc w:val="center"/>
              <w:rPr>
                <w:rFonts w:ascii="Palatino Linotype" w:hAnsi="Palatino Linotype"/>
                <w:b/>
                <w:sz w:val="22"/>
                <w:szCs w:val="22"/>
              </w:rPr>
            </w:pPr>
            <w:r w:rsidRPr="003715B3">
              <w:rPr>
                <w:rFonts w:ascii="Palatino Linotype" w:hAnsi="Palatino Linotype"/>
                <w:b/>
                <w:sz w:val="22"/>
                <w:szCs w:val="22"/>
              </w:rPr>
              <w:t>Situa</w:t>
            </w:r>
            <w:r w:rsidRPr="003715B3">
              <w:rPr>
                <w:rFonts w:ascii="Palatino Linotype" w:hAnsi="Palatino Linotype"/>
                <w:b/>
                <w:sz w:val="22"/>
                <w:szCs w:val="22"/>
                <w:shd w:val="clear" w:color="auto" w:fill="D6E3BC" w:themeFill="accent3" w:themeFillTint="66"/>
              </w:rPr>
              <w:t>t</w:t>
            </w:r>
            <w:r w:rsidRPr="003715B3">
              <w:rPr>
                <w:rFonts w:ascii="Palatino Linotype" w:hAnsi="Palatino Linotype"/>
                <w:b/>
                <w:sz w:val="22"/>
                <w:szCs w:val="22"/>
              </w:rPr>
              <w:t>ional Assessment</w:t>
            </w:r>
          </w:p>
        </w:tc>
        <w:tc>
          <w:tcPr>
            <w:tcW w:w="6939" w:type="dxa"/>
          </w:tcPr>
          <w:p w14:paraId="42FF2956" w14:textId="5AF0B1C5" w:rsidR="00FE35DF" w:rsidRDefault="00FE35DF" w:rsidP="00C07EB6">
            <w:pPr>
              <w:pStyle w:val="ListParagraph"/>
              <w:numPr>
                <w:ilvl w:val="0"/>
                <w:numId w:val="3"/>
              </w:numPr>
              <w:rPr>
                <w:rFonts w:ascii="Palatino Linotype" w:hAnsi="Palatino Linotype"/>
                <w:sz w:val="20"/>
              </w:rPr>
            </w:pPr>
            <w:r w:rsidRPr="009045C5">
              <w:rPr>
                <w:rFonts w:ascii="Palatino Linotype" w:hAnsi="Palatino Linotype"/>
                <w:sz w:val="20"/>
              </w:rPr>
              <w:t>Provides subject-matter expertise to the private sector and to the Governor’s office as requested to assist in stabilization and reestablishment efforts.</w:t>
            </w:r>
          </w:p>
          <w:p w14:paraId="51E1B32A" w14:textId="77777777" w:rsidR="00A07716" w:rsidRPr="009045C5" w:rsidRDefault="00D22BF1" w:rsidP="00C07EB6">
            <w:pPr>
              <w:numPr>
                <w:ilvl w:val="0"/>
                <w:numId w:val="3"/>
              </w:numPr>
              <w:contextualSpacing/>
              <w:rPr>
                <w:rFonts w:ascii="Palatino Linotype" w:hAnsi="Palatino Linotype"/>
                <w:sz w:val="20"/>
              </w:rPr>
            </w:pPr>
            <w:r w:rsidRPr="009045C5">
              <w:rPr>
                <w:rFonts w:ascii="Palatino Linotype" w:hAnsi="Palatino Linotype"/>
                <w:sz w:val="20"/>
              </w:rPr>
              <w:t>Collect</w:t>
            </w:r>
            <w:r w:rsidR="00A07716" w:rsidRPr="009045C5">
              <w:rPr>
                <w:rFonts w:ascii="Palatino Linotype" w:hAnsi="Palatino Linotype"/>
                <w:sz w:val="20"/>
              </w:rPr>
              <w:t>s</w:t>
            </w:r>
            <w:r w:rsidRPr="009045C5">
              <w:rPr>
                <w:rFonts w:ascii="Palatino Linotype" w:hAnsi="Palatino Linotype"/>
                <w:sz w:val="20"/>
              </w:rPr>
              <w:t xml:space="preserve"> information for situation reports, briefings, staff meetings, etc. and update</w:t>
            </w:r>
            <w:r w:rsidR="00A07716" w:rsidRPr="009045C5">
              <w:rPr>
                <w:rFonts w:ascii="Palatino Linotype" w:hAnsi="Palatino Linotype"/>
                <w:sz w:val="20"/>
              </w:rPr>
              <w:t>s</w:t>
            </w:r>
            <w:r w:rsidRPr="009045C5">
              <w:rPr>
                <w:rFonts w:ascii="Palatino Linotype" w:hAnsi="Palatino Linotype"/>
                <w:sz w:val="20"/>
              </w:rPr>
              <w:t xml:space="preserve"> that information</w:t>
            </w:r>
            <w:r w:rsidR="00FE35DF" w:rsidRPr="009045C5">
              <w:rPr>
                <w:rFonts w:ascii="Palatino Linotype" w:hAnsi="Palatino Linotype"/>
                <w:sz w:val="20"/>
              </w:rPr>
              <w:t>, as well as compiles situation reports regularly</w:t>
            </w:r>
            <w:r w:rsidRPr="009045C5">
              <w:rPr>
                <w:rFonts w:ascii="Palatino Linotype" w:hAnsi="Palatino Linotype"/>
                <w:sz w:val="20"/>
              </w:rPr>
              <w:t xml:space="preserve">.  </w:t>
            </w:r>
          </w:p>
          <w:p w14:paraId="5AA333D0" w14:textId="1F8468CA" w:rsidR="007A789B" w:rsidRPr="009045C5" w:rsidRDefault="007A789B" w:rsidP="00C07EB6">
            <w:pPr>
              <w:numPr>
                <w:ilvl w:val="0"/>
                <w:numId w:val="3"/>
              </w:numPr>
              <w:contextualSpacing/>
              <w:rPr>
                <w:rFonts w:ascii="Palatino Linotype" w:hAnsi="Palatino Linotype"/>
                <w:sz w:val="20"/>
              </w:rPr>
            </w:pPr>
            <w:r w:rsidRPr="009045C5">
              <w:rPr>
                <w:rFonts w:ascii="Palatino Linotype" w:hAnsi="Palatino Linotype"/>
                <w:sz w:val="20"/>
              </w:rPr>
              <w:t>Log</w:t>
            </w:r>
            <w:r w:rsidR="00A07716" w:rsidRPr="009045C5">
              <w:rPr>
                <w:rFonts w:ascii="Palatino Linotype" w:hAnsi="Palatino Linotype"/>
                <w:sz w:val="20"/>
              </w:rPr>
              <w:t>s</w:t>
            </w:r>
            <w:r w:rsidRPr="009045C5">
              <w:rPr>
                <w:rFonts w:ascii="Palatino Linotype" w:hAnsi="Palatino Linotype"/>
                <w:sz w:val="20"/>
              </w:rPr>
              <w:t xml:space="preserve"> and document</w:t>
            </w:r>
            <w:r w:rsidR="00A07716" w:rsidRPr="009045C5">
              <w:rPr>
                <w:rFonts w:ascii="Palatino Linotype" w:hAnsi="Palatino Linotype"/>
                <w:sz w:val="20"/>
              </w:rPr>
              <w:t>s</w:t>
            </w:r>
            <w:r w:rsidRPr="009045C5">
              <w:rPr>
                <w:rFonts w:ascii="Palatino Linotype" w:hAnsi="Palatino Linotype"/>
                <w:sz w:val="20"/>
              </w:rPr>
              <w:t xml:space="preserve"> events as they unfold, maintain</w:t>
            </w:r>
            <w:r w:rsidR="00A07716" w:rsidRPr="009045C5">
              <w:rPr>
                <w:rFonts w:ascii="Palatino Linotype" w:hAnsi="Palatino Linotype"/>
                <w:sz w:val="20"/>
              </w:rPr>
              <w:t>s</w:t>
            </w:r>
            <w:r w:rsidRPr="009045C5">
              <w:rPr>
                <w:rFonts w:ascii="Palatino Linotype" w:hAnsi="Palatino Linotype"/>
                <w:sz w:val="20"/>
              </w:rPr>
              <w:t xml:space="preserve"> records, and compile</w:t>
            </w:r>
            <w:r w:rsidR="00A07716" w:rsidRPr="009045C5">
              <w:rPr>
                <w:rFonts w:ascii="Palatino Linotype" w:hAnsi="Palatino Linotype"/>
                <w:sz w:val="20"/>
              </w:rPr>
              <w:t>s</w:t>
            </w:r>
            <w:r w:rsidRPr="009045C5">
              <w:rPr>
                <w:rFonts w:ascii="Palatino Linotype" w:hAnsi="Palatino Linotype"/>
                <w:sz w:val="20"/>
              </w:rPr>
              <w:t xml:space="preserve"> an after action report</w:t>
            </w:r>
            <w:r w:rsidR="00C07EB6">
              <w:rPr>
                <w:rFonts w:ascii="Palatino Linotype" w:hAnsi="Palatino Linotype"/>
                <w:sz w:val="20"/>
              </w:rPr>
              <w:t xml:space="preserve"> for a given incident</w:t>
            </w:r>
          </w:p>
          <w:p w14:paraId="42079F6F" w14:textId="77777777" w:rsidR="003715B3" w:rsidRPr="009045C5" w:rsidRDefault="003715B3" w:rsidP="00C07EB6">
            <w:pPr>
              <w:numPr>
                <w:ilvl w:val="0"/>
                <w:numId w:val="3"/>
              </w:numPr>
              <w:contextualSpacing/>
              <w:rPr>
                <w:rFonts w:ascii="Palatino Linotype" w:hAnsi="Palatino Linotype"/>
                <w:sz w:val="20"/>
              </w:rPr>
            </w:pPr>
            <w:r w:rsidRPr="009045C5">
              <w:rPr>
                <w:rFonts w:ascii="Palatino Linotype" w:hAnsi="Palatino Linotype"/>
                <w:sz w:val="20"/>
              </w:rPr>
              <w:t>Report</w:t>
            </w:r>
            <w:r w:rsidR="00A07716" w:rsidRPr="009045C5">
              <w:rPr>
                <w:rFonts w:ascii="Palatino Linotype" w:hAnsi="Palatino Linotype"/>
                <w:sz w:val="20"/>
              </w:rPr>
              <w:t>s</w:t>
            </w:r>
            <w:r w:rsidRPr="009045C5">
              <w:rPr>
                <w:rFonts w:ascii="Palatino Linotype" w:hAnsi="Palatino Linotype"/>
                <w:sz w:val="20"/>
              </w:rPr>
              <w:t xml:space="preserve"> critical energy infrastructure damage and operating status for the energy systems within an impacted area, as well as on regional and national energy systems.</w:t>
            </w:r>
          </w:p>
          <w:p w14:paraId="397C3C3E" w14:textId="77777777" w:rsidR="003715B3" w:rsidRPr="009045C5" w:rsidRDefault="00FE35DF" w:rsidP="00C07EB6">
            <w:pPr>
              <w:numPr>
                <w:ilvl w:val="0"/>
                <w:numId w:val="3"/>
              </w:numPr>
              <w:contextualSpacing/>
              <w:rPr>
                <w:rFonts w:ascii="Palatino Linotype" w:hAnsi="Palatino Linotype"/>
                <w:sz w:val="20"/>
              </w:rPr>
            </w:pPr>
            <w:r w:rsidRPr="009045C5">
              <w:rPr>
                <w:rFonts w:ascii="Palatino Linotype" w:hAnsi="Palatino Linotype"/>
                <w:sz w:val="20"/>
              </w:rPr>
              <w:t>P</w:t>
            </w:r>
            <w:r w:rsidR="003715B3" w:rsidRPr="009045C5">
              <w:rPr>
                <w:rFonts w:ascii="Palatino Linotype" w:hAnsi="Palatino Linotype"/>
                <w:sz w:val="20"/>
              </w:rPr>
              <w:t>rovides analysis of the extent and duration of energy shortfalls.</w:t>
            </w:r>
          </w:p>
          <w:p w14:paraId="6E1FE4F9" w14:textId="1CB22409" w:rsidR="00A4498D" w:rsidRDefault="00C07EB6" w:rsidP="00C07EB6">
            <w:pPr>
              <w:numPr>
                <w:ilvl w:val="0"/>
                <w:numId w:val="3"/>
              </w:numPr>
              <w:spacing w:before="120"/>
              <w:contextualSpacing/>
              <w:rPr>
                <w:rFonts w:ascii="Palatino Linotype" w:hAnsi="Palatino Linotype"/>
                <w:sz w:val="20"/>
              </w:rPr>
            </w:pPr>
            <w:r>
              <w:rPr>
                <w:rFonts w:ascii="Palatino Linotype" w:hAnsi="Palatino Linotype"/>
                <w:sz w:val="20"/>
              </w:rPr>
              <w:t>Provides</w:t>
            </w:r>
            <w:r w:rsidR="00A4498D" w:rsidRPr="009045C5">
              <w:rPr>
                <w:rFonts w:ascii="Palatino Linotype" w:hAnsi="Palatino Linotype"/>
                <w:sz w:val="20"/>
              </w:rPr>
              <w:t xml:space="preserve"> understanding of the technical and institutional aspects of the energy industry, which is necessary to assess the severity of an emergency and to prioritize possible response options.  </w:t>
            </w:r>
          </w:p>
          <w:p w14:paraId="58A0051D" w14:textId="77777777" w:rsidR="00C8454A" w:rsidRDefault="00C8454A" w:rsidP="00C07EB6">
            <w:pPr>
              <w:numPr>
                <w:ilvl w:val="0"/>
                <w:numId w:val="3"/>
              </w:numPr>
              <w:contextualSpacing/>
              <w:rPr>
                <w:rFonts w:ascii="Palatino Linotype" w:hAnsi="Palatino Linotype"/>
                <w:sz w:val="20"/>
              </w:rPr>
            </w:pPr>
            <w:r w:rsidRPr="009045C5">
              <w:rPr>
                <w:rFonts w:ascii="Palatino Linotype" w:hAnsi="Palatino Linotype"/>
                <w:sz w:val="20"/>
              </w:rPr>
              <w:t>Maintains a list of 24/7 contacts of ESF-12 support agency and utility representatives.  Contacts them as necessary.</w:t>
            </w:r>
          </w:p>
          <w:p w14:paraId="0DF10FAA" w14:textId="7538C8AF" w:rsidR="00C8454A" w:rsidRDefault="00C8454A" w:rsidP="00C07EB6">
            <w:pPr>
              <w:numPr>
                <w:ilvl w:val="0"/>
                <w:numId w:val="3"/>
              </w:numPr>
              <w:spacing w:before="120"/>
              <w:contextualSpacing/>
              <w:rPr>
                <w:rFonts w:ascii="Palatino Linotype" w:hAnsi="Palatino Linotype"/>
                <w:sz w:val="20"/>
              </w:rPr>
            </w:pPr>
            <w:r w:rsidRPr="009045C5">
              <w:rPr>
                <w:rFonts w:ascii="Palatino Linotype" w:hAnsi="Palatino Linotype"/>
                <w:sz w:val="20"/>
              </w:rPr>
              <w:t>Serves as a State point of contact</w:t>
            </w:r>
            <w:r w:rsidR="00C07EB6">
              <w:rPr>
                <w:rFonts w:ascii="Palatino Linotype" w:hAnsi="Palatino Linotype"/>
                <w:sz w:val="20"/>
              </w:rPr>
              <w:t xml:space="preserve"> (in conjunction with DES)</w:t>
            </w:r>
            <w:r w:rsidRPr="009045C5">
              <w:rPr>
                <w:rFonts w:ascii="Palatino Linotype" w:hAnsi="Palatino Linotype"/>
                <w:sz w:val="20"/>
              </w:rPr>
              <w:t xml:space="preserve"> with the energy industry for information sharing and requests for assistance from private and public sector owners and operators. </w:t>
            </w:r>
          </w:p>
          <w:p w14:paraId="73F2B656" w14:textId="77777777" w:rsidR="00C8454A" w:rsidRPr="009045C5" w:rsidRDefault="00C8454A" w:rsidP="00C07EB6">
            <w:pPr>
              <w:numPr>
                <w:ilvl w:val="0"/>
                <w:numId w:val="3"/>
              </w:numPr>
              <w:spacing w:before="120"/>
              <w:contextualSpacing/>
              <w:rPr>
                <w:rFonts w:ascii="Palatino Linotype" w:hAnsi="Palatino Linotype"/>
                <w:sz w:val="20"/>
              </w:rPr>
            </w:pPr>
            <w:r w:rsidRPr="009045C5">
              <w:rPr>
                <w:rFonts w:ascii="Palatino Linotype" w:hAnsi="Palatino Linotype"/>
                <w:sz w:val="20"/>
              </w:rPr>
              <w:t>In coordination with the Energy Sector-Specific Organization, addresses the impact that damage to an energy system in one geographic region may have on energy supplies, systems, and components in other regions relying on the same system.</w:t>
            </w:r>
          </w:p>
          <w:p w14:paraId="4149E951" w14:textId="77777777" w:rsidR="003715B3" w:rsidRPr="003715B3" w:rsidRDefault="003715B3" w:rsidP="00FE35DF">
            <w:pPr>
              <w:ind w:left="720"/>
              <w:contextualSpacing/>
              <w:rPr>
                <w:rFonts w:ascii="Palatino Linotype" w:hAnsi="Palatino Linotype"/>
                <w:sz w:val="22"/>
                <w:szCs w:val="22"/>
              </w:rPr>
            </w:pPr>
          </w:p>
        </w:tc>
      </w:tr>
      <w:tr w:rsidR="009045C5" w:rsidRPr="009045C5" w14:paraId="18F3C877" w14:textId="77777777" w:rsidTr="00866E00">
        <w:tc>
          <w:tcPr>
            <w:tcW w:w="2411" w:type="dxa"/>
            <w:shd w:val="clear" w:color="auto" w:fill="D6E3BC" w:themeFill="accent3" w:themeFillTint="66"/>
            <w:vAlign w:val="center"/>
          </w:tcPr>
          <w:p w14:paraId="55808875" w14:textId="77777777" w:rsidR="009045C5" w:rsidRPr="003715B3" w:rsidRDefault="009045C5" w:rsidP="00064B0F">
            <w:pPr>
              <w:jc w:val="center"/>
              <w:rPr>
                <w:rFonts w:ascii="Palatino Linotype" w:hAnsi="Palatino Linotype"/>
                <w:b/>
                <w:sz w:val="22"/>
                <w:szCs w:val="22"/>
              </w:rPr>
            </w:pPr>
            <w:r>
              <w:rPr>
                <w:rFonts w:ascii="Palatino Linotype" w:hAnsi="Palatino Linotype"/>
                <w:b/>
                <w:sz w:val="22"/>
                <w:szCs w:val="22"/>
              </w:rPr>
              <w:t>Logistics &amp; Supply Chain Management</w:t>
            </w:r>
          </w:p>
        </w:tc>
        <w:tc>
          <w:tcPr>
            <w:tcW w:w="6939" w:type="dxa"/>
          </w:tcPr>
          <w:p w14:paraId="3EFFDB6D" w14:textId="77777777" w:rsidR="009045C5" w:rsidRDefault="009045C5" w:rsidP="00994689">
            <w:pPr>
              <w:pStyle w:val="ListParagraph"/>
              <w:numPr>
                <w:ilvl w:val="0"/>
                <w:numId w:val="3"/>
              </w:numPr>
              <w:rPr>
                <w:rFonts w:ascii="Palatino Linotype" w:hAnsi="Palatino Linotype"/>
                <w:sz w:val="20"/>
              </w:rPr>
            </w:pPr>
            <w:r w:rsidRPr="009045C5">
              <w:rPr>
                <w:rFonts w:ascii="Palatino Linotype" w:hAnsi="Palatino Linotype"/>
                <w:sz w:val="20"/>
              </w:rPr>
              <w:t>Assists energy asset owners and operators and local and tribal authorities with requests for emergency response actions and supporting resources as required to meet energy demands.</w:t>
            </w:r>
          </w:p>
          <w:p w14:paraId="7891C627" w14:textId="77777777" w:rsidR="00FE1A52" w:rsidRDefault="00FE1A52" w:rsidP="00994689">
            <w:pPr>
              <w:pStyle w:val="ListParagraph"/>
              <w:numPr>
                <w:ilvl w:val="0"/>
                <w:numId w:val="3"/>
              </w:numPr>
              <w:tabs>
                <w:tab w:val="left" w:pos="360"/>
              </w:tabs>
              <w:rPr>
                <w:rFonts w:ascii="Palatino Linotype" w:hAnsi="Palatino Linotype"/>
                <w:sz w:val="20"/>
              </w:rPr>
            </w:pPr>
            <w:r w:rsidRPr="009045C5">
              <w:rPr>
                <w:rFonts w:ascii="Palatino Linotype" w:hAnsi="Palatino Linotype"/>
                <w:sz w:val="20"/>
              </w:rPr>
              <w:t>Relies on energy industry restoration practices, and assists when, where, and as requested by the entities themselves.</w:t>
            </w:r>
          </w:p>
          <w:p w14:paraId="0B6BB30B" w14:textId="77777777" w:rsidR="00C8454A" w:rsidRPr="009045C5" w:rsidRDefault="00C8454A" w:rsidP="00994689">
            <w:pPr>
              <w:numPr>
                <w:ilvl w:val="0"/>
                <w:numId w:val="3"/>
              </w:numPr>
              <w:contextualSpacing/>
              <w:rPr>
                <w:rFonts w:ascii="Palatino Linotype" w:hAnsi="Palatino Linotype"/>
                <w:sz w:val="20"/>
              </w:rPr>
            </w:pPr>
            <w:r w:rsidRPr="009045C5">
              <w:rPr>
                <w:rFonts w:ascii="Palatino Linotype" w:hAnsi="Palatino Linotype"/>
                <w:sz w:val="20"/>
              </w:rPr>
              <w:t>Facilitates any emergency actions taken by the Governor promulgated under state law and outlined under state rule</w:t>
            </w:r>
            <w:r w:rsidR="00EA25EC">
              <w:rPr>
                <w:rFonts w:ascii="Palatino Linotype" w:hAnsi="Palatino Linotype"/>
                <w:sz w:val="20"/>
              </w:rPr>
              <w:t>, including those that may re-direct or allocate energy resources.</w:t>
            </w:r>
          </w:p>
          <w:p w14:paraId="3DC05DA0" w14:textId="77777777" w:rsidR="00C8454A" w:rsidRPr="009045C5" w:rsidRDefault="00C8454A" w:rsidP="00994689">
            <w:pPr>
              <w:numPr>
                <w:ilvl w:val="0"/>
                <w:numId w:val="3"/>
              </w:numPr>
              <w:contextualSpacing/>
              <w:rPr>
                <w:rFonts w:ascii="Palatino Linotype" w:hAnsi="Palatino Linotype"/>
                <w:sz w:val="20"/>
              </w:rPr>
            </w:pPr>
            <w:r w:rsidRPr="009045C5">
              <w:rPr>
                <w:rFonts w:ascii="Palatino Linotype" w:hAnsi="Palatino Linotype"/>
                <w:sz w:val="20"/>
              </w:rPr>
              <w:t>Acquires waivers where necessary</w:t>
            </w:r>
          </w:p>
          <w:p w14:paraId="17D4988C" w14:textId="77777777" w:rsidR="009045C5" w:rsidRDefault="009045C5" w:rsidP="00994689">
            <w:pPr>
              <w:numPr>
                <w:ilvl w:val="0"/>
                <w:numId w:val="3"/>
              </w:numPr>
              <w:contextualSpacing/>
              <w:rPr>
                <w:rFonts w:ascii="Palatino Linotype" w:hAnsi="Palatino Linotype"/>
                <w:sz w:val="20"/>
              </w:rPr>
            </w:pPr>
            <w:r w:rsidRPr="009045C5">
              <w:rPr>
                <w:rFonts w:ascii="Palatino Linotype" w:hAnsi="Palatino Linotype"/>
                <w:sz w:val="20"/>
              </w:rPr>
              <w:t>Acts as liaison between state agencies providing assistance to energy sector entities and the public, in order to facilitate critical infrastructure protection and restoration efforts.</w:t>
            </w:r>
          </w:p>
          <w:p w14:paraId="51ECE908" w14:textId="77777777" w:rsidR="008444CB" w:rsidRDefault="008444CB" w:rsidP="00994689">
            <w:pPr>
              <w:numPr>
                <w:ilvl w:val="0"/>
                <w:numId w:val="3"/>
              </w:numPr>
              <w:spacing w:before="120"/>
              <w:contextualSpacing/>
              <w:rPr>
                <w:rFonts w:ascii="Palatino Linotype" w:hAnsi="Palatino Linotype"/>
                <w:sz w:val="20"/>
              </w:rPr>
            </w:pPr>
            <w:r w:rsidRPr="009045C5">
              <w:rPr>
                <w:rFonts w:ascii="Palatino Linotype" w:hAnsi="Palatino Linotype"/>
                <w:sz w:val="20"/>
              </w:rPr>
              <w:lastRenderedPageBreak/>
              <w:t>Provides direct coordination with all other state, regional, and federal departmental response elements as requested by the affected utility(s) and/or fuel supplier(s).</w:t>
            </w:r>
          </w:p>
          <w:p w14:paraId="08B4BE43" w14:textId="77777777" w:rsidR="009045C5" w:rsidRPr="009045C5" w:rsidRDefault="009045C5" w:rsidP="00C8454A">
            <w:pPr>
              <w:ind w:left="720"/>
              <w:contextualSpacing/>
              <w:rPr>
                <w:rFonts w:ascii="Palatino Linotype" w:hAnsi="Palatino Linotype"/>
                <w:sz w:val="20"/>
              </w:rPr>
            </w:pPr>
          </w:p>
        </w:tc>
      </w:tr>
      <w:tr w:rsidR="0071383B" w:rsidRPr="003715B3" w14:paraId="60FCC53A" w14:textId="77777777" w:rsidTr="009045C5">
        <w:tc>
          <w:tcPr>
            <w:tcW w:w="2411" w:type="dxa"/>
            <w:shd w:val="clear" w:color="auto" w:fill="D6E3BC" w:themeFill="accent3" w:themeFillTint="66"/>
            <w:vAlign w:val="center"/>
          </w:tcPr>
          <w:p w14:paraId="5B5E3294" w14:textId="77777777" w:rsidR="0071383B" w:rsidRPr="003715B3" w:rsidRDefault="0071383B" w:rsidP="0071383B">
            <w:pPr>
              <w:jc w:val="center"/>
              <w:rPr>
                <w:rFonts w:ascii="Palatino Linotype" w:hAnsi="Palatino Linotype"/>
                <w:b/>
                <w:sz w:val="22"/>
                <w:szCs w:val="22"/>
              </w:rPr>
            </w:pPr>
            <w:r>
              <w:rPr>
                <w:rFonts w:ascii="Palatino Linotype" w:hAnsi="Palatino Linotype"/>
                <w:b/>
                <w:sz w:val="22"/>
                <w:szCs w:val="22"/>
              </w:rPr>
              <w:lastRenderedPageBreak/>
              <w:t>Public Information &amp; Warning</w:t>
            </w:r>
          </w:p>
        </w:tc>
        <w:tc>
          <w:tcPr>
            <w:tcW w:w="6939" w:type="dxa"/>
          </w:tcPr>
          <w:p w14:paraId="47C73E31" w14:textId="77777777" w:rsidR="007A789B" w:rsidRDefault="007A789B" w:rsidP="00994689">
            <w:pPr>
              <w:numPr>
                <w:ilvl w:val="0"/>
                <w:numId w:val="3"/>
              </w:numPr>
              <w:contextualSpacing/>
              <w:rPr>
                <w:rFonts w:ascii="Palatino Linotype" w:hAnsi="Palatino Linotype"/>
                <w:sz w:val="20"/>
              </w:rPr>
            </w:pPr>
            <w:r w:rsidRPr="009045C5">
              <w:rPr>
                <w:rFonts w:ascii="Palatino Linotype" w:hAnsi="Palatino Linotype"/>
                <w:sz w:val="20"/>
              </w:rPr>
              <w:t>Communicate</w:t>
            </w:r>
            <w:r w:rsidR="00A07716" w:rsidRPr="009045C5">
              <w:rPr>
                <w:rFonts w:ascii="Palatino Linotype" w:hAnsi="Palatino Linotype"/>
                <w:sz w:val="20"/>
              </w:rPr>
              <w:t>s</w:t>
            </w:r>
            <w:r w:rsidRPr="009045C5">
              <w:rPr>
                <w:rFonts w:ascii="Palatino Linotype" w:hAnsi="Palatino Linotype"/>
                <w:sz w:val="20"/>
              </w:rPr>
              <w:t xml:space="preserve"> with the media and the public in a timely and accurate manner, and work</w:t>
            </w:r>
            <w:r w:rsidR="00A07716" w:rsidRPr="009045C5">
              <w:rPr>
                <w:rFonts w:ascii="Palatino Linotype" w:hAnsi="Palatino Linotype"/>
                <w:sz w:val="20"/>
              </w:rPr>
              <w:t>s</w:t>
            </w:r>
            <w:r w:rsidRPr="009045C5">
              <w:rPr>
                <w:rFonts w:ascii="Palatino Linotype" w:hAnsi="Palatino Linotype"/>
                <w:sz w:val="20"/>
              </w:rPr>
              <w:t xml:space="preserve"> with the Governor’s Office to communicate needed information, including affected areas, estimated outage time, predictions, and actions consumers can take to take care of themselves</w:t>
            </w:r>
          </w:p>
          <w:p w14:paraId="41A9C341" w14:textId="77777777" w:rsidR="00C8454A" w:rsidRPr="009045C5" w:rsidRDefault="00C8454A" w:rsidP="00994689">
            <w:pPr>
              <w:numPr>
                <w:ilvl w:val="0"/>
                <w:numId w:val="3"/>
              </w:numPr>
              <w:contextualSpacing/>
              <w:rPr>
                <w:rFonts w:ascii="Palatino Linotype" w:hAnsi="Palatino Linotype"/>
                <w:sz w:val="20"/>
              </w:rPr>
            </w:pPr>
            <w:r w:rsidRPr="009045C5">
              <w:rPr>
                <w:rFonts w:ascii="Palatino Linotype" w:hAnsi="Palatino Linotype"/>
                <w:sz w:val="20"/>
              </w:rPr>
              <w:t>Coordinates with the energy industry for information sharing</w:t>
            </w:r>
          </w:p>
          <w:p w14:paraId="28B46C35" w14:textId="77777777" w:rsidR="00A4498D" w:rsidRPr="00C8454A" w:rsidRDefault="00A4498D" w:rsidP="00994689">
            <w:pPr>
              <w:numPr>
                <w:ilvl w:val="0"/>
                <w:numId w:val="3"/>
              </w:numPr>
              <w:tabs>
                <w:tab w:val="left" w:pos="360"/>
              </w:tabs>
              <w:spacing w:before="120"/>
              <w:contextualSpacing/>
              <w:rPr>
                <w:rFonts w:ascii="Palatino Linotype" w:hAnsi="Palatino Linotype"/>
                <w:sz w:val="20"/>
              </w:rPr>
            </w:pPr>
            <w:r w:rsidRPr="00C8454A">
              <w:rPr>
                <w:rFonts w:ascii="Palatino Linotype" w:hAnsi="Palatino Linotype"/>
                <w:sz w:val="20"/>
              </w:rPr>
              <w:t>DEQ’s public information officer (or another public information officer depending on the incident command structure) will develop press releases or other public information and data</w:t>
            </w:r>
            <w:r w:rsidR="00EA25EC">
              <w:rPr>
                <w:rFonts w:ascii="Palatino Linotype" w:hAnsi="Palatino Linotype"/>
                <w:sz w:val="20"/>
              </w:rPr>
              <w:t xml:space="preserve">.  </w:t>
            </w:r>
            <w:r w:rsidRPr="00C8454A">
              <w:rPr>
                <w:rFonts w:ascii="Palatino Linotype" w:hAnsi="Palatino Linotype"/>
                <w:sz w:val="20"/>
              </w:rPr>
              <w:t xml:space="preserve"> </w:t>
            </w:r>
          </w:p>
          <w:p w14:paraId="2EA89DC9" w14:textId="77777777" w:rsidR="00792B5D" w:rsidRPr="009045C5" w:rsidRDefault="00792B5D" w:rsidP="00994689">
            <w:pPr>
              <w:numPr>
                <w:ilvl w:val="0"/>
                <w:numId w:val="3"/>
              </w:numPr>
              <w:contextualSpacing/>
              <w:rPr>
                <w:rFonts w:ascii="Palatino Linotype" w:hAnsi="Palatino Linotype"/>
                <w:sz w:val="20"/>
              </w:rPr>
            </w:pPr>
            <w:r w:rsidRPr="009045C5">
              <w:rPr>
                <w:rFonts w:ascii="Palatino Linotype" w:hAnsi="Palatino Linotype"/>
                <w:sz w:val="20"/>
              </w:rPr>
              <w:t>Addresses the reactions of the public</w:t>
            </w:r>
          </w:p>
          <w:p w14:paraId="15B9EA55" w14:textId="77777777" w:rsidR="0071383B" w:rsidRPr="009045C5" w:rsidRDefault="0071383B" w:rsidP="00994689">
            <w:pPr>
              <w:numPr>
                <w:ilvl w:val="0"/>
                <w:numId w:val="3"/>
              </w:numPr>
              <w:contextualSpacing/>
              <w:rPr>
                <w:rFonts w:ascii="Palatino Linotype" w:hAnsi="Palatino Linotype"/>
                <w:sz w:val="20"/>
              </w:rPr>
            </w:pPr>
            <w:r w:rsidRPr="009045C5">
              <w:rPr>
                <w:rFonts w:ascii="Palatino Linotype" w:hAnsi="Palatino Linotype"/>
                <w:sz w:val="20"/>
              </w:rPr>
              <w:t>Provide updates on the status of essential energy resources through communication with state, local, and tribal partner</w:t>
            </w:r>
            <w:r w:rsidR="00EA25EC">
              <w:rPr>
                <w:rFonts w:ascii="Palatino Linotype" w:hAnsi="Palatino Linotype"/>
                <w:sz w:val="20"/>
              </w:rPr>
              <w:t>s</w:t>
            </w:r>
            <w:r w:rsidRPr="009045C5">
              <w:rPr>
                <w:rFonts w:ascii="Palatino Linotype" w:hAnsi="Palatino Linotype"/>
                <w:sz w:val="20"/>
              </w:rPr>
              <w:t xml:space="preserve"> and to the public via situation reports, in coordination with private sector energy owners and operators.</w:t>
            </w:r>
          </w:p>
          <w:p w14:paraId="185F8F34" w14:textId="77777777" w:rsidR="0071383B" w:rsidRPr="009045C5" w:rsidRDefault="0071383B" w:rsidP="00994689">
            <w:pPr>
              <w:numPr>
                <w:ilvl w:val="0"/>
                <w:numId w:val="3"/>
              </w:numPr>
              <w:contextualSpacing/>
              <w:rPr>
                <w:rFonts w:ascii="Palatino Linotype" w:hAnsi="Palatino Linotype"/>
                <w:sz w:val="20"/>
              </w:rPr>
            </w:pPr>
            <w:r w:rsidRPr="009045C5">
              <w:rPr>
                <w:rFonts w:ascii="Palatino Linotype" w:hAnsi="Palatino Linotype"/>
                <w:sz w:val="20"/>
              </w:rPr>
              <w:t>Release</w:t>
            </w:r>
            <w:r w:rsidR="00792B5D" w:rsidRPr="009045C5">
              <w:rPr>
                <w:rFonts w:ascii="Palatino Linotype" w:hAnsi="Palatino Linotype"/>
                <w:sz w:val="20"/>
              </w:rPr>
              <w:t>s</w:t>
            </w:r>
            <w:r w:rsidRPr="009045C5">
              <w:rPr>
                <w:rFonts w:ascii="Palatino Linotype" w:hAnsi="Palatino Linotype"/>
                <w:sz w:val="20"/>
              </w:rPr>
              <w:t xml:space="preserve"> updated energy incident advice to the general public.</w:t>
            </w:r>
          </w:p>
          <w:p w14:paraId="25058CF1" w14:textId="77777777" w:rsidR="007A789B" w:rsidRPr="009045C5" w:rsidRDefault="007A789B" w:rsidP="00C8454A">
            <w:pPr>
              <w:ind w:left="720"/>
              <w:contextualSpacing/>
              <w:rPr>
                <w:rFonts w:ascii="Palatino Linotype" w:hAnsi="Palatino Linotype"/>
                <w:sz w:val="20"/>
              </w:rPr>
            </w:pPr>
          </w:p>
        </w:tc>
      </w:tr>
    </w:tbl>
    <w:p w14:paraId="5C272D71" w14:textId="77777777" w:rsidR="0071383B" w:rsidRDefault="0071383B" w:rsidP="007E2BFD"/>
    <w:p w14:paraId="66072D0D" w14:textId="77777777" w:rsidR="00152E9D" w:rsidRDefault="00152E9D" w:rsidP="007E2BFD"/>
    <w:p w14:paraId="3C58463B" w14:textId="77777777" w:rsidR="00EA25EC" w:rsidRDefault="00EA25EC">
      <w:pPr>
        <w:spacing w:after="200" w:line="276" w:lineRule="auto"/>
        <w:rPr>
          <w:rFonts w:ascii="Palatino Linotype" w:eastAsia="Calibri" w:hAnsi="Palatino Linotype"/>
          <w:b/>
          <w:bCs/>
          <w:sz w:val="36"/>
          <w:szCs w:val="36"/>
        </w:rPr>
      </w:pPr>
      <w:bookmarkStart w:id="11" w:name="_Toc440461656"/>
      <w:bookmarkStart w:id="12" w:name="_Toc443920295"/>
      <w:r>
        <w:rPr>
          <w:rFonts w:ascii="Palatino Linotype" w:eastAsia="Calibri" w:hAnsi="Palatino Linotype"/>
          <w:b/>
          <w:bCs/>
          <w:sz w:val="36"/>
          <w:szCs w:val="36"/>
        </w:rPr>
        <w:br w:type="page"/>
      </w:r>
    </w:p>
    <w:p w14:paraId="218B1E9A" w14:textId="77777777" w:rsidR="003715B3" w:rsidRPr="00B04AB3" w:rsidRDefault="00EA25EC" w:rsidP="003715B3">
      <w:pPr>
        <w:keepNext/>
        <w:keepLines/>
        <w:spacing w:before="480" w:line="276" w:lineRule="auto"/>
        <w:outlineLvl w:val="0"/>
        <w:rPr>
          <w:rFonts w:ascii="Palatino Linotype" w:eastAsia="Calibri" w:hAnsi="Palatino Linotype"/>
          <w:b/>
          <w:bCs/>
          <w:sz w:val="28"/>
          <w:szCs w:val="28"/>
        </w:rPr>
      </w:pPr>
      <w:r>
        <w:rPr>
          <w:rFonts w:ascii="Palatino Linotype" w:eastAsia="Calibri" w:hAnsi="Palatino Linotype"/>
          <w:b/>
          <w:bCs/>
          <w:sz w:val="36"/>
          <w:szCs w:val="36"/>
        </w:rPr>
        <w:lastRenderedPageBreak/>
        <w:t>S</w:t>
      </w:r>
      <w:r w:rsidR="00751E75" w:rsidRPr="00B04AB3">
        <w:rPr>
          <w:rFonts w:ascii="Palatino Linotype" w:eastAsia="Calibri" w:hAnsi="Palatino Linotype"/>
          <w:b/>
          <w:bCs/>
          <w:sz w:val="36"/>
          <w:szCs w:val="36"/>
        </w:rPr>
        <w:t>e</w:t>
      </w:r>
      <w:r w:rsidR="003715B3" w:rsidRPr="00B04AB3">
        <w:rPr>
          <w:rFonts w:ascii="Palatino Linotype" w:eastAsia="Calibri" w:hAnsi="Palatino Linotype"/>
          <w:b/>
          <w:bCs/>
          <w:sz w:val="36"/>
          <w:szCs w:val="36"/>
        </w:rPr>
        <w:t xml:space="preserve">ction V: </w:t>
      </w:r>
      <w:r w:rsidR="00152E9D">
        <w:rPr>
          <w:rFonts w:ascii="Palatino Linotype" w:eastAsia="Calibri" w:hAnsi="Palatino Linotype"/>
          <w:b/>
          <w:bCs/>
          <w:sz w:val="36"/>
          <w:szCs w:val="36"/>
        </w:rPr>
        <w:t xml:space="preserve"> </w:t>
      </w:r>
      <w:r w:rsidR="003715B3" w:rsidRPr="00B04AB3">
        <w:rPr>
          <w:rFonts w:ascii="Palatino Linotype" w:eastAsia="Calibri" w:hAnsi="Palatino Linotype"/>
          <w:b/>
          <w:bCs/>
          <w:sz w:val="36"/>
          <w:szCs w:val="36"/>
        </w:rPr>
        <w:t>Operational Functions</w:t>
      </w:r>
      <w:bookmarkEnd w:id="11"/>
      <w:bookmarkEnd w:id="12"/>
    </w:p>
    <w:p w14:paraId="7121B343" w14:textId="77777777" w:rsidR="0071383B" w:rsidRDefault="00751E75" w:rsidP="005F4B7E">
      <w:pPr>
        <w:rPr>
          <w:rFonts w:ascii="Palatino Linotype" w:hAnsi="Palatino Linotype"/>
          <w:b/>
          <w:sz w:val="22"/>
          <w:szCs w:val="22"/>
        </w:rPr>
      </w:pPr>
      <w:r>
        <w:rPr>
          <w:rFonts w:ascii="Palatino Linotype" w:hAnsi="Palatino Linotype"/>
          <w:sz w:val="22"/>
          <w:szCs w:val="22"/>
        </w:rPr>
        <w:t>The following table</w:t>
      </w:r>
      <w:r w:rsidR="00B71462" w:rsidRPr="003715B3">
        <w:rPr>
          <w:rFonts w:ascii="Palatino Linotype" w:hAnsi="Palatino Linotype"/>
          <w:sz w:val="22"/>
          <w:szCs w:val="22"/>
        </w:rPr>
        <w:t xml:space="preserve"> list</w:t>
      </w:r>
      <w:r>
        <w:rPr>
          <w:rFonts w:ascii="Palatino Linotype" w:hAnsi="Palatino Linotype"/>
          <w:sz w:val="22"/>
          <w:szCs w:val="22"/>
        </w:rPr>
        <w:t>s the Response operational functions</w:t>
      </w:r>
      <w:r w:rsidR="00B71462" w:rsidRPr="003715B3">
        <w:rPr>
          <w:rFonts w:ascii="Palatino Linotype" w:hAnsi="Palatino Linotype"/>
          <w:sz w:val="22"/>
          <w:szCs w:val="22"/>
        </w:rPr>
        <w:t xml:space="preserve"> that</w:t>
      </w:r>
      <w:r>
        <w:rPr>
          <w:rFonts w:ascii="Palatino Linotype" w:hAnsi="Palatino Linotype"/>
          <w:sz w:val="22"/>
          <w:szCs w:val="22"/>
        </w:rPr>
        <w:t xml:space="preserve"> ESF #12 support entities</w:t>
      </w:r>
      <w:r w:rsidR="00066BBB" w:rsidRPr="003715B3">
        <w:rPr>
          <w:rFonts w:ascii="Palatino Linotype" w:hAnsi="Palatino Linotype"/>
          <w:sz w:val="22"/>
          <w:szCs w:val="22"/>
        </w:rPr>
        <w:t xml:space="preserve"> of </w:t>
      </w:r>
      <w:r w:rsidR="00B71462" w:rsidRPr="003715B3">
        <w:rPr>
          <w:rFonts w:ascii="Palatino Linotype" w:hAnsi="Palatino Linotype"/>
          <w:sz w:val="22"/>
          <w:szCs w:val="22"/>
        </w:rPr>
        <w:t>most directly support</w:t>
      </w:r>
      <w:r w:rsidR="00066BBB" w:rsidRPr="003715B3">
        <w:rPr>
          <w:rFonts w:ascii="Palatino Linotype" w:hAnsi="Palatino Linotype"/>
          <w:sz w:val="22"/>
          <w:szCs w:val="22"/>
        </w:rPr>
        <w:t>s</w:t>
      </w:r>
      <w:r w:rsidR="00B71462" w:rsidRPr="003715B3">
        <w:rPr>
          <w:rFonts w:ascii="Palatino Linotype" w:hAnsi="Palatino Linotype"/>
          <w:sz w:val="22"/>
          <w:szCs w:val="22"/>
        </w:rPr>
        <w:t>:</w:t>
      </w:r>
    </w:p>
    <w:p w14:paraId="34E70FD2" w14:textId="77777777" w:rsidR="00751E75" w:rsidRPr="00751E75" w:rsidRDefault="00751E75" w:rsidP="005F4B7E">
      <w:pPr>
        <w:rPr>
          <w:rFonts w:ascii="Palatino Linotype" w:hAnsi="Palatino Linotype"/>
          <w:b/>
          <w:sz w:val="22"/>
          <w:szCs w:val="22"/>
        </w:rPr>
      </w:pPr>
    </w:p>
    <w:tbl>
      <w:tblPr>
        <w:tblStyle w:val="TableGrid"/>
        <w:tblW w:w="0" w:type="auto"/>
        <w:tblLook w:val="04A0" w:firstRow="1" w:lastRow="0" w:firstColumn="1" w:lastColumn="0" w:noHBand="0" w:noVBand="1"/>
      </w:tblPr>
      <w:tblGrid>
        <w:gridCol w:w="2413"/>
        <w:gridCol w:w="6937"/>
      </w:tblGrid>
      <w:tr w:rsidR="00152E9D" w:rsidRPr="003715B3" w14:paraId="121AF6A8" w14:textId="77777777" w:rsidTr="00152E9D">
        <w:trPr>
          <w:trHeight w:val="611"/>
        </w:trPr>
        <w:tc>
          <w:tcPr>
            <w:tcW w:w="2413" w:type="dxa"/>
            <w:shd w:val="clear" w:color="auto" w:fill="FBD4B4" w:themeFill="accent6" w:themeFillTint="66"/>
            <w:vAlign w:val="center"/>
          </w:tcPr>
          <w:p w14:paraId="1F56B625" w14:textId="77777777" w:rsidR="00152E9D" w:rsidRDefault="00152E9D" w:rsidP="00152E9D">
            <w:pPr>
              <w:jc w:val="center"/>
              <w:rPr>
                <w:rFonts w:ascii="Palatino Linotype" w:hAnsi="Palatino Linotype"/>
                <w:b/>
                <w:sz w:val="22"/>
                <w:szCs w:val="22"/>
              </w:rPr>
            </w:pPr>
            <w:r>
              <w:rPr>
                <w:rFonts w:ascii="Palatino Linotype" w:hAnsi="Palatino Linotype"/>
                <w:b/>
                <w:sz w:val="22"/>
                <w:szCs w:val="22"/>
              </w:rPr>
              <w:t>Primary Agency</w:t>
            </w:r>
          </w:p>
        </w:tc>
        <w:tc>
          <w:tcPr>
            <w:tcW w:w="6937" w:type="dxa"/>
            <w:shd w:val="clear" w:color="auto" w:fill="FBD4B4" w:themeFill="accent6" w:themeFillTint="66"/>
            <w:vAlign w:val="center"/>
          </w:tcPr>
          <w:p w14:paraId="5C966E86" w14:textId="77777777" w:rsidR="00152E9D" w:rsidRDefault="00152E9D" w:rsidP="00152E9D">
            <w:pPr>
              <w:jc w:val="center"/>
              <w:rPr>
                <w:rFonts w:ascii="Palatino Linotype" w:hAnsi="Palatino Linotype"/>
                <w:b/>
                <w:sz w:val="22"/>
                <w:szCs w:val="22"/>
              </w:rPr>
            </w:pPr>
            <w:r>
              <w:rPr>
                <w:rFonts w:ascii="Palatino Linotype" w:hAnsi="Palatino Linotype"/>
                <w:b/>
                <w:sz w:val="22"/>
                <w:szCs w:val="22"/>
              </w:rPr>
              <w:t>Operational Functions</w:t>
            </w:r>
          </w:p>
        </w:tc>
      </w:tr>
      <w:tr w:rsidR="00152E9D" w:rsidRPr="003715B3" w14:paraId="4965F994" w14:textId="77777777" w:rsidTr="00152E9D">
        <w:trPr>
          <w:trHeight w:val="2600"/>
        </w:trPr>
        <w:tc>
          <w:tcPr>
            <w:tcW w:w="2413" w:type="dxa"/>
            <w:shd w:val="clear" w:color="auto" w:fill="D6E3BC" w:themeFill="accent3" w:themeFillTint="66"/>
            <w:vAlign w:val="center"/>
          </w:tcPr>
          <w:p w14:paraId="2F7534B1" w14:textId="77777777" w:rsidR="00152E9D" w:rsidRDefault="00152E9D" w:rsidP="00152E9D">
            <w:pPr>
              <w:jc w:val="center"/>
              <w:rPr>
                <w:rFonts w:ascii="Palatino Linotype" w:hAnsi="Palatino Linotype"/>
                <w:b/>
                <w:sz w:val="22"/>
                <w:szCs w:val="22"/>
              </w:rPr>
            </w:pPr>
            <w:r>
              <w:rPr>
                <w:rFonts w:ascii="Palatino Linotype" w:hAnsi="Palatino Linotype"/>
                <w:b/>
                <w:sz w:val="22"/>
                <w:szCs w:val="22"/>
              </w:rPr>
              <w:t>Department of Environmental Quality</w:t>
            </w:r>
          </w:p>
        </w:tc>
        <w:tc>
          <w:tcPr>
            <w:tcW w:w="6937" w:type="dxa"/>
            <w:shd w:val="clear" w:color="auto" w:fill="auto"/>
            <w:vAlign w:val="center"/>
          </w:tcPr>
          <w:p w14:paraId="3E7343D7" w14:textId="77777777" w:rsidR="00152E9D" w:rsidRPr="00785F5D" w:rsidRDefault="00EA25EC" w:rsidP="00EA25EC">
            <w:pPr>
              <w:rPr>
                <w:rFonts w:ascii="Palatino Linotype" w:hAnsi="Palatino Linotype"/>
                <w:sz w:val="22"/>
                <w:szCs w:val="22"/>
              </w:rPr>
            </w:pPr>
            <w:r>
              <w:rPr>
                <w:rFonts w:ascii="Palatino Linotype" w:hAnsi="Palatino Linotype"/>
                <w:sz w:val="22"/>
                <w:szCs w:val="22"/>
              </w:rPr>
              <w:t>The Montana DEQ will c</w:t>
            </w:r>
            <w:r w:rsidR="00152E9D" w:rsidRPr="00EA25EC">
              <w:rPr>
                <w:rFonts w:ascii="Palatino Linotype" w:hAnsi="Palatino Linotype"/>
                <w:sz w:val="22"/>
                <w:szCs w:val="22"/>
              </w:rPr>
              <w:t xml:space="preserve">oordinate the state’s efforts in the restoration and protection of Montana’s critical electricity, natural gas, and liquid fuels infrastructure, and related fuel supply systems, during and following a disaster or significant disruption. </w:t>
            </w:r>
            <w:r>
              <w:rPr>
                <w:rFonts w:ascii="Palatino Linotype" w:hAnsi="Palatino Linotype"/>
                <w:sz w:val="22"/>
                <w:szCs w:val="22"/>
              </w:rPr>
              <w:t xml:space="preserve"> DEQ will be</w:t>
            </w:r>
            <w:r w:rsidR="00152E9D" w:rsidRPr="003715B3">
              <w:rPr>
                <w:rFonts w:ascii="Palatino Linotype" w:hAnsi="Palatino Linotype"/>
                <w:sz w:val="22"/>
                <w:szCs w:val="22"/>
              </w:rPr>
              <w:t xml:space="preserve"> the single point of contact and liaison for the State on energy issue</w:t>
            </w:r>
            <w:r w:rsidR="00152E9D">
              <w:rPr>
                <w:rFonts w:ascii="Palatino Linotype" w:hAnsi="Palatino Linotype"/>
                <w:sz w:val="22"/>
                <w:szCs w:val="22"/>
              </w:rPr>
              <w:t>s in the event of an emergency.</w:t>
            </w:r>
            <w:r>
              <w:rPr>
                <w:rFonts w:ascii="Palatino Linotype" w:hAnsi="Palatino Linotype"/>
                <w:sz w:val="22"/>
                <w:szCs w:val="22"/>
              </w:rPr>
              <w:t xml:space="preserve">  </w:t>
            </w:r>
            <w:r w:rsidR="000478D7">
              <w:rPr>
                <w:rFonts w:ascii="Palatino Linotype" w:hAnsi="Palatino Linotype"/>
                <w:sz w:val="22"/>
                <w:szCs w:val="22"/>
              </w:rPr>
              <w:t>It</w:t>
            </w:r>
            <w:r>
              <w:rPr>
                <w:rFonts w:ascii="Palatino Linotype" w:hAnsi="Palatino Linotype"/>
                <w:sz w:val="22"/>
                <w:szCs w:val="22"/>
              </w:rPr>
              <w:t xml:space="preserve"> will p</w:t>
            </w:r>
            <w:r w:rsidR="00152E9D">
              <w:rPr>
                <w:rFonts w:ascii="Palatino Linotype" w:hAnsi="Palatino Linotype"/>
                <w:sz w:val="22"/>
                <w:szCs w:val="22"/>
              </w:rPr>
              <w:t>rovide</w:t>
            </w:r>
            <w:r w:rsidR="00152E9D" w:rsidRPr="003715B3">
              <w:rPr>
                <w:rFonts w:ascii="Palatino Linotype" w:hAnsi="Palatino Linotype"/>
                <w:sz w:val="22"/>
                <w:szCs w:val="22"/>
              </w:rPr>
              <w:t xml:space="preserve"> direct coordination with all relevant state, regional, local, and federal entities as well as with private entities</w:t>
            </w:r>
            <w:r>
              <w:rPr>
                <w:rFonts w:ascii="Palatino Linotype" w:hAnsi="Palatino Linotype"/>
                <w:sz w:val="22"/>
                <w:szCs w:val="22"/>
              </w:rPr>
              <w:t>, and will m</w:t>
            </w:r>
            <w:r w:rsidR="00152E9D" w:rsidRPr="003715B3">
              <w:rPr>
                <w:rFonts w:ascii="Palatino Linotype" w:hAnsi="Palatino Linotype"/>
                <w:sz w:val="22"/>
                <w:szCs w:val="22"/>
              </w:rPr>
              <w:t>eet the planning and situational awareness needs of the Governor, policy makers, private industry and other ESF partners during an emergency.</w:t>
            </w:r>
            <w:r>
              <w:rPr>
                <w:rFonts w:ascii="Palatino Linotype" w:hAnsi="Palatino Linotype"/>
                <w:sz w:val="22"/>
                <w:szCs w:val="22"/>
              </w:rPr>
              <w:t xml:space="preserve">  DEQ will suggest and implement strategies as needed for dealing with shortages or high prices of energy in Montana.  </w:t>
            </w:r>
            <w:r w:rsidR="000478D7">
              <w:rPr>
                <w:rFonts w:ascii="Palatino Linotype" w:hAnsi="Palatino Linotype"/>
                <w:sz w:val="22"/>
                <w:szCs w:val="22"/>
              </w:rPr>
              <w:t>It</w:t>
            </w:r>
            <w:r>
              <w:rPr>
                <w:rFonts w:ascii="Palatino Linotype" w:hAnsi="Palatino Linotype"/>
                <w:sz w:val="22"/>
                <w:szCs w:val="22"/>
              </w:rPr>
              <w:t xml:space="preserve"> will p</w:t>
            </w:r>
            <w:r w:rsidR="00152E9D" w:rsidRPr="00785F5D">
              <w:rPr>
                <w:rFonts w:ascii="Palatino Linotype" w:hAnsi="Palatino Linotype"/>
                <w:sz w:val="22"/>
                <w:szCs w:val="22"/>
              </w:rPr>
              <w:t xml:space="preserve">rocess requests for assistance from local utilities, fuel suppliers, and deliverers to facilitate restoration and protection efforts, or to channel those requests to the appropriate operational units. </w:t>
            </w:r>
            <w:r>
              <w:rPr>
                <w:rFonts w:ascii="Palatino Linotype" w:hAnsi="Palatino Linotype"/>
                <w:sz w:val="22"/>
                <w:szCs w:val="22"/>
              </w:rPr>
              <w:t>DEQ will p</w:t>
            </w:r>
            <w:r w:rsidR="00152E9D" w:rsidRPr="00785F5D">
              <w:rPr>
                <w:rFonts w:ascii="Palatino Linotype" w:hAnsi="Palatino Linotype"/>
                <w:sz w:val="22"/>
                <w:szCs w:val="22"/>
              </w:rPr>
              <w:t>rovide energy consumers with advice on ways to meet their energy needs during the emergency, and to generally provide an effective source</w:t>
            </w:r>
            <w:r w:rsidR="00152E9D">
              <w:rPr>
                <w:rFonts w:ascii="Palatino Linotype" w:hAnsi="Palatino Linotype"/>
                <w:sz w:val="22"/>
                <w:szCs w:val="22"/>
              </w:rPr>
              <w:t xml:space="preserve"> of information to the public.</w:t>
            </w:r>
          </w:p>
          <w:p w14:paraId="66FE6B44" w14:textId="77777777" w:rsidR="00152E9D" w:rsidRDefault="00152E9D" w:rsidP="00152E9D">
            <w:pPr>
              <w:jc w:val="center"/>
              <w:rPr>
                <w:rFonts w:ascii="Palatino Linotype" w:hAnsi="Palatino Linotype"/>
                <w:b/>
                <w:sz w:val="22"/>
                <w:szCs w:val="22"/>
              </w:rPr>
            </w:pPr>
          </w:p>
        </w:tc>
      </w:tr>
      <w:tr w:rsidR="0071383B" w:rsidRPr="003715B3" w14:paraId="26FB6EB5" w14:textId="77777777" w:rsidTr="00152E9D">
        <w:trPr>
          <w:trHeight w:val="611"/>
        </w:trPr>
        <w:tc>
          <w:tcPr>
            <w:tcW w:w="2413" w:type="dxa"/>
            <w:shd w:val="clear" w:color="auto" w:fill="FBD4B4" w:themeFill="accent6" w:themeFillTint="66"/>
            <w:vAlign w:val="center"/>
          </w:tcPr>
          <w:p w14:paraId="68246F7D" w14:textId="77777777" w:rsidR="0071383B" w:rsidRPr="003715B3" w:rsidRDefault="00152E9D" w:rsidP="00152E9D">
            <w:pPr>
              <w:jc w:val="center"/>
              <w:rPr>
                <w:rFonts w:ascii="Palatino Linotype" w:hAnsi="Palatino Linotype"/>
                <w:b/>
                <w:sz w:val="22"/>
                <w:szCs w:val="22"/>
              </w:rPr>
            </w:pPr>
            <w:r>
              <w:rPr>
                <w:rFonts w:ascii="Palatino Linotype" w:hAnsi="Palatino Linotype"/>
                <w:b/>
                <w:sz w:val="22"/>
                <w:szCs w:val="22"/>
              </w:rPr>
              <w:t>Support Agencies</w:t>
            </w:r>
          </w:p>
        </w:tc>
        <w:tc>
          <w:tcPr>
            <w:tcW w:w="6937" w:type="dxa"/>
            <w:shd w:val="clear" w:color="auto" w:fill="FBD4B4" w:themeFill="accent6" w:themeFillTint="66"/>
            <w:vAlign w:val="center"/>
          </w:tcPr>
          <w:p w14:paraId="58D60E9C" w14:textId="77777777" w:rsidR="0071383B" w:rsidRPr="003715B3" w:rsidRDefault="00152E9D" w:rsidP="00152E9D">
            <w:pPr>
              <w:jc w:val="center"/>
              <w:rPr>
                <w:rFonts w:ascii="Palatino Linotype" w:hAnsi="Palatino Linotype"/>
                <w:b/>
                <w:sz w:val="22"/>
                <w:szCs w:val="22"/>
              </w:rPr>
            </w:pPr>
            <w:r>
              <w:rPr>
                <w:rFonts w:ascii="Palatino Linotype" w:hAnsi="Palatino Linotype"/>
                <w:b/>
                <w:sz w:val="22"/>
                <w:szCs w:val="22"/>
              </w:rPr>
              <w:t>Operational Functions</w:t>
            </w:r>
          </w:p>
        </w:tc>
      </w:tr>
      <w:tr w:rsidR="0071383B" w:rsidRPr="00751E75" w14:paraId="211767E0" w14:textId="77777777" w:rsidTr="00152E9D">
        <w:trPr>
          <w:trHeight w:val="890"/>
        </w:trPr>
        <w:tc>
          <w:tcPr>
            <w:tcW w:w="2413" w:type="dxa"/>
            <w:shd w:val="clear" w:color="auto" w:fill="D6E3BC" w:themeFill="accent3" w:themeFillTint="66"/>
            <w:vAlign w:val="center"/>
          </w:tcPr>
          <w:p w14:paraId="16D2EF25" w14:textId="77777777" w:rsidR="0071383B" w:rsidRPr="003715B3" w:rsidRDefault="00A4498D" w:rsidP="00A95B15">
            <w:pPr>
              <w:jc w:val="center"/>
              <w:rPr>
                <w:rFonts w:ascii="Palatino Linotype" w:hAnsi="Palatino Linotype"/>
                <w:b/>
                <w:sz w:val="22"/>
                <w:szCs w:val="22"/>
              </w:rPr>
            </w:pPr>
            <w:r>
              <w:rPr>
                <w:rFonts w:ascii="Palatino Linotype" w:hAnsi="Palatino Linotype"/>
                <w:b/>
                <w:sz w:val="22"/>
                <w:szCs w:val="22"/>
              </w:rPr>
              <w:t>Local Responders</w:t>
            </w:r>
          </w:p>
        </w:tc>
        <w:tc>
          <w:tcPr>
            <w:tcW w:w="6937" w:type="dxa"/>
          </w:tcPr>
          <w:p w14:paraId="352D2CAB" w14:textId="77777777" w:rsidR="007766E9" w:rsidRPr="00751E75" w:rsidRDefault="00A4498D" w:rsidP="00751E75">
            <w:pPr>
              <w:tabs>
                <w:tab w:val="left" w:pos="360"/>
              </w:tabs>
              <w:spacing w:before="120"/>
              <w:rPr>
                <w:rFonts w:ascii="Palatino Linotype" w:hAnsi="Palatino Linotype"/>
                <w:sz w:val="20"/>
              </w:rPr>
            </w:pPr>
            <w:r w:rsidRPr="00994689">
              <w:rPr>
                <w:rFonts w:ascii="Palatino Linotype" w:hAnsi="Palatino Linotype"/>
                <w:sz w:val="22"/>
                <w:szCs w:val="22"/>
              </w:rPr>
              <w:t>P</w:t>
            </w:r>
            <w:r w:rsidR="0071383B" w:rsidRPr="00994689">
              <w:rPr>
                <w:rFonts w:ascii="Palatino Linotype" w:hAnsi="Palatino Linotype"/>
                <w:sz w:val="22"/>
                <w:szCs w:val="22"/>
              </w:rPr>
              <w:t>rovide initial support and response to an energy situation that is an emergency, or could turn into an emergency.  These entities will request assistance from the state in the case that they are overwhelmed or feel that such assistance is needed.</w:t>
            </w:r>
            <w:r w:rsidR="0071383B" w:rsidRPr="00751E75">
              <w:rPr>
                <w:rFonts w:ascii="Palatino Linotype" w:hAnsi="Palatino Linotype"/>
                <w:sz w:val="20"/>
              </w:rPr>
              <w:t xml:space="preserve">  </w:t>
            </w:r>
          </w:p>
        </w:tc>
      </w:tr>
    </w:tbl>
    <w:tbl>
      <w:tblPr>
        <w:tblStyle w:val="TableGrid2"/>
        <w:tblW w:w="0" w:type="auto"/>
        <w:tblLook w:val="04A0" w:firstRow="1" w:lastRow="0" w:firstColumn="1" w:lastColumn="0" w:noHBand="0" w:noVBand="1"/>
      </w:tblPr>
      <w:tblGrid>
        <w:gridCol w:w="2410"/>
        <w:gridCol w:w="6"/>
        <w:gridCol w:w="6934"/>
      </w:tblGrid>
      <w:tr w:rsidR="00751E75" w:rsidRPr="001E4823" w14:paraId="3F5B86F3" w14:textId="77777777" w:rsidTr="00152E9D">
        <w:trPr>
          <w:trHeight w:val="1340"/>
        </w:trPr>
        <w:tc>
          <w:tcPr>
            <w:tcW w:w="2410" w:type="dxa"/>
            <w:shd w:val="clear" w:color="auto" w:fill="D6E3BC" w:themeFill="accent3" w:themeFillTint="66"/>
            <w:vAlign w:val="center"/>
          </w:tcPr>
          <w:p w14:paraId="19F8C85B" w14:textId="77777777" w:rsidR="00751E75" w:rsidRPr="003715B3" w:rsidRDefault="00751E75" w:rsidP="00064B0F">
            <w:pPr>
              <w:jc w:val="center"/>
              <w:rPr>
                <w:rFonts w:ascii="Palatino Linotype" w:hAnsi="Palatino Linotype"/>
                <w:b/>
                <w:sz w:val="22"/>
                <w:szCs w:val="22"/>
              </w:rPr>
            </w:pPr>
            <w:r w:rsidRPr="003715B3">
              <w:rPr>
                <w:rFonts w:ascii="Palatino Linotype" w:hAnsi="Palatino Linotype"/>
                <w:b/>
                <w:sz w:val="22"/>
                <w:szCs w:val="22"/>
              </w:rPr>
              <w:t>Energy Sector Private Companies &amp; Agencies</w:t>
            </w:r>
          </w:p>
          <w:p w14:paraId="782B0593" w14:textId="77777777" w:rsidR="00751E75" w:rsidRPr="003715B3" w:rsidRDefault="00751E75" w:rsidP="00064B0F">
            <w:pPr>
              <w:jc w:val="center"/>
              <w:rPr>
                <w:rFonts w:ascii="Palatino Linotype" w:hAnsi="Palatino Linotype"/>
                <w:b/>
                <w:sz w:val="22"/>
                <w:szCs w:val="22"/>
              </w:rPr>
            </w:pPr>
            <w:r w:rsidRPr="003715B3">
              <w:rPr>
                <w:rFonts w:ascii="Palatino Linotype" w:hAnsi="Palatino Linotype"/>
                <w:b/>
                <w:sz w:val="22"/>
                <w:szCs w:val="22"/>
              </w:rPr>
              <w:t xml:space="preserve">Energy Sector </w:t>
            </w:r>
          </w:p>
          <w:p w14:paraId="2581D349" w14:textId="77777777" w:rsidR="00751E75" w:rsidRPr="003715B3" w:rsidRDefault="00751E75" w:rsidP="00064B0F">
            <w:pPr>
              <w:jc w:val="center"/>
              <w:rPr>
                <w:rFonts w:ascii="Palatino Linotype" w:hAnsi="Palatino Linotype"/>
                <w:b/>
                <w:sz w:val="22"/>
                <w:szCs w:val="22"/>
              </w:rPr>
            </w:pPr>
          </w:p>
        </w:tc>
        <w:tc>
          <w:tcPr>
            <w:tcW w:w="6940" w:type="dxa"/>
            <w:gridSpan w:val="2"/>
          </w:tcPr>
          <w:p w14:paraId="00936D2B" w14:textId="77777777" w:rsidR="00751E75" w:rsidRPr="00994689" w:rsidRDefault="00751E75" w:rsidP="00994689">
            <w:pPr>
              <w:tabs>
                <w:tab w:val="left" w:pos="360"/>
              </w:tabs>
              <w:spacing w:before="120"/>
              <w:rPr>
                <w:rFonts w:ascii="Palatino Linotype" w:hAnsi="Palatino Linotype"/>
                <w:sz w:val="22"/>
                <w:szCs w:val="22"/>
              </w:rPr>
            </w:pPr>
            <w:r w:rsidRPr="00994689">
              <w:rPr>
                <w:rFonts w:ascii="Palatino Linotype" w:hAnsi="Palatino Linotype"/>
                <w:sz w:val="22"/>
                <w:szCs w:val="22"/>
              </w:rPr>
              <w:t xml:space="preserve">Because of the highly technical nature of maintaining the stability of any of Montana’s energy systems, utilities will be responsible for most of the actions necessary to deal with emergency situations. These companies will maintain and regularly test emergency plans.  When requested, they will inform the ESF-12 team of the state of their systems and of issues that could result in potential problems.  They will also work in close coordination with DES, DEQ, the Governor’s office and supporting agencies in the case of a potential or actual energy emergency.  This may include daily reports and/or sending a representative to staff the emergency operation center full </w:t>
            </w:r>
            <w:r w:rsidRPr="00994689">
              <w:rPr>
                <w:rFonts w:ascii="Palatino Linotype" w:hAnsi="Palatino Linotype"/>
                <w:sz w:val="22"/>
                <w:szCs w:val="22"/>
              </w:rPr>
              <w:lastRenderedPageBreak/>
              <w:t>time.  The contact list maintained by DEQ will be used to liaise with the relevant entities during an emergency. The list includes:</w:t>
            </w:r>
          </w:p>
          <w:p w14:paraId="32CFAF56" w14:textId="77777777" w:rsidR="00751E75" w:rsidRPr="00994689" w:rsidRDefault="00751E75" w:rsidP="00994689">
            <w:pPr>
              <w:pStyle w:val="ListParagraph"/>
              <w:numPr>
                <w:ilvl w:val="0"/>
                <w:numId w:val="15"/>
              </w:numPr>
              <w:tabs>
                <w:tab w:val="left" w:pos="360"/>
              </w:tabs>
              <w:spacing w:before="120"/>
              <w:rPr>
                <w:rFonts w:ascii="Palatino Linotype" w:hAnsi="Palatino Linotype"/>
                <w:sz w:val="22"/>
                <w:szCs w:val="22"/>
              </w:rPr>
            </w:pPr>
            <w:r w:rsidRPr="00994689">
              <w:rPr>
                <w:rFonts w:ascii="Palatino Linotype" w:hAnsi="Palatino Linotype"/>
                <w:sz w:val="22"/>
                <w:szCs w:val="22"/>
              </w:rPr>
              <w:t>regulated electricity and natural gas distribution utilities</w:t>
            </w:r>
          </w:p>
          <w:p w14:paraId="6486503B" w14:textId="77777777" w:rsidR="00751E75" w:rsidRPr="00994689" w:rsidRDefault="00751E75" w:rsidP="00994689">
            <w:pPr>
              <w:numPr>
                <w:ilvl w:val="0"/>
                <w:numId w:val="7"/>
              </w:numPr>
              <w:tabs>
                <w:tab w:val="left" w:pos="360"/>
              </w:tabs>
              <w:contextualSpacing/>
              <w:rPr>
                <w:rFonts w:ascii="Palatino Linotype" w:hAnsi="Palatino Linotype"/>
                <w:sz w:val="22"/>
                <w:szCs w:val="22"/>
              </w:rPr>
            </w:pPr>
            <w:r w:rsidRPr="00994689">
              <w:rPr>
                <w:rFonts w:ascii="Palatino Linotype" w:hAnsi="Palatino Linotype"/>
                <w:sz w:val="22"/>
                <w:szCs w:val="22"/>
              </w:rPr>
              <w:t>rural electric cooperatives</w:t>
            </w:r>
          </w:p>
          <w:p w14:paraId="0FC0D28C" w14:textId="77777777" w:rsidR="00751E75" w:rsidRPr="00994689" w:rsidRDefault="00751E75" w:rsidP="00994689">
            <w:pPr>
              <w:numPr>
                <w:ilvl w:val="0"/>
                <w:numId w:val="7"/>
              </w:numPr>
              <w:tabs>
                <w:tab w:val="left" w:pos="360"/>
              </w:tabs>
              <w:contextualSpacing/>
              <w:rPr>
                <w:rFonts w:ascii="Palatino Linotype" w:hAnsi="Palatino Linotype"/>
                <w:sz w:val="22"/>
                <w:szCs w:val="22"/>
              </w:rPr>
            </w:pPr>
            <w:r w:rsidRPr="00994689">
              <w:rPr>
                <w:rFonts w:ascii="Palatino Linotype" w:hAnsi="Palatino Linotype"/>
                <w:sz w:val="22"/>
                <w:szCs w:val="22"/>
              </w:rPr>
              <w:t>electricity generation companies</w:t>
            </w:r>
          </w:p>
          <w:p w14:paraId="7359FE40" w14:textId="77777777" w:rsidR="00751E75" w:rsidRPr="00994689" w:rsidRDefault="00751E75" w:rsidP="00994689">
            <w:pPr>
              <w:numPr>
                <w:ilvl w:val="0"/>
                <w:numId w:val="7"/>
              </w:numPr>
              <w:tabs>
                <w:tab w:val="left" w:pos="360"/>
              </w:tabs>
              <w:contextualSpacing/>
              <w:rPr>
                <w:rFonts w:ascii="Palatino Linotype" w:hAnsi="Palatino Linotype"/>
                <w:sz w:val="22"/>
                <w:szCs w:val="22"/>
              </w:rPr>
            </w:pPr>
            <w:r w:rsidRPr="00994689">
              <w:rPr>
                <w:rFonts w:ascii="Palatino Linotype" w:hAnsi="Palatino Linotype"/>
                <w:sz w:val="22"/>
                <w:szCs w:val="22"/>
              </w:rPr>
              <w:t>transmission and pipeline operators</w:t>
            </w:r>
          </w:p>
          <w:p w14:paraId="5E7BE2B2" w14:textId="77777777" w:rsidR="00751E75" w:rsidRPr="00994689" w:rsidRDefault="00751E75" w:rsidP="00994689">
            <w:pPr>
              <w:numPr>
                <w:ilvl w:val="0"/>
                <w:numId w:val="7"/>
              </w:numPr>
              <w:tabs>
                <w:tab w:val="left" w:pos="360"/>
              </w:tabs>
              <w:contextualSpacing/>
              <w:rPr>
                <w:rFonts w:ascii="Palatino Linotype" w:hAnsi="Palatino Linotype"/>
                <w:sz w:val="22"/>
                <w:szCs w:val="22"/>
              </w:rPr>
            </w:pPr>
            <w:r w:rsidRPr="00994689">
              <w:rPr>
                <w:rFonts w:ascii="Palatino Linotype" w:hAnsi="Palatino Linotype"/>
                <w:sz w:val="22"/>
                <w:szCs w:val="22"/>
              </w:rPr>
              <w:t xml:space="preserve">refineries </w:t>
            </w:r>
          </w:p>
          <w:p w14:paraId="51B4B3D5" w14:textId="77777777" w:rsidR="00751E75" w:rsidRPr="00994689" w:rsidRDefault="00751E75" w:rsidP="00994689">
            <w:pPr>
              <w:numPr>
                <w:ilvl w:val="0"/>
                <w:numId w:val="7"/>
              </w:numPr>
              <w:tabs>
                <w:tab w:val="left" w:pos="360"/>
              </w:tabs>
              <w:contextualSpacing/>
              <w:rPr>
                <w:rFonts w:ascii="Palatino Linotype" w:hAnsi="Palatino Linotype"/>
                <w:sz w:val="22"/>
                <w:szCs w:val="22"/>
              </w:rPr>
            </w:pPr>
            <w:r w:rsidRPr="00994689">
              <w:rPr>
                <w:rFonts w:ascii="Palatino Linotype" w:hAnsi="Palatino Linotype"/>
                <w:sz w:val="22"/>
                <w:szCs w:val="22"/>
              </w:rPr>
              <w:t>petroleum product marketers</w:t>
            </w:r>
            <w:r w:rsidR="008C5308" w:rsidRPr="00994689">
              <w:rPr>
                <w:rFonts w:ascii="Palatino Linotype" w:hAnsi="Palatino Linotype"/>
                <w:sz w:val="22"/>
                <w:szCs w:val="22"/>
              </w:rPr>
              <w:t>, distributors and retailers</w:t>
            </w:r>
          </w:p>
          <w:p w14:paraId="1DE3828C" w14:textId="77777777" w:rsidR="00751E75" w:rsidRPr="00994689" w:rsidRDefault="00751E75" w:rsidP="00994689">
            <w:pPr>
              <w:numPr>
                <w:ilvl w:val="0"/>
                <w:numId w:val="7"/>
              </w:numPr>
              <w:tabs>
                <w:tab w:val="left" w:pos="360"/>
              </w:tabs>
              <w:contextualSpacing/>
              <w:rPr>
                <w:szCs w:val="24"/>
              </w:rPr>
            </w:pPr>
            <w:r w:rsidRPr="00994689">
              <w:rPr>
                <w:rFonts w:ascii="Palatino Linotype" w:hAnsi="Palatino Linotype"/>
                <w:sz w:val="22"/>
                <w:szCs w:val="22"/>
              </w:rPr>
              <w:t>federal energy agencies (including Canadian and Alberta energy agencies)</w:t>
            </w:r>
          </w:p>
          <w:p w14:paraId="1C63E52C" w14:textId="02C58B91" w:rsidR="00994689" w:rsidRPr="001E4823" w:rsidRDefault="00994689" w:rsidP="00994689">
            <w:pPr>
              <w:numPr>
                <w:ilvl w:val="0"/>
                <w:numId w:val="7"/>
              </w:numPr>
              <w:tabs>
                <w:tab w:val="left" w:pos="360"/>
              </w:tabs>
              <w:contextualSpacing/>
              <w:rPr>
                <w:szCs w:val="24"/>
              </w:rPr>
            </w:pPr>
            <w:r w:rsidRPr="004A0F5E">
              <w:rPr>
                <w:rFonts w:ascii="Palatino Linotype" w:hAnsi="Palatino Linotype"/>
                <w:sz w:val="22"/>
                <w:szCs w:val="22"/>
              </w:rPr>
              <w:t>State</w:t>
            </w:r>
            <w:r w:rsidR="004A0F5E" w:rsidRPr="004A0F5E">
              <w:rPr>
                <w:rFonts w:ascii="Palatino Linotype" w:hAnsi="Palatino Linotype"/>
                <w:sz w:val="22"/>
                <w:szCs w:val="22"/>
              </w:rPr>
              <w:t xml:space="preserve"> and NGO</w:t>
            </w:r>
            <w:r w:rsidRPr="004A0F5E">
              <w:rPr>
                <w:rFonts w:ascii="Palatino Linotype" w:hAnsi="Palatino Linotype"/>
                <w:sz w:val="22"/>
                <w:szCs w:val="22"/>
              </w:rPr>
              <w:t xml:space="preserve"> partners</w:t>
            </w:r>
          </w:p>
        </w:tc>
      </w:tr>
      <w:tr w:rsidR="00751E75" w:rsidRPr="007766E9" w14:paraId="28D84901" w14:textId="77777777" w:rsidTr="00152E9D">
        <w:tc>
          <w:tcPr>
            <w:tcW w:w="2416" w:type="dxa"/>
            <w:gridSpan w:val="2"/>
            <w:shd w:val="clear" w:color="auto" w:fill="D6E3BC" w:themeFill="accent3" w:themeFillTint="66"/>
            <w:vAlign w:val="center"/>
          </w:tcPr>
          <w:p w14:paraId="3554FA6F" w14:textId="77777777" w:rsidR="00751E75" w:rsidRPr="003715B3" w:rsidRDefault="00751E75" w:rsidP="00064B0F">
            <w:pPr>
              <w:jc w:val="center"/>
              <w:rPr>
                <w:rFonts w:ascii="Palatino Linotype" w:hAnsi="Palatino Linotype"/>
                <w:b/>
                <w:sz w:val="22"/>
                <w:szCs w:val="22"/>
              </w:rPr>
            </w:pPr>
            <w:r>
              <w:rPr>
                <w:rFonts w:ascii="Palatino Linotype" w:hAnsi="Palatino Linotype"/>
                <w:b/>
                <w:sz w:val="22"/>
                <w:szCs w:val="22"/>
              </w:rPr>
              <w:lastRenderedPageBreak/>
              <w:t>Montana Disaster &amp; Emergency Services</w:t>
            </w:r>
          </w:p>
        </w:tc>
        <w:tc>
          <w:tcPr>
            <w:tcW w:w="6934" w:type="dxa"/>
          </w:tcPr>
          <w:p w14:paraId="18184C38" w14:textId="77777777" w:rsidR="00751E75" w:rsidRPr="00751E75" w:rsidRDefault="00751E75" w:rsidP="00064B0F">
            <w:pPr>
              <w:tabs>
                <w:tab w:val="left" w:pos="360"/>
              </w:tabs>
              <w:rPr>
                <w:rFonts w:ascii="Palatino Linotype" w:hAnsi="Palatino Linotype"/>
                <w:sz w:val="20"/>
              </w:rPr>
            </w:pPr>
            <w:r w:rsidRPr="00751E75">
              <w:rPr>
                <w:rFonts w:ascii="Palatino Linotype" w:hAnsi="Palatino Linotype"/>
                <w:sz w:val="20"/>
              </w:rPr>
              <w:t>The Department of Military Affairs (DMA) houses the Disaster and Emergency Services Division (DES) and is responsible for emergency preparedness efforts throughout the state.  DES is the “coordinating” state agency under the Montana Emergency Response Framework (MERF). DES is responsible for emergency preparedness efforts throughout the state and manages the state’s fifteen Emergency Support Functions (ESFs). DES coordinates state resources and support to local, state, and other entities requiring assistance. For most emergencies, more than one ESF will be activated, and the appropriate agencies will work together.  DES will direct relief to communities disrupted by an emergency in the energy system (such as an entire town losing natural gas during frigid winter weather).</w:t>
            </w:r>
          </w:p>
          <w:p w14:paraId="7730B64A" w14:textId="77777777" w:rsidR="00751E75" w:rsidRPr="00751E75" w:rsidRDefault="00751E75" w:rsidP="00994689">
            <w:pPr>
              <w:pStyle w:val="ListParagraph"/>
              <w:numPr>
                <w:ilvl w:val="0"/>
                <w:numId w:val="6"/>
              </w:numPr>
              <w:rPr>
                <w:rFonts w:ascii="Palatino Linotype" w:hAnsi="Palatino Linotype" w:cs="Arial"/>
                <w:sz w:val="20"/>
              </w:rPr>
            </w:pPr>
            <w:r w:rsidRPr="00751E75">
              <w:rPr>
                <w:rFonts w:ascii="Palatino Linotype" w:hAnsi="Palatino Linotype" w:cs="Arial"/>
                <w:sz w:val="20"/>
              </w:rPr>
              <w:t>Activate and manage the State Emergency Coordination Center (SECC).</w:t>
            </w:r>
          </w:p>
          <w:p w14:paraId="22CE2CB2" w14:textId="77777777" w:rsidR="00751E75" w:rsidRPr="00751E75" w:rsidRDefault="00751E75" w:rsidP="00994689">
            <w:pPr>
              <w:pStyle w:val="ListParagraph"/>
              <w:numPr>
                <w:ilvl w:val="0"/>
                <w:numId w:val="6"/>
              </w:numPr>
              <w:rPr>
                <w:rFonts w:ascii="Palatino Linotype" w:hAnsi="Palatino Linotype" w:cs="Arial"/>
                <w:sz w:val="20"/>
              </w:rPr>
            </w:pPr>
            <w:r w:rsidRPr="00751E75">
              <w:rPr>
                <w:rFonts w:ascii="Palatino Linotype" w:hAnsi="Palatino Linotype" w:cs="Arial"/>
                <w:sz w:val="20"/>
              </w:rPr>
              <w:t>Coordinate State resources in response and recovery operations.</w:t>
            </w:r>
          </w:p>
          <w:p w14:paraId="5A956D39" w14:textId="77777777" w:rsidR="00751E75" w:rsidRPr="00751E75" w:rsidRDefault="00751E75" w:rsidP="00994689">
            <w:pPr>
              <w:pStyle w:val="ListParagraph"/>
              <w:numPr>
                <w:ilvl w:val="0"/>
                <w:numId w:val="6"/>
              </w:numPr>
              <w:rPr>
                <w:rFonts w:ascii="Palatino Linotype" w:hAnsi="Palatino Linotype" w:cs="Arial"/>
                <w:sz w:val="20"/>
              </w:rPr>
            </w:pPr>
            <w:r w:rsidRPr="00751E75">
              <w:rPr>
                <w:rFonts w:ascii="Palatino Linotype" w:hAnsi="Palatino Linotype" w:cs="Arial"/>
                <w:sz w:val="20"/>
              </w:rPr>
              <w:t xml:space="preserve">Advise DEQ on response plan recommendations on energy components of broader emergencies, with particular focus on local government emergency management and critical infrastructure issues. </w:t>
            </w:r>
          </w:p>
          <w:p w14:paraId="318C0544" w14:textId="77777777" w:rsidR="00751E75" w:rsidRPr="00751E75" w:rsidRDefault="00751E75" w:rsidP="00994689">
            <w:pPr>
              <w:pStyle w:val="ListParagraph"/>
              <w:numPr>
                <w:ilvl w:val="0"/>
                <w:numId w:val="6"/>
              </w:numPr>
              <w:rPr>
                <w:rFonts w:ascii="Palatino Linotype" w:hAnsi="Palatino Linotype" w:cs="Arial"/>
                <w:sz w:val="20"/>
              </w:rPr>
            </w:pPr>
            <w:r w:rsidRPr="00751E75">
              <w:rPr>
                <w:rFonts w:ascii="Palatino Linotype" w:hAnsi="Palatino Linotype" w:cs="Arial"/>
                <w:sz w:val="20"/>
              </w:rPr>
              <w:t xml:space="preserve">Decide if and when ESF-12 should be activated. </w:t>
            </w:r>
          </w:p>
          <w:p w14:paraId="63B2C835" w14:textId="77777777" w:rsidR="00751E75" w:rsidRPr="00751E75" w:rsidRDefault="00751E75" w:rsidP="00994689">
            <w:pPr>
              <w:pStyle w:val="ListParagraph"/>
              <w:numPr>
                <w:ilvl w:val="0"/>
                <w:numId w:val="6"/>
              </w:numPr>
              <w:rPr>
                <w:rFonts w:ascii="Palatino Linotype" w:hAnsi="Palatino Linotype" w:cs="Arial"/>
                <w:sz w:val="20"/>
              </w:rPr>
            </w:pPr>
            <w:r w:rsidRPr="00751E75">
              <w:rPr>
                <w:rFonts w:ascii="Palatino Linotype" w:hAnsi="Palatino Linotype" w:cs="Arial"/>
                <w:sz w:val="20"/>
              </w:rPr>
              <w:t xml:space="preserve">Assist DEQ and the affected energy sector(s) to determine needs for resources during an emergency. </w:t>
            </w:r>
          </w:p>
          <w:p w14:paraId="5CB79688" w14:textId="77777777" w:rsidR="00751E75" w:rsidRPr="00751E75" w:rsidRDefault="00751E75" w:rsidP="00994689">
            <w:pPr>
              <w:pStyle w:val="ListParagraph"/>
              <w:numPr>
                <w:ilvl w:val="0"/>
                <w:numId w:val="6"/>
              </w:numPr>
              <w:rPr>
                <w:rFonts w:ascii="Palatino Linotype" w:hAnsi="Palatino Linotype" w:cs="Arial"/>
                <w:sz w:val="20"/>
              </w:rPr>
            </w:pPr>
            <w:r w:rsidRPr="00751E75">
              <w:rPr>
                <w:rFonts w:ascii="Palatino Linotype" w:hAnsi="Palatino Linotype" w:cs="Arial"/>
                <w:sz w:val="20"/>
              </w:rPr>
              <w:t>Prepare requests for the Governor’s signature for federal financial and physical assistance under the Stafford Act.</w:t>
            </w:r>
          </w:p>
          <w:p w14:paraId="0A16D439" w14:textId="77777777" w:rsidR="00751E75" w:rsidRPr="00751E75" w:rsidRDefault="00751E75" w:rsidP="00994689">
            <w:pPr>
              <w:pStyle w:val="ListParagraph"/>
              <w:numPr>
                <w:ilvl w:val="0"/>
                <w:numId w:val="6"/>
              </w:numPr>
              <w:rPr>
                <w:rFonts w:ascii="Palatino Linotype" w:hAnsi="Palatino Linotype" w:cs="Arial"/>
                <w:b/>
                <w:sz w:val="20"/>
              </w:rPr>
            </w:pPr>
            <w:r w:rsidRPr="00751E75">
              <w:rPr>
                <w:rFonts w:ascii="Palatino Linotype" w:hAnsi="Palatino Linotype" w:cs="Arial"/>
                <w:sz w:val="20"/>
              </w:rPr>
              <w:t>Provide information to county/local governments on the status of the energy crisis and measures required to cope with the situation. Serves as point of contact for the multi-state Emergency Management Assistance Compact (see below)</w:t>
            </w:r>
          </w:p>
        </w:tc>
      </w:tr>
      <w:tr w:rsidR="001E4823" w:rsidRPr="007766E9" w14:paraId="2CF32AE1" w14:textId="77777777" w:rsidTr="00152E9D">
        <w:tc>
          <w:tcPr>
            <w:tcW w:w="2416" w:type="dxa"/>
            <w:gridSpan w:val="2"/>
            <w:shd w:val="clear" w:color="auto" w:fill="D6E3BC" w:themeFill="accent3" w:themeFillTint="66"/>
            <w:vAlign w:val="center"/>
          </w:tcPr>
          <w:p w14:paraId="0C756AFB" w14:textId="77777777" w:rsidR="001E4823" w:rsidRPr="003715B3" w:rsidRDefault="001E4823" w:rsidP="00A95B15">
            <w:pPr>
              <w:jc w:val="center"/>
              <w:rPr>
                <w:rFonts w:ascii="Palatino Linotype" w:hAnsi="Palatino Linotype"/>
                <w:b/>
                <w:sz w:val="22"/>
                <w:szCs w:val="22"/>
              </w:rPr>
            </w:pPr>
            <w:r w:rsidRPr="003715B3">
              <w:rPr>
                <w:rFonts w:ascii="Palatino Linotype" w:hAnsi="Palatino Linotype"/>
                <w:b/>
                <w:sz w:val="22"/>
                <w:szCs w:val="22"/>
              </w:rPr>
              <w:t>Governor’s Office</w:t>
            </w:r>
          </w:p>
        </w:tc>
        <w:tc>
          <w:tcPr>
            <w:tcW w:w="6934" w:type="dxa"/>
          </w:tcPr>
          <w:p w14:paraId="0F95DAD4" w14:textId="77777777" w:rsidR="00AD0F79" w:rsidRPr="00AD0F79" w:rsidRDefault="00AD0F79" w:rsidP="00AD0F79">
            <w:pPr>
              <w:tabs>
                <w:tab w:val="left" w:pos="360"/>
              </w:tabs>
              <w:rPr>
                <w:rFonts w:ascii="Palatino Linotype" w:hAnsi="Palatino Linotype"/>
                <w:sz w:val="20"/>
              </w:rPr>
            </w:pPr>
            <w:r>
              <w:rPr>
                <w:rFonts w:ascii="Palatino Linotype" w:hAnsi="Palatino Linotype"/>
                <w:sz w:val="20"/>
              </w:rPr>
              <w:t>The Montana Energy Office which houses ESF-12 works for the Governor.  Thus, the work we do for ESF-12 and the Montana Energy Assurance Plan are ultimately the Governor’s</w:t>
            </w:r>
            <w:r w:rsidR="003D0E13">
              <w:rPr>
                <w:rFonts w:ascii="Palatino Linotype" w:hAnsi="Palatino Linotype"/>
                <w:sz w:val="20"/>
              </w:rPr>
              <w:t xml:space="preserve">.  As such, the Governor’s office </w:t>
            </w:r>
            <w:r w:rsidR="008C5308">
              <w:rPr>
                <w:rFonts w:ascii="Palatino Linotype" w:hAnsi="Palatino Linotype"/>
                <w:sz w:val="20"/>
              </w:rPr>
              <w:t>may</w:t>
            </w:r>
            <w:r w:rsidR="003D0E13">
              <w:rPr>
                <w:rFonts w:ascii="Palatino Linotype" w:hAnsi="Palatino Linotype"/>
                <w:sz w:val="20"/>
              </w:rPr>
              <w:t>:</w:t>
            </w:r>
            <w:r>
              <w:rPr>
                <w:rFonts w:ascii="Palatino Linotype" w:hAnsi="Palatino Linotype"/>
                <w:sz w:val="20"/>
              </w:rPr>
              <w:t xml:space="preserve"> </w:t>
            </w:r>
          </w:p>
          <w:p w14:paraId="02F8C0F9" w14:textId="77777777" w:rsidR="00B4096E" w:rsidRPr="00751E75" w:rsidRDefault="00B23A04" w:rsidP="00994689">
            <w:pPr>
              <w:pStyle w:val="ListParagraph"/>
              <w:numPr>
                <w:ilvl w:val="0"/>
                <w:numId w:val="9"/>
              </w:numPr>
              <w:tabs>
                <w:tab w:val="left" w:pos="360"/>
              </w:tabs>
              <w:rPr>
                <w:rFonts w:ascii="Palatino Linotype" w:hAnsi="Palatino Linotype"/>
                <w:sz w:val="20"/>
              </w:rPr>
            </w:pPr>
            <w:r>
              <w:rPr>
                <w:rFonts w:ascii="Palatino Linotype" w:hAnsi="Palatino Linotype"/>
                <w:sz w:val="20"/>
              </w:rPr>
              <w:t>R</w:t>
            </w:r>
            <w:r w:rsidR="001E4823" w:rsidRPr="00751E75">
              <w:rPr>
                <w:rFonts w:ascii="Palatino Linotype" w:hAnsi="Palatino Linotype"/>
                <w:sz w:val="20"/>
              </w:rPr>
              <w:t>eview response plan recommendations by DES, DEQ and ESF-12 support agencies</w:t>
            </w:r>
          </w:p>
          <w:p w14:paraId="1C0FCEA6" w14:textId="77777777" w:rsidR="00B4096E" w:rsidRPr="00751E75" w:rsidRDefault="00B23A04" w:rsidP="00994689">
            <w:pPr>
              <w:pStyle w:val="ListParagraph"/>
              <w:numPr>
                <w:ilvl w:val="0"/>
                <w:numId w:val="9"/>
              </w:numPr>
              <w:tabs>
                <w:tab w:val="left" w:pos="360"/>
              </w:tabs>
              <w:rPr>
                <w:rFonts w:ascii="Palatino Linotype" w:hAnsi="Palatino Linotype"/>
                <w:sz w:val="20"/>
              </w:rPr>
            </w:pPr>
            <w:r>
              <w:rPr>
                <w:rFonts w:ascii="Palatino Linotype" w:hAnsi="Palatino Linotype"/>
                <w:sz w:val="20"/>
              </w:rPr>
              <w:t>L</w:t>
            </w:r>
            <w:r w:rsidR="001E4823" w:rsidRPr="00751E75">
              <w:rPr>
                <w:rFonts w:ascii="Palatino Linotype" w:hAnsi="Palatino Linotype"/>
                <w:sz w:val="20"/>
              </w:rPr>
              <w:t xml:space="preserve">ead </w:t>
            </w:r>
            <w:r>
              <w:rPr>
                <w:rFonts w:ascii="Palatino Linotype" w:hAnsi="Palatino Linotype"/>
                <w:sz w:val="20"/>
              </w:rPr>
              <w:t xml:space="preserve">or assist with </w:t>
            </w:r>
            <w:r w:rsidR="001E4823" w:rsidRPr="00751E75">
              <w:rPr>
                <w:rFonts w:ascii="Palatino Linotype" w:hAnsi="Palatino Linotype"/>
                <w:sz w:val="20"/>
              </w:rPr>
              <w:t>public information efforts</w:t>
            </w:r>
          </w:p>
          <w:p w14:paraId="25778702" w14:textId="77777777" w:rsidR="00B4096E" w:rsidRPr="00751E75" w:rsidRDefault="00B4096E" w:rsidP="00994689">
            <w:pPr>
              <w:pStyle w:val="ListParagraph"/>
              <w:numPr>
                <w:ilvl w:val="0"/>
                <w:numId w:val="8"/>
              </w:numPr>
              <w:tabs>
                <w:tab w:val="left" w:pos="360"/>
              </w:tabs>
              <w:rPr>
                <w:rFonts w:ascii="Palatino Linotype" w:hAnsi="Palatino Linotype" w:cs="Arial"/>
                <w:sz w:val="20"/>
              </w:rPr>
            </w:pPr>
            <w:r w:rsidRPr="00751E75">
              <w:rPr>
                <w:rFonts w:ascii="Palatino Linotype" w:hAnsi="Palatino Linotype"/>
                <w:sz w:val="20"/>
              </w:rPr>
              <w:t>D</w:t>
            </w:r>
            <w:r w:rsidR="001E4823" w:rsidRPr="00751E75">
              <w:rPr>
                <w:rFonts w:ascii="Palatino Linotype" w:hAnsi="Palatino Linotype"/>
                <w:sz w:val="20"/>
              </w:rPr>
              <w:t xml:space="preserve">esignate an Energy Supply Alert or an Energy Emergency by executive declaration </w:t>
            </w:r>
          </w:p>
          <w:p w14:paraId="758313E4" w14:textId="77777777" w:rsidR="00B4096E" w:rsidRPr="00751E75" w:rsidRDefault="00B4096E" w:rsidP="00994689">
            <w:pPr>
              <w:pStyle w:val="ListParagraph"/>
              <w:numPr>
                <w:ilvl w:val="0"/>
                <w:numId w:val="8"/>
              </w:numPr>
              <w:tabs>
                <w:tab w:val="left" w:pos="360"/>
              </w:tabs>
              <w:rPr>
                <w:rFonts w:ascii="Palatino Linotype" w:hAnsi="Palatino Linotype" w:cs="Arial"/>
                <w:sz w:val="20"/>
              </w:rPr>
            </w:pPr>
            <w:r w:rsidRPr="00751E75">
              <w:rPr>
                <w:rFonts w:ascii="Palatino Linotype" w:hAnsi="Palatino Linotype" w:cs="Arial"/>
                <w:sz w:val="20"/>
              </w:rPr>
              <w:lastRenderedPageBreak/>
              <w:t>Invoke and implement emergency powers as authorized by the Legislature.</w:t>
            </w:r>
          </w:p>
          <w:p w14:paraId="409F0C90" w14:textId="77777777" w:rsidR="00B4096E" w:rsidRPr="00751E75" w:rsidRDefault="00B4096E" w:rsidP="00994689">
            <w:pPr>
              <w:pStyle w:val="ListParagraph"/>
              <w:numPr>
                <w:ilvl w:val="0"/>
                <w:numId w:val="8"/>
              </w:numPr>
              <w:rPr>
                <w:rFonts w:ascii="Palatino Linotype" w:hAnsi="Palatino Linotype" w:cs="Arial"/>
                <w:sz w:val="20"/>
              </w:rPr>
            </w:pPr>
            <w:r w:rsidRPr="00751E75">
              <w:rPr>
                <w:rFonts w:ascii="Palatino Linotype" w:hAnsi="Palatino Linotype" w:cs="Arial"/>
                <w:sz w:val="20"/>
              </w:rPr>
              <w:t>Direct DEQ, the ESF-12 Primary Agency, to implement the Montana Energy Assurance Plan and to assist in carrying out the Governor’s energy emergency powers.</w:t>
            </w:r>
          </w:p>
          <w:p w14:paraId="30B1B82C" w14:textId="77777777" w:rsidR="00B4096E" w:rsidRPr="00751E75" w:rsidRDefault="00B4096E" w:rsidP="00994689">
            <w:pPr>
              <w:pStyle w:val="ListParagraph"/>
              <w:numPr>
                <w:ilvl w:val="0"/>
                <w:numId w:val="8"/>
              </w:numPr>
              <w:rPr>
                <w:rFonts w:ascii="Palatino Linotype" w:hAnsi="Palatino Linotype" w:cs="Arial"/>
                <w:sz w:val="20"/>
              </w:rPr>
            </w:pPr>
            <w:r w:rsidRPr="00751E75">
              <w:rPr>
                <w:rFonts w:ascii="Palatino Linotype" w:hAnsi="Palatino Linotype" w:cs="Arial"/>
                <w:sz w:val="20"/>
              </w:rPr>
              <w:t>Direct relevant agencies to support the response to an energy emergency.</w:t>
            </w:r>
          </w:p>
        </w:tc>
      </w:tr>
      <w:tr w:rsidR="001E4823" w:rsidRPr="007766E9" w14:paraId="2BA451AA" w14:textId="77777777" w:rsidTr="00152E9D">
        <w:tc>
          <w:tcPr>
            <w:tcW w:w="2416" w:type="dxa"/>
            <w:gridSpan w:val="2"/>
            <w:shd w:val="clear" w:color="auto" w:fill="D6E3BC" w:themeFill="accent3" w:themeFillTint="66"/>
            <w:vAlign w:val="center"/>
          </w:tcPr>
          <w:p w14:paraId="07C0CABD" w14:textId="77777777" w:rsidR="001E4823" w:rsidRPr="003715B3" w:rsidRDefault="001E4823" w:rsidP="00A95B15">
            <w:pPr>
              <w:jc w:val="center"/>
              <w:rPr>
                <w:rFonts w:ascii="Palatino Linotype" w:hAnsi="Palatino Linotype"/>
                <w:b/>
                <w:sz w:val="22"/>
                <w:szCs w:val="22"/>
              </w:rPr>
            </w:pPr>
            <w:r w:rsidRPr="003715B3">
              <w:rPr>
                <w:rFonts w:ascii="Palatino Linotype" w:hAnsi="Palatino Linotype"/>
                <w:b/>
                <w:sz w:val="22"/>
                <w:szCs w:val="22"/>
              </w:rPr>
              <w:lastRenderedPageBreak/>
              <w:t>Department of Administration</w:t>
            </w:r>
          </w:p>
        </w:tc>
        <w:tc>
          <w:tcPr>
            <w:tcW w:w="6934" w:type="dxa"/>
          </w:tcPr>
          <w:p w14:paraId="0A2E75B4" w14:textId="77777777" w:rsidR="00B4096E" w:rsidRPr="00751E75" w:rsidRDefault="001E4823" w:rsidP="00994689">
            <w:pPr>
              <w:pStyle w:val="ListParagraph"/>
              <w:numPr>
                <w:ilvl w:val="0"/>
                <w:numId w:val="10"/>
              </w:numPr>
              <w:rPr>
                <w:rFonts w:ascii="Palatino Linotype" w:hAnsi="Palatino Linotype" w:cs="Arial"/>
                <w:sz w:val="20"/>
              </w:rPr>
            </w:pPr>
            <w:r w:rsidRPr="00751E75">
              <w:rPr>
                <w:rFonts w:ascii="Palatino Linotype" w:hAnsi="Palatino Linotype" w:cs="Arial"/>
                <w:sz w:val="20"/>
              </w:rPr>
              <w:t xml:space="preserve">The Department of Administration (DOA) manages many of the state buildings and sets general human resources policies for the state. </w:t>
            </w:r>
          </w:p>
          <w:p w14:paraId="336620FB" w14:textId="77777777" w:rsidR="00B4096E" w:rsidRPr="00751E75" w:rsidRDefault="00B4096E" w:rsidP="00994689">
            <w:pPr>
              <w:pStyle w:val="ListParagraph"/>
              <w:numPr>
                <w:ilvl w:val="0"/>
                <w:numId w:val="10"/>
              </w:numPr>
              <w:rPr>
                <w:rFonts w:ascii="Palatino Linotype" w:hAnsi="Palatino Linotype" w:cs="Arial"/>
                <w:sz w:val="20"/>
              </w:rPr>
            </w:pPr>
            <w:r w:rsidRPr="00751E75">
              <w:rPr>
                <w:rFonts w:ascii="Palatino Linotype" w:hAnsi="Palatino Linotype" w:cs="Arial"/>
                <w:sz w:val="20"/>
              </w:rPr>
              <w:t xml:space="preserve">Implement the Business Continuity Plans and L-10 systems as necessary to ensure that essential functions are maintained within agencies that are preoccupied addressing an energy emergency. </w:t>
            </w:r>
          </w:p>
          <w:p w14:paraId="700C0590" w14:textId="77777777" w:rsidR="00B4096E" w:rsidRPr="00751E75" w:rsidRDefault="00B4096E" w:rsidP="00994689">
            <w:pPr>
              <w:pStyle w:val="ListParagraph"/>
              <w:numPr>
                <w:ilvl w:val="0"/>
                <w:numId w:val="10"/>
              </w:numPr>
              <w:rPr>
                <w:rFonts w:ascii="Palatino Linotype" w:hAnsi="Palatino Linotype" w:cs="Arial"/>
                <w:sz w:val="20"/>
              </w:rPr>
            </w:pPr>
            <w:r w:rsidRPr="00751E75">
              <w:rPr>
                <w:rFonts w:ascii="Palatino Linotype" w:hAnsi="Palatino Linotype" w:cs="Arial"/>
                <w:sz w:val="20"/>
              </w:rPr>
              <w:t xml:space="preserve">Establish energy saving alternate work schedules for state employees, such as telecommuting and flexible time. </w:t>
            </w:r>
          </w:p>
          <w:p w14:paraId="183E50FD" w14:textId="77777777" w:rsidR="00B4096E" w:rsidRPr="00751E75" w:rsidRDefault="00B4096E" w:rsidP="00994689">
            <w:pPr>
              <w:pStyle w:val="ListParagraph"/>
              <w:numPr>
                <w:ilvl w:val="0"/>
                <w:numId w:val="10"/>
              </w:numPr>
              <w:rPr>
                <w:rFonts w:ascii="Palatino Linotype" w:hAnsi="Palatino Linotype" w:cs="Arial"/>
                <w:sz w:val="20"/>
              </w:rPr>
            </w:pPr>
            <w:r w:rsidRPr="00751E75">
              <w:rPr>
                <w:rFonts w:ascii="Palatino Linotype" w:hAnsi="Palatino Linotype" w:cs="Arial"/>
                <w:sz w:val="20"/>
              </w:rPr>
              <w:t>Change building operation standards and procedures to reduce energy use.</w:t>
            </w:r>
          </w:p>
          <w:p w14:paraId="29B5AE23" w14:textId="77777777" w:rsidR="00B4096E" w:rsidRPr="00751E75" w:rsidRDefault="00B4096E" w:rsidP="00994689">
            <w:pPr>
              <w:pStyle w:val="ListParagraph"/>
              <w:numPr>
                <w:ilvl w:val="0"/>
                <w:numId w:val="10"/>
              </w:numPr>
              <w:rPr>
                <w:rFonts w:ascii="Palatino Linotype" w:hAnsi="Palatino Linotype" w:cs="Arial"/>
                <w:sz w:val="20"/>
              </w:rPr>
            </w:pPr>
            <w:r w:rsidRPr="00751E75">
              <w:rPr>
                <w:rFonts w:ascii="Palatino Linotype" w:hAnsi="Palatino Linotype" w:cs="Arial"/>
                <w:sz w:val="20"/>
              </w:rPr>
              <w:t>Serve as lead agency in retrofitting state buildings to improve energy efficiency.</w:t>
            </w:r>
          </w:p>
          <w:p w14:paraId="39E63F58" w14:textId="77777777" w:rsidR="00B4096E" w:rsidRPr="00751E75" w:rsidRDefault="00B4096E" w:rsidP="00994689">
            <w:pPr>
              <w:pStyle w:val="ListParagraph"/>
              <w:numPr>
                <w:ilvl w:val="0"/>
                <w:numId w:val="10"/>
              </w:numPr>
              <w:rPr>
                <w:rFonts w:ascii="Palatino Linotype" w:hAnsi="Palatino Linotype" w:cs="Arial"/>
                <w:sz w:val="20"/>
              </w:rPr>
            </w:pPr>
            <w:r w:rsidRPr="00751E75">
              <w:rPr>
                <w:rFonts w:ascii="Palatino Linotype" w:hAnsi="Palatino Linotype" w:cs="Arial"/>
                <w:sz w:val="20"/>
              </w:rPr>
              <w:t>Implement policies to reduce liquid fuel use by state employees, such as alternate commuting methods for state employees (ride sharing, public transportation, and bicycling to work).</w:t>
            </w:r>
          </w:p>
          <w:p w14:paraId="5118E983" w14:textId="77777777" w:rsidR="00B4096E" w:rsidRPr="00751E75" w:rsidRDefault="00B4096E" w:rsidP="00994689">
            <w:pPr>
              <w:pStyle w:val="ListParagraph"/>
              <w:numPr>
                <w:ilvl w:val="0"/>
                <w:numId w:val="10"/>
              </w:numPr>
              <w:rPr>
                <w:rFonts w:ascii="Palatino Linotype" w:hAnsi="Palatino Linotype" w:cs="Arial"/>
                <w:sz w:val="20"/>
              </w:rPr>
            </w:pPr>
            <w:r w:rsidRPr="00751E75">
              <w:rPr>
                <w:rFonts w:ascii="Palatino Linotype" w:hAnsi="Palatino Linotype" w:cs="Arial"/>
                <w:sz w:val="20"/>
              </w:rPr>
              <w:t>Restore communication and data channels as necessary for Emergency Support Function-12 agencies to respond to an energy emergency.</w:t>
            </w:r>
            <w:r w:rsidR="008C5308">
              <w:rPr>
                <w:rFonts w:ascii="Palatino Linotype" w:hAnsi="Palatino Linotype" w:cs="Arial"/>
                <w:sz w:val="20"/>
              </w:rPr>
              <w:t xml:space="preserve">  This may include assistance with cyber-security.</w:t>
            </w:r>
          </w:p>
          <w:p w14:paraId="43C31890" w14:textId="77777777" w:rsidR="00B4096E" w:rsidRPr="00751E75" w:rsidRDefault="00B4096E" w:rsidP="00994689">
            <w:pPr>
              <w:pStyle w:val="ListParagraph"/>
              <w:numPr>
                <w:ilvl w:val="0"/>
                <w:numId w:val="10"/>
              </w:numPr>
              <w:rPr>
                <w:rFonts w:ascii="Palatino Linotype" w:hAnsi="Palatino Linotype"/>
                <w:sz w:val="20"/>
              </w:rPr>
            </w:pPr>
            <w:r w:rsidRPr="00751E75">
              <w:rPr>
                <w:rFonts w:ascii="Palatino Linotype" w:hAnsi="Palatino Linotype"/>
                <w:sz w:val="20"/>
              </w:rPr>
              <w:t>Provide assistance through the State Procurement Bureau with:</w:t>
            </w:r>
          </w:p>
          <w:p w14:paraId="2E921B37" w14:textId="77777777" w:rsidR="00B4096E" w:rsidRPr="00751E75" w:rsidRDefault="00B4096E" w:rsidP="00994689">
            <w:pPr>
              <w:pStyle w:val="ListParagraph"/>
              <w:numPr>
                <w:ilvl w:val="1"/>
                <w:numId w:val="10"/>
              </w:numPr>
              <w:rPr>
                <w:rFonts w:ascii="Palatino Linotype" w:hAnsi="Palatino Linotype"/>
                <w:sz w:val="20"/>
              </w:rPr>
            </w:pPr>
            <w:r w:rsidRPr="00751E75">
              <w:rPr>
                <w:rFonts w:ascii="Palatino Linotype" w:hAnsi="Palatino Linotype"/>
                <w:sz w:val="20"/>
              </w:rPr>
              <w:t>emergency contracting</w:t>
            </w:r>
          </w:p>
          <w:p w14:paraId="362ACAB9" w14:textId="77777777" w:rsidR="00B4096E" w:rsidRPr="00751E75" w:rsidRDefault="00B4096E" w:rsidP="00994689">
            <w:pPr>
              <w:pStyle w:val="ListParagraph"/>
              <w:numPr>
                <w:ilvl w:val="1"/>
                <w:numId w:val="10"/>
              </w:numPr>
              <w:rPr>
                <w:rFonts w:ascii="Palatino Linotype" w:hAnsi="Palatino Linotype"/>
                <w:sz w:val="20"/>
              </w:rPr>
            </w:pPr>
            <w:r w:rsidRPr="00751E75">
              <w:rPr>
                <w:rFonts w:ascii="Palatino Linotype" w:hAnsi="Palatino Linotype"/>
                <w:sz w:val="20"/>
              </w:rPr>
              <w:t>processing fuel and purchasing cards applications</w:t>
            </w:r>
          </w:p>
          <w:p w14:paraId="22AFE876" w14:textId="77777777" w:rsidR="00B4096E" w:rsidRPr="00751E75" w:rsidRDefault="00B4096E" w:rsidP="00994689">
            <w:pPr>
              <w:pStyle w:val="ListParagraph"/>
              <w:numPr>
                <w:ilvl w:val="1"/>
                <w:numId w:val="10"/>
              </w:numPr>
              <w:rPr>
                <w:rFonts w:ascii="Palatino Linotype" w:hAnsi="Palatino Linotype"/>
                <w:sz w:val="20"/>
              </w:rPr>
            </w:pPr>
            <w:r w:rsidRPr="00751E75">
              <w:rPr>
                <w:rFonts w:ascii="Palatino Linotype" w:hAnsi="Palatino Linotype"/>
                <w:sz w:val="20"/>
              </w:rPr>
              <w:t>temporarily increased limits on fuel and purchasing cards</w:t>
            </w:r>
          </w:p>
          <w:p w14:paraId="5175B4C2" w14:textId="77777777" w:rsidR="00B4096E" w:rsidRPr="00751E75" w:rsidRDefault="00B4096E" w:rsidP="00994689">
            <w:pPr>
              <w:pStyle w:val="ListParagraph"/>
              <w:numPr>
                <w:ilvl w:val="1"/>
                <w:numId w:val="10"/>
              </w:numPr>
              <w:rPr>
                <w:rFonts w:ascii="Palatino Linotype" w:hAnsi="Palatino Linotype"/>
                <w:sz w:val="20"/>
              </w:rPr>
            </w:pPr>
            <w:r w:rsidRPr="00751E75">
              <w:rPr>
                <w:rFonts w:ascii="Palatino Linotype" w:hAnsi="Palatino Linotype"/>
                <w:sz w:val="20"/>
              </w:rPr>
              <w:t>use of term contracts for bulk gasoline, diesel, and propane distribution for emergency delivery services.</w:t>
            </w:r>
          </w:p>
        </w:tc>
      </w:tr>
      <w:tr w:rsidR="00751E75" w:rsidRPr="007766E9" w14:paraId="2EB4804F" w14:textId="77777777" w:rsidTr="00152E9D">
        <w:tc>
          <w:tcPr>
            <w:tcW w:w="2416" w:type="dxa"/>
            <w:gridSpan w:val="2"/>
            <w:shd w:val="clear" w:color="auto" w:fill="D6E3BC" w:themeFill="accent3" w:themeFillTint="66"/>
            <w:vAlign w:val="center"/>
          </w:tcPr>
          <w:p w14:paraId="59DDC2C5" w14:textId="77777777" w:rsidR="00751E75" w:rsidRPr="003715B3" w:rsidRDefault="00751E75" w:rsidP="00064B0F">
            <w:pPr>
              <w:jc w:val="center"/>
              <w:rPr>
                <w:rFonts w:ascii="Palatino Linotype" w:hAnsi="Palatino Linotype"/>
                <w:b/>
                <w:sz w:val="22"/>
                <w:szCs w:val="22"/>
              </w:rPr>
            </w:pPr>
            <w:r w:rsidRPr="003715B3">
              <w:rPr>
                <w:rFonts w:ascii="Palatino Linotype" w:hAnsi="Palatino Linotype"/>
                <w:b/>
                <w:sz w:val="22"/>
                <w:szCs w:val="22"/>
              </w:rPr>
              <w:t>Montana Department of Justice</w:t>
            </w:r>
          </w:p>
        </w:tc>
        <w:tc>
          <w:tcPr>
            <w:tcW w:w="6934" w:type="dxa"/>
          </w:tcPr>
          <w:p w14:paraId="2B85DB81" w14:textId="77777777" w:rsidR="00751E75" w:rsidRPr="00751E75" w:rsidRDefault="00751E75" w:rsidP="00064B0F">
            <w:pPr>
              <w:tabs>
                <w:tab w:val="left" w:pos="360"/>
              </w:tabs>
              <w:rPr>
                <w:rFonts w:ascii="Palatino Linotype" w:hAnsi="Palatino Linotype"/>
                <w:sz w:val="20"/>
              </w:rPr>
            </w:pPr>
            <w:r w:rsidRPr="00751E75">
              <w:rPr>
                <w:rFonts w:ascii="Palatino Linotype" w:hAnsi="Palatino Linotype"/>
                <w:sz w:val="20"/>
              </w:rPr>
              <w:t xml:space="preserve">The Department of Justice (DOJ) houses the Montana All Threat Intelligence Center (MATIC), the Montana Highway Patrol, and the Office of Consumer Protection and Victim Services. MATIC addresses numerous aspects of the energy infrastructure, particularly those arising with liquid product and electricity transmission. MATIC focuses on preventing criminal activity. The Highway Patrol provides law enforcement on the state’s highways. The Office of Consumer Protection and Victim Services deals with deceptive practices and market manipulation.  </w:t>
            </w:r>
            <w:r w:rsidR="001858F7">
              <w:rPr>
                <w:rFonts w:ascii="Palatino Linotype" w:hAnsi="Palatino Linotype"/>
                <w:sz w:val="20"/>
              </w:rPr>
              <w:t>T</w:t>
            </w:r>
            <w:r w:rsidRPr="00751E75">
              <w:rPr>
                <w:rFonts w:ascii="Palatino Linotype" w:hAnsi="Palatino Linotype"/>
                <w:sz w:val="20"/>
              </w:rPr>
              <w:t>asks include:</w:t>
            </w:r>
          </w:p>
          <w:p w14:paraId="4942B8D5" w14:textId="77777777" w:rsidR="00751E75" w:rsidRPr="00751E75" w:rsidRDefault="00751E75" w:rsidP="00994689">
            <w:pPr>
              <w:pStyle w:val="ListParagraph"/>
              <w:numPr>
                <w:ilvl w:val="0"/>
                <w:numId w:val="11"/>
              </w:numPr>
              <w:rPr>
                <w:rFonts w:ascii="Palatino Linotype" w:hAnsi="Palatino Linotype" w:cs="Arial"/>
                <w:sz w:val="20"/>
              </w:rPr>
            </w:pPr>
            <w:r w:rsidRPr="00751E75">
              <w:rPr>
                <w:rFonts w:ascii="Palatino Linotype" w:hAnsi="Palatino Linotype" w:cs="Arial"/>
                <w:sz w:val="20"/>
              </w:rPr>
              <w:t>Coordinate with representatives of critical infrastructure to help ensure the security of the sites.</w:t>
            </w:r>
          </w:p>
          <w:p w14:paraId="1FB99C79" w14:textId="77777777" w:rsidR="00751E75" w:rsidRPr="00751E75" w:rsidRDefault="00751E75" w:rsidP="00994689">
            <w:pPr>
              <w:pStyle w:val="ListParagraph"/>
              <w:numPr>
                <w:ilvl w:val="0"/>
                <w:numId w:val="11"/>
              </w:numPr>
              <w:rPr>
                <w:rFonts w:ascii="Palatino Linotype" w:hAnsi="Palatino Linotype" w:cs="Arial"/>
                <w:sz w:val="20"/>
              </w:rPr>
            </w:pPr>
            <w:r w:rsidRPr="00751E75">
              <w:rPr>
                <w:rFonts w:ascii="Palatino Linotype" w:hAnsi="Palatino Linotype" w:cs="Arial"/>
                <w:sz w:val="20"/>
              </w:rPr>
              <w:t xml:space="preserve"> Provide escorts to sensitive cargos in times of emergency.</w:t>
            </w:r>
          </w:p>
        </w:tc>
      </w:tr>
      <w:tr w:rsidR="00751E75" w:rsidRPr="007766E9" w14:paraId="611199C4" w14:textId="77777777" w:rsidTr="00152E9D">
        <w:trPr>
          <w:trHeight w:val="908"/>
        </w:trPr>
        <w:tc>
          <w:tcPr>
            <w:tcW w:w="2416" w:type="dxa"/>
            <w:gridSpan w:val="2"/>
            <w:shd w:val="clear" w:color="auto" w:fill="D6E3BC" w:themeFill="accent3" w:themeFillTint="66"/>
            <w:vAlign w:val="center"/>
          </w:tcPr>
          <w:p w14:paraId="5DAB32EF" w14:textId="77777777" w:rsidR="00751E75" w:rsidRPr="003715B3" w:rsidRDefault="00751E75" w:rsidP="00064B0F">
            <w:pPr>
              <w:jc w:val="center"/>
              <w:rPr>
                <w:rFonts w:ascii="Palatino Linotype" w:hAnsi="Palatino Linotype"/>
                <w:b/>
                <w:sz w:val="22"/>
                <w:szCs w:val="22"/>
              </w:rPr>
            </w:pPr>
            <w:r w:rsidRPr="003715B3">
              <w:rPr>
                <w:rFonts w:ascii="Palatino Linotype" w:hAnsi="Palatino Linotype"/>
                <w:b/>
                <w:sz w:val="22"/>
                <w:szCs w:val="22"/>
              </w:rPr>
              <w:t>Montana Department of Natural Resources &amp; Conservation</w:t>
            </w:r>
          </w:p>
        </w:tc>
        <w:tc>
          <w:tcPr>
            <w:tcW w:w="6934" w:type="dxa"/>
          </w:tcPr>
          <w:p w14:paraId="0BCDEBAB" w14:textId="0B905EDE" w:rsidR="00751E75" w:rsidRPr="00751E75" w:rsidRDefault="00751E75" w:rsidP="00064B0F">
            <w:pPr>
              <w:tabs>
                <w:tab w:val="left" w:pos="360"/>
              </w:tabs>
              <w:rPr>
                <w:rFonts w:ascii="Palatino Linotype" w:hAnsi="Palatino Linotype" w:cs="Arial"/>
                <w:sz w:val="20"/>
              </w:rPr>
            </w:pPr>
            <w:r w:rsidRPr="00751E75">
              <w:rPr>
                <w:rFonts w:ascii="Palatino Linotype" w:hAnsi="Palatino Linotype" w:cs="Arial"/>
                <w:sz w:val="20"/>
              </w:rPr>
              <w:t xml:space="preserve">The Department of Natural Resources and Conservation (DNRC), through its Forestry Division, is responsible for fighting wildland fires on state and private lands and coordinates with the U.S. Forest Service, Bureau of Land Management and local fire agencies during fire seasons. DNRC could provide situational awareness of wildfires.  Its Water Resources Division </w:t>
            </w:r>
            <w:r w:rsidRPr="00751E75">
              <w:rPr>
                <w:rFonts w:ascii="Palatino Linotype" w:hAnsi="Palatino Linotype" w:cs="Arial"/>
                <w:sz w:val="20"/>
              </w:rPr>
              <w:lastRenderedPageBreak/>
              <w:t>maintains information on flood plains, dams and water projects.</w:t>
            </w:r>
            <w:r w:rsidR="004A0F5E">
              <w:rPr>
                <w:rFonts w:ascii="Palatino Linotype" w:hAnsi="Palatino Linotype" w:cs="Arial"/>
                <w:sz w:val="20"/>
              </w:rPr>
              <w:t xml:space="preserve">  It’s Board of Oil and Gas Conservation provides valuable data on oil and natural gas production in the state.</w:t>
            </w:r>
            <w:r w:rsidRPr="00751E75">
              <w:rPr>
                <w:rFonts w:ascii="Palatino Linotype" w:hAnsi="Palatino Linotype" w:cs="Arial"/>
                <w:sz w:val="20"/>
              </w:rPr>
              <w:t xml:space="preserve">  They will:</w:t>
            </w:r>
          </w:p>
          <w:p w14:paraId="75D6C7B9" w14:textId="77777777" w:rsidR="00751E75" w:rsidRPr="00751E75" w:rsidRDefault="00751E75" w:rsidP="00994689">
            <w:pPr>
              <w:numPr>
                <w:ilvl w:val="0"/>
                <w:numId w:val="12"/>
              </w:numPr>
              <w:tabs>
                <w:tab w:val="left" w:pos="382"/>
                <w:tab w:val="left" w:pos="432"/>
              </w:tabs>
              <w:rPr>
                <w:rFonts w:ascii="Palatino Linotype" w:hAnsi="Palatino Linotype" w:cs="Arial"/>
                <w:sz w:val="20"/>
              </w:rPr>
            </w:pPr>
            <w:r w:rsidRPr="00751E75">
              <w:rPr>
                <w:rFonts w:ascii="Palatino Linotype" w:hAnsi="Palatino Linotype" w:cs="Arial"/>
                <w:sz w:val="20"/>
              </w:rPr>
              <w:t>Direct fire fighting assets to protect critical energy infrastructure.</w:t>
            </w:r>
          </w:p>
          <w:p w14:paraId="4BB904C9" w14:textId="77777777" w:rsidR="00751E75" w:rsidRPr="00751E75" w:rsidRDefault="00751E75" w:rsidP="00994689">
            <w:pPr>
              <w:numPr>
                <w:ilvl w:val="0"/>
                <w:numId w:val="12"/>
              </w:numPr>
              <w:tabs>
                <w:tab w:val="left" w:pos="382"/>
                <w:tab w:val="left" w:pos="432"/>
              </w:tabs>
              <w:rPr>
                <w:rFonts w:ascii="Palatino Linotype" w:hAnsi="Palatino Linotype" w:cs="Arial"/>
                <w:sz w:val="20"/>
              </w:rPr>
            </w:pPr>
            <w:r w:rsidRPr="00751E75">
              <w:rPr>
                <w:rFonts w:ascii="Palatino Linotype" w:hAnsi="Palatino Linotype" w:cs="Arial"/>
                <w:sz w:val="20"/>
              </w:rPr>
              <w:t>Gather information on petroleum products shortages in the agricultural sector.</w:t>
            </w:r>
          </w:p>
          <w:p w14:paraId="13F9612C" w14:textId="77777777" w:rsidR="00751E75" w:rsidRPr="00751E75" w:rsidRDefault="00751E75" w:rsidP="00994689">
            <w:pPr>
              <w:numPr>
                <w:ilvl w:val="0"/>
                <w:numId w:val="12"/>
              </w:numPr>
              <w:tabs>
                <w:tab w:val="left" w:pos="360"/>
                <w:tab w:val="left" w:pos="432"/>
              </w:tabs>
              <w:rPr>
                <w:rFonts w:ascii="Palatino Linotype" w:hAnsi="Palatino Linotype" w:cs="Arial"/>
                <w:sz w:val="20"/>
              </w:rPr>
            </w:pPr>
            <w:r w:rsidRPr="00751E75">
              <w:rPr>
                <w:rFonts w:ascii="Palatino Linotype" w:hAnsi="Palatino Linotype" w:cs="Arial"/>
                <w:sz w:val="20"/>
              </w:rPr>
              <w:t>Monitor petroleum and gas drilling and supply industry.</w:t>
            </w:r>
          </w:p>
        </w:tc>
      </w:tr>
      <w:tr w:rsidR="00751E75" w:rsidRPr="007766E9" w14:paraId="693F74BE" w14:textId="77777777" w:rsidTr="00152E9D">
        <w:tc>
          <w:tcPr>
            <w:tcW w:w="2416" w:type="dxa"/>
            <w:gridSpan w:val="2"/>
            <w:shd w:val="clear" w:color="auto" w:fill="D6E3BC" w:themeFill="accent3" w:themeFillTint="66"/>
            <w:vAlign w:val="center"/>
          </w:tcPr>
          <w:p w14:paraId="7B44EAA9" w14:textId="77777777" w:rsidR="00751E75" w:rsidRPr="003715B3" w:rsidRDefault="00751E75" w:rsidP="00064B0F">
            <w:pPr>
              <w:jc w:val="center"/>
              <w:rPr>
                <w:rFonts w:ascii="Palatino Linotype" w:hAnsi="Palatino Linotype"/>
                <w:b/>
                <w:sz w:val="22"/>
                <w:szCs w:val="22"/>
              </w:rPr>
            </w:pPr>
            <w:r w:rsidRPr="003715B3">
              <w:rPr>
                <w:rFonts w:ascii="Palatino Linotype" w:hAnsi="Palatino Linotype"/>
                <w:b/>
                <w:sz w:val="22"/>
                <w:szCs w:val="22"/>
              </w:rPr>
              <w:lastRenderedPageBreak/>
              <w:t>Montana Public Service Commission</w:t>
            </w:r>
          </w:p>
        </w:tc>
        <w:tc>
          <w:tcPr>
            <w:tcW w:w="6934" w:type="dxa"/>
          </w:tcPr>
          <w:p w14:paraId="1DEB5C45" w14:textId="77777777" w:rsidR="00751E75" w:rsidRPr="00751E75" w:rsidRDefault="00751E75" w:rsidP="00064B0F">
            <w:pPr>
              <w:tabs>
                <w:tab w:val="left" w:pos="360"/>
              </w:tabs>
              <w:rPr>
                <w:rFonts w:ascii="Palatino Linotype" w:hAnsi="Palatino Linotype"/>
                <w:sz w:val="20"/>
              </w:rPr>
            </w:pPr>
            <w:r w:rsidRPr="00751E75">
              <w:rPr>
                <w:rFonts w:ascii="Palatino Linotype" w:hAnsi="Palatino Linotype"/>
                <w:sz w:val="20"/>
              </w:rPr>
              <w:t>The Public Service Commission (PSC) regulates intrastate gas transmission and distribution lines (but not gathering lines). The PSC also regulates certain natural gas and electric utilities for rate-making purposes.  The PSC will review and advise DEQ on critical infrastructure issues for intrastate natural gas delivery systems, oversee pipeline safety and some facility infrastructure, house pipeline emergency plans, and provide expertise on electricity events.</w:t>
            </w:r>
          </w:p>
        </w:tc>
      </w:tr>
      <w:tr w:rsidR="00751E75" w:rsidRPr="007766E9" w14:paraId="62709F72" w14:textId="77777777" w:rsidTr="00152E9D">
        <w:tc>
          <w:tcPr>
            <w:tcW w:w="2410" w:type="dxa"/>
            <w:shd w:val="clear" w:color="auto" w:fill="D6E3BC" w:themeFill="accent3" w:themeFillTint="66"/>
            <w:vAlign w:val="center"/>
          </w:tcPr>
          <w:p w14:paraId="426E8746" w14:textId="77777777" w:rsidR="00751E75" w:rsidRPr="003715B3" w:rsidRDefault="00751E75" w:rsidP="00064B0F">
            <w:pPr>
              <w:jc w:val="center"/>
              <w:rPr>
                <w:rFonts w:ascii="Palatino Linotype" w:hAnsi="Palatino Linotype"/>
                <w:b/>
                <w:sz w:val="22"/>
                <w:szCs w:val="22"/>
              </w:rPr>
            </w:pPr>
            <w:r w:rsidRPr="003715B3">
              <w:rPr>
                <w:rFonts w:ascii="Palatino Linotype" w:hAnsi="Palatino Linotype"/>
                <w:b/>
                <w:sz w:val="22"/>
                <w:szCs w:val="22"/>
              </w:rPr>
              <w:t>Montana Department of Transportation</w:t>
            </w:r>
          </w:p>
        </w:tc>
        <w:tc>
          <w:tcPr>
            <w:tcW w:w="6940" w:type="dxa"/>
            <w:gridSpan w:val="2"/>
            <w:vAlign w:val="center"/>
          </w:tcPr>
          <w:p w14:paraId="254851A3" w14:textId="33D92DD1" w:rsidR="00751E75" w:rsidRPr="00751E75" w:rsidRDefault="00751E75" w:rsidP="00064B0F">
            <w:pPr>
              <w:tabs>
                <w:tab w:val="left" w:pos="360"/>
              </w:tabs>
              <w:rPr>
                <w:rFonts w:ascii="Palatino Linotype" w:hAnsi="Palatino Linotype"/>
                <w:sz w:val="20"/>
              </w:rPr>
            </w:pPr>
            <w:r w:rsidRPr="00751E75">
              <w:rPr>
                <w:rFonts w:ascii="Palatino Linotype" w:hAnsi="Palatino Linotype"/>
                <w:sz w:val="20"/>
              </w:rPr>
              <w:t xml:space="preserve">Montana Department of Transportation (MDT) is generally responsible for state and federal highways in Montana. It houses the Motor Fuels Section, which tracks the sales of gasoline, diesel, and aviation fuels, and the Motor Carrier Services Division, which regulates truck driver hours. </w:t>
            </w:r>
            <w:r w:rsidR="004A0F5E">
              <w:rPr>
                <w:rFonts w:ascii="Palatino Linotype" w:hAnsi="Palatino Linotype"/>
                <w:sz w:val="20"/>
              </w:rPr>
              <w:t xml:space="preserve"> MDT is an important partner in deciding truck driving and fuel waivers</w:t>
            </w:r>
          </w:p>
        </w:tc>
      </w:tr>
      <w:tr w:rsidR="00751E75" w:rsidRPr="007766E9" w14:paraId="539B881D" w14:textId="77777777" w:rsidTr="00152E9D">
        <w:tc>
          <w:tcPr>
            <w:tcW w:w="2410" w:type="dxa"/>
            <w:shd w:val="clear" w:color="auto" w:fill="D6E3BC" w:themeFill="accent3" w:themeFillTint="66"/>
            <w:vAlign w:val="center"/>
          </w:tcPr>
          <w:p w14:paraId="15A1D253" w14:textId="77777777" w:rsidR="00751E75" w:rsidRPr="003715B3" w:rsidRDefault="00751E75" w:rsidP="00064B0F">
            <w:pPr>
              <w:jc w:val="center"/>
              <w:rPr>
                <w:rFonts w:ascii="Palatino Linotype" w:hAnsi="Palatino Linotype"/>
                <w:b/>
                <w:sz w:val="22"/>
                <w:szCs w:val="22"/>
              </w:rPr>
            </w:pPr>
            <w:r w:rsidRPr="003715B3">
              <w:rPr>
                <w:rFonts w:ascii="Palatino Linotype" w:hAnsi="Palatino Linotype"/>
                <w:b/>
                <w:sz w:val="22"/>
                <w:szCs w:val="22"/>
              </w:rPr>
              <w:t>Fish, Wildlife, &amp; Parks</w:t>
            </w:r>
          </w:p>
        </w:tc>
        <w:tc>
          <w:tcPr>
            <w:tcW w:w="6940" w:type="dxa"/>
            <w:gridSpan w:val="2"/>
            <w:vAlign w:val="center"/>
          </w:tcPr>
          <w:p w14:paraId="7C0E81EE" w14:textId="77777777" w:rsidR="00751E75" w:rsidRPr="00751E75" w:rsidRDefault="00751E75" w:rsidP="00064B0F">
            <w:pPr>
              <w:rPr>
                <w:rFonts w:ascii="Palatino Linotype" w:hAnsi="Palatino Linotype"/>
                <w:sz w:val="20"/>
              </w:rPr>
            </w:pPr>
            <w:r w:rsidRPr="00751E75">
              <w:rPr>
                <w:rFonts w:ascii="Palatino Linotype" w:hAnsi="Palatino Linotype" w:cs="Arial"/>
                <w:sz w:val="20"/>
              </w:rPr>
              <w:t>Provides expertise on aquatic and riparian needs in rivers affected by emergencies at hydro-electric dams.</w:t>
            </w:r>
          </w:p>
        </w:tc>
      </w:tr>
      <w:tr w:rsidR="00751E75" w:rsidRPr="007766E9" w14:paraId="40B89592" w14:textId="77777777" w:rsidTr="00152E9D">
        <w:trPr>
          <w:trHeight w:val="638"/>
        </w:trPr>
        <w:tc>
          <w:tcPr>
            <w:tcW w:w="2410" w:type="dxa"/>
            <w:shd w:val="clear" w:color="auto" w:fill="D6E3BC" w:themeFill="accent3" w:themeFillTint="66"/>
            <w:vAlign w:val="center"/>
          </w:tcPr>
          <w:p w14:paraId="10C195BB" w14:textId="77777777" w:rsidR="00751E75" w:rsidRPr="003715B3" w:rsidRDefault="00751E75" w:rsidP="00064B0F">
            <w:pPr>
              <w:jc w:val="center"/>
              <w:rPr>
                <w:rFonts w:ascii="Palatino Linotype" w:hAnsi="Palatino Linotype"/>
                <w:b/>
                <w:sz w:val="22"/>
                <w:szCs w:val="22"/>
              </w:rPr>
            </w:pPr>
            <w:r w:rsidRPr="003715B3">
              <w:rPr>
                <w:rFonts w:ascii="Palatino Linotype" w:hAnsi="Palatino Linotype"/>
                <w:b/>
                <w:sz w:val="22"/>
                <w:szCs w:val="22"/>
              </w:rPr>
              <w:t>Department of Public Health &amp; Human Services</w:t>
            </w:r>
          </w:p>
        </w:tc>
        <w:tc>
          <w:tcPr>
            <w:tcW w:w="6940" w:type="dxa"/>
            <w:gridSpan w:val="2"/>
          </w:tcPr>
          <w:p w14:paraId="6D99EE90" w14:textId="77777777" w:rsidR="00751E75" w:rsidRPr="00751E75" w:rsidRDefault="00751E75" w:rsidP="00064B0F">
            <w:pPr>
              <w:rPr>
                <w:rFonts w:ascii="Palatino Linotype" w:hAnsi="Palatino Linotype"/>
                <w:sz w:val="20"/>
              </w:rPr>
            </w:pPr>
            <w:r w:rsidRPr="00751E75">
              <w:rPr>
                <w:rFonts w:ascii="Palatino Linotype" w:hAnsi="Palatino Linotype" w:cs="Arial"/>
                <w:sz w:val="20"/>
              </w:rPr>
              <w:t>Provides contacts with low-income energy agencies and with local public health agencies.</w:t>
            </w:r>
            <w:r w:rsidRPr="00751E75">
              <w:rPr>
                <w:rFonts w:ascii="Palatino Linotype" w:hAnsi="Palatino Linotype"/>
                <w:sz w:val="20"/>
              </w:rPr>
              <w:t xml:space="preserve"> </w:t>
            </w:r>
          </w:p>
          <w:p w14:paraId="4561FD07" w14:textId="77777777" w:rsidR="00751E75" w:rsidRPr="00751E75" w:rsidRDefault="00751E75" w:rsidP="00994689">
            <w:pPr>
              <w:pStyle w:val="ListParagraph"/>
              <w:numPr>
                <w:ilvl w:val="0"/>
                <w:numId w:val="13"/>
              </w:numPr>
              <w:contextualSpacing w:val="0"/>
              <w:rPr>
                <w:rFonts w:ascii="Palatino Linotype" w:hAnsi="Palatino Linotype" w:cs="Arial"/>
                <w:sz w:val="20"/>
              </w:rPr>
            </w:pPr>
            <w:r w:rsidRPr="00751E75">
              <w:rPr>
                <w:rFonts w:ascii="Palatino Linotype" w:hAnsi="Palatino Linotype"/>
                <w:sz w:val="20"/>
              </w:rPr>
              <w:t>Serve as a conduit for DEQ to disseminate information to local public health agencies</w:t>
            </w:r>
          </w:p>
          <w:p w14:paraId="5B34D2FA" w14:textId="77777777" w:rsidR="00751E75" w:rsidRPr="00751E75" w:rsidRDefault="00751E75" w:rsidP="00994689">
            <w:pPr>
              <w:pStyle w:val="ListParagraph"/>
              <w:numPr>
                <w:ilvl w:val="0"/>
                <w:numId w:val="13"/>
              </w:numPr>
              <w:contextualSpacing w:val="0"/>
              <w:rPr>
                <w:rFonts w:ascii="Palatino Linotype" w:hAnsi="Palatino Linotype"/>
                <w:sz w:val="20"/>
              </w:rPr>
            </w:pPr>
            <w:r w:rsidRPr="00751E75">
              <w:rPr>
                <w:rFonts w:ascii="Palatino Linotype" w:hAnsi="Palatino Linotype"/>
                <w:sz w:val="20"/>
              </w:rPr>
              <w:t>Advise DEQ on the prioritization of energy and fuel needs of critical local public health facilities</w:t>
            </w:r>
          </w:p>
          <w:p w14:paraId="148EAE12" w14:textId="77777777" w:rsidR="00751E75" w:rsidRPr="00751E75" w:rsidRDefault="00751E75" w:rsidP="00994689">
            <w:pPr>
              <w:pStyle w:val="ListParagraph"/>
              <w:numPr>
                <w:ilvl w:val="0"/>
                <w:numId w:val="13"/>
              </w:numPr>
              <w:contextualSpacing w:val="0"/>
              <w:rPr>
                <w:rFonts w:ascii="Palatino Linotype" w:hAnsi="Palatino Linotype"/>
                <w:sz w:val="20"/>
              </w:rPr>
            </w:pPr>
            <w:r w:rsidRPr="00751E75">
              <w:rPr>
                <w:rFonts w:ascii="Palatino Linotype" w:hAnsi="Palatino Linotype"/>
                <w:sz w:val="20"/>
              </w:rPr>
              <w:t xml:space="preserve">Advise DEQ on the fuel needs to perform critical operations for DPHHS </w:t>
            </w:r>
          </w:p>
        </w:tc>
      </w:tr>
      <w:tr w:rsidR="00EB0C7E" w:rsidRPr="00D96354" w14:paraId="7ADB0942" w14:textId="77777777" w:rsidTr="00152E9D">
        <w:trPr>
          <w:trHeight w:val="638"/>
        </w:trPr>
        <w:tc>
          <w:tcPr>
            <w:tcW w:w="2410" w:type="dxa"/>
            <w:shd w:val="clear" w:color="auto" w:fill="D6E3BC" w:themeFill="accent3" w:themeFillTint="66"/>
            <w:vAlign w:val="center"/>
          </w:tcPr>
          <w:p w14:paraId="044EE240" w14:textId="77777777" w:rsidR="00EB0C7E" w:rsidRPr="003715B3" w:rsidRDefault="00EB0C7E" w:rsidP="003715B3">
            <w:pPr>
              <w:jc w:val="center"/>
              <w:rPr>
                <w:rFonts w:ascii="Palatino Linotype" w:hAnsi="Palatino Linotype"/>
                <w:b/>
                <w:sz w:val="22"/>
                <w:szCs w:val="22"/>
              </w:rPr>
            </w:pPr>
            <w:r>
              <w:rPr>
                <w:rFonts w:ascii="Palatino Linotype" w:hAnsi="Palatino Linotype"/>
                <w:b/>
                <w:sz w:val="22"/>
                <w:szCs w:val="22"/>
              </w:rPr>
              <w:t>Federal Partners</w:t>
            </w:r>
          </w:p>
        </w:tc>
        <w:tc>
          <w:tcPr>
            <w:tcW w:w="6940" w:type="dxa"/>
            <w:gridSpan w:val="2"/>
          </w:tcPr>
          <w:p w14:paraId="01E08330" w14:textId="6CE44D11" w:rsidR="00994689" w:rsidRDefault="00EB0C7E" w:rsidP="00EB0C7E">
            <w:pPr>
              <w:rPr>
                <w:rFonts w:ascii="Palatino Linotype" w:hAnsi="Palatino Linotype" w:cs="Arial"/>
                <w:sz w:val="20"/>
              </w:rPr>
            </w:pPr>
            <w:r w:rsidRPr="00751E75">
              <w:rPr>
                <w:rFonts w:ascii="Palatino Linotype" w:hAnsi="Palatino Linotype" w:cs="Arial"/>
                <w:sz w:val="20"/>
              </w:rPr>
              <w:t>Federal partners are those agencies that could help in terms of needed information and possible assistance with waivers of environmental laws</w:t>
            </w:r>
            <w:r w:rsidR="00A4498D" w:rsidRPr="00751E75">
              <w:rPr>
                <w:rFonts w:ascii="Palatino Linotype" w:hAnsi="Palatino Linotype" w:cs="Arial"/>
                <w:sz w:val="20"/>
              </w:rPr>
              <w:t xml:space="preserve"> and general assistance</w:t>
            </w:r>
            <w:r w:rsidRPr="00751E75">
              <w:rPr>
                <w:rFonts w:ascii="Palatino Linotype" w:hAnsi="Palatino Linotype" w:cs="Arial"/>
                <w:sz w:val="20"/>
              </w:rPr>
              <w:t>.  These include, at a minimum, the U.S. Department of Energy (the federal ESF-12 entity)</w:t>
            </w:r>
            <w:r w:rsidR="005F2D73" w:rsidRPr="00751E75">
              <w:rPr>
                <w:rFonts w:ascii="Palatino Linotype" w:hAnsi="Palatino Linotype" w:cs="Arial"/>
                <w:sz w:val="20"/>
              </w:rPr>
              <w:t>,</w:t>
            </w:r>
            <w:r w:rsidRPr="00751E75">
              <w:rPr>
                <w:rFonts w:ascii="Palatino Linotype" w:hAnsi="Palatino Linotype" w:cs="Arial"/>
                <w:sz w:val="20"/>
              </w:rPr>
              <w:t xml:space="preserve"> the U.S. Environmental Protection Agency</w:t>
            </w:r>
            <w:r w:rsidR="005F2D73" w:rsidRPr="00751E75">
              <w:rPr>
                <w:rFonts w:ascii="Palatino Linotype" w:hAnsi="Palatino Linotype" w:cs="Arial"/>
                <w:sz w:val="20"/>
              </w:rPr>
              <w:t>, and the Department of Homeland Security</w:t>
            </w:r>
            <w:r w:rsidRPr="00751E75">
              <w:rPr>
                <w:rFonts w:ascii="Palatino Linotype" w:hAnsi="Palatino Linotype" w:cs="Arial"/>
                <w:sz w:val="20"/>
              </w:rPr>
              <w:t>.</w:t>
            </w:r>
            <w:r w:rsidR="005F2D73" w:rsidRPr="00751E75">
              <w:rPr>
                <w:rFonts w:ascii="Palatino Linotype" w:hAnsi="Palatino Linotype" w:cs="Arial"/>
                <w:sz w:val="20"/>
              </w:rPr>
              <w:t xml:space="preserve">  The </w:t>
            </w:r>
            <w:bookmarkStart w:id="13" w:name="_Toc344298220"/>
            <w:r w:rsidR="005F2D73" w:rsidRPr="00751E75">
              <w:rPr>
                <w:rFonts w:ascii="Palatino Linotype" w:hAnsi="Palatino Linotype" w:cs="Arial"/>
                <w:sz w:val="20"/>
              </w:rPr>
              <w:t xml:space="preserve">U.S. Department of Homeland Security, </w:t>
            </w:r>
            <w:r w:rsidR="00C677DE" w:rsidRPr="00C677DE">
              <w:rPr>
                <w:rFonts w:ascii="Palatino Linotype" w:hAnsi="Palatino Linotype" w:cs="Arial"/>
                <w:sz w:val="20"/>
              </w:rPr>
              <w:t>U. S. Computer Emergency Readiness Team</w:t>
            </w:r>
            <w:r w:rsidR="00C677DE" w:rsidRPr="00C677DE">
              <w:rPr>
                <w:rFonts w:ascii="Palatino Linotype" w:hAnsi="Palatino Linotype" w:cs="Arial"/>
                <w:sz w:val="20"/>
              </w:rPr>
              <w:t xml:space="preserve"> </w:t>
            </w:r>
            <w:r w:rsidR="005F2D73" w:rsidRPr="00751E75">
              <w:rPr>
                <w:rFonts w:ascii="Palatino Linotype" w:hAnsi="Palatino Linotype" w:cs="Arial"/>
                <w:sz w:val="20"/>
              </w:rPr>
              <w:t>(</w:t>
            </w:r>
            <w:r w:rsidR="00C677DE">
              <w:rPr>
                <w:rFonts w:ascii="Palatino Linotype" w:hAnsi="Palatino Linotype" w:cs="Arial"/>
                <w:sz w:val="20"/>
              </w:rPr>
              <w:t>US</w:t>
            </w:r>
            <w:r w:rsidR="005F2D73" w:rsidRPr="00751E75">
              <w:rPr>
                <w:rFonts w:ascii="Palatino Linotype" w:hAnsi="Palatino Linotype" w:cs="Arial"/>
                <w:sz w:val="20"/>
              </w:rPr>
              <w:t>-CERT)</w:t>
            </w:r>
            <w:bookmarkEnd w:id="13"/>
            <w:r w:rsidR="005F2D73" w:rsidRPr="00751E75">
              <w:rPr>
                <w:rFonts w:ascii="Palatino Linotype" w:hAnsi="Palatino Linotype" w:cs="Arial"/>
                <w:sz w:val="20"/>
              </w:rPr>
              <w:t xml:space="preserve"> can help utilities and states recover from a cyberattack.  The Federal Motor Carrier Safety Administration may grant state requests to waive or adjust the number of hours truck drivers can operate for purposes of an emergency.</w:t>
            </w:r>
            <w:r w:rsidR="00994689">
              <w:rPr>
                <w:rFonts w:ascii="Palatino Linotype" w:hAnsi="Palatino Linotype" w:cs="Arial"/>
                <w:sz w:val="20"/>
              </w:rPr>
              <w:t xml:space="preserve">  </w:t>
            </w:r>
            <w:r w:rsidR="00994689" w:rsidRPr="00994689">
              <w:rPr>
                <w:rFonts w:ascii="Palatino Linotype" w:hAnsi="Palatino Linotype" w:cs="Arial"/>
                <w:sz w:val="20"/>
              </w:rPr>
              <w:t>The U.S. Department of Defense (DoD) through the Defense Logistics Agency (DLA)-Energy plays a role in fuel support to state and local authorities during disaster response</w:t>
            </w:r>
            <w:r w:rsidR="00994689">
              <w:rPr>
                <w:sz w:val="22"/>
                <w:szCs w:val="22"/>
              </w:rPr>
              <w:t xml:space="preserve"> </w:t>
            </w:r>
            <w:r w:rsidR="005F2D73" w:rsidRPr="00751E75">
              <w:rPr>
                <w:rFonts w:ascii="Palatino Linotype" w:hAnsi="Palatino Linotype" w:cs="Arial"/>
                <w:sz w:val="20"/>
              </w:rPr>
              <w:t xml:space="preserve"> </w:t>
            </w:r>
          </w:p>
          <w:p w14:paraId="5B9E98EC" w14:textId="77777777" w:rsidR="00994689" w:rsidRDefault="00994689" w:rsidP="00EB0C7E">
            <w:pPr>
              <w:rPr>
                <w:rFonts w:ascii="Palatino Linotype" w:hAnsi="Palatino Linotype" w:cs="Arial"/>
                <w:sz w:val="20"/>
              </w:rPr>
            </w:pPr>
          </w:p>
          <w:p w14:paraId="7F54763D" w14:textId="6E5D86B9" w:rsidR="00EB0C7E" w:rsidRPr="00751E75" w:rsidRDefault="005F2D73" w:rsidP="00EB0C7E">
            <w:pPr>
              <w:rPr>
                <w:rFonts w:ascii="Palatino Linotype" w:hAnsi="Palatino Linotype" w:cs="Arial"/>
                <w:sz w:val="20"/>
              </w:rPr>
            </w:pPr>
            <w:r w:rsidRPr="00751E75">
              <w:rPr>
                <w:rFonts w:ascii="Palatino Linotype" w:hAnsi="Palatino Linotype" w:cs="Arial"/>
                <w:sz w:val="20"/>
              </w:rPr>
              <w:t>In particular, the U.S. DOE can:</w:t>
            </w:r>
          </w:p>
          <w:p w14:paraId="6648F03A" w14:textId="77777777" w:rsidR="005F2D73" w:rsidRPr="00751E75" w:rsidRDefault="005F2D73" w:rsidP="00994689">
            <w:pPr>
              <w:pStyle w:val="ListParagraph"/>
              <w:numPr>
                <w:ilvl w:val="0"/>
                <w:numId w:val="14"/>
              </w:numPr>
              <w:autoSpaceDE w:val="0"/>
              <w:autoSpaceDN w:val="0"/>
              <w:adjustRightInd w:val="0"/>
              <w:rPr>
                <w:rFonts w:ascii="Palatino Linotype" w:hAnsi="Palatino Linotype" w:cs="Arial"/>
                <w:color w:val="000000"/>
                <w:sz w:val="20"/>
              </w:rPr>
            </w:pPr>
            <w:r w:rsidRPr="00751E75">
              <w:rPr>
                <w:rFonts w:ascii="Palatino Linotype" w:hAnsi="Palatino Linotype" w:cs="Arial"/>
                <w:color w:val="000000"/>
                <w:sz w:val="20"/>
              </w:rPr>
              <w:t>Assist affected energy stakeholders in dealing with the Federal Emergency Management Agency (FEMA) by coordinating with publicly-owned electric, gas, and other lifeline utilities in applying for FEMA cost sharing for repairs.</w:t>
            </w:r>
          </w:p>
          <w:p w14:paraId="38D1838B" w14:textId="039914CB" w:rsidR="00C677DE" w:rsidRDefault="00C677DE" w:rsidP="00994689">
            <w:pPr>
              <w:pStyle w:val="ListParagraph"/>
              <w:numPr>
                <w:ilvl w:val="0"/>
                <w:numId w:val="14"/>
              </w:numPr>
              <w:autoSpaceDE w:val="0"/>
              <w:autoSpaceDN w:val="0"/>
              <w:adjustRightInd w:val="0"/>
              <w:rPr>
                <w:rFonts w:ascii="Palatino Linotype" w:hAnsi="Palatino Linotype" w:cs="Arial"/>
                <w:color w:val="000000"/>
                <w:sz w:val="20"/>
              </w:rPr>
            </w:pPr>
            <w:r>
              <w:rPr>
                <w:rFonts w:ascii="Palatino Linotype" w:hAnsi="Palatino Linotype" w:cs="Arial"/>
                <w:color w:val="000000"/>
                <w:sz w:val="20"/>
              </w:rPr>
              <w:lastRenderedPageBreak/>
              <w:t xml:space="preserve">DOE’s </w:t>
            </w:r>
            <w:r w:rsidRPr="00C677DE">
              <w:rPr>
                <w:rFonts w:ascii="Palatino Linotype" w:hAnsi="Palatino Linotype" w:cs="Arial"/>
                <w:color w:val="000000"/>
                <w:sz w:val="20"/>
              </w:rPr>
              <w:t>Office of Cybersecurity, Energy Security, and Emergency Response</w:t>
            </w:r>
            <w:r>
              <w:rPr>
                <w:rFonts w:ascii="Palatino Linotype" w:hAnsi="Palatino Linotype" w:cs="Arial"/>
                <w:color w:val="000000"/>
                <w:sz w:val="20"/>
              </w:rPr>
              <w:t xml:space="preserve"> (CESER), has a mission to </w:t>
            </w:r>
            <w:r w:rsidRPr="00C677DE">
              <w:rPr>
                <w:rFonts w:ascii="Palatino Linotype" w:hAnsi="Palatino Linotype" w:cs="Arial"/>
                <w:color w:val="000000"/>
                <w:sz w:val="20"/>
              </w:rPr>
              <w:t>enhance the security of U.S. critical energy infrastructure to all hazards, mitigate the impacts of disruptive events and risk to the sector overall through preparedness and innovation, and respond to and facilitate recovery from energy disruptions in collaboration with other Federal agencies, the private sector, and State, local, tribal, and territory governments.</w:t>
            </w:r>
            <w:r>
              <w:rPr>
                <w:rFonts w:ascii="Palatino Linotype" w:hAnsi="Palatino Linotype" w:cs="Arial"/>
                <w:color w:val="000000"/>
                <w:sz w:val="20"/>
              </w:rPr>
              <w:t xml:space="preserve">  They are the federal ESF12.</w:t>
            </w:r>
          </w:p>
          <w:p w14:paraId="1734DAD5" w14:textId="0D6D653D" w:rsidR="005F2D73" w:rsidRPr="00751E75" w:rsidRDefault="005F2D73" w:rsidP="00994689">
            <w:pPr>
              <w:pStyle w:val="ListParagraph"/>
              <w:numPr>
                <w:ilvl w:val="0"/>
                <w:numId w:val="14"/>
              </w:numPr>
              <w:autoSpaceDE w:val="0"/>
              <w:autoSpaceDN w:val="0"/>
              <w:adjustRightInd w:val="0"/>
              <w:rPr>
                <w:rFonts w:ascii="Palatino Linotype" w:hAnsi="Palatino Linotype" w:cs="Arial"/>
                <w:color w:val="000000"/>
                <w:sz w:val="20"/>
              </w:rPr>
            </w:pPr>
            <w:r w:rsidRPr="00751E75">
              <w:rPr>
                <w:rFonts w:ascii="Palatino Linotype" w:hAnsi="Palatino Linotype" w:cs="Arial"/>
                <w:color w:val="000000"/>
                <w:sz w:val="20"/>
              </w:rPr>
              <w:t>Assist affected energy stakeholders in obtaining repair crews and materials from outside the affected areas.</w:t>
            </w:r>
          </w:p>
          <w:p w14:paraId="61BBD739" w14:textId="77777777" w:rsidR="005F2D73" w:rsidRPr="00751E75" w:rsidRDefault="005F2D73" w:rsidP="00994689">
            <w:pPr>
              <w:pStyle w:val="ListParagraph"/>
              <w:numPr>
                <w:ilvl w:val="0"/>
                <w:numId w:val="14"/>
              </w:numPr>
              <w:autoSpaceDE w:val="0"/>
              <w:autoSpaceDN w:val="0"/>
              <w:adjustRightInd w:val="0"/>
              <w:rPr>
                <w:rFonts w:ascii="Palatino Linotype" w:hAnsi="Palatino Linotype" w:cs="Arial"/>
                <w:color w:val="000000"/>
                <w:sz w:val="20"/>
              </w:rPr>
            </w:pPr>
            <w:r w:rsidRPr="00751E75">
              <w:rPr>
                <w:rFonts w:ascii="Palatino Linotype" w:hAnsi="Palatino Linotype" w:cs="Arial"/>
                <w:color w:val="000000"/>
                <w:sz w:val="20"/>
              </w:rPr>
              <w:t>Act as an ombudsman in conjunction with state energy and emergency agencies to obtain electric power restoration priority to communications, public works (water, sewage), and ancillary energy facilities (e.g., fuel transportation/distribution systems, pipeline pump stations, and refineries).</w:t>
            </w:r>
          </w:p>
          <w:p w14:paraId="7E3C883C" w14:textId="77777777" w:rsidR="005F2D73" w:rsidRPr="00751E75" w:rsidRDefault="005F2D73" w:rsidP="00994689">
            <w:pPr>
              <w:pStyle w:val="ListParagraph"/>
              <w:numPr>
                <w:ilvl w:val="0"/>
                <w:numId w:val="14"/>
              </w:numPr>
              <w:autoSpaceDE w:val="0"/>
              <w:autoSpaceDN w:val="0"/>
              <w:adjustRightInd w:val="0"/>
              <w:rPr>
                <w:rFonts w:ascii="Palatino Linotype" w:hAnsi="Palatino Linotype" w:cs="Arial"/>
                <w:color w:val="000000"/>
                <w:sz w:val="20"/>
              </w:rPr>
            </w:pPr>
            <w:r w:rsidRPr="00751E75">
              <w:rPr>
                <w:rFonts w:ascii="Palatino Linotype" w:hAnsi="Palatino Linotype" w:cs="Arial"/>
                <w:color w:val="000000"/>
                <w:sz w:val="20"/>
              </w:rPr>
              <w:t>Handle requests for unique department assets to support an energy emergency response.</w:t>
            </w:r>
          </w:p>
          <w:p w14:paraId="73436087" w14:textId="77777777" w:rsidR="005F2D73" w:rsidRDefault="005F2D73" w:rsidP="00994689">
            <w:pPr>
              <w:pStyle w:val="ListParagraph"/>
              <w:numPr>
                <w:ilvl w:val="0"/>
                <w:numId w:val="14"/>
              </w:numPr>
              <w:autoSpaceDE w:val="0"/>
              <w:autoSpaceDN w:val="0"/>
              <w:adjustRightInd w:val="0"/>
              <w:rPr>
                <w:rFonts w:ascii="Palatino Linotype" w:hAnsi="Palatino Linotype"/>
                <w:sz w:val="22"/>
                <w:szCs w:val="22"/>
              </w:rPr>
            </w:pPr>
            <w:r w:rsidRPr="00751E75">
              <w:rPr>
                <w:rFonts w:ascii="Palatino Linotype" w:hAnsi="Palatino Linotype" w:cs="Arial"/>
                <w:color w:val="000000"/>
                <w:sz w:val="20"/>
              </w:rPr>
              <w:t>Maintain the DOE Emergency Operations Center (EOC).</w:t>
            </w:r>
          </w:p>
        </w:tc>
      </w:tr>
    </w:tbl>
    <w:p w14:paraId="3FFF30AC" w14:textId="77777777" w:rsidR="001B55E5" w:rsidRPr="00C00356" w:rsidRDefault="001B55E5" w:rsidP="003F24F0">
      <w:pPr>
        <w:rPr>
          <w:b/>
          <w:szCs w:val="24"/>
        </w:rPr>
      </w:pPr>
    </w:p>
    <w:sectPr w:rsidR="001B55E5" w:rsidRPr="00C00356" w:rsidSect="00BA4336">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4DA5D" w14:textId="77777777" w:rsidR="00015391" w:rsidRDefault="00015391" w:rsidP="00BA4336">
      <w:r>
        <w:separator/>
      </w:r>
    </w:p>
  </w:endnote>
  <w:endnote w:type="continuationSeparator" w:id="0">
    <w:p w14:paraId="7D6DCE40" w14:textId="77777777" w:rsidR="00015391" w:rsidRDefault="00015391" w:rsidP="00BA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E898C" w14:textId="77777777" w:rsidR="00BA4336" w:rsidRDefault="00E126F5" w:rsidP="00CA07ED">
    <w:pPr>
      <w:pStyle w:val="Footer"/>
      <w:jc w:val="center"/>
    </w:pPr>
    <w:r>
      <w:rPr>
        <w:noProof/>
      </w:rPr>
      <mc:AlternateContent>
        <mc:Choice Requires="wps">
          <w:drawing>
            <wp:anchor distT="0" distB="0" distL="114300" distR="114300" simplePos="0" relativeHeight="251656704" behindDoc="0" locked="0" layoutInCell="1" allowOverlap="1" wp14:anchorId="7AB6B602" wp14:editId="4E71739F">
              <wp:simplePos x="0" y="0"/>
              <wp:positionH relativeFrom="column">
                <wp:posOffset>5553075</wp:posOffset>
              </wp:positionH>
              <wp:positionV relativeFrom="paragraph">
                <wp:posOffset>-106680</wp:posOffset>
              </wp:positionV>
              <wp:extent cx="1202055" cy="771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771525"/>
                      </a:xfrm>
                      <a:prstGeom prst="rect">
                        <a:avLst/>
                      </a:prstGeom>
                      <a:solidFill>
                        <a:srgbClr val="FFFFFF"/>
                      </a:solidFill>
                      <a:ln w="9525">
                        <a:noFill/>
                        <a:miter lim="800000"/>
                        <a:headEnd/>
                        <a:tailEnd/>
                      </a:ln>
                    </wps:spPr>
                    <wps:txbx>
                      <w:txbxContent>
                        <w:p w14:paraId="45D3CECB" w14:textId="77777777" w:rsidR="00CA07ED" w:rsidRPr="003715B3" w:rsidRDefault="00CA07ED" w:rsidP="00CA07ED">
                          <w:pPr>
                            <w:jc w:val="right"/>
                            <w:rPr>
                              <w:rFonts w:ascii="Palatino Linotype" w:hAnsi="Palatino Linotype"/>
                            </w:rPr>
                          </w:pPr>
                          <w:r w:rsidRPr="003715B3">
                            <w:rPr>
                              <w:rFonts w:ascii="Palatino Linotype" w:hAnsi="Palatino Linotype"/>
                            </w:rPr>
                            <w:fldChar w:fldCharType="begin"/>
                          </w:r>
                          <w:r w:rsidRPr="003715B3">
                            <w:rPr>
                              <w:rFonts w:ascii="Palatino Linotype" w:hAnsi="Palatino Linotype"/>
                            </w:rPr>
                            <w:instrText xml:space="preserve"> PAGE   \* MERGEFORMAT </w:instrText>
                          </w:r>
                          <w:r w:rsidRPr="003715B3">
                            <w:rPr>
                              <w:rFonts w:ascii="Palatino Linotype" w:hAnsi="Palatino Linotype"/>
                            </w:rPr>
                            <w:fldChar w:fldCharType="separate"/>
                          </w:r>
                          <w:r w:rsidR="009A0217" w:rsidRPr="009A0217">
                            <w:rPr>
                              <w:rFonts w:ascii="Palatino Linotype" w:hAnsi="Palatino Linotype"/>
                              <w:b/>
                              <w:bCs/>
                              <w:noProof/>
                            </w:rPr>
                            <w:t>10</w:t>
                          </w:r>
                          <w:r w:rsidRPr="003715B3">
                            <w:rPr>
                              <w:rFonts w:ascii="Palatino Linotype" w:hAnsi="Palatino Linotype"/>
                              <w:b/>
                              <w:bCs/>
                              <w:noProof/>
                            </w:rPr>
                            <w:fldChar w:fldCharType="end"/>
                          </w:r>
                          <w:r w:rsidRPr="003715B3">
                            <w:rPr>
                              <w:rFonts w:ascii="Palatino Linotype" w:hAnsi="Palatino Linotype"/>
                              <w:b/>
                              <w:bCs/>
                            </w:rPr>
                            <w:t xml:space="preserve"> </w:t>
                          </w:r>
                          <w:r w:rsidRPr="003715B3">
                            <w:rPr>
                              <w:rFonts w:ascii="Palatino Linotype" w:hAnsi="Palatino Linotype"/>
                            </w:rPr>
                            <w:t>|</w:t>
                          </w:r>
                          <w:r w:rsidRPr="003715B3">
                            <w:rPr>
                              <w:rFonts w:ascii="Palatino Linotype" w:hAnsi="Palatino Linotype"/>
                              <w:b/>
                              <w:bCs/>
                            </w:rPr>
                            <w:t xml:space="preserve"> </w:t>
                          </w:r>
                          <w:r w:rsidRPr="003715B3">
                            <w:rPr>
                              <w:rFonts w:ascii="Palatino Linotype" w:hAnsi="Palatino Linotype"/>
                              <w:color w:val="808080" w:themeColor="background1" w:themeShade="80"/>
                              <w:spacing w:val="60"/>
                            </w:rPr>
                            <w:t>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B6B602" id="_x0000_t202" coordsize="21600,21600" o:spt="202" path="m,l,21600r21600,l21600,xe">
              <v:stroke joinstyle="miter"/>
              <v:path gradientshapeok="t" o:connecttype="rect"/>
            </v:shapetype>
            <v:shape id="Text Box 2" o:spid="_x0000_s1027" type="#_x0000_t202" style="position:absolute;left:0;text-align:left;margin-left:437.25pt;margin-top:-8.4pt;width:94.65pt;height:6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" stroked="f">
              <v:textbox>
                <w:txbxContent>
                  <w:p w14:paraId="45D3CECB" w14:textId="77777777" w:rsidR="00CA07ED" w:rsidRPr="003715B3" w:rsidRDefault="00CA07ED" w:rsidP="00CA07ED">
                    <w:pPr>
                      <w:jc w:val="right"/>
                      <w:rPr>
                        <w:rFonts w:ascii="Palatino Linotype" w:hAnsi="Palatino Linotype"/>
                      </w:rPr>
                    </w:pPr>
                    <w:r w:rsidRPr="003715B3">
                      <w:rPr>
                        <w:rFonts w:ascii="Palatino Linotype" w:hAnsi="Palatino Linotype"/>
                      </w:rPr>
                      <w:fldChar w:fldCharType="begin"/>
                    </w:r>
                    <w:r w:rsidRPr="003715B3">
                      <w:rPr>
                        <w:rFonts w:ascii="Palatino Linotype" w:hAnsi="Palatino Linotype"/>
                      </w:rPr>
                      <w:instrText xml:space="preserve"> PAGE   \* MERGEFORMAT </w:instrText>
                    </w:r>
                    <w:r w:rsidRPr="003715B3">
                      <w:rPr>
                        <w:rFonts w:ascii="Palatino Linotype" w:hAnsi="Palatino Linotype"/>
                      </w:rPr>
                      <w:fldChar w:fldCharType="separate"/>
                    </w:r>
                    <w:r w:rsidR="009A0217" w:rsidRPr="009A0217">
                      <w:rPr>
                        <w:rFonts w:ascii="Palatino Linotype" w:hAnsi="Palatino Linotype"/>
                        <w:b/>
                        <w:bCs/>
                        <w:noProof/>
                      </w:rPr>
                      <w:t>10</w:t>
                    </w:r>
                    <w:r w:rsidRPr="003715B3">
                      <w:rPr>
                        <w:rFonts w:ascii="Palatino Linotype" w:hAnsi="Palatino Linotype"/>
                        <w:b/>
                        <w:bCs/>
                        <w:noProof/>
                      </w:rPr>
                      <w:fldChar w:fldCharType="end"/>
                    </w:r>
                    <w:r w:rsidRPr="003715B3">
                      <w:rPr>
                        <w:rFonts w:ascii="Palatino Linotype" w:hAnsi="Palatino Linotype"/>
                        <w:b/>
                        <w:bCs/>
                      </w:rPr>
                      <w:t xml:space="preserve"> </w:t>
                    </w:r>
                    <w:r w:rsidRPr="003715B3">
                      <w:rPr>
                        <w:rFonts w:ascii="Palatino Linotype" w:hAnsi="Palatino Linotype"/>
                      </w:rPr>
                      <w:t>|</w:t>
                    </w:r>
                    <w:r w:rsidRPr="003715B3">
                      <w:rPr>
                        <w:rFonts w:ascii="Palatino Linotype" w:hAnsi="Palatino Linotype"/>
                        <w:b/>
                        <w:bCs/>
                      </w:rPr>
                      <w:t xml:space="preserve"> </w:t>
                    </w:r>
                    <w:r w:rsidRPr="003715B3">
                      <w:rPr>
                        <w:rFonts w:ascii="Palatino Linotype" w:hAnsi="Palatino Linotype"/>
                        <w:color w:val="808080" w:themeColor="background1" w:themeShade="80"/>
                        <w:spacing w:val="60"/>
                      </w:rPr>
                      <w:t>Page</w:t>
                    </w:r>
                  </w:p>
                </w:txbxContent>
              </v:textbox>
            </v:shape>
          </w:pict>
        </mc:Fallback>
      </mc:AlternateContent>
    </w:r>
    <w:r w:rsidR="00CA07ED">
      <w:rPr>
        <w:noProof/>
      </w:rPr>
      <mc:AlternateContent>
        <mc:Choice Requires="wps">
          <w:drawing>
            <wp:anchor distT="0" distB="0" distL="114300" distR="114300" simplePos="0" relativeHeight="251657728" behindDoc="0" locked="0" layoutInCell="1" allowOverlap="1" wp14:anchorId="716D6F34" wp14:editId="0E5012EF">
              <wp:simplePos x="0" y="0"/>
              <wp:positionH relativeFrom="column">
                <wp:posOffset>1038225</wp:posOffset>
              </wp:positionH>
              <wp:positionV relativeFrom="paragraph">
                <wp:posOffset>-87630</wp:posOffset>
              </wp:positionV>
              <wp:extent cx="4133850" cy="8477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847725"/>
                      </a:xfrm>
                      <a:prstGeom prst="rect">
                        <a:avLst/>
                      </a:prstGeom>
                      <a:solidFill>
                        <a:srgbClr val="FFFFFF"/>
                      </a:solidFill>
                      <a:ln w="9525">
                        <a:noFill/>
                        <a:miter lim="800000"/>
                        <a:headEnd/>
                        <a:tailEnd/>
                      </a:ln>
                    </wps:spPr>
                    <wps:txbx>
                      <w:txbxContent>
                        <w:p w14:paraId="48909147" w14:textId="77777777" w:rsidR="00CA07ED" w:rsidRPr="003715B3" w:rsidRDefault="00CA07ED" w:rsidP="00CA07ED">
                          <w:pPr>
                            <w:jc w:val="center"/>
                            <w:rPr>
                              <w:rFonts w:ascii="Palatino Linotype" w:hAnsi="Palatino Linotype"/>
                            </w:rPr>
                          </w:pPr>
                          <w:r w:rsidRPr="003715B3">
                            <w:rPr>
                              <w:rFonts w:ascii="Palatino Linotype" w:hAnsi="Palatino Linotype"/>
                            </w:rPr>
                            <w:t>Montana Emergency Response Framework</w:t>
                          </w:r>
                        </w:p>
                        <w:p w14:paraId="6D223857" w14:textId="77777777" w:rsidR="00CA07ED" w:rsidRPr="003715B3" w:rsidRDefault="00CA07ED" w:rsidP="00CA07ED">
                          <w:pPr>
                            <w:jc w:val="center"/>
                            <w:rPr>
                              <w:rFonts w:ascii="Palatino Linotype" w:hAnsi="Palatino Linotype"/>
                            </w:rPr>
                          </w:pPr>
                          <w:r w:rsidRPr="003715B3">
                            <w:rPr>
                              <w:rFonts w:ascii="Palatino Linotype" w:hAnsi="Palatino Linotype"/>
                            </w:rPr>
                            <w:t>ESF #12 Energy</w:t>
                          </w:r>
                        </w:p>
                        <w:p w14:paraId="54D862DB" w14:textId="77777777" w:rsidR="00CA07ED" w:rsidRPr="003715B3" w:rsidRDefault="000870C4" w:rsidP="00CA07ED">
                          <w:pPr>
                            <w:jc w:val="center"/>
                            <w:rPr>
                              <w:rFonts w:ascii="Palatino Linotype" w:hAnsi="Palatino Linotype"/>
                            </w:rPr>
                          </w:pPr>
                          <w:r>
                            <w:rPr>
                              <w:rFonts w:ascii="Palatino Linotype" w:hAnsi="Palatino Linotype"/>
                            </w:rPr>
                            <w:t>August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D6F34" id="_x0000_s1028" type="#_x0000_t202" style="position:absolute;left:0;text-align:left;margin-left:81.75pt;margin-top:-6.9pt;width:325.5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" stroked="f">
              <v:textbox>
                <w:txbxContent>
                  <w:p w14:paraId="48909147" w14:textId="77777777" w:rsidR="00CA07ED" w:rsidRPr="003715B3" w:rsidRDefault="00CA07ED" w:rsidP="00CA07ED">
                    <w:pPr>
                      <w:jc w:val="center"/>
                      <w:rPr>
                        <w:rFonts w:ascii="Palatino Linotype" w:hAnsi="Palatino Linotype"/>
                      </w:rPr>
                    </w:pPr>
                    <w:r w:rsidRPr="003715B3">
                      <w:rPr>
                        <w:rFonts w:ascii="Palatino Linotype" w:hAnsi="Palatino Linotype"/>
                      </w:rPr>
                      <w:t>Montana Emergency Response Framework</w:t>
                    </w:r>
                  </w:p>
                  <w:p w14:paraId="6D223857" w14:textId="77777777" w:rsidR="00CA07ED" w:rsidRPr="003715B3" w:rsidRDefault="00CA07ED" w:rsidP="00CA07ED">
                    <w:pPr>
                      <w:jc w:val="center"/>
                      <w:rPr>
                        <w:rFonts w:ascii="Palatino Linotype" w:hAnsi="Palatino Linotype"/>
                      </w:rPr>
                    </w:pPr>
                    <w:r w:rsidRPr="003715B3">
                      <w:rPr>
                        <w:rFonts w:ascii="Palatino Linotype" w:hAnsi="Palatino Linotype"/>
                      </w:rPr>
                      <w:t>ESF #12 Energy</w:t>
                    </w:r>
                  </w:p>
                  <w:p w14:paraId="54D862DB" w14:textId="77777777" w:rsidR="00CA07ED" w:rsidRPr="003715B3" w:rsidRDefault="000870C4" w:rsidP="00CA07ED">
                    <w:pPr>
                      <w:jc w:val="center"/>
                      <w:rPr>
                        <w:rFonts w:ascii="Palatino Linotype" w:hAnsi="Palatino Linotype"/>
                      </w:rPr>
                    </w:pPr>
                    <w:r>
                      <w:rPr>
                        <w:rFonts w:ascii="Palatino Linotype" w:hAnsi="Palatino Linotype"/>
                      </w:rPr>
                      <w:t>August 2019</w:t>
                    </w:r>
                  </w:p>
                </w:txbxContent>
              </v:textbox>
            </v:shape>
          </w:pict>
        </mc:Fallback>
      </mc:AlternateContent>
    </w:r>
  </w:p>
  <w:p w14:paraId="5F3F76EE" w14:textId="77777777" w:rsidR="00BA4336" w:rsidRDefault="00BA4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85942" w14:textId="77777777" w:rsidR="00015391" w:rsidRDefault="00015391" w:rsidP="00BA4336">
      <w:r>
        <w:separator/>
      </w:r>
    </w:p>
  </w:footnote>
  <w:footnote w:type="continuationSeparator" w:id="0">
    <w:p w14:paraId="2DD51C79" w14:textId="77777777" w:rsidR="00015391" w:rsidRDefault="00015391" w:rsidP="00BA4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494"/>
    <w:multiLevelType w:val="hybridMultilevel"/>
    <w:tmpl w:val="FA3E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A080A"/>
    <w:multiLevelType w:val="hybridMultilevel"/>
    <w:tmpl w:val="148E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3049A"/>
    <w:multiLevelType w:val="hybridMultilevel"/>
    <w:tmpl w:val="93524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E27AC6"/>
    <w:multiLevelType w:val="hybridMultilevel"/>
    <w:tmpl w:val="9AE8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B6D46"/>
    <w:multiLevelType w:val="hybridMultilevel"/>
    <w:tmpl w:val="0FCA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7A"/>
    <w:multiLevelType w:val="hybridMultilevel"/>
    <w:tmpl w:val="C8526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71916"/>
    <w:multiLevelType w:val="hybridMultilevel"/>
    <w:tmpl w:val="9DE0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32E90"/>
    <w:multiLevelType w:val="hybridMultilevel"/>
    <w:tmpl w:val="F59C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41E4E"/>
    <w:multiLevelType w:val="hybridMultilevel"/>
    <w:tmpl w:val="272E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110BF"/>
    <w:multiLevelType w:val="hybridMultilevel"/>
    <w:tmpl w:val="3D96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96B0F"/>
    <w:multiLevelType w:val="hybridMultilevel"/>
    <w:tmpl w:val="F7368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AB290E"/>
    <w:multiLevelType w:val="hybridMultilevel"/>
    <w:tmpl w:val="2FFA0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5A2BAE"/>
    <w:multiLevelType w:val="hybridMultilevel"/>
    <w:tmpl w:val="7A8A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8D219F"/>
    <w:multiLevelType w:val="hybridMultilevel"/>
    <w:tmpl w:val="2B16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647CD8"/>
    <w:multiLevelType w:val="hybridMultilevel"/>
    <w:tmpl w:val="C9A4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9"/>
  </w:num>
  <w:num w:numId="6">
    <w:abstractNumId w:val="11"/>
  </w:num>
  <w:num w:numId="7">
    <w:abstractNumId w:val="12"/>
  </w:num>
  <w:num w:numId="8">
    <w:abstractNumId w:val="8"/>
  </w:num>
  <w:num w:numId="9">
    <w:abstractNumId w:val="1"/>
  </w:num>
  <w:num w:numId="10">
    <w:abstractNumId w:val="5"/>
  </w:num>
  <w:num w:numId="11">
    <w:abstractNumId w:val="10"/>
  </w:num>
  <w:num w:numId="12">
    <w:abstractNumId w:val="7"/>
  </w:num>
  <w:num w:numId="13">
    <w:abstractNumId w:val="2"/>
  </w:num>
  <w:num w:numId="14">
    <w:abstractNumId w:val="14"/>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336"/>
    <w:rsid w:val="0001466C"/>
    <w:rsid w:val="00015391"/>
    <w:rsid w:val="000478D7"/>
    <w:rsid w:val="0005307A"/>
    <w:rsid w:val="00066BBB"/>
    <w:rsid w:val="00070F8E"/>
    <w:rsid w:val="00072436"/>
    <w:rsid w:val="000870C4"/>
    <w:rsid w:val="000A1D1C"/>
    <w:rsid w:val="000B32F9"/>
    <w:rsid w:val="000E3C4A"/>
    <w:rsid w:val="000F181F"/>
    <w:rsid w:val="000F6850"/>
    <w:rsid w:val="001474D1"/>
    <w:rsid w:val="00152E9D"/>
    <w:rsid w:val="00161E79"/>
    <w:rsid w:val="00182408"/>
    <w:rsid w:val="001858F7"/>
    <w:rsid w:val="001B55E5"/>
    <w:rsid w:val="001E08EA"/>
    <w:rsid w:val="001E4823"/>
    <w:rsid w:val="001E6508"/>
    <w:rsid w:val="002229D7"/>
    <w:rsid w:val="00231749"/>
    <w:rsid w:val="00235E4E"/>
    <w:rsid w:val="00243413"/>
    <w:rsid w:val="0025429D"/>
    <w:rsid w:val="00256900"/>
    <w:rsid w:val="00273B92"/>
    <w:rsid w:val="0029043D"/>
    <w:rsid w:val="002C095C"/>
    <w:rsid w:val="002C1C90"/>
    <w:rsid w:val="002E73E6"/>
    <w:rsid w:val="00322A2C"/>
    <w:rsid w:val="00361CCB"/>
    <w:rsid w:val="003679F5"/>
    <w:rsid w:val="003715B3"/>
    <w:rsid w:val="0038427E"/>
    <w:rsid w:val="003A6A0E"/>
    <w:rsid w:val="003B0CD5"/>
    <w:rsid w:val="003C77AA"/>
    <w:rsid w:val="003D0E13"/>
    <w:rsid w:val="003D6931"/>
    <w:rsid w:val="003F24F0"/>
    <w:rsid w:val="003F36AE"/>
    <w:rsid w:val="004048C4"/>
    <w:rsid w:val="00430E24"/>
    <w:rsid w:val="00450A2B"/>
    <w:rsid w:val="00450AC9"/>
    <w:rsid w:val="00484CDE"/>
    <w:rsid w:val="00494EF2"/>
    <w:rsid w:val="004A0F5E"/>
    <w:rsid w:val="004A6768"/>
    <w:rsid w:val="004B776C"/>
    <w:rsid w:val="004D46D1"/>
    <w:rsid w:val="005035A4"/>
    <w:rsid w:val="00511636"/>
    <w:rsid w:val="00553299"/>
    <w:rsid w:val="005B7666"/>
    <w:rsid w:val="005C6200"/>
    <w:rsid w:val="005F2D73"/>
    <w:rsid w:val="005F4B7E"/>
    <w:rsid w:val="00612B6E"/>
    <w:rsid w:val="00620E15"/>
    <w:rsid w:val="00645781"/>
    <w:rsid w:val="0065304B"/>
    <w:rsid w:val="0068062A"/>
    <w:rsid w:val="006B263D"/>
    <w:rsid w:val="006C2434"/>
    <w:rsid w:val="0071383B"/>
    <w:rsid w:val="00751E75"/>
    <w:rsid w:val="0076638E"/>
    <w:rsid w:val="007766E9"/>
    <w:rsid w:val="00782468"/>
    <w:rsid w:val="0078457F"/>
    <w:rsid w:val="00785F5D"/>
    <w:rsid w:val="00792B5D"/>
    <w:rsid w:val="007A789B"/>
    <w:rsid w:val="007D6948"/>
    <w:rsid w:val="007E2BFD"/>
    <w:rsid w:val="007E316D"/>
    <w:rsid w:val="00817B38"/>
    <w:rsid w:val="008238CD"/>
    <w:rsid w:val="00826736"/>
    <w:rsid w:val="008444CB"/>
    <w:rsid w:val="008468C3"/>
    <w:rsid w:val="0085189D"/>
    <w:rsid w:val="00865C4E"/>
    <w:rsid w:val="00866E00"/>
    <w:rsid w:val="008C3B4B"/>
    <w:rsid w:val="008C5308"/>
    <w:rsid w:val="008E0C0C"/>
    <w:rsid w:val="008E3E61"/>
    <w:rsid w:val="009045C5"/>
    <w:rsid w:val="00905556"/>
    <w:rsid w:val="00916762"/>
    <w:rsid w:val="00994689"/>
    <w:rsid w:val="009A0217"/>
    <w:rsid w:val="009B3BD8"/>
    <w:rsid w:val="00A07716"/>
    <w:rsid w:val="00A319B9"/>
    <w:rsid w:val="00A42B0C"/>
    <w:rsid w:val="00A4498D"/>
    <w:rsid w:val="00A907B9"/>
    <w:rsid w:val="00AA09DA"/>
    <w:rsid w:val="00AB3677"/>
    <w:rsid w:val="00AC6969"/>
    <w:rsid w:val="00AD0F79"/>
    <w:rsid w:val="00AD1834"/>
    <w:rsid w:val="00AF692A"/>
    <w:rsid w:val="00B04AB3"/>
    <w:rsid w:val="00B23A04"/>
    <w:rsid w:val="00B35FF9"/>
    <w:rsid w:val="00B4096E"/>
    <w:rsid w:val="00B71462"/>
    <w:rsid w:val="00B90896"/>
    <w:rsid w:val="00BA4336"/>
    <w:rsid w:val="00C00356"/>
    <w:rsid w:val="00C07EB6"/>
    <w:rsid w:val="00C12EF0"/>
    <w:rsid w:val="00C601DE"/>
    <w:rsid w:val="00C677DE"/>
    <w:rsid w:val="00C76D18"/>
    <w:rsid w:val="00C810A8"/>
    <w:rsid w:val="00C8454A"/>
    <w:rsid w:val="00CA07ED"/>
    <w:rsid w:val="00CF5B4B"/>
    <w:rsid w:val="00CF67E5"/>
    <w:rsid w:val="00D22BF1"/>
    <w:rsid w:val="00D4185E"/>
    <w:rsid w:val="00D670EC"/>
    <w:rsid w:val="00D92726"/>
    <w:rsid w:val="00D96354"/>
    <w:rsid w:val="00DA686A"/>
    <w:rsid w:val="00DE5367"/>
    <w:rsid w:val="00DF69F5"/>
    <w:rsid w:val="00E126F5"/>
    <w:rsid w:val="00E334FC"/>
    <w:rsid w:val="00E42012"/>
    <w:rsid w:val="00EA25EC"/>
    <w:rsid w:val="00EB0C7E"/>
    <w:rsid w:val="00EC6409"/>
    <w:rsid w:val="00F11B8E"/>
    <w:rsid w:val="00F137A1"/>
    <w:rsid w:val="00F31B01"/>
    <w:rsid w:val="00F64DCF"/>
    <w:rsid w:val="00F803B4"/>
    <w:rsid w:val="00F81A12"/>
    <w:rsid w:val="00FA0B04"/>
    <w:rsid w:val="00FE1A52"/>
    <w:rsid w:val="00FE3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CE8910"/>
  <w15:docId w15:val="{3682BDF0-EB6A-4501-A561-146F4DAB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CD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A4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68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F2D7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3715B3"/>
    <w:pPr>
      <w:tabs>
        <w:tab w:val="right" w:leader="dot" w:pos="9350"/>
      </w:tabs>
      <w:outlineLvl w:val="0"/>
    </w:pPr>
    <w:rPr>
      <w:smallCaps/>
      <w:noProof/>
      <w:szCs w:val="24"/>
    </w:rPr>
  </w:style>
  <w:style w:type="character" w:styleId="Hyperlink">
    <w:name w:val="Hyperlink"/>
    <w:basedOn w:val="DefaultParagraphFont"/>
    <w:uiPriority w:val="99"/>
    <w:rsid w:val="00BA4336"/>
    <w:rPr>
      <w:color w:val="0000FF"/>
      <w:u w:val="single"/>
    </w:rPr>
  </w:style>
  <w:style w:type="character" w:customStyle="1" w:styleId="Heading1Char">
    <w:name w:val="Heading 1 Char"/>
    <w:basedOn w:val="DefaultParagraphFont"/>
    <w:link w:val="Heading1"/>
    <w:uiPriority w:val="9"/>
    <w:rsid w:val="00BA433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A4336"/>
    <w:pPr>
      <w:spacing w:line="276" w:lineRule="auto"/>
      <w:outlineLvl w:val="9"/>
    </w:pPr>
    <w:rPr>
      <w:lang w:eastAsia="ja-JP"/>
    </w:rPr>
  </w:style>
  <w:style w:type="paragraph" w:styleId="BalloonText">
    <w:name w:val="Balloon Text"/>
    <w:basedOn w:val="Normal"/>
    <w:link w:val="BalloonTextChar"/>
    <w:uiPriority w:val="99"/>
    <w:semiHidden/>
    <w:unhideWhenUsed/>
    <w:rsid w:val="00BA4336"/>
    <w:rPr>
      <w:rFonts w:ascii="Tahoma" w:hAnsi="Tahoma" w:cs="Tahoma"/>
      <w:sz w:val="16"/>
      <w:szCs w:val="16"/>
    </w:rPr>
  </w:style>
  <w:style w:type="character" w:customStyle="1" w:styleId="BalloonTextChar">
    <w:name w:val="Balloon Text Char"/>
    <w:basedOn w:val="DefaultParagraphFont"/>
    <w:link w:val="BalloonText"/>
    <w:uiPriority w:val="99"/>
    <w:semiHidden/>
    <w:rsid w:val="00BA4336"/>
    <w:rPr>
      <w:rFonts w:ascii="Tahoma" w:eastAsia="Times New Roman" w:hAnsi="Tahoma" w:cs="Tahoma"/>
      <w:sz w:val="16"/>
      <w:szCs w:val="16"/>
    </w:rPr>
  </w:style>
  <w:style w:type="paragraph" w:styleId="NoSpacing">
    <w:name w:val="No Spacing"/>
    <w:link w:val="NoSpacingChar"/>
    <w:uiPriority w:val="1"/>
    <w:qFormat/>
    <w:rsid w:val="00BA433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A4336"/>
    <w:rPr>
      <w:rFonts w:eastAsiaTheme="minorEastAsia"/>
      <w:lang w:eastAsia="ja-JP"/>
    </w:rPr>
  </w:style>
  <w:style w:type="paragraph" w:styleId="Header">
    <w:name w:val="header"/>
    <w:basedOn w:val="Normal"/>
    <w:link w:val="HeaderChar"/>
    <w:uiPriority w:val="99"/>
    <w:unhideWhenUsed/>
    <w:rsid w:val="00BA4336"/>
    <w:pPr>
      <w:tabs>
        <w:tab w:val="center" w:pos="4680"/>
        <w:tab w:val="right" w:pos="9360"/>
      </w:tabs>
    </w:pPr>
  </w:style>
  <w:style w:type="character" w:customStyle="1" w:styleId="HeaderChar">
    <w:name w:val="Header Char"/>
    <w:basedOn w:val="DefaultParagraphFont"/>
    <w:link w:val="Header"/>
    <w:uiPriority w:val="99"/>
    <w:rsid w:val="00BA433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A4336"/>
    <w:pPr>
      <w:tabs>
        <w:tab w:val="center" w:pos="4680"/>
        <w:tab w:val="right" w:pos="9360"/>
      </w:tabs>
    </w:pPr>
  </w:style>
  <w:style w:type="character" w:customStyle="1" w:styleId="FooterChar">
    <w:name w:val="Footer Char"/>
    <w:basedOn w:val="DefaultParagraphFont"/>
    <w:link w:val="Footer"/>
    <w:uiPriority w:val="99"/>
    <w:rsid w:val="00BA4336"/>
    <w:rPr>
      <w:rFonts w:ascii="Times New Roman" w:eastAsia="Times New Roman" w:hAnsi="Times New Roman" w:cs="Times New Roman"/>
      <w:sz w:val="24"/>
      <w:szCs w:val="20"/>
    </w:rPr>
  </w:style>
  <w:style w:type="paragraph" w:customStyle="1" w:styleId="StyleHeading1CenteredBefore12ptAfter6ptBoxShad">
    <w:name w:val="Style Heading 1 + Centered Before:  12 pt After:  6 pt Box: (Shad..."/>
    <w:basedOn w:val="Heading1"/>
    <w:rsid w:val="00BA4336"/>
    <w:pPr>
      <w:keepLines w:val="0"/>
      <w:pBdr>
        <w:top w:val="single" w:sz="4" w:space="1" w:color="auto" w:shadow="1"/>
        <w:left w:val="single" w:sz="4" w:space="4" w:color="auto" w:shadow="1"/>
        <w:bottom w:val="single" w:sz="4" w:space="1" w:color="auto" w:shadow="1"/>
        <w:right w:val="single" w:sz="4" w:space="4" w:color="auto" w:shadow="1"/>
      </w:pBdr>
      <w:shd w:val="clear" w:color="auto" w:fill="FFFF99"/>
      <w:spacing w:before="0" w:after="120"/>
      <w:jc w:val="center"/>
    </w:pPr>
    <w:rPr>
      <w:rFonts w:ascii="Arial" w:eastAsia="Times New Roman" w:hAnsi="Arial" w:cs="Times New Roman"/>
      <w:color w:val="auto"/>
      <w:kern w:val="32"/>
      <w:sz w:val="32"/>
      <w:szCs w:val="20"/>
    </w:rPr>
  </w:style>
  <w:style w:type="table" w:styleId="TableGrid">
    <w:name w:val="Table Grid"/>
    <w:basedOn w:val="TableNormal"/>
    <w:uiPriority w:val="39"/>
    <w:rsid w:val="00BA4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8C3"/>
    <w:pPr>
      <w:ind w:left="720"/>
      <w:contextualSpacing/>
    </w:pPr>
  </w:style>
  <w:style w:type="character" w:customStyle="1" w:styleId="Heading2Char">
    <w:name w:val="Heading 2 Char"/>
    <w:basedOn w:val="DefaultParagraphFont"/>
    <w:link w:val="Heading2"/>
    <w:uiPriority w:val="9"/>
    <w:rsid w:val="008468C3"/>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8468C3"/>
    <w:pPr>
      <w:spacing w:after="100"/>
    </w:pPr>
  </w:style>
  <w:style w:type="table" w:customStyle="1" w:styleId="TableGrid1">
    <w:name w:val="Table Grid1"/>
    <w:basedOn w:val="TableNormal"/>
    <w:next w:val="TableGrid"/>
    <w:uiPriority w:val="39"/>
    <w:rsid w:val="007E2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B5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E48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F2D73"/>
    <w:rPr>
      <w:rFonts w:asciiTheme="majorHAnsi" w:eastAsiaTheme="majorEastAsia" w:hAnsiTheme="majorHAnsi" w:cstheme="majorBidi"/>
      <w:b/>
      <w:bCs/>
      <w:color w:val="4F81BD" w:themeColor="accent1"/>
      <w:sz w:val="24"/>
      <w:szCs w:val="20"/>
    </w:rPr>
  </w:style>
  <w:style w:type="character" w:customStyle="1" w:styleId="office-title-prefix">
    <w:name w:val="office-title-prefix"/>
    <w:basedOn w:val="DefaultParagraphFont"/>
    <w:rsid w:val="00C677DE"/>
  </w:style>
  <w:style w:type="character" w:customStyle="1" w:styleId="office-title-office">
    <w:name w:val="office-title-office"/>
    <w:basedOn w:val="DefaultParagraphFont"/>
    <w:rsid w:val="00C677DE"/>
  </w:style>
  <w:style w:type="character" w:customStyle="1" w:styleId="office-title-of">
    <w:name w:val="office-title-of"/>
    <w:basedOn w:val="DefaultParagraphFont"/>
    <w:rsid w:val="00C677DE"/>
  </w:style>
  <w:style w:type="character" w:customStyle="1" w:styleId="office-title-main">
    <w:name w:val="office-title-main"/>
    <w:basedOn w:val="DefaultParagraphFont"/>
    <w:rsid w:val="00C67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E782C2-5B78-4AA8-8858-7848940A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14</Pages>
  <Words>3733</Words>
  <Characters>21281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Emergency Support Function Annex #12 Energy</vt:lpstr>
    </vt:vector>
  </TitlesOfParts>
  <Company>Microsoft</Company>
  <LinksUpToDate>false</LinksUpToDate>
  <CharactersWithSpaces>24965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Support Function Annex #12 Energy</dc:title>
  <dc:creator>Lee, Ryan</dc:creator>
  <cp:lastModifiedBy>Blend, Jeffrey</cp:lastModifiedBy>
  <cp:revision>4</cp:revision>
  <cp:lastPrinted>2016-01-08T22:35:00Z</cp:lastPrinted>
  <dcterms:created xsi:type="dcterms:W3CDTF">2019-09-26T14:49:00Z</dcterms:created>
  <dcterms:modified xsi:type="dcterms:W3CDTF">2021-05-19T16:48:00Z</dcterms:modified>
</cp:coreProperties>
</file>