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4BB9E" w14:textId="77777777" w:rsidR="009524AD" w:rsidRDefault="009524AD"/>
    <w:p w14:paraId="2DBD8D9A" w14:textId="59093423" w:rsidR="00365D30" w:rsidRPr="00365D30" w:rsidRDefault="00C00634" w:rsidP="00483D96">
      <w:pPr>
        <w:rPr>
          <w:b/>
          <w:bCs/>
          <w:sz w:val="28"/>
          <w:szCs w:val="28"/>
        </w:rPr>
      </w:pPr>
      <w:r>
        <w:rPr>
          <w:b/>
          <w:bCs/>
          <w:sz w:val="28"/>
          <w:szCs w:val="28"/>
        </w:rPr>
        <w:t xml:space="preserve">Helena Army Aviation Support Facility - </w:t>
      </w:r>
      <w:r w:rsidR="00060A56" w:rsidRPr="001F5C6F">
        <w:rPr>
          <w:b/>
          <w:bCs/>
          <w:sz w:val="28"/>
          <w:szCs w:val="28"/>
        </w:rPr>
        <w:t xml:space="preserve">Perfluoroalkyl and </w:t>
      </w:r>
      <w:r w:rsidR="001F5C6F">
        <w:rPr>
          <w:b/>
          <w:bCs/>
          <w:sz w:val="28"/>
          <w:szCs w:val="28"/>
        </w:rPr>
        <w:t>P</w:t>
      </w:r>
      <w:r w:rsidR="00060A56" w:rsidRPr="001F5C6F">
        <w:rPr>
          <w:b/>
          <w:bCs/>
          <w:sz w:val="28"/>
          <w:szCs w:val="28"/>
        </w:rPr>
        <w:t xml:space="preserve">olyfluoroalkyl </w:t>
      </w:r>
      <w:r w:rsidR="001F5C6F">
        <w:rPr>
          <w:b/>
          <w:bCs/>
          <w:sz w:val="28"/>
          <w:szCs w:val="28"/>
        </w:rPr>
        <w:t>S</w:t>
      </w:r>
      <w:r w:rsidR="00060A56" w:rsidRPr="001F5C6F">
        <w:rPr>
          <w:b/>
          <w:bCs/>
          <w:sz w:val="28"/>
          <w:szCs w:val="28"/>
        </w:rPr>
        <w:t>ubstances (PFAS)</w:t>
      </w:r>
      <w:r w:rsidR="00C3647B" w:rsidRPr="00C3647B">
        <w:rPr>
          <w:b/>
          <w:bCs/>
          <w:sz w:val="28"/>
          <w:szCs w:val="28"/>
        </w:rPr>
        <w:t xml:space="preserve"> Site Summary</w:t>
      </w:r>
    </w:p>
    <w:p w14:paraId="7ED2690C" w14:textId="77777777" w:rsidR="00365D30" w:rsidRDefault="00365D30" w:rsidP="00483D96">
      <w:pPr>
        <w:rPr>
          <w:sz w:val="24"/>
          <w:szCs w:val="24"/>
        </w:rPr>
      </w:pPr>
    </w:p>
    <w:p w14:paraId="5428EB3B" w14:textId="64D7E184" w:rsidR="00BE1BB2" w:rsidRDefault="000C3E38" w:rsidP="00483D96">
      <w:pPr>
        <w:rPr>
          <w:sz w:val="24"/>
          <w:szCs w:val="24"/>
        </w:rPr>
      </w:pPr>
      <w:r>
        <w:rPr>
          <w:sz w:val="24"/>
          <w:szCs w:val="24"/>
        </w:rPr>
        <w:t>Preliminary Assessment (PA) - 2018</w:t>
      </w:r>
    </w:p>
    <w:p w14:paraId="3C34EB62" w14:textId="010DEB09" w:rsidR="001A6A7E" w:rsidRDefault="001A6A7E" w:rsidP="00483D96">
      <w:pPr>
        <w:rPr>
          <w:sz w:val="24"/>
          <w:szCs w:val="24"/>
        </w:rPr>
      </w:pPr>
      <w:r w:rsidRPr="001A6A7E">
        <w:rPr>
          <w:sz w:val="24"/>
          <w:szCs w:val="24"/>
        </w:rPr>
        <w:t>In October 2018, contrac</w:t>
      </w:r>
      <w:r>
        <w:rPr>
          <w:sz w:val="24"/>
          <w:szCs w:val="24"/>
        </w:rPr>
        <w:t>tors hired by the</w:t>
      </w:r>
      <w:r w:rsidRPr="001A6A7E">
        <w:t xml:space="preserve"> </w:t>
      </w:r>
      <w:r w:rsidRPr="001A6A7E">
        <w:rPr>
          <w:sz w:val="24"/>
          <w:szCs w:val="24"/>
        </w:rPr>
        <w:t xml:space="preserve">Army National Guard (ARNG) </w:t>
      </w:r>
      <w:r>
        <w:rPr>
          <w:sz w:val="24"/>
          <w:szCs w:val="24"/>
        </w:rPr>
        <w:t xml:space="preserve">finalized </w:t>
      </w:r>
      <w:r w:rsidRPr="001A6A7E">
        <w:rPr>
          <w:sz w:val="24"/>
          <w:szCs w:val="24"/>
        </w:rPr>
        <w:t xml:space="preserve">a PA </w:t>
      </w:r>
      <w:r>
        <w:rPr>
          <w:sz w:val="24"/>
          <w:szCs w:val="24"/>
        </w:rPr>
        <w:t>Report for the Helena Army Aviation Support Facility (HAASF)</w:t>
      </w:r>
      <w:r w:rsidRPr="001A6A7E">
        <w:rPr>
          <w:sz w:val="24"/>
          <w:szCs w:val="24"/>
        </w:rPr>
        <w:t xml:space="preserve">.  Interviews with current and former employees confirmed there were </w:t>
      </w:r>
      <w:r>
        <w:rPr>
          <w:sz w:val="24"/>
          <w:szCs w:val="24"/>
        </w:rPr>
        <w:t>four</w:t>
      </w:r>
      <w:r w:rsidRPr="001A6A7E">
        <w:rPr>
          <w:sz w:val="24"/>
          <w:szCs w:val="24"/>
        </w:rPr>
        <w:t xml:space="preserve"> potential</w:t>
      </w:r>
      <w:r w:rsidRPr="001A6A7E">
        <w:t xml:space="preserve"> </w:t>
      </w:r>
      <w:r w:rsidRPr="001A6A7E">
        <w:rPr>
          <w:sz w:val="24"/>
          <w:szCs w:val="24"/>
        </w:rPr>
        <w:t xml:space="preserve">Perfluoroalkyl and </w:t>
      </w:r>
      <w:r w:rsidR="001F5C6F">
        <w:rPr>
          <w:sz w:val="24"/>
          <w:szCs w:val="24"/>
        </w:rPr>
        <w:t>P</w:t>
      </w:r>
      <w:r w:rsidRPr="001A6A7E">
        <w:rPr>
          <w:sz w:val="24"/>
          <w:szCs w:val="24"/>
        </w:rPr>
        <w:t xml:space="preserve">olyfluoroalkyl </w:t>
      </w:r>
      <w:r w:rsidR="001F5C6F">
        <w:rPr>
          <w:sz w:val="24"/>
          <w:szCs w:val="24"/>
        </w:rPr>
        <w:t>S</w:t>
      </w:r>
      <w:r w:rsidRPr="001A6A7E">
        <w:rPr>
          <w:sz w:val="24"/>
          <w:szCs w:val="24"/>
        </w:rPr>
        <w:t xml:space="preserve">ubstances (PFAS) release areas that warranted further investigation.  </w:t>
      </w:r>
    </w:p>
    <w:p w14:paraId="369CC76E" w14:textId="77777777" w:rsidR="001A6A7E" w:rsidRDefault="001A6A7E" w:rsidP="00483D96">
      <w:pPr>
        <w:rPr>
          <w:sz w:val="24"/>
          <w:szCs w:val="24"/>
        </w:rPr>
      </w:pPr>
    </w:p>
    <w:p w14:paraId="7597C320" w14:textId="5A00BD54" w:rsidR="000C3E38" w:rsidRDefault="000C3E38" w:rsidP="00483D96">
      <w:pPr>
        <w:rPr>
          <w:sz w:val="24"/>
          <w:szCs w:val="24"/>
        </w:rPr>
      </w:pPr>
      <w:r>
        <w:rPr>
          <w:sz w:val="24"/>
          <w:szCs w:val="24"/>
        </w:rPr>
        <w:t>Site Inspection (SI) - 2020</w:t>
      </w:r>
    </w:p>
    <w:p w14:paraId="15568A2D" w14:textId="6807AB82" w:rsidR="00CD53E8" w:rsidRDefault="00D81FC5" w:rsidP="00CD53E8">
      <w:pPr>
        <w:rPr>
          <w:sz w:val="24"/>
          <w:szCs w:val="24"/>
        </w:rPr>
      </w:pPr>
      <w:r w:rsidRPr="00E75BC8">
        <w:rPr>
          <w:sz w:val="24"/>
          <w:szCs w:val="24"/>
        </w:rPr>
        <w:t>Contractors conducted a S</w:t>
      </w:r>
      <w:r w:rsidRPr="00D81FC5">
        <w:rPr>
          <w:sz w:val="24"/>
          <w:szCs w:val="24"/>
        </w:rPr>
        <w:t>I</w:t>
      </w:r>
      <w:r w:rsidR="000C3E38">
        <w:rPr>
          <w:sz w:val="24"/>
          <w:szCs w:val="24"/>
        </w:rPr>
        <w:t xml:space="preserve"> </w:t>
      </w:r>
      <w:r w:rsidR="001F5C6F">
        <w:rPr>
          <w:sz w:val="24"/>
          <w:szCs w:val="24"/>
        </w:rPr>
        <w:t>during July 2020</w:t>
      </w:r>
      <w:r w:rsidRPr="00D81FC5">
        <w:rPr>
          <w:sz w:val="24"/>
          <w:szCs w:val="24"/>
        </w:rPr>
        <w:t xml:space="preserve"> to further evaluate potential sources of PFAS and determine the nature and extend of PFAS contamination on-site.</w:t>
      </w:r>
      <w:r w:rsidR="00CD53E8">
        <w:rPr>
          <w:sz w:val="24"/>
          <w:szCs w:val="24"/>
        </w:rPr>
        <w:t xml:space="preserve"> No fire suppression </w:t>
      </w:r>
      <w:r w:rsidR="005E156C">
        <w:rPr>
          <w:sz w:val="24"/>
          <w:szCs w:val="24"/>
        </w:rPr>
        <w:t>events,</w:t>
      </w:r>
      <w:r w:rsidR="00CD53E8">
        <w:rPr>
          <w:sz w:val="24"/>
          <w:szCs w:val="24"/>
        </w:rPr>
        <w:t xml:space="preserve"> or firefighting training activities were conducted at the HAASF, so the area of interest where PFAS was potentially released to the environment was limited to the detention pond and surrounding area. A</w:t>
      </w:r>
      <w:r w:rsidR="00CD53E8" w:rsidRPr="001A6A7E">
        <w:rPr>
          <w:sz w:val="24"/>
          <w:szCs w:val="24"/>
        </w:rPr>
        <w:t xml:space="preserve">queous film forming foam </w:t>
      </w:r>
      <w:r w:rsidR="00CD53E8">
        <w:rPr>
          <w:sz w:val="24"/>
          <w:szCs w:val="24"/>
        </w:rPr>
        <w:t xml:space="preserve">(AFFF) associated with testing of the fire suppression system at Hangar 60 along with approximately 5-gallons of Tri-Max30 that were spilled near Hangar 60 during filling of one of the portable fire extinguishers likely entered the storm drain system and discharged into the detention pond.         </w:t>
      </w:r>
    </w:p>
    <w:p w14:paraId="7A614525" w14:textId="77777777" w:rsidR="00CD53E8" w:rsidRDefault="00CD53E8" w:rsidP="00CD53E8">
      <w:pPr>
        <w:rPr>
          <w:sz w:val="24"/>
          <w:szCs w:val="24"/>
        </w:rPr>
      </w:pPr>
    </w:p>
    <w:p w14:paraId="5C13EE30" w14:textId="00A6930F" w:rsidR="00CD53E8" w:rsidRDefault="00CD53E8" w:rsidP="00CD53E8">
      <w:pPr>
        <w:rPr>
          <w:sz w:val="24"/>
          <w:szCs w:val="24"/>
        </w:rPr>
      </w:pPr>
      <w:r>
        <w:rPr>
          <w:sz w:val="24"/>
          <w:szCs w:val="24"/>
        </w:rPr>
        <w:t xml:space="preserve">Five soil borings/monitoring wells and two surface soil borings were installed during the Site Inspection to evaluate PFAS impacts to soil and groundwater. </w:t>
      </w:r>
      <w:r w:rsidR="00D81FC5" w:rsidRPr="00D81FC5">
        <w:rPr>
          <w:sz w:val="24"/>
          <w:szCs w:val="24"/>
        </w:rPr>
        <w:t>The soil and groundwater samples were analyzed for a subset of 18 PFAS compounds.</w:t>
      </w:r>
    </w:p>
    <w:p w14:paraId="7EAB1A7B" w14:textId="77777777" w:rsidR="00CD53E8" w:rsidRDefault="00CD53E8" w:rsidP="00CD53E8">
      <w:pPr>
        <w:rPr>
          <w:sz w:val="24"/>
          <w:szCs w:val="24"/>
        </w:rPr>
      </w:pPr>
    </w:p>
    <w:p w14:paraId="611BFFFD" w14:textId="03A57CA3" w:rsidR="001F5C6F" w:rsidRPr="00612690" w:rsidRDefault="00D81FC5" w:rsidP="00CD53E8">
      <w:pPr>
        <w:rPr>
          <w:sz w:val="24"/>
          <w:szCs w:val="24"/>
        </w:rPr>
      </w:pPr>
      <w:r w:rsidRPr="00612690">
        <w:rPr>
          <w:sz w:val="24"/>
          <w:szCs w:val="24"/>
        </w:rPr>
        <w:t xml:space="preserve"> </w:t>
      </w:r>
      <w:r w:rsidR="001F5C6F" w:rsidRPr="00612690">
        <w:rPr>
          <w:sz w:val="24"/>
          <w:szCs w:val="24"/>
        </w:rPr>
        <w:t>Analytical results were compared to the Montana DEQ-7 human health groundwater standard for combined and individual Perfluorooctane Sulfonate (PFOS) and Perfluorooctanoic Acid (PFOA) of 70 nanograms per liter (ng/L) and Department of Defense DoD screening levels (SLs) for soil and groundwater listed below.  Soil from 0-2 feet was compared to Residential SLs, 2-15 feet compared to Industrial SLs, and greater than 15 feet was not compared to either SL.</w:t>
      </w:r>
    </w:p>
    <w:p w14:paraId="0A386807" w14:textId="77777777" w:rsidR="001F5C6F" w:rsidRDefault="001F5C6F" w:rsidP="001F5C6F">
      <w:pPr>
        <w:rPr>
          <w:sz w:val="24"/>
          <w:szCs w:val="24"/>
        </w:rPr>
      </w:pPr>
    </w:p>
    <w:p w14:paraId="38AC3029" w14:textId="2D034EF3" w:rsidR="00D81FC5" w:rsidRDefault="00D81FC5" w:rsidP="00483D96">
      <w:pPr>
        <w:rPr>
          <w:sz w:val="24"/>
          <w:szCs w:val="24"/>
        </w:rPr>
      </w:pPr>
      <w:r>
        <w:rPr>
          <w:noProof/>
          <w:sz w:val="24"/>
          <w:szCs w:val="24"/>
        </w:rPr>
        <w:drawing>
          <wp:inline distT="0" distB="0" distL="0" distR="0" wp14:anchorId="633270B7" wp14:editId="578A903C">
            <wp:extent cx="5944235" cy="2512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2512060"/>
                    </a:xfrm>
                    <a:prstGeom prst="rect">
                      <a:avLst/>
                    </a:prstGeom>
                    <a:noFill/>
                  </pic:spPr>
                </pic:pic>
              </a:graphicData>
            </a:graphic>
          </wp:inline>
        </w:drawing>
      </w:r>
    </w:p>
    <w:p w14:paraId="1E938F6D" w14:textId="08DF569C" w:rsidR="00651793" w:rsidRDefault="006868AC" w:rsidP="00882303">
      <w:pPr>
        <w:rPr>
          <w:sz w:val="24"/>
          <w:szCs w:val="24"/>
        </w:rPr>
      </w:pPr>
      <w:r>
        <w:rPr>
          <w:sz w:val="24"/>
          <w:szCs w:val="24"/>
        </w:rPr>
        <w:lastRenderedPageBreak/>
        <w:t>There were no</w:t>
      </w:r>
      <w:r w:rsidR="00CB1AA0">
        <w:rPr>
          <w:sz w:val="24"/>
          <w:szCs w:val="24"/>
        </w:rPr>
        <w:t xml:space="preserve"> PFOA</w:t>
      </w:r>
      <w:r>
        <w:rPr>
          <w:sz w:val="24"/>
          <w:szCs w:val="24"/>
        </w:rPr>
        <w:t xml:space="preserve"> </w:t>
      </w:r>
      <w:r w:rsidR="00D81FC5">
        <w:rPr>
          <w:sz w:val="24"/>
          <w:szCs w:val="24"/>
        </w:rPr>
        <w:t xml:space="preserve">or PFBS </w:t>
      </w:r>
      <w:r>
        <w:rPr>
          <w:sz w:val="24"/>
          <w:szCs w:val="24"/>
        </w:rPr>
        <w:t xml:space="preserve">detections </w:t>
      </w:r>
      <w:r w:rsidR="001D28FA">
        <w:rPr>
          <w:sz w:val="24"/>
          <w:szCs w:val="24"/>
        </w:rPr>
        <w:t>in soil</w:t>
      </w:r>
      <w:r w:rsidR="008A444B">
        <w:rPr>
          <w:sz w:val="24"/>
          <w:szCs w:val="24"/>
        </w:rPr>
        <w:t>,</w:t>
      </w:r>
      <w:r w:rsidR="001D28FA">
        <w:rPr>
          <w:sz w:val="24"/>
          <w:szCs w:val="24"/>
        </w:rPr>
        <w:t xml:space="preserve"> </w:t>
      </w:r>
      <w:r w:rsidR="00535420">
        <w:rPr>
          <w:sz w:val="24"/>
          <w:szCs w:val="24"/>
        </w:rPr>
        <w:t xml:space="preserve">and </w:t>
      </w:r>
      <w:r>
        <w:rPr>
          <w:sz w:val="24"/>
          <w:szCs w:val="24"/>
        </w:rPr>
        <w:t>PFOS was</w:t>
      </w:r>
      <w:r w:rsidR="00535420">
        <w:rPr>
          <w:sz w:val="24"/>
          <w:szCs w:val="24"/>
        </w:rPr>
        <w:t xml:space="preserve"> present in only one</w:t>
      </w:r>
      <w:r w:rsidR="00CB1AA0">
        <w:rPr>
          <w:sz w:val="24"/>
          <w:szCs w:val="24"/>
        </w:rPr>
        <w:t xml:space="preserve"> soil</w:t>
      </w:r>
      <w:r w:rsidR="00535420">
        <w:rPr>
          <w:sz w:val="24"/>
          <w:szCs w:val="24"/>
        </w:rPr>
        <w:t xml:space="preserve"> sample. PF</w:t>
      </w:r>
      <w:r w:rsidR="00077B20">
        <w:rPr>
          <w:sz w:val="24"/>
          <w:szCs w:val="24"/>
        </w:rPr>
        <w:t>O</w:t>
      </w:r>
      <w:r w:rsidR="00535420">
        <w:rPr>
          <w:sz w:val="24"/>
          <w:szCs w:val="24"/>
        </w:rPr>
        <w:t xml:space="preserve">S was reported at a concentration of 1.72 </w:t>
      </w:r>
      <w:r w:rsidR="00077B20">
        <w:rPr>
          <w:sz w:val="24"/>
          <w:szCs w:val="24"/>
        </w:rPr>
        <w:t>micrograms per kilogram (</w:t>
      </w:r>
      <w:r w:rsidR="00535420">
        <w:rPr>
          <w:sz w:val="24"/>
          <w:szCs w:val="24"/>
        </w:rPr>
        <w:t>ug/kg</w:t>
      </w:r>
      <w:r w:rsidR="00077B20">
        <w:rPr>
          <w:sz w:val="24"/>
          <w:szCs w:val="24"/>
        </w:rPr>
        <w:t>)</w:t>
      </w:r>
      <w:r w:rsidR="00535420">
        <w:rPr>
          <w:sz w:val="24"/>
          <w:szCs w:val="24"/>
        </w:rPr>
        <w:t xml:space="preserve"> from soil </w:t>
      </w:r>
      <w:r>
        <w:rPr>
          <w:sz w:val="24"/>
          <w:szCs w:val="24"/>
        </w:rPr>
        <w:t>boring/monitoring well</w:t>
      </w:r>
      <w:r w:rsidR="000E265E">
        <w:rPr>
          <w:sz w:val="24"/>
          <w:szCs w:val="24"/>
        </w:rPr>
        <w:t xml:space="preserve"> (AOI1-05/HAASF-MW005)</w:t>
      </w:r>
      <w:r w:rsidR="00CB1AA0">
        <w:rPr>
          <w:sz w:val="24"/>
          <w:szCs w:val="24"/>
        </w:rPr>
        <w:t xml:space="preserve"> located</w:t>
      </w:r>
      <w:r w:rsidR="00535420">
        <w:rPr>
          <w:sz w:val="24"/>
          <w:szCs w:val="24"/>
        </w:rPr>
        <w:t xml:space="preserve"> </w:t>
      </w:r>
      <w:r>
        <w:rPr>
          <w:sz w:val="24"/>
          <w:szCs w:val="24"/>
        </w:rPr>
        <w:t>adjacent to the detention pond.</w:t>
      </w:r>
      <w:r w:rsidR="00535420">
        <w:rPr>
          <w:sz w:val="24"/>
          <w:szCs w:val="24"/>
        </w:rPr>
        <w:t xml:space="preserve"> </w:t>
      </w:r>
      <w:r w:rsidR="00612690">
        <w:rPr>
          <w:sz w:val="24"/>
          <w:szCs w:val="24"/>
        </w:rPr>
        <w:t>The duplicate</w:t>
      </w:r>
      <w:r w:rsidR="008F4C4A">
        <w:rPr>
          <w:sz w:val="24"/>
          <w:szCs w:val="24"/>
        </w:rPr>
        <w:t xml:space="preserve"> sample</w:t>
      </w:r>
      <w:r w:rsidR="00612690">
        <w:rPr>
          <w:sz w:val="24"/>
          <w:szCs w:val="24"/>
        </w:rPr>
        <w:t xml:space="preserve"> reported 2.37 ug/kg. </w:t>
      </w:r>
      <w:r w:rsidR="00483D96">
        <w:rPr>
          <w:sz w:val="24"/>
          <w:szCs w:val="24"/>
        </w:rPr>
        <w:t>The</w:t>
      </w:r>
      <w:r w:rsidR="00BB7906">
        <w:rPr>
          <w:sz w:val="24"/>
          <w:szCs w:val="24"/>
        </w:rPr>
        <w:t xml:space="preserve"> groundwater</w:t>
      </w:r>
      <w:r w:rsidR="00483D96">
        <w:rPr>
          <w:sz w:val="24"/>
          <w:szCs w:val="24"/>
        </w:rPr>
        <w:t xml:space="preserve"> analytical results </w:t>
      </w:r>
      <w:r w:rsidR="00BB7906">
        <w:rPr>
          <w:sz w:val="24"/>
          <w:szCs w:val="24"/>
        </w:rPr>
        <w:t>from</w:t>
      </w:r>
      <w:r w:rsidR="005918FA">
        <w:rPr>
          <w:sz w:val="24"/>
          <w:szCs w:val="24"/>
        </w:rPr>
        <w:t xml:space="preserve"> monitoring wells (</w:t>
      </w:r>
      <w:r w:rsidR="00BB7906">
        <w:rPr>
          <w:sz w:val="24"/>
          <w:szCs w:val="24"/>
        </w:rPr>
        <w:t>HAASF-MW005 and HAASF-MW003</w:t>
      </w:r>
      <w:r w:rsidR="005918FA">
        <w:rPr>
          <w:sz w:val="24"/>
          <w:szCs w:val="24"/>
        </w:rPr>
        <w:t>)</w:t>
      </w:r>
      <w:r w:rsidR="00CB1AA0">
        <w:rPr>
          <w:sz w:val="24"/>
          <w:szCs w:val="24"/>
        </w:rPr>
        <w:t xml:space="preserve">, located adjacent to and downgradient of the detention pond respectively, </w:t>
      </w:r>
      <w:r w:rsidR="00AF4860">
        <w:rPr>
          <w:sz w:val="24"/>
          <w:szCs w:val="24"/>
        </w:rPr>
        <w:t xml:space="preserve">were </w:t>
      </w:r>
      <w:r w:rsidR="00483D96">
        <w:rPr>
          <w:sz w:val="24"/>
          <w:szCs w:val="24"/>
        </w:rPr>
        <w:t>above the Montana DEQ</w:t>
      </w:r>
      <w:r w:rsidR="006D7055">
        <w:rPr>
          <w:sz w:val="24"/>
          <w:szCs w:val="24"/>
        </w:rPr>
        <w:t xml:space="preserve">-7 </w:t>
      </w:r>
      <w:r w:rsidR="00483D96">
        <w:rPr>
          <w:sz w:val="24"/>
          <w:szCs w:val="24"/>
        </w:rPr>
        <w:t xml:space="preserve">groundwater standard </w:t>
      </w:r>
      <w:r w:rsidR="005918FA">
        <w:rPr>
          <w:sz w:val="24"/>
          <w:szCs w:val="24"/>
        </w:rPr>
        <w:t xml:space="preserve">of 70 ng/L </w:t>
      </w:r>
      <w:r w:rsidR="00483D96">
        <w:rPr>
          <w:sz w:val="24"/>
          <w:szCs w:val="24"/>
        </w:rPr>
        <w:t>for PFOS/PFOA</w:t>
      </w:r>
      <w:r w:rsidR="005918FA">
        <w:rPr>
          <w:sz w:val="24"/>
          <w:szCs w:val="24"/>
        </w:rPr>
        <w:t xml:space="preserve"> either separately or combined</w:t>
      </w:r>
      <w:r w:rsidR="00BB7906">
        <w:rPr>
          <w:sz w:val="24"/>
          <w:szCs w:val="24"/>
        </w:rPr>
        <w:t>.</w:t>
      </w:r>
      <w:r w:rsidR="005918FA">
        <w:rPr>
          <w:sz w:val="24"/>
          <w:szCs w:val="24"/>
        </w:rPr>
        <w:t xml:space="preserve"> Monitoring well</w:t>
      </w:r>
      <w:r w:rsidR="00BB7906">
        <w:rPr>
          <w:sz w:val="24"/>
          <w:szCs w:val="24"/>
        </w:rPr>
        <w:t xml:space="preserve"> HAASF-MW005 reported</w:t>
      </w:r>
      <w:r w:rsidR="00483D96">
        <w:rPr>
          <w:sz w:val="24"/>
          <w:szCs w:val="24"/>
        </w:rPr>
        <w:t xml:space="preserve"> </w:t>
      </w:r>
      <w:r w:rsidR="00483D96" w:rsidRPr="00432D34">
        <w:rPr>
          <w:sz w:val="24"/>
          <w:szCs w:val="24"/>
        </w:rPr>
        <w:t xml:space="preserve">PFOS at </w:t>
      </w:r>
      <w:r w:rsidR="00BB7906">
        <w:rPr>
          <w:sz w:val="24"/>
          <w:szCs w:val="24"/>
        </w:rPr>
        <w:t>775</w:t>
      </w:r>
      <w:r w:rsidR="00483D96">
        <w:rPr>
          <w:sz w:val="24"/>
          <w:szCs w:val="24"/>
        </w:rPr>
        <w:t xml:space="preserve"> nanograms per liter (</w:t>
      </w:r>
      <w:r w:rsidR="00483D96" w:rsidRPr="00432D34">
        <w:rPr>
          <w:sz w:val="24"/>
          <w:szCs w:val="24"/>
        </w:rPr>
        <w:t>ng/L</w:t>
      </w:r>
      <w:r w:rsidR="00483D96">
        <w:rPr>
          <w:sz w:val="24"/>
          <w:szCs w:val="24"/>
        </w:rPr>
        <w:t>)</w:t>
      </w:r>
      <w:r w:rsidR="00483D96" w:rsidRPr="00432D34">
        <w:rPr>
          <w:sz w:val="24"/>
          <w:szCs w:val="24"/>
        </w:rPr>
        <w:t>,</w:t>
      </w:r>
      <w:r w:rsidR="00483D96">
        <w:rPr>
          <w:sz w:val="24"/>
          <w:szCs w:val="24"/>
        </w:rPr>
        <w:t xml:space="preserve"> and</w:t>
      </w:r>
      <w:r w:rsidR="00483D96" w:rsidRPr="00432D34">
        <w:rPr>
          <w:sz w:val="24"/>
          <w:szCs w:val="24"/>
        </w:rPr>
        <w:t xml:space="preserve"> PFOA at </w:t>
      </w:r>
      <w:r w:rsidR="00BB7906">
        <w:rPr>
          <w:sz w:val="24"/>
          <w:szCs w:val="24"/>
        </w:rPr>
        <w:t>9.</w:t>
      </w:r>
      <w:r w:rsidR="005918FA">
        <w:rPr>
          <w:sz w:val="24"/>
          <w:szCs w:val="24"/>
        </w:rPr>
        <w:t>59 J</w:t>
      </w:r>
      <w:r w:rsidR="00483D96" w:rsidRPr="00432D34">
        <w:rPr>
          <w:sz w:val="24"/>
          <w:szCs w:val="24"/>
        </w:rPr>
        <w:t xml:space="preserve"> ng/L</w:t>
      </w:r>
      <w:r w:rsidR="005918FA">
        <w:rPr>
          <w:sz w:val="24"/>
          <w:szCs w:val="24"/>
        </w:rPr>
        <w:t>.</w:t>
      </w:r>
      <w:r w:rsidR="00612690">
        <w:rPr>
          <w:sz w:val="24"/>
          <w:szCs w:val="24"/>
        </w:rPr>
        <w:t xml:space="preserve"> The duplicate sample reported 814 ng/L PFOS and 10.7 ng/L PFOA.</w:t>
      </w:r>
      <w:r w:rsidR="005918FA">
        <w:rPr>
          <w:sz w:val="24"/>
          <w:szCs w:val="24"/>
        </w:rPr>
        <w:t xml:space="preserve"> </w:t>
      </w:r>
      <w:r w:rsidR="00C2017F">
        <w:rPr>
          <w:sz w:val="24"/>
          <w:szCs w:val="24"/>
        </w:rPr>
        <w:t xml:space="preserve">HAASF-MW003 reported a PFOS concentration of 175 ng/L and PFOA at </w:t>
      </w:r>
      <w:r w:rsidR="005918FA">
        <w:rPr>
          <w:sz w:val="24"/>
          <w:szCs w:val="24"/>
        </w:rPr>
        <w:t>9.07 J ng/L</w:t>
      </w:r>
      <w:r w:rsidR="00C2017F">
        <w:rPr>
          <w:sz w:val="24"/>
          <w:szCs w:val="24"/>
        </w:rPr>
        <w:t>.</w:t>
      </w:r>
      <w:r w:rsidR="00483D96" w:rsidRPr="00432D34">
        <w:rPr>
          <w:sz w:val="24"/>
          <w:szCs w:val="24"/>
        </w:rPr>
        <w:t xml:space="preserve"> The results </w:t>
      </w:r>
      <w:r w:rsidR="005918FA">
        <w:rPr>
          <w:sz w:val="24"/>
          <w:szCs w:val="24"/>
        </w:rPr>
        <w:t>from the other</w:t>
      </w:r>
      <w:r w:rsidR="001D28FA">
        <w:rPr>
          <w:sz w:val="24"/>
          <w:szCs w:val="24"/>
        </w:rPr>
        <w:t xml:space="preserve"> three monitoring </w:t>
      </w:r>
      <w:r w:rsidR="005918FA">
        <w:rPr>
          <w:sz w:val="24"/>
          <w:szCs w:val="24"/>
        </w:rPr>
        <w:t xml:space="preserve">wells were </w:t>
      </w:r>
      <w:r w:rsidR="00AF4860">
        <w:rPr>
          <w:sz w:val="24"/>
          <w:szCs w:val="24"/>
        </w:rPr>
        <w:t>below 70 ng/L.</w:t>
      </w:r>
      <w:r w:rsidR="00077B20" w:rsidRPr="00077B20">
        <w:t xml:space="preserve"> </w:t>
      </w:r>
      <w:r w:rsidR="00077B20" w:rsidRPr="00077B20">
        <w:rPr>
          <w:sz w:val="24"/>
          <w:szCs w:val="24"/>
        </w:rPr>
        <w:t>PFBS was detected in groundwater, but at concentrations several orders of magnitude below the SLs.</w:t>
      </w:r>
    </w:p>
    <w:p w14:paraId="68C4A689" w14:textId="77777777" w:rsidR="00651793" w:rsidRDefault="00651793" w:rsidP="00882303">
      <w:pPr>
        <w:rPr>
          <w:sz w:val="24"/>
          <w:szCs w:val="24"/>
        </w:rPr>
      </w:pPr>
    </w:p>
    <w:p w14:paraId="26801C67" w14:textId="507C1D30" w:rsidR="000C3E38" w:rsidRDefault="000C3E38" w:rsidP="00882303">
      <w:pPr>
        <w:rPr>
          <w:sz w:val="24"/>
          <w:szCs w:val="24"/>
        </w:rPr>
      </w:pPr>
      <w:r>
        <w:rPr>
          <w:sz w:val="24"/>
          <w:szCs w:val="24"/>
        </w:rPr>
        <w:t>Off Site Drinking Water Sampling - 2021</w:t>
      </w:r>
    </w:p>
    <w:p w14:paraId="6B21B6F9" w14:textId="4CA98129" w:rsidR="001D28FA" w:rsidRDefault="00651793" w:rsidP="00882303">
      <w:pPr>
        <w:rPr>
          <w:sz w:val="24"/>
          <w:szCs w:val="24"/>
        </w:rPr>
      </w:pPr>
      <w:r>
        <w:rPr>
          <w:sz w:val="24"/>
          <w:szCs w:val="24"/>
        </w:rPr>
        <w:t>W</w:t>
      </w:r>
      <w:r w:rsidR="001D28FA">
        <w:rPr>
          <w:sz w:val="24"/>
          <w:szCs w:val="24"/>
        </w:rPr>
        <w:t>ith PFAS groundwater standard exceedances at the facility boundary, five domestic drinking water wells downgradient of</w:t>
      </w:r>
      <w:r w:rsidR="002C0037">
        <w:rPr>
          <w:sz w:val="24"/>
          <w:szCs w:val="24"/>
        </w:rPr>
        <w:t xml:space="preserve"> the</w:t>
      </w:r>
      <w:r w:rsidR="001D28FA">
        <w:rPr>
          <w:sz w:val="24"/>
          <w:szCs w:val="24"/>
        </w:rPr>
        <w:t xml:space="preserve"> HAASF were sampled in early 2021 to determine if there were impacts to drinking water. The analytical results </w:t>
      </w:r>
      <w:r w:rsidR="0009358C" w:rsidRPr="0009358C">
        <w:rPr>
          <w:sz w:val="24"/>
          <w:szCs w:val="24"/>
        </w:rPr>
        <w:t xml:space="preserve">PFOA, PFOS, and PFBS </w:t>
      </w:r>
      <w:r w:rsidR="001D28FA">
        <w:rPr>
          <w:sz w:val="24"/>
          <w:szCs w:val="24"/>
        </w:rPr>
        <w:t>were all below</w:t>
      </w:r>
      <w:r w:rsidR="0009358C">
        <w:rPr>
          <w:sz w:val="24"/>
          <w:szCs w:val="24"/>
        </w:rPr>
        <w:t xml:space="preserve"> SLs and </w:t>
      </w:r>
      <w:r w:rsidR="001D28FA">
        <w:rPr>
          <w:sz w:val="24"/>
          <w:szCs w:val="24"/>
        </w:rPr>
        <w:t>the DEQ-7 groundwater standard</w:t>
      </w:r>
      <w:r w:rsidR="00445258">
        <w:rPr>
          <w:sz w:val="24"/>
          <w:szCs w:val="24"/>
        </w:rPr>
        <w:t xml:space="preserve"> that were in place at the time. </w:t>
      </w:r>
      <w:r w:rsidR="005442B3">
        <w:rPr>
          <w:sz w:val="24"/>
          <w:szCs w:val="24"/>
        </w:rPr>
        <w:t>However, the</w:t>
      </w:r>
      <w:r w:rsidR="00445258">
        <w:rPr>
          <w:sz w:val="24"/>
          <w:szCs w:val="24"/>
        </w:rPr>
        <w:t xml:space="preserve"> results from one of the domestic wells exceeds the SLs in the </w:t>
      </w:r>
      <w:r w:rsidR="005442B3">
        <w:rPr>
          <w:sz w:val="24"/>
          <w:szCs w:val="24"/>
        </w:rPr>
        <w:t>2024 DoD</w:t>
      </w:r>
      <w:r w:rsidR="00445258">
        <w:rPr>
          <w:sz w:val="24"/>
          <w:szCs w:val="24"/>
        </w:rPr>
        <w:t xml:space="preserve"> PFAS </w:t>
      </w:r>
      <w:r w:rsidR="005442B3">
        <w:rPr>
          <w:sz w:val="24"/>
          <w:szCs w:val="24"/>
        </w:rPr>
        <w:t>memo</w:t>
      </w:r>
      <w:r w:rsidR="00445258">
        <w:rPr>
          <w:sz w:val="24"/>
          <w:szCs w:val="24"/>
        </w:rPr>
        <w:t xml:space="preserve"> (refer to Attachment A below for the 2024 SLs). </w:t>
      </w:r>
      <w:r w:rsidR="005442B3">
        <w:rPr>
          <w:sz w:val="24"/>
          <w:szCs w:val="24"/>
        </w:rPr>
        <w:t xml:space="preserve"> </w:t>
      </w:r>
    </w:p>
    <w:p w14:paraId="3D17F2AE" w14:textId="77777777" w:rsidR="001D28FA" w:rsidRDefault="001D28FA" w:rsidP="00882303">
      <w:pPr>
        <w:rPr>
          <w:sz w:val="24"/>
          <w:szCs w:val="24"/>
        </w:rPr>
      </w:pPr>
    </w:p>
    <w:p w14:paraId="64A8CDC0" w14:textId="6A462BF6" w:rsidR="000C3E38" w:rsidRDefault="000C3E38" w:rsidP="00882303">
      <w:pPr>
        <w:rPr>
          <w:sz w:val="24"/>
          <w:szCs w:val="24"/>
        </w:rPr>
      </w:pPr>
      <w:r>
        <w:rPr>
          <w:sz w:val="24"/>
          <w:szCs w:val="24"/>
        </w:rPr>
        <w:t>Remedial Investigation</w:t>
      </w:r>
      <w:r w:rsidR="00816364">
        <w:rPr>
          <w:sz w:val="24"/>
          <w:szCs w:val="24"/>
        </w:rPr>
        <w:t xml:space="preserve"> (RI)</w:t>
      </w:r>
      <w:r>
        <w:rPr>
          <w:sz w:val="24"/>
          <w:szCs w:val="24"/>
        </w:rPr>
        <w:t xml:space="preserve"> – 202</w:t>
      </w:r>
      <w:r w:rsidR="00E96C61">
        <w:rPr>
          <w:sz w:val="24"/>
          <w:szCs w:val="24"/>
        </w:rPr>
        <w:t>3</w:t>
      </w:r>
      <w:r>
        <w:rPr>
          <w:sz w:val="24"/>
          <w:szCs w:val="24"/>
        </w:rPr>
        <w:t xml:space="preserve"> -2026</w:t>
      </w:r>
    </w:p>
    <w:p w14:paraId="03247BBA" w14:textId="10F05FF5" w:rsidR="00882303" w:rsidRDefault="001D28FA" w:rsidP="00882303">
      <w:pPr>
        <w:rPr>
          <w:sz w:val="24"/>
          <w:szCs w:val="24"/>
        </w:rPr>
      </w:pPr>
      <w:r>
        <w:rPr>
          <w:sz w:val="24"/>
          <w:szCs w:val="24"/>
        </w:rPr>
        <w:t xml:space="preserve">A </w:t>
      </w:r>
      <w:r w:rsidR="00816364">
        <w:rPr>
          <w:sz w:val="24"/>
          <w:szCs w:val="24"/>
        </w:rPr>
        <w:t>RI</w:t>
      </w:r>
      <w:r w:rsidR="00E96C61">
        <w:rPr>
          <w:sz w:val="24"/>
          <w:szCs w:val="24"/>
        </w:rPr>
        <w:t xml:space="preserve"> consisting of 3 phases of field work</w:t>
      </w:r>
      <w:r>
        <w:rPr>
          <w:sz w:val="24"/>
          <w:szCs w:val="24"/>
        </w:rPr>
        <w:t xml:space="preserve"> </w:t>
      </w:r>
      <w:r w:rsidR="000C3E38">
        <w:rPr>
          <w:sz w:val="24"/>
          <w:szCs w:val="24"/>
        </w:rPr>
        <w:t>was implemented in</w:t>
      </w:r>
      <w:r>
        <w:rPr>
          <w:sz w:val="24"/>
          <w:szCs w:val="24"/>
        </w:rPr>
        <w:t xml:space="preserve"> 202</w:t>
      </w:r>
      <w:r w:rsidR="00E96C61">
        <w:rPr>
          <w:sz w:val="24"/>
          <w:szCs w:val="24"/>
        </w:rPr>
        <w:t>3</w:t>
      </w:r>
      <w:r>
        <w:rPr>
          <w:sz w:val="24"/>
          <w:szCs w:val="24"/>
        </w:rPr>
        <w:t xml:space="preserve"> to further evaluate the magnitude and extent of PFAS contamination associated with the HAASF. </w:t>
      </w:r>
    </w:p>
    <w:p w14:paraId="2BA25D87" w14:textId="77777777" w:rsidR="00E96C61" w:rsidRDefault="00E96C61" w:rsidP="00882303">
      <w:pPr>
        <w:rPr>
          <w:sz w:val="24"/>
          <w:szCs w:val="24"/>
        </w:rPr>
      </w:pPr>
    </w:p>
    <w:p w14:paraId="3E831865" w14:textId="77777777" w:rsidR="00816364" w:rsidRPr="00816364" w:rsidRDefault="00816364" w:rsidP="00816364">
      <w:pPr>
        <w:rPr>
          <w:sz w:val="24"/>
          <w:szCs w:val="24"/>
        </w:rPr>
      </w:pPr>
      <w:r w:rsidRPr="00816364">
        <w:rPr>
          <w:sz w:val="24"/>
          <w:szCs w:val="24"/>
        </w:rPr>
        <w:t>Mobilization 1 – 2023.</w:t>
      </w:r>
    </w:p>
    <w:p w14:paraId="320ED582" w14:textId="77777777" w:rsidR="00816364" w:rsidRDefault="00816364" w:rsidP="00816364">
      <w:pPr>
        <w:rPr>
          <w:sz w:val="24"/>
          <w:szCs w:val="24"/>
        </w:rPr>
      </w:pPr>
      <w:r w:rsidRPr="00816364">
        <w:rPr>
          <w:sz w:val="24"/>
          <w:szCs w:val="24"/>
        </w:rPr>
        <w:t>Soil</w:t>
      </w:r>
    </w:p>
    <w:p w14:paraId="464BB9DA" w14:textId="7D0E6187" w:rsidR="00816364" w:rsidRPr="00816364" w:rsidRDefault="00816364" w:rsidP="00816364">
      <w:pPr>
        <w:rPr>
          <w:sz w:val="24"/>
          <w:szCs w:val="24"/>
        </w:rPr>
      </w:pPr>
      <w:r>
        <w:rPr>
          <w:sz w:val="24"/>
          <w:szCs w:val="24"/>
        </w:rPr>
        <w:t>V</w:t>
      </w:r>
      <w:r w:rsidRPr="00816364">
        <w:rPr>
          <w:sz w:val="24"/>
          <w:szCs w:val="24"/>
        </w:rPr>
        <w:t xml:space="preserve">ertical profiling (3 locations), 7 vadose zone samples. Sample results were below DoD screening levels. </w:t>
      </w:r>
    </w:p>
    <w:p w14:paraId="366BE4C3" w14:textId="77777777" w:rsidR="00816364" w:rsidRDefault="00816364" w:rsidP="00816364">
      <w:pPr>
        <w:rPr>
          <w:sz w:val="24"/>
          <w:szCs w:val="24"/>
        </w:rPr>
      </w:pPr>
      <w:r w:rsidRPr="00816364">
        <w:rPr>
          <w:sz w:val="24"/>
          <w:szCs w:val="24"/>
        </w:rPr>
        <w:t>Surface water/sediment</w:t>
      </w:r>
    </w:p>
    <w:p w14:paraId="6225ADE5" w14:textId="71ABDA8F" w:rsidR="00816364" w:rsidRDefault="00816364" w:rsidP="00816364">
      <w:pPr>
        <w:rPr>
          <w:sz w:val="24"/>
          <w:szCs w:val="24"/>
        </w:rPr>
      </w:pPr>
      <w:r w:rsidRPr="00816364">
        <w:rPr>
          <w:sz w:val="24"/>
          <w:szCs w:val="24"/>
        </w:rPr>
        <w:t xml:space="preserve">7 co-located surface water and sediment. Sediment results were below DoD screening levels. Surface water not present.  </w:t>
      </w:r>
    </w:p>
    <w:p w14:paraId="75BD9894" w14:textId="77777777" w:rsidR="00816364" w:rsidRPr="00816364" w:rsidRDefault="00816364" w:rsidP="00816364">
      <w:pPr>
        <w:rPr>
          <w:sz w:val="24"/>
          <w:szCs w:val="24"/>
        </w:rPr>
      </w:pPr>
    </w:p>
    <w:p w14:paraId="56B221F8" w14:textId="77777777" w:rsidR="00816364" w:rsidRDefault="00816364" w:rsidP="00816364">
      <w:pPr>
        <w:rPr>
          <w:sz w:val="24"/>
          <w:szCs w:val="24"/>
        </w:rPr>
      </w:pPr>
      <w:r w:rsidRPr="00816364">
        <w:rPr>
          <w:sz w:val="24"/>
          <w:szCs w:val="24"/>
        </w:rPr>
        <w:t>Groundwater</w:t>
      </w:r>
    </w:p>
    <w:p w14:paraId="5A8D11E4" w14:textId="2F1B64C1" w:rsidR="00816364" w:rsidRPr="00816364" w:rsidRDefault="00816364" w:rsidP="00816364">
      <w:pPr>
        <w:rPr>
          <w:sz w:val="24"/>
          <w:szCs w:val="24"/>
        </w:rPr>
      </w:pPr>
      <w:r>
        <w:rPr>
          <w:sz w:val="24"/>
          <w:szCs w:val="24"/>
        </w:rPr>
        <w:t>G</w:t>
      </w:r>
      <w:r w:rsidRPr="00816364">
        <w:rPr>
          <w:sz w:val="24"/>
          <w:szCs w:val="24"/>
        </w:rPr>
        <w:t xml:space="preserve">rab samples at water table (3 locations), vertical profiling (6 locations). </w:t>
      </w:r>
      <w:r w:rsidRPr="00816364">
        <w:rPr>
          <w:b/>
          <w:bCs/>
          <w:sz w:val="24"/>
          <w:szCs w:val="24"/>
        </w:rPr>
        <w:t>Results indicate PFAS compounds vertically dispersed. Vertical profile point HAASF-VP01 reported 1,100 ng/L</w:t>
      </w:r>
      <w:r>
        <w:rPr>
          <w:b/>
          <w:bCs/>
          <w:sz w:val="24"/>
          <w:szCs w:val="24"/>
        </w:rPr>
        <w:t xml:space="preserve"> PFOS</w:t>
      </w:r>
      <w:r w:rsidRPr="00816364">
        <w:rPr>
          <w:b/>
          <w:bCs/>
          <w:sz w:val="24"/>
          <w:szCs w:val="24"/>
        </w:rPr>
        <w:t xml:space="preserve"> at 43-45’ bgs, 670 ng/L at 63-65’ bgs, and 330 ng/L at 73-75’ bgs.  </w:t>
      </w:r>
    </w:p>
    <w:p w14:paraId="2256F14F" w14:textId="70F440A6" w:rsidR="000C3E38" w:rsidRDefault="000C3E38" w:rsidP="00882303">
      <w:pPr>
        <w:rPr>
          <w:sz w:val="24"/>
          <w:szCs w:val="24"/>
        </w:rPr>
      </w:pPr>
    </w:p>
    <w:p w14:paraId="38601FD1" w14:textId="77777777" w:rsidR="00816364" w:rsidRPr="00816364" w:rsidRDefault="00816364" w:rsidP="00816364">
      <w:pPr>
        <w:rPr>
          <w:sz w:val="24"/>
          <w:szCs w:val="24"/>
        </w:rPr>
      </w:pPr>
      <w:r w:rsidRPr="00816364">
        <w:rPr>
          <w:sz w:val="24"/>
          <w:szCs w:val="24"/>
        </w:rPr>
        <w:t>Mobilization 2 – 2024.</w:t>
      </w:r>
    </w:p>
    <w:p w14:paraId="5AB15BC5" w14:textId="77777777" w:rsidR="00816364" w:rsidRPr="00816364" w:rsidRDefault="00816364" w:rsidP="00816364">
      <w:pPr>
        <w:rPr>
          <w:sz w:val="24"/>
          <w:szCs w:val="24"/>
        </w:rPr>
      </w:pPr>
      <w:r w:rsidRPr="00816364">
        <w:rPr>
          <w:sz w:val="24"/>
          <w:szCs w:val="24"/>
        </w:rPr>
        <w:t>Soil</w:t>
      </w:r>
    </w:p>
    <w:p w14:paraId="611A779F" w14:textId="1A623D66" w:rsidR="00816364" w:rsidRPr="00816364" w:rsidRDefault="00816364" w:rsidP="00816364">
      <w:pPr>
        <w:rPr>
          <w:sz w:val="24"/>
          <w:szCs w:val="24"/>
        </w:rPr>
      </w:pPr>
      <w:r w:rsidRPr="00816364">
        <w:rPr>
          <w:sz w:val="24"/>
          <w:szCs w:val="24"/>
        </w:rPr>
        <w:t>Rapid Site Characterization (RSC) grid to refine sp</w:t>
      </w:r>
      <w:r w:rsidR="001404E7">
        <w:rPr>
          <w:sz w:val="24"/>
          <w:szCs w:val="24"/>
        </w:rPr>
        <w:t>at</w:t>
      </w:r>
      <w:r w:rsidRPr="00816364">
        <w:rPr>
          <w:sz w:val="24"/>
          <w:szCs w:val="24"/>
        </w:rPr>
        <w:t>ial distribution</w:t>
      </w:r>
      <w:r w:rsidR="001404E7">
        <w:rPr>
          <w:sz w:val="24"/>
          <w:szCs w:val="24"/>
        </w:rPr>
        <w:t xml:space="preserve"> of PFAS</w:t>
      </w:r>
      <w:r w:rsidRPr="00816364">
        <w:rPr>
          <w:sz w:val="24"/>
          <w:szCs w:val="24"/>
        </w:rPr>
        <w:t xml:space="preserve"> in drainage ditch. </w:t>
      </w:r>
    </w:p>
    <w:p w14:paraId="4F6BED8C" w14:textId="77777777" w:rsidR="00816364" w:rsidRPr="00816364" w:rsidRDefault="00816364" w:rsidP="00816364">
      <w:pPr>
        <w:rPr>
          <w:sz w:val="24"/>
          <w:szCs w:val="24"/>
        </w:rPr>
      </w:pPr>
      <w:r w:rsidRPr="00816364">
        <w:rPr>
          <w:sz w:val="24"/>
          <w:szCs w:val="24"/>
        </w:rPr>
        <w:t>Vertical profiling for risk assessment</w:t>
      </w:r>
    </w:p>
    <w:p w14:paraId="77628446" w14:textId="77777777" w:rsidR="001404E7" w:rsidRPr="00E96C61" w:rsidRDefault="001404E7" w:rsidP="001404E7">
      <w:pPr>
        <w:numPr>
          <w:ilvl w:val="1"/>
          <w:numId w:val="1"/>
        </w:numPr>
        <w:rPr>
          <w:sz w:val="24"/>
          <w:szCs w:val="24"/>
        </w:rPr>
      </w:pPr>
      <w:r w:rsidRPr="00E96C61">
        <w:rPr>
          <w:sz w:val="24"/>
          <w:szCs w:val="24"/>
        </w:rPr>
        <w:t>47 samples collected at 0-2 feet (ft) below ground surface (bgs)</w:t>
      </w:r>
    </w:p>
    <w:p w14:paraId="19795DB4" w14:textId="77777777" w:rsidR="001404E7" w:rsidRPr="00E96C61" w:rsidRDefault="001404E7" w:rsidP="001404E7">
      <w:pPr>
        <w:numPr>
          <w:ilvl w:val="1"/>
          <w:numId w:val="1"/>
        </w:numPr>
        <w:rPr>
          <w:sz w:val="24"/>
          <w:szCs w:val="24"/>
        </w:rPr>
      </w:pPr>
      <w:r w:rsidRPr="00E96C61">
        <w:rPr>
          <w:sz w:val="24"/>
          <w:szCs w:val="24"/>
        </w:rPr>
        <w:t>30 samples collected at 2-15 ft bgs</w:t>
      </w:r>
    </w:p>
    <w:p w14:paraId="600C87FF" w14:textId="77777777" w:rsidR="001404E7" w:rsidRPr="00E96C61" w:rsidRDefault="001404E7" w:rsidP="001404E7">
      <w:pPr>
        <w:numPr>
          <w:ilvl w:val="1"/>
          <w:numId w:val="1"/>
        </w:numPr>
        <w:rPr>
          <w:sz w:val="24"/>
          <w:szCs w:val="24"/>
        </w:rPr>
      </w:pPr>
      <w:r w:rsidRPr="00E96C61">
        <w:rPr>
          <w:sz w:val="24"/>
          <w:szCs w:val="24"/>
        </w:rPr>
        <w:lastRenderedPageBreak/>
        <w:t>18 samples collected at over 15 ft bgs</w:t>
      </w:r>
    </w:p>
    <w:p w14:paraId="5BCA3806" w14:textId="77777777" w:rsidR="001404E7" w:rsidRPr="00E96C61" w:rsidRDefault="001404E7" w:rsidP="001404E7">
      <w:pPr>
        <w:numPr>
          <w:ilvl w:val="1"/>
          <w:numId w:val="1"/>
        </w:numPr>
        <w:rPr>
          <w:sz w:val="24"/>
          <w:szCs w:val="24"/>
        </w:rPr>
      </w:pPr>
      <w:r w:rsidRPr="00E96C61">
        <w:rPr>
          <w:sz w:val="24"/>
          <w:szCs w:val="24"/>
        </w:rPr>
        <w:t>18 grain size samples collected</w:t>
      </w:r>
    </w:p>
    <w:p w14:paraId="77D417B7" w14:textId="77777777" w:rsidR="001404E7" w:rsidRPr="00E96C61" w:rsidRDefault="001404E7" w:rsidP="001404E7">
      <w:pPr>
        <w:numPr>
          <w:ilvl w:val="1"/>
          <w:numId w:val="1"/>
        </w:numPr>
        <w:rPr>
          <w:sz w:val="24"/>
          <w:szCs w:val="24"/>
        </w:rPr>
      </w:pPr>
      <w:r w:rsidRPr="00E96C61">
        <w:rPr>
          <w:sz w:val="24"/>
          <w:szCs w:val="24"/>
        </w:rPr>
        <w:t xml:space="preserve">15 total organic carbon (TOC) samples collected </w:t>
      </w:r>
    </w:p>
    <w:p w14:paraId="29791C0A" w14:textId="77777777" w:rsidR="005659AB" w:rsidRDefault="005659AB" w:rsidP="00816364">
      <w:pPr>
        <w:rPr>
          <w:sz w:val="24"/>
          <w:szCs w:val="24"/>
        </w:rPr>
      </w:pPr>
    </w:p>
    <w:p w14:paraId="7A84E514" w14:textId="7AABBCDB" w:rsidR="00816364" w:rsidRPr="00816364" w:rsidRDefault="00816364" w:rsidP="00816364">
      <w:pPr>
        <w:rPr>
          <w:sz w:val="24"/>
          <w:szCs w:val="24"/>
        </w:rPr>
      </w:pPr>
      <w:r w:rsidRPr="00816364">
        <w:rPr>
          <w:sz w:val="24"/>
          <w:szCs w:val="24"/>
        </w:rPr>
        <w:t>Groundwater</w:t>
      </w:r>
    </w:p>
    <w:p w14:paraId="57552C92" w14:textId="77777777" w:rsidR="00816364" w:rsidRPr="00816364" w:rsidRDefault="00816364" w:rsidP="00816364">
      <w:pPr>
        <w:rPr>
          <w:sz w:val="24"/>
          <w:szCs w:val="24"/>
        </w:rPr>
      </w:pPr>
      <w:r w:rsidRPr="00816364">
        <w:rPr>
          <w:sz w:val="24"/>
          <w:szCs w:val="24"/>
        </w:rPr>
        <w:t>Additional vertical profiling points installed for further delineation.</w:t>
      </w:r>
    </w:p>
    <w:p w14:paraId="799BC410" w14:textId="23868512" w:rsidR="00816364" w:rsidRDefault="00816364" w:rsidP="00816364">
      <w:pPr>
        <w:rPr>
          <w:sz w:val="24"/>
          <w:szCs w:val="24"/>
        </w:rPr>
      </w:pPr>
      <w:r w:rsidRPr="00816364">
        <w:rPr>
          <w:sz w:val="24"/>
          <w:szCs w:val="24"/>
        </w:rPr>
        <w:t>Nested well pairs</w:t>
      </w:r>
      <w:r w:rsidR="005659AB">
        <w:rPr>
          <w:sz w:val="24"/>
          <w:szCs w:val="24"/>
        </w:rPr>
        <w:t xml:space="preserve"> were</w:t>
      </w:r>
      <w:r w:rsidRPr="00816364">
        <w:rPr>
          <w:sz w:val="24"/>
          <w:szCs w:val="24"/>
        </w:rPr>
        <w:t xml:space="preserve"> installed based on vertical profiling results. </w:t>
      </w:r>
    </w:p>
    <w:p w14:paraId="048C3108" w14:textId="77777777" w:rsidR="005659AB" w:rsidRPr="00E96C61" w:rsidRDefault="005659AB" w:rsidP="005659AB">
      <w:pPr>
        <w:numPr>
          <w:ilvl w:val="1"/>
          <w:numId w:val="1"/>
        </w:numPr>
        <w:rPr>
          <w:sz w:val="24"/>
          <w:szCs w:val="24"/>
        </w:rPr>
      </w:pPr>
      <w:r w:rsidRPr="00E96C61">
        <w:rPr>
          <w:sz w:val="24"/>
          <w:szCs w:val="24"/>
        </w:rPr>
        <w:t>13 vertical profile borings installed</w:t>
      </w:r>
    </w:p>
    <w:p w14:paraId="1141BE8D" w14:textId="77777777" w:rsidR="005659AB" w:rsidRPr="00E96C61" w:rsidRDefault="005659AB" w:rsidP="005659AB">
      <w:pPr>
        <w:numPr>
          <w:ilvl w:val="1"/>
          <w:numId w:val="1"/>
        </w:numPr>
        <w:rPr>
          <w:sz w:val="24"/>
          <w:szCs w:val="24"/>
        </w:rPr>
      </w:pPr>
      <w:r w:rsidRPr="00E96C61">
        <w:rPr>
          <w:sz w:val="24"/>
          <w:szCs w:val="24"/>
        </w:rPr>
        <w:t>9 monitoring wells installed</w:t>
      </w:r>
    </w:p>
    <w:p w14:paraId="2237D502" w14:textId="41642A94" w:rsidR="005659AB" w:rsidRPr="00E96C61" w:rsidRDefault="005659AB" w:rsidP="005659AB">
      <w:pPr>
        <w:numPr>
          <w:ilvl w:val="1"/>
          <w:numId w:val="1"/>
        </w:numPr>
        <w:rPr>
          <w:sz w:val="24"/>
          <w:szCs w:val="24"/>
        </w:rPr>
      </w:pPr>
      <w:r w:rsidRPr="00E96C61">
        <w:rPr>
          <w:sz w:val="24"/>
          <w:szCs w:val="24"/>
        </w:rPr>
        <w:t xml:space="preserve">48 </w:t>
      </w:r>
      <w:r>
        <w:rPr>
          <w:sz w:val="24"/>
          <w:szCs w:val="24"/>
        </w:rPr>
        <w:t>groundwater</w:t>
      </w:r>
      <w:r w:rsidRPr="00E96C61">
        <w:rPr>
          <w:sz w:val="24"/>
          <w:szCs w:val="24"/>
        </w:rPr>
        <w:t xml:space="preserve"> samples</w:t>
      </w:r>
      <w:r>
        <w:rPr>
          <w:sz w:val="24"/>
          <w:szCs w:val="24"/>
        </w:rPr>
        <w:t xml:space="preserve"> were</w:t>
      </w:r>
      <w:r w:rsidRPr="00E96C61">
        <w:rPr>
          <w:sz w:val="24"/>
          <w:szCs w:val="24"/>
        </w:rPr>
        <w:t xml:space="preserve"> collected</w:t>
      </w:r>
    </w:p>
    <w:p w14:paraId="67BD90A6" w14:textId="49908CD1" w:rsidR="00816364" w:rsidRDefault="00816364" w:rsidP="00816364">
      <w:pPr>
        <w:rPr>
          <w:sz w:val="24"/>
          <w:szCs w:val="24"/>
        </w:rPr>
      </w:pPr>
      <w:r w:rsidRPr="00816364">
        <w:rPr>
          <w:sz w:val="24"/>
          <w:szCs w:val="24"/>
        </w:rPr>
        <w:t>Quarterly groundwater monitoring</w:t>
      </w:r>
      <w:r w:rsidR="005659AB">
        <w:rPr>
          <w:sz w:val="24"/>
          <w:szCs w:val="24"/>
        </w:rPr>
        <w:t xml:space="preserve"> was initiated</w:t>
      </w:r>
      <w:r w:rsidRPr="00816364">
        <w:rPr>
          <w:sz w:val="24"/>
          <w:szCs w:val="24"/>
        </w:rPr>
        <w:t>.</w:t>
      </w:r>
    </w:p>
    <w:p w14:paraId="36376326" w14:textId="77777777" w:rsidR="00816364" w:rsidRDefault="00816364" w:rsidP="00816364">
      <w:pPr>
        <w:rPr>
          <w:sz w:val="24"/>
          <w:szCs w:val="24"/>
        </w:rPr>
      </w:pPr>
    </w:p>
    <w:p w14:paraId="2FA6E6BD" w14:textId="19AE6EA7" w:rsidR="00816364" w:rsidRPr="00816364" w:rsidRDefault="000F4272" w:rsidP="00816364">
      <w:pPr>
        <w:rPr>
          <w:sz w:val="24"/>
          <w:szCs w:val="24"/>
        </w:rPr>
      </w:pPr>
      <w:r>
        <w:rPr>
          <w:sz w:val="24"/>
          <w:szCs w:val="24"/>
        </w:rPr>
        <w:t>Production Well Sampling - 2024</w:t>
      </w:r>
    </w:p>
    <w:p w14:paraId="6E630D70" w14:textId="21EDF35B" w:rsidR="00816364" w:rsidRDefault="000F4272" w:rsidP="00816364">
      <w:pPr>
        <w:rPr>
          <w:sz w:val="24"/>
          <w:szCs w:val="24"/>
        </w:rPr>
      </w:pPr>
      <w:r>
        <w:rPr>
          <w:sz w:val="24"/>
          <w:szCs w:val="24"/>
        </w:rPr>
        <w:t xml:space="preserve">Five </w:t>
      </w:r>
      <w:r w:rsidR="00816364" w:rsidRPr="00816364">
        <w:rPr>
          <w:sz w:val="24"/>
          <w:szCs w:val="24"/>
        </w:rPr>
        <w:t>production wells</w:t>
      </w:r>
      <w:r>
        <w:rPr>
          <w:sz w:val="24"/>
          <w:szCs w:val="24"/>
        </w:rPr>
        <w:t xml:space="preserve"> located downgradient of the HAASF</w:t>
      </w:r>
      <w:r w:rsidR="00816364" w:rsidRPr="00816364">
        <w:rPr>
          <w:sz w:val="24"/>
          <w:szCs w:val="24"/>
        </w:rPr>
        <w:t xml:space="preserve"> </w:t>
      </w:r>
      <w:r w:rsidR="00816364">
        <w:rPr>
          <w:sz w:val="24"/>
          <w:szCs w:val="24"/>
        </w:rPr>
        <w:t xml:space="preserve">were </w:t>
      </w:r>
      <w:r w:rsidR="00816364" w:rsidRPr="00816364">
        <w:rPr>
          <w:sz w:val="24"/>
          <w:szCs w:val="24"/>
        </w:rPr>
        <w:t>sampled</w:t>
      </w:r>
      <w:r w:rsidR="00816364">
        <w:rPr>
          <w:sz w:val="24"/>
          <w:szCs w:val="24"/>
        </w:rPr>
        <w:t xml:space="preserve"> in 2024</w:t>
      </w:r>
      <w:r w:rsidR="00816364" w:rsidRPr="00816364">
        <w:rPr>
          <w:sz w:val="24"/>
          <w:szCs w:val="24"/>
        </w:rPr>
        <w:t>. Results for</w:t>
      </w:r>
      <w:r>
        <w:rPr>
          <w:sz w:val="24"/>
          <w:szCs w:val="24"/>
        </w:rPr>
        <w:t xml:space="preserve"> four</w:t>
      </w:r>
      <w:r w:rsidR="00816364" w:rsidRPr="00816364">
        <w:rPr>
          <w:sz w:val="24"/>
          <w:szCs w:val="24"/>
        </w:rPr>
        <w:t xml:space="preserve"> M</w:t>
      </w:r>
      <w:r w:rsidR="00816364">
        <w:rPr>
          <w:sz w:val="24"/>
          <w:szCs w:val="24"/>
        </w:rPr>
        <w:t xml:space="preserve">issouri River </w:t>
      </w:r>
      <w:r w:rsidR="00816364" w:rsidRPr="00816364">
        <w:rPr>
          <w:sz w:val="24"/>
          <w:szCs w:val="24"/>
        </w:rPr>
        <w:t>T</w:t>
      </w:r>
      <w:r w:rsidR="00816364">
        <w:rPr>
          <w:sz w:val="24"/>
          <w:szCs w:val="24"/>
        </w:rPr>
        <w:t xml:space="preserve">reatment </w:t>
      </w:r>
      <w:r w:rsidR="00816364" w:rsidRPr="00816364">
        <w:rPr>
          <w:sz w:val="24"/>
          <w:szCs w:val="24"/>
        </w:rPr>
        <w:t>P</w:t>
      </w:r>
      <w:r w:rsidR="00816364">
        <w:rPr>
          <w:sz w:val="24"/>
          <w:szCs w:val="24"/>
        </w:rPr>
        <w:t>lant</w:t>
      </w:r>
      <w:r w:rsidR="00816364" w:rsidRPr="00816364">
        <w:rPr>
          <w:sz w:val="24"/>
          <w:szCs w:val="24"/>
        </w:rPr>
        <w:t xml:space="preserve"> wells </w:t>
      </w:r>
      <w:r>
        <w:rPr>
          <w:sz w:val="24"/>
          <w:szCs w:val="24"/>
        </w:rPr>
        <w:t>were</w:t>
      </w:r>
      <w:r w:rsidR="00816364" w:rsidRPr="00816364">
        <w:rPr>
          <w:sz w:val="24"/>
          <w:szCs w:val="24"/>
        </w:rPr>
        <w:t xml:space="preserve"> below screening levels.</w:t>
      </w:r>
      <w:r w:rsidR="00816364">
        <w:rPr>
          <w:sz w:val="24"/>
          <w:szCs w:val="24"/>
        </w:rPr>
        <w:t xml:space="preserve"> </w:t>
      </w:r>
      <w:r w:rsidR="005659AB">
        <w:rPr>
          <w:sz w:val="24"/>
          <w:szCs w:val="24"/>
        </w:rPr>
        <w:t>The production well at the Builder</w:t>
      </w:r>
      <w:r w:rsidR="00E252E5">
        <w:rPr>
          <w:sz w:val="24"/>
          <w:szCs w:val="24"/>
        </w:rPr>
        <w:t>’s</w:t>
      </w:r>
      <w:r w:rsidR="005659AB">
        <w:rPr>
          <w:sz w:val="24"/>
          <w:szCs w:val="24"/>
        </w:rPr>
        <w:t xml:space="preserve"> First Supply exceeds</w:t>
      </w:r>
      <w:r>
        <w:rPr>
          <w:sz w:val="24"/>
          <w:szCs w:val="24"/>
        </w:rPr>
        <w:t xml:space="preserve"> the DOD 2024</w:t>
      </w:r>
      <w:r w:rsidR="005659AB">
        <w:rPr>
          <w:sz w:val="24"/>
          <w:szCs w:val="24"/>
        </w:rPr>
        <w:t xml:space="preserve"> screening levels</w:t>
      </w:r>
      <w:r>
        <w:rPr>
          <w:sz w:val="24"/>
          <w:szCs w:val="24"/>
        </w:rPr>
        <w:t xml:space="preserve"> (refer to Attachment A)</w:t>
      </w:r>
      <w:r w:rsidR="005659AB">
        <w:rPr>
          <w:sz w:val="24"/>
          <w:szCs w:val="24"/>
        </w:rPr>
        <w:t xml:space="preserve">. </w:t>
      </w:r>
      <w:r w:rsidR="00816364" w:rsidRPr="00816364">
        <w:rPr>
          <w:sz w:val="24"/>
          <w:szCs w:val="24"/>
        </w:rPr>
        <w:t xml:space="preserve">  </w:t>
      </w:r>
    </w:p>
    <w:p w14:paraId="0CB9AAB1" w14:textId="77777777" w:rsidR="00816364" w:rsidRDefault="00816364" w:rsidP="00816364">
      <w:pPr>
        <w:rPr>
          <w:sz w:val="24"/>
          <w:szCs w:val="24"/>
        </w:rPr>
      </w:pPr>
    </w:p>
    <w:p w14:paraId="5E9F8C3F" w14:textId="7ADA3084" w:rsidR="00E252E5" w:rsidRDefault="001404E7" w:rsidP="001404E7">
      <w:pPr>
        <w:rPr>
          <w:sz w:val="24"/>
          <w:szCs w:val="24"/>
        </w:rPr>
      </w:pPr>
      <w:r w:rsidRPr="001404E7">
        <w:rPr>
          <w:sz w:val="24"/>
          <w:szCs w:val="24"/>
        </w:rPr>
        <w:t>Phase 3</w:t>
      </w:r>
      <w:r w:rsidR="00E252E5">
        <w:rPr>
          <w:sz w:val="24"/>
          <w:szCs w:val="24"/>
        </w:rPr>
        <w:t xml:space="preserve"> – fall 2025 or spring 2026</w:t>
      </w:r>
    </w:p>
    <w:p w14:paraId="68E79123" w14:textId="2E5D3CE2" w:rsidR="001404E7" w:rsidRPr="001404E7" w:rsidRDefault="00E252E5" w:rsidP="001404E7">
      <w:pPr>
        <w:rPr>
          <w:sz w:val="24"/>
          <w:szCs w:val="24"/>
        </w:rPr>
      </w:pPr>
      <w:r>
        <w:rPr>
          <w:sz w:val="24"/>
          <w:szCs w:val="24"/>
        </w:rPr>
        <w:t>Phase 3</w:t>
      </w:r>
      <w:r w:rsidR="004F5B28">
        <w:rPr>
          <w:sz w:val="24"/>
          <w:szCs w:val="24"/>
        </w:rPr>
        <w:t xml:space="preserve"> will </w:t>
      </w:r>
      <w:r w:rsidR="001404E7" w:rsidRPr="001404E7">
        <w:rPr>
          <w:sz w:val="24"/>
          <w:szCs w:val="24"/>
        </w:rPr>
        <w:t xml:space="preserve">consist of the installation of 20 additional groundwater monitoring wells to further delineate the lateral and vertical extent of the PFAS plume. Additional soil sampling will also be conducted to define impacts to shallow soil in the discharge areas from the retention pond. </w:t>
      </w:r>
    </w:p>
    <w:p w14:paraId="16B7CF5F" w14:textId="3E699259" w:rsidR="001404E7" w:rsidRPr="001404E7" w:rsidRDefault="001404E7" w:rsidP="001404E7">
      <w:pPr>
        <w:rPr>
          <w:sz w:val="24"/>
          <w:szCs w:val="24"/>
        </w:rPr>
      </w:pPr>
      <w:r w:rsidRPr="001404E7">
        <w:rPr>
          <w:sz w:val="24"/>
          <w:szCs w:val="24"/>
        </w:rPr>
        <w:t xml:space="preserve">The work </w:t>
      </w:r>
      <w:r w:rsidR="004F5B28">
        <w:rPr>
          <w:sz w:val="24"/>
          <w:szCs w:val="24"/>
        </w:rPr>
        <w:t>was</w:t>
      </w:r>
      <w:r w:rsidRPr="001404E7">
        <w:rPr>
          <w:sz w:val="24"/>
          <w:szCs w:val="24"/>
        </w:rPr>
        <w:t xml:space="preserve"> scheduled </w:t>
      </w:r>
      <w:r w:rsidR="004F5B28">
        <w:rPr>
          <w:sz w:val="24"/>
          <w:szCs w:val="24"/>
        </w:rPr>
        <w:t xml:space="preserve">to start near the </w:t>
      </w:r>
      <w:r w:rsidRPr="001404E7">
        <w:rPr>
          <w:sz w:val="24"/>
          <w:szCs w:val="24"/>
        </w:rPr>
        <w:t>end of October 2025. However, the contractor need</w:t>
      </w:r>
      <w:r w:rsidR="00E252E5">
        <w:rPr>
          <w:sz w:val="24"/>
          <w:szCs w:val="24"/>
        </w:rPr>
        <w:t>s</w:t>
      </w:r>
      <w:r w:rsidRPr="001404E7">
        <w:rPr>
          <w:sz w:val="24"/>
          <w:szCs w:val="24"/>
        </w:rPr>
        <w:t xml:space="preserve"> to get a F</w:t>
      </w:r>
      <w:r w:rsidR="004F5B28">
        <w:rPr>
          <w:sz w:val="24"/>
          <w:szCs w:val="24"/>
        </w:rPr>
        <w:t xml:space="preserve">ederal Aviation Administration </w:t>
      </w:r>
      <w:r w:rsidR="00E252E5">
        <w:rPr>
          <w:sz w:val="24"/>
          <w:szCs w:val="24"/>
        </w:rPr>
        <w:t>D</w:t>
      </w:r>
      <w:r w:rsidRPr="001404E7">
        <w:rPr>
          <w:sz w:val="24"/>
          <w:szCs w:val="24"/>
        </w:rPr>
        <w:t xml:space="preserve">etermination of </w:t>
      </w:r>
      <w:r w:rsidR="00E252E5">
        <w:rPr>
          <w:sz w:val="24"/>
          <w:szCs w:val="24"/>
        </w:rPr>
        <w:t>N</w:t>
      </w:r>
      <w:r w:rsidRPr="001404E7">
        <w:rPr>
          <w:sz w:val="24"/>
          <w:szCs w:val="24"/>
        </w:rPr>
        <w:t xml:space="preserve">o </w:t>
      </w:r>
      <w:r w:rsidR="00E252E5">
        <w:rPr>
          <w:sz w:val="24"/>
          <w:szCs w:val="24"/>
        </w:rPr>
        <w:t>H</w:t>
      </w:r>
      <w:r w:rsidRPr="001404E7">
        <w:rPr>
          <w:sz w:val="24"/>
          <w:szCs w:val="24"/>
        </w:rPr>
        <w:t xml:space="preserve">azard to </w:t>
      </w:r>
      <w:r w:rsidR="00E252E5">
        <w:rPr>
          <w:sz w:val="24"/>
          <w:szCs w:val="24"/>
        </w:rPr>
        <w:t>N</w:t>
      </w:r>
      <w:r w:rsidRPr="001404E7">
        <w:rPr>
          <w:sz w:val="24"/>
          <w:szCs w:val="24"/>
        </w:rPr>
        <w:t xml:space="preserve">avigation before they can proceed, as the area they are going to investigate is owned by the airport authority. </w:t>
      </w:r>
      <w:r w:rsidR="00E252E5">
        <w:rPr>
          <w:sz w:val="24"/>
          <w:szCs w:val="24"/>
        </w:rPr>
        <w:t xml:space="preserve">The determination may be delayed until spring 2026 due to the federal government shut down. </w:t>
      </w:r>
    </w:p>
    <w:p w14:paraId="6F4A6B26" w14:textId="77777777" w:rsidR="00E252E5" w:rsidRDefault="00E252E5" w:rsidP="001404E7">
      <w:pPr>
        <w:rPr>
          <w:b/>
          <w:bCs/>
          <w:sz w:val="24"/>
          <w:szCs w:val="24"/>
        </w:rPr>
      </w:pPr>
    </w:p>
    <w:p w14:paraId="249B3951" w14:textId="6F6420C7" w:rsidR="001404E7" w:rsidRPr="001404E7" w:rsidRDefault="001404E7" w:rsidP="001404E7">
      <w:pPr>
        <w:rPr>
          <w:b/>
          <w:bCs/>
          <w:sz w:val="24"/>
          <w:szCs w:val="24"/>
        </w:rPr>
      </w:pPr>
      <w:r w:rsidRPr="001404E7">
        <w:rPr>
          <w:b/>
          <w:bCs/>
          <w:sz w:val="24"/>
          <w:szCs w:val="24"/>
        </w:rPr>
        <w:t>RI Reporting</w:t>
      </w:r>
    </w:p>
    <w:p w14:paraId="71F2AF0A" w14:textId="77777777" w:rsidR="001404E7" w:rsidRPr="001404E7" w:rsidRDefault="001404E7" w:rsidP="001404E7">
      <w:pPr>
        <w:rPr>
          <w:sz w:val="24"/>
          <w:szCs w:val="24"/>
        </w:rPr>
      </w:pPr>
      <w:r w:rsidRPr="001404E7">
        <w:rPr>
          <w:sz w:val="24"/>
          <w:szCs w:val="24"/>
        </w:rPr>
        <w:t>The start date for the RI reporting is September 2026 and the end date is December 2027.</w:t>
      </w:r>
    </w:p>
    <w:p w14:paraId="0F634BEB" w14:textId="77777777" w:rsidR="00E252E5" w:rsidRDefault="00E252E5" w:rsidP="001404E7">
      <w:pPr>
        <w:rPr>
          <w:b/>
          <w:bCs/>
          <w:sz w:val="24"/>
          <w:szCs w:val="24"/>
        </w:rPr>
      </w:pPr>
    </w:p>
    <w:p w14:paraId="063211F1" w14:textId="3CF147FB" w:rsidR="001404E7" w:rsidRPr="001404E7" w:rsidRDefault="001404E7" w:rsidP="001404E7">
      <w:pPr>
        <w:rPr>
          <w:b/>
          <w:bCs/>
          <w:sz w:val="24"/>
          <w:szCs w:val="24"/>
        </w:rPr>
      </w:pPr>
      <w:r w:rsidRPr="001404E7">
        <w:rPr>
          <w:b/>
          <w:bCs/>
          <w:sz w:val="24"/>
          <w:szCs w:val="24"/>
        </w:rPr>
        <w:t>HAASF Bottled Water Update</w:t>
      </w:r>
    </w:p>
    <w:p w14:paraId="49E6EF0A" w14:textId="77777777" w:rsidR="001404E7" w:rsidRPr="001404E7" w:rsidRDefault="001404E7" w:rsidP="001404E7">
      <w:pPr>
        <w:rPr>
          <w:sz w:val="24"/>
          <w:szCs w:val="24"/>
        </w:rPr>
      </w:pPr>
      <w:r w:rsidRPr="001404E7">
        <w:rPr>
          <w:sz w:val="24"/>
          <w:szCs w:val="24"/>
        </w:rPr>
        <w:t>The residence downgradient of the HAASF that reported a drinking water exceedance from their domestic well is still being provided bottled water.</w:t>
      </w:r>
    </w:p>
    <w:p w14:paraId="323EE5B3" w14:textId="34819162" w:rsidR="00E96C61" w:rsidRDefault="00E96C61" w:rsidP="00882303">
      <w:pPr>
        <w:rPr>
          <w:sz w:val="24"/>
          <w:szCs w:val="24"/>
        </w:rPr>
      </w:pPr>
    </w:p>
    <w:p w14:paraId="1B75DC23" w14:textId="5D058468" w:rsidR="004F5B28" w:rsidRDefault="005442B3" w:rsidP="00882303">
      <w:pPr>
        <w:rPr>
          <w:sz w:val="24"/>
          <w:szCs w:val="24"/>
        </w:rPr>
      </w:pPr>
      <w:r w:rsidRPr="005442B3">
        <w:rPr>
          <w:rFonts w:eastAsia="Aptos"/>
          <w:noProof/>
          <w:kern w:val="2"/>
          <w:sz w:val="24"/>
          <w:szCs w:val="24"/>
          <w14:ligatures w14:val="standardContextual"/>
        </w:rPr>
        <w:lastRenderedPageBreak/>
        <w:drawing>
          <wp:inline distT="0" distB="0" distL="0" distR="0" wp14:anchorId="37B56857" wp14:editId="70245490">
            <wp:extent cx="5943600" cy="3502025"/>
            <wp:effectExtent l="0" t="0" r="0" b="3175"/>
            <wp:docPr id="123672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2913" name=""/>
                    <pic:cNvPicPr/>
                  </pic:nvPicPr>
                  <pic:blipFill>
                    <a:blip r:embed="rId6"/>
                    <a:stretch>
                      <a:fillRect/>
                    </a:stretch>
                  </pic:blipFill>
                  <pic:spPr>
                    <a:xfrm>
                      <a:off x="0" y="0"/>
                      <a:ext cx="5943600" cy="3502025"/>
                    </a:xfrm>
                    <a:prstGeom prst="rect">
                      <a:avLst/>
                    </a:prstGeom>
                  </pic:spPr>
                </pic:pic>
              </a:graphicData>
            </a:graphic>
          </wp:inline>
        </w:drawing>
      </w:r>
    </w:p>
    <w:p w14:paraId="3FCD0C19" w14:textId="77777777" w:rsidR="00E96C61" w:rsidRDefault="00E96C61" w:rsidP="00882303">
      <w:pPr>
        <w:rPr>
          <w:sz w:val="24"/>
          <w:szCs w:val="24"/>
        </w:rPr>
      </w:pPr>
    </w:p>
    <w:p w14:paraId="1941E2F2" w14:textId="77777777" w:rsidR="00E96C61" w:rsidRDefault="00E96C61" w:rsidP="00882303">
      <w:pPr>
        <w:rPr>
          <w:sz w:val="24"/>
          <w:szCs w:val="24"/>
        </w:rPr>
      </w:pPr>
    </w:p>
    <w:p w14:paraId="0C604623" w14:textId="77777777" w:rsidR="000C3E38" w:rsidRDefault="000C3E38" w:rsidP="00882303">
      <w:pPr>
        <w:rPr>
          <w:sz w:val="24"/>
          <w:szCs w:val="24"/>
        </w:rPr>
      </w:pPr>
    </w:p>
    <w:p w14:paraId="56BE0D5F" w14:textId="0BFFEAB4" w:rsidR="000C3E38" w:rsidRDefault="000C3E38" w:rsidP="00882303">
      <w:pPr>
        <w:rPr>
          <w:sz w:val="24"/>
          <w:szCs w:val="24"/>
        </w:rPr>
      </w:pPr>
    </w:p>
    <w:p w14:paraId="29AB383B" w14:textId="77777777" w:rsidR="00882303" w:rsidRDefault="00882303" w:rsidP="00882303">
      <w:pPr>
        <w:rPr>
          <w:sz w:val="24"/>
          <w:szCs w:val="24"/>
        </w:rPr>
      </w:pPr>
    </w:p>
    <w:p w14:paraId="4E5AD597" w14:textId="77777777" w:rsidR="003A7C57" w:rsidRDefault="003A7C57" w:rsidP="00882303">
      <w:pPr>
        <w:rPr>
          <w:sz w:val="24"/>
          <w:szCs w:val="24"/>
        </w:rPr>
      </w:pPr>
    </w:p>
    <w:p w14:paraId="3AB62D77" w14:textId="77777777" w:rsidR="003A7C57" w:rsidRDefault="003A7C57" w:rsidP="00882303">
      <w:pPr>
        <w:rPr>
          <w:sz w:val="24"/>
          <w:szCs w:val="24"/>
        </w:rPr>
      </w:pPr>
    </w:p>
    <w:p w14:paraId="79FB0BBD" w14:textId="77777777" w:rsidR="003A7C57" w:rsidRDefault="003A7C57" w:rsidP="00882303">
      <w:pPr>
        <w:rPr>
          <w:sz w:val="24"/>
          <w:szCs w:val="24"/>
        </w:rPr>
      </w:pPr>
    </w:p>
    <w:p w14:paraId="2EFE45E0" w14:textId="77777777" w:rsidR="003A7C57" w:rsidRDefault="003A7C57" w:rsidP="00882303">
      <w:pPr>
        <w:rPr>
          <w:sz w:val="24"/>
          <w:szCs w:val="24"/>
        </w:rPr>
      </w:pPr>
    </w:p>
    <w:p w14:paraId="6BCB71B9" w14:textId="77777777" w:rsidR="003A7C57" w:rsidRDefault="003A7C57" w:rsidP="00882303">
      <w:pPr>
        <w:rPr>
          <w:sz w:val="24"/>
          <w:szCs w:val="24"/>
        </w:rPr>
      </w:pPr>
    </w:p>
    <w:p w14:paraId="76D6ADC1" w14:textId="77777777" w:rsidR="003A7C57" w:rsidRDefault="003A7C57" w:rsidP="00882303">
      <w:pPr>
        <w:rPr>
          <w:sz w:val="24"/>
          <w:szCs w:val="24"/>
        </w:rPr>
      </w:pPr>
    </w:p>
    <w:sectPr w:rsidR="003A7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F1367"/>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BC02BBF"/>
    <w:multiLevelType w:val="hybridMultilevel"/>
    <w:tmpl w:val="18C0F2E8"/>
    <w:lvl w:ilvl="0" w:tplc="2E723FEE">
      <w:start w:val="1"/>
      <w:numFmt w:val="bullet"/>
      <w:lvlText w:val="•"/>
      <w:lvlJc w:val="left"/>
      <w:pPr>
        <w:tabs>
          <w:tab w:val="num" w:pos="720"/>
        </w:tabs>
        <w:ind w:left="720" w:hanging="360"/>
      </w:pPr>
      <w:rPr>
        <w:rFonts w:ascii="Arial" w:hAnsi="Arial" w:hint="default"/>
      </w:rPr>
    </w:lvl>
    <w:lvl w:ilvl="1" w:tplc="D88AB58E">
      <w:start w:val="1"/>
      <w:numFmt w:val="bullet"/>
      <w:lvlText w:val="•"/>
      <w:lvlJc w:val="left"/>
      <w:pPr>
        <w:tabs>
          <w:tab w:val="num" w:pos="1440"/>
        </w:tabs>
        <w:ind w:left="1440" w:hanging="360"/>
      </w:pPr>
      <w:rPr>
        <w:rFonts w:ascii="Arial" w:hAnsi="Arial" w:hint="default"/>
      </w:rPr>
    </w:lvl>
    <w:lvl w:ilvl="2" w:tplc="861C85A8">
      <w:numFmt w:val="bullet"/>
      <w:lvlText w:val="•"/>
      <w:lvlJc w:val="left"/>
      <w:pPr>
        <w:tabs>
          <w:tab w:val="num" w:pos="2160"/>
        </w:tabs>
        <w:ind w:left="2160" w:hanging="360"/>
      </w:pPr>
      <w:rPr>
        <w:rFonts w:ascii="Arial" w:hAnsi="Arial" w:hint="default"/>
      </w:rPr>
    </w:lvl>
    <w:lvl w:ilvl="3" w:tplc="187A6D4C">
      <w:numFmt w:val="bullet"/>
      <w:lvlText w:val="•"/>
      <w:lvlJc w:val="left"/>
      <w:pPr>
        <w:tabs>
          <w:tab w:val="num" w:pos="2880"/>
        </w:tabs>
        <w:ind w:left="2880" w:hanging="360"/>
      </w:pPr>
      <w:rPr>
        <w:rFonts w:ascii="Arial" w:hAnsi="Arial" w:hint="default"/>
      </w:rPr>
    </w:lvl>
    <w:lvl w:ilvl="4" w:tplc="67FEE318">
      <w:numFmt w:val="bullet"/>
      <w:lvlText w:val="•"/>
      <w:lvlJc w:val="left"/>
      <w:pPr>
        <w:tabs>
          <w:tab w:val="num" w:pos="3600"/>
        </w:tabs>
        <w:ind w:left="3600" w:hanging="360"/>
      </w:pPr>
      <w:rPr>
        <w:rFonts w:ascii="Arial" w:hAnsi="Arial" w:hint="default"/>
      </w:rPr>
    </w:lvl>
    <w:lvl w:ilvl="5" w:tplc="8F2E6274" w:tentative="1">
      <w:start w:val="1"/>
      <w:numFmt w:val="bullet"/>
      <w:lvlText w:val="•"/>
      <w:lvlJc w:val="left"/>
      <w:pPr>
        <w:tabs>
          <w:tab w:val="num" w:pos="4320"/>
        </w:tabs>
        <w:ind w:left="4320" w:hanging="360"/>
      </w:pPr>
      <w:rPr>
        <w:rFonts w:ascii="Arial" w:hAnsi="Arial" w:hint="default"/>
      </w:rPr>
    </w:lvl>
    <w:lvl w:ilvl="6" w:tplc="87A09BCC" w:tentative="1">
      <w:start w:val="1"/>
      <w:numFmt w:val="bullet"/>
      <w:lvlText w:val="•"/>
      <w:lvlJc w:val="left"/>
      <w:pPr>
        <w:tabs>
          <w:tab w:val="num" w:pos="5040"/>
        </w:tabs>
        <w:ind w:left="5040" w:hanging="360"/>
      </w:pPr>
      <w:rPr>
        <w:rFonts w:ascii="Arial" w:hAnsi="Arial" w:hint="default"/>
      </w:rPr>
    </w:lvl>
    <w:lvl w:ilvl="7" w:tplc="4A0AF31E" w:tentative="1">
      <w:start w:val="1"/>
      <w:numFmt w:val="bullet"/>
      <w:lvlText w:val="•"/>
      <w:lvlJc w:val="left"/>
      <w:pPr>
        <w:tabs>
          <w:tab w:val="num" w:pos="5760"/>
        </w:tabs>
        <w:ind w:left="5760" w:hanging="360"/>
      </w:pPr>
      <w:rPr>
        <w:rFonts w:ascii="Arial" w:hAnsi="Arial" w:hint="default"/>
      </w:rPr>
    </w:lvl>
    <w:lvl w:ilvl="8" w:tplc="773E24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CA071E5"/>
    <w:multiLevelType w:val="hybridMultilevel"/>
    <w:tmpl w:val="5DC83244"/>
    <w:lvl w:ilvl="0" w:tplc="B56A3E22">
      <w:start w:val="1"/>
      <w:numFmt w:val="bullet"/>
      <w:lvlText w:val="•"/>
      <w:lvlJc w:val="left"/>
      <w:pPr>
        <w:tabs>
          <w:tab w:val="num" w:pos="720"/>
        </w:tabs>
        <w:ind w:left="720" w:hanging="360"/>
      </w:pPr>
      <w:rPr>
        <w:rFonts w:ascii="Arial" w:hAnsi="Arial" w:hint="default"/>
      </w:rPr>
    </w:lvl>
    <w:lvl w:ilvl="1" w:tplc="F7ECCFF4">
      <w:start w:val="1"/>
      <w:numFmt w:val="bullet"/>
      <w:lvlText w:val="•"/>
      <w:lvlJc w:val="left"/>
      <w:pPr>
        <w:tabs>
          <w:tab w:val="num" w:pos="1440"/>
        </w:tabs>
        <w:ind w:left="1440" w:hanging="360"/>
      </w:pPr>
      <w:rPr>
        <w:rFonts w:ascii="Arial" w:hAnsi="Arial" w:hint="default"/>
      </w:rPr>
    </w:lvl>
    <w:lvl w:ilvl="2" w:tplc="71C2C01C">
      <w:numFmt w:val="bullet"/>
      <w:lvlText w:val="•"/>
      <w:lvlJc w:val="left"/>
      <w:pPr>
        <w:tabs>
          <w:tab w:val="num" w:pos="2160"/>
        </w:tabs>
        <w:ind w:left="2160" w:hanging="360"/>
      </w:pPr>
      <w:rPr>
        <w:rFonts w:ascii="Arial" w:hAnsi="Arial" w:hint="default"/>
      </w:rPr>
    </w:lvl>
    <w:lvl w:ilvl="3" w:tplc="732AB24C">
      <w:numFmt w:val="bullet"/>
      <w:lvlText w:val="•"/>
      <w:lvlJc w:val="left"/>
      <w:pPr>
        <w:tabs>
          <w:tab w:val="num" w:pos="2880"/>
        </w:tabs>
        <w:ind w:left="2880" w:hanging="360"/>
      </w:pPr>
      <w:rPr>
        <w:rFonts w:ascii="Arial" w:hAnsi="Arial" w:hint="default"/>
      </w:rPr>
    </w:lvl>
    <w:lvl w:ilvl="4" w:tplc="9738CACE" w:tentative="1">
      <w:start w:val="1"/>
      <w:numFmt w:val="bullet"/>
      <w:lvlText w:val="•"/>
      <w:lvlJc w:val="left"/>
      <w:pPr>
        <w:tabs>
          <w:tab w:val="num" w:pos="3600"/>
        </w:tabs>
        <w:ind w:left="3600" w:hanging="360"/>
      </w:pPr>
      <w:rPr>
        <w:rFonts w:ascii="Arial" w:hAnsi="Arial" w:hint="default"/>
      </w:rPr>
    </w:lvl>
    <w:lvl w:ilvl="5" w:tplc="EC34267A" w:tentative="1">
      <w:start w:val="1"/>
      <w:numFmt w:val="bullet"/>
      <w:lvlText w:val="•"/>
      <w:lvlJc w:val="left"/>
      <w:pPr>
        <w:tabs>
          <w:tab w:val="num" w:pos="4320"/>
        </w:tabs>
        <w:ind w:left="4320" w:hanging="360"/>
      </w:pPr>
      <w:rPr>
        <w:rFonts w:ascii="Arial" w:hAnsi="Arial" w:hint="default"/>
      </w:rPr>
    </w:lvl>
    <w:lvl w:ilvl="6" w:tplc="89CE3764" w:tentative="1">
      <w:start w:val="1"/>
      <w:numFmt w:val="bullet"/>
      <w:lvlText w:val="•"/>
      <w:lvlJc w:val="left"/>
      <w:pPr>
        <w:tabs>
          <w:tab w:val="num" w:pos="5040"/>
        </w:tabs>
        <w:ind w:left="5040" w:hanging="360"/>
      </w:pPr>
      <w:rPr>
        <w:rFonts w:ascii="Arial" w:hAnsi="Arial" w:hint="default"/>
      </w:rPr>
    </w:lvl>
    <w:lvl w:ilvl="7" w:tplc="6FD0F8D2" w:tentative="1">
      <w:start w:val="1"/>
      <w:numFmt w:val="bullet"/>
      <w:lvlText w:val="•"/>
      <w:lvlJc w:val="left"/>
      <w:pPr>
        <w:tabs>
          <w:tab w:val="num" w:pos="5760"/>
        </w:tabs>
        <w:ind w:left="5760" w:hanging="360"/>
      </w:pPr>
      <w:rPr>
        <w:rFonts w:ascii="Arial" w:hAnsi="Arial" w:hint="default"/>
      </w:rPr>
    </w:lvl>
    <w:lvl w:ilvl="8" w:tplc="3D185684" w:tentative="1">
      <w:start w:val="1"/>
      <w:numFmt w:val="bullet"/>
      <w:lvlText w:val="•"/>
      <w:lvlJc w:val="left"/>
      <w:pPr>
        <w:tabs>
          <w:tab w:val="num" w:pos="6480"/>
        </w:tabs>
        <w:ind w:left="6480" w:hanging="360"/>
      </w:pPr>
      <w:rPr>
        <w:rFonts w:ascii="Arial" w:hAnsi="Arial" w:hint="default"/>
      </w:rPr>
    </w:lvl>
  </w:abstractNum>
  <w:num w:numId="1" w16cid:durableId="961695188">
    <w:abstractNumId w:val="0"/>
  </w:num>
  <w:num w:numId="2" w16cid:durableId="960693381">
    <w:abstractNumId w:val="2"/>
  </w:num>
  <w:num w:numId="3" w16cid:durableId="1484734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4AD"/>
    <w:rsid w:val="0001588B"/>
    <w:rsid w:val="00057C84"/>
    <w:rsid w:val="00060A56"/>
    <w:rsid w:val="00064C51"/>
    <w:rsid w:val="00077B20"/>
    <w:rsid w:val="0009358C"/>
    <w:rsid w:val="0009764B"/>
    <w:rsid w:val="000C3E38"/>
    <w:rsid w:val="000E265E"/>
    <w:rsid w:val="000F4272"/>
    <w:rsid w:val="001404E7"/>
    <w:rsid w:val="001A6A7E"/>
    <w:rsid w:val="001D28FA"/>
    <w:rsid w:val="001F5C6F"/>
    <w:rsid w:val="0022470C"/>
    <w:rsid w:val="002C0037"/>
    <w:rsid w:val="002D27CA"/>
    <w:rsid w:val="00300306"/>
    <w:rsid w:val="003222D4"/>
    <w:rsid w:val="00365D30"/>
    <w:rsid w:val="003A7C57"/>
    <w:rsid w:val="00445258"/>
    <w:rsid w:val="00483D96"/>
    <w:rsid w:val="00494B36"/>
    <w:rsid w:val="004B3A6A"/>
    <w:rsid w:val="004E4F4A"/>
    <w:rsid w:val="004F5B28"/>
    <w:rsid w:val="00535420"/>
    <w:rsid w:val="005442B3"/>
    <w:rsid w:val="005659AB"/>
    <w:rsid w:val="005918FA"/>
    <w:rsid w:val="005E156C"/>
    <w:rsid w:val="00612690"/>
    <w:rsid w:val="00651793"/>
    <w:rsid w:val="006868AC"/>
    <w:rsid w:val="006D7055"/>
    <w:rsid w:val="006E44A5"/>
    <w:rsid w:val="007469DC"/>
    <w:rsid w:val="007E7905"/>
    <w:rsid w:val="00816364"/>
    <w:rsid w:val="00882303"/>
    <w:rsid w:val="008A444B"/>
    <w:rsid w:val="008F4C4A"/>
    <w:rsid w:val="00902275"/>
    <w:rsid w:val="00936983"/>
    <w:rsid w:val="009524AD"/>
    <w:rsid w:val="00A638BD"/>
    <w:rsid w:val="00AC00B0"/>
    <w:rsid w:val="00AC632C"/>
    <w:rsid w:val="00AF4860"/>
    <w:rsid w:val="00B355D7"/>
    <w:rsid w:val="00B36AFD"/>
    <w:rsid w:val="00B72F77"/>
    <w:rsid w:val="00BB5DD4"/>
    <w:rsid w:val="00BB7906"/>
    <w:rsid w:val="00BE1BB2"/>
    <w:rsid w:val="00BE7F25"/>
    <w:rsid w:val="00C00634"/>
    <w:rsid w:val="00C2017F"/>
    <w:rsid w:val="00C3647B"/>
    <w:rsid w:val="00CB1AA0"/>
    <w:rsid w:val="00CD53E8"/>
    <w:rsid w:val="00D017B9"/>
    <w:rsid w:val="00D12144"/>
    <w:rsid w:val="00D70C4B"/>
    <w:rsid w:val="00D81FC5"/>
    <w:rsid w:val="00DC7B71"/>
    <w:rsid w:val="00E243E7"/>
    <w:rsid w:val="00E252E5"/>
    <w:rsid w:val="00E75BC8"/>
    <w:rsid w:val="00E916C1"/>
    <w:rsid w:val="00E96C61"/>
    <w:rsid w:val="00F37BC3"/>
    <w:rsid w:val="00F862BB"/>
    <w:rsid w:val="00FD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CB51"/>
  <w15:chartTrackingRefBased/>
  <w15:docId w15:val="{9B58E7C0-5219-409B-B3A6-FB70FA05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D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C57"/>
    <w:rPr>
      <w:rFonts w:ascii="Segoe UI" w:hAnsi="Segoe UI" w:cs="Segoe UI"/>
      <w:sz w:val="18"/>
      <w:szCs w:val="18"/>
    </w:rPr>
  </w:style>
  <w:style w:type="character" w:styleId="CommentReference">
    <w:name w:val="annotation reference"/>
    <w:basedOn w:val="DefaultParagraphFont"/>
    <w:uiPriority w:val="99"/>
    <w:semiHidden/>
    <w:unhideWhenUsed/>
    <w:rsid w:val="00D81FC5"/>
    <w:rPr>
      <w:sz w:val="16"/>
      <w:szCs w:val="16"/>
    </w:rPr>
  </w:style>
  <w:style w:type="paragraph" w:styleId="CommentText">
    <w:name w:val="annotation text"/>
    <w:basedOn w:val="Normal"/>
    <w:link w:val="CommentTextChar"/>
    <w:uiPriority w:val="99"/>
    <w:semiHidden/>
    <w:unhideWhenUsed/>
    <w:rsid w:val="00D81FC5"/>
    <w:rPr>
      <w:sz w:val="20"/>
      <w:szCs w:val="20"/>
    </w:rPr>
  </w:style>
  <w:style w:type="character" w:customStyle="1" w:styleId="CommentTextChar">
    <w:name w:val="Comment Text Char"/>
    <w:basedOn w:val="DefaultParagraphFont"/>
    <w:link w:val="CommentText"/>
    <w:uiPriority w:val="99"/>
    <w:semiHidden/>
    <w:rsid w:val="00D81FC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81FC5"/>
    <w:rPr>
      <w:b/>
      <w:bCs/>
    </w:rPr>
  </w:style>
  <w:style w:type="character" w:customStyle="1" w:styleId="CommentSubjectChar">
    <w:name w:val="Comment Subject Char"/>
    <w:basedOn w:val="CommentTextChar"/>
    <w:link w:val="CommentSubject"/>
    <w:uiPriority w:val="99"/>
    <w:semiHidden/>
    <w:rsid w:val="00D81FC5"/>
    <w:rPr>
      <w:rFonts w:ascii="Calibri" w:hAnsi="Calibri" w:cs="Calibri"/>
      <w:b/>
      <w:bCs/>
      <w:sz w:val="20"/>
      <w:szCs w:val="20"/>
    </w:rPr>
  </w:style>
  <w:style w:type="paragraph" w:styleId="Revision">
    <w:name w:val="Revision"/>
    <w:hidden/>
    <w:uiPriority w:val="99"/>
    <w:semiHidden/>
    <w:rsid w:val="00BE1BB2"/>
    <w:pPr>
      <w:spacing w:after="0" w:line="240" w:lineRule="auto"/>
    </w:pPr>
    <w:rPr>
      <w:rFonts w:ascii="Calibri" w:hAnsi="Calibri" w:cs="Calibri"/>
    </w:rPr>
  </w:style>
  <w:style w:type="paragraph" w:styleId="ListParagraph">
    <w:name w:val="List Paragraph"/>
    <w:basedOn w:val="Normal"/>
    <w:uiPriority w:val="34"/>
    <w:qFormat/>
    <w:rsid w:val="00E96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73445">
      <w:bodyDiv w:val="1"/>
      <w:marLeft w:val="0"/>
      <w:marRight w:val="0"/>
      <w:marTop w:val="0"/>
      <w:marBottom w:val="0"/>
      <w:divBdr>
        <w:top w:val="none" w:sz="0" w:space="0" w:color="auto"/>
        <w:left w:val="none" w:sz="0" w:space="0" w:color="auto"/>
        <w:bottom w:val="none" w:sz="0" w:space="0" w:color="auto"/>
        <w:right w:val="none" w:sz="0" w:space="0" w:color="auto"/>
      </w:divBdr>
      <w:divsChild>
        <w:div w:id="194269672">
          <w:marLeft w:val="547"/>
          <w:marRight w:val="0"/>
          <w:marTop w:val="0"/>
          <w:marBottom w:val="0"/>
          <w:divBdr>
            <w:top w:val="none" w:sz="0" w:space="0" w:color="auto"/>
            <w:left w:val="none" w:sz="0" w:space="0" w:color="auto"/>
            <w:bottom w:val="none" w:sz="0" w:space="0" w:color="auto"/>
            <w:right w:val="none" w:sz="0" w:space="0" w:color="auto"/>
          </w:divBdr>
        </w:div>
        <w:div w:id="2123258857">
          <w:marLeft w:val="1987"/>
          <w:marRight w:val="0"/>
          <w:marTop w:val="0"/>
          <w:marBottom w:val="0"/>
          <w:divBdr>
            <w:top w:val="none" w:sz="0" w:space="0" w:color="auto"/>
            <w:left w:val="none" w:sz="0" w:space="0" w:color="auto"/>
            <w:bottom w:val="none" w:sz="0" w:space="0" w:color="auto"/>
            <w:right w:val="none" w:sz="0" w:space="0" w:color="auto"/>
          </w:divBdr>
        </w:div>
        <w:div w:id="1085302277">
          <w:marLeft w:val="2707"/>
          <w:marRight w:val="0"/>
          <w:marTop w:val="0"/>
          <w:marBottom w:val="0"/>
          <w:divBdr>
            <w:top w:val="none" w:sz="0" w:space="0" w:color="auto"/>
            <w:left w:val="none" w:sz="0" w:space="0" w:color="auto"/>
            <w:bottom w:val="none" w:sz="0" w:space="0" w:color="auto"/>
            <w:right w:val="none" w:sz="0" w:space="0" w:color="auto"/>
          </w:divBdr>
        </w:div>
        <w:div w:id="1702901513">
          <w:marLeft w:val="3427"/>
          <w:marRight w:val="0"/>
          <w:marTop w:val="0"/>
          <w:marBottom w:val="0"/>
          <w:divBdr>
            <w:top w:val="none" w:sz="0" w:space="0" w:color="auto"/>
            <w:left w:val="none" w:sz="0" w:space="0" w:color="auto"/>
            <w:bottom w:val="none" w:sz="0" w:space="0" w:color="auto"/>
            <w:right w:val="none" w:sz="0" w:space="0" w:color="auto"/>
          </w:divBdr>
        </w:div>
        <w:div w:id="764420420">
          <w:marLeft w:val="3427"/>
          <w:marRight w:val="0"/>
          <w:marTop w:val="0"/>
          <w:marBottom w:val="0"/>
          <w:divBdr>
            <w:top w:val="none" w:sz="0" w:space="0" w:color="auto"/>
            <w:left w:val="none" w:sz="0" w:space="0" w:color="auto"/>
            <w:bottom w:val="none" w:sz="0" w:space="0" w:color="auto"/>
            <w:right w:val="none" w:sz="0" w:space="0" w:color="auto"/>
          </w:divBdr>
        </w:div>
        <w:div w:id="1499420464">
          <w:marLeft w:val="2707"/>
          <w:marRight w:val="0"/>
          <w:marTop w:val="0"/>
          <w:marBottom w:val="0"/>
          <w:divBdr>
            <w:top w:val="none" w:sz="0" w:space="0" w:color="auto"/>
            <w:left w:val="none" w:sz="0" w:space="0" w:color="auto"/>
            <w:bottom w:val="none" w:sz="0" w:space="0" w:color="auto"/>
            <w:right w:val="none" w:sz="0" w:space="0" w:color="auto"/>
          </w:divBdr>
        </w:div>
        <w:div w:id="381825734">
          <w:marLeft w:val="3427"/>
          <w:marRight w:val="0"/>
          <w:marTop w:val="0"/>
          <w:marBottom w:val="0"/>
          <w:divBdr>
            <w:top w:val="none" w:sz="0" w:space="0" w:color="auto"/>
            <w:left w:val="none" w:sz="0" w:space="0" w:color="auto"/>
            <w:bottom w:val="none" w:sz="0" w:space="0" w:color="auto"/>
            <w:right w:val="none" w:sz="0" w:space="0" w:color="auto"/>
          </w:divBdr>
        </w:div>
        <w:div w:id="381515665">
          <w:marLeft w:val="3427"/>
          <w:marRight w:val="0"/>
          <w:marTop w:val="0"/>
          <w:marBottom w:val="0"/>
          <w:divBdr>
            <w:top w:val="none" w:sz="0" w:space="0" w:color="auto"/>
            <w:left w:val="none" w:sz="0" w:space="0" w:color="auto"/>
            <w:bottom w:val="none" w:sz="0" w:space="0" w:color="auto"/>
            <w:right w:val="none" w:sz="0" w:space="0" w:color="auto"/>
          </w:divBdr>
        </w:div>
        <w:div w:id="1824346772">
          <w:marLeft w:val="3427"/>
          <w:marRight w:val="0"/>
          <w:marTop w:val="0"/>
          <w:marBottom w:val="0"/>
          <w:divBdr>
            <w:top w:val="none" w:sz="0" w:space="0" w:color="auto"/>
            <w:left w:val="none" w:sz="0" w:space="0" w:color="auto"/>
            <w:bottom w:val="none" w:sz="0" w:space="0" w:color="auto"/>
            <w:right w:val="none" w:sz="0" w:space="0" w:color="auto"/>
          </w:divBdr>
        </w:div>
        <w:div w:id="1719277040">
          <w:marLeft w:val="1267"/>
          <w:marRight w:val="0"/>
          <w:marTop w:val="0"/>
          <w:marBottom w:val="0"/>
          <w:divBdr>
            <w:top w:val="none" w:sz="0" w:space="0" w:color="auto"/>
            <w:left w:val="none" w:sz="0" w:space="0" w:color="auto"/>
            <w:bottom w:val="none" w:sz="0" w:space="0" w:color="auto"/>
            <w:right w:val="none" w:sz="0" w:space="0" w:color="auto"/>
          </w:divBdr>
        </w:div>
      </w:divsChild>
    </w:div>
    <w:div w:id="1745104579">
      <w:bodyDiv w:val="1"/>
      <w:marLeft w:val="0"/>
      <w:marRight w:val="0"/>
      <w:marTop w:val="0"/>
      <w:marBottom w:val="0"/>
      <w:divBdr>
        <w:top w:val="none" w:sz="0" w:space="0" w:color="auto"/>
        <w:left w:val="none" w:sz="0" w:space="0" w:color="auto"/>
        <w:bottom w:val="none" w:sz="0" w:space="0" w:color="auto"/>
        <w:right w:val="none" w:sz="0" w:space="0" w:color="auto"/>
      </w:divBdr>
      <w:divsChild>
        <w:div w:id="821656982">
          <w:marLeft w:val="547"/>
          <w:marRight w:val="0"/>
          <w:marTop w:val="0"/>
          <w:marBottom w:val="0"/>
          <w:divBdr>
            <w:top w:val="none" w:sz="0" w:space="0" w:color="auto"/>
            <w:left w:val="none" w:sz="0" w:space="0" w:color="auto"/>
            <w:bottom w:val="none" w:sz="0" w:space="0" w:color="auto"/>
            <w:right w:val="none" w:sz="0" w:space="0" w:color="auto"/>
          </w:divBdr>
        </w:div>
        <w:div w:id="805700889">
          <w:marLeft w:val="1987"/>
          <w:marRight w:val="0"/>
          <w:marTop w:val="0"/>
          <w:marBottom w:val="0"/>
          <w:divBdr>
            <w:top w:val="none" w:sz="0" w:space="0" w:color="auto"/>
            <w:left w:val="none" w:sz="0" w:space="0" w:color="auto"/>
            <w:bottom w:val="none" w:sz="0" w:space="0" w:color="auto"/>
            <w:right w:val="none" w:sz="0" w:space="0" w:color="auto"/>
          </w:divBdr>
        </w:div>
        <w:div w:id="791245029">
          <w:marLeft w:val="2707"/>
          <w:marRight w:val="0"/>
          <w:marTop w:val="0"/>
          <w:marBottom w:val="0"/>
          <w:divBdr>
            <w:top w:val="none" w:sz="0" w:space="0" w:color="auto"/>
            <w:left w:val="none" w:sz="0" w:space="0" w:color="auto"/>
            <w:bottom w:val="none" w:sz="0" w:space="0" w:color="auto"/>
            <w:right w:val="none" w:sz="0" w:space="0" w:color="auto"/>
          </w:divBdr>
        </w:div>
        <w:div w:id="962543069">
          <w:marLeft w:val="2707"/>
          <w:marRight w:val="0"/>
          <w:marTop w:val="0"/>
          <w:marBottom w:val="0"/>
          <w:divBdr>
            <w:top w:val="none" w:sz="0" w:space="0" w:color="auto"/>
            <w:left w:val="none" w:sz="0" w:space="0" w:color="auto"/>
            <w:bottom w:val="none" w:sz="0" w:space="0" w:color="auto"/>
            <w:right w:val="none" w:sz="0" w:space="0" w:color="auto"/>
          </w:divBdr>
        </w:div>
        <w:div w:id="1218400631">
          <w:marLeft w:val="27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Gestring</dc:creator>
  <cp:keywords/>
  <dc:description/>
  <cp:lastModifiedBy>Morris, Katie</cp:lastModifiedBy>
  <cp:revision>8</cp:revision>
  <cp:lastPrinted>2019-10-02T23:27:00Z</cp:lastPrinted>
  <dcterms:created xsi:type="dcterms:W3CDTF">2025-10-30T22:04:00Z</dcterms:created>
  <dcterms:modified xsi:type="dcterms:W3CDTF">2025-11-06T17:05:00Z</dcterms:modified>
</cp:coreProperties>
</file>