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7" w:type="dxa"/>
        <w:jc w:val="center"/>
        <w:tblLayout w:type="fixed"/>
        <w:tblCellMar>
          <w:left w:w="151" w:type="dxa"/>
          <w:right w:w="151" w:type="dxa"/>
        </w:tblCellMar>
        <w:tblLook w:val="0000" w:firstRow="0" w:lastRow="0" w:firstColumn="0" w:lastColumn="0" w:noHBand="0" w:noVBand="0"/>
      </w:tblPr>
      <w:tblGrid>
        <w:gridCol w:w="2079"/>
        <w:gridCol w:w="4830"/>
        <w:gridCol w:w="3458"/>
      </w:tblGrid>
      <w:tr w:rsidR="00413C82" w14:paraId="41A15BB4" w14:textId="77777777" w:rsidTr="002F6D04">
        <w:tblPrEx>
          <w:tblCellMar>
            <w:top w:w="0" w:type="dxa"/>
            <w:bottom w:w="0" w:type="dxa"/>
          </w:tblCellMar>
        </w:tblPrEx>
        <w:trPr>
          <w:jc w:val="center"/>
        </w:trPr>
        <w:tc>
          <w:tcPr>
            <w:tcW w:w="2079" w:type="dxa"/>
            <w:vMerge w:val="restart"/>
            <w:tcBorders>
              <w:top w:val="double" w:sz="7" w:space="0" w:color="000000"/>
              <w:left w:val="double" w:sz="7" w:space="0" w:color="000000"/>
              <w:right w:val="single" w:sz="6" w:space="0" w:color="FFFFFF"/>
            </w:tcBorders>
          </w:tcPr>
          <w:p w14:paraId="7CC00CC3" w14:textId="77777777" w:rsidR="00413C82" w:rsidRDefault="00413C82" w:rsidP="00413C82">
            <w:pPr>
              <w:spacing w:line="201" w:lineRule="exact"/>
              <w:rPr>
                <w:rFonts w:ascii="Univers" w:hAnsi="Univers"/>
                <w:sz w:val="22"/>
              </w:rPr>
            </w:pPr>
          </w:p>
          <w:p w14:paraId="6EB693FE" w14:textId="4D609409" w:rsidR="00413C82" w:rsidRDefault="003C347F" w:rsidP="00413C82">
            <w:pPr>
              <w:rPr>
                <w:rFonts w:ascii="Univers" w:hAnsi="Univers"/>
                <w:sz w:val="20"/>
              </w:rPr>
            </w:pPr>
            <w:r>
              <w:rPr>
                <w:noProof/>
                <w:sz w:val="20"/>
              </w:rPr>
              <w:drawing>
                <wp:inline distT="0" distB="0" distL="0" distR="0" wp14:anchorId="794C6A54" wp14:editId="1AD3E0B7">
                  <wp:extent cx="112395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18000"/>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830" w:type="dxa"/>
            <w:vMerge w:val="restart"/>
            <w:tcBorders>
              <w:top w:val="double" w:sz="7" w:space="0" w:color="000000"/>
              <w:left w:val="double" w:sz="7" w:space="0" w:color="000000"/>
              <w:right w:val="single" w:sz="6" w:space="0" w:color="FFFFFF"/>
            </w:tcBorders>
          </w:tcPr>
          <w:p w14:paraId="6D585A8D" w14:textId="77777777" w:rsidR="00413C82" w:rsidRDefault="00413C82" w:rsidP="00413C82">
            <w:pPr>
              <w:spacing w:line="201" w:lineRule="exact"/>
              <w:rPr>
                <w:rFonts w:ascii="Univers" w:hAnsi="Univers"/>
                <w:sz w:val="20"/>
              </w:rPr>
            </w:pPr>
          </w:p>
          <w:p w14:paraId="7196C6FC" w14:textId="77777777" w:rsidR="00413C82" w:rsidRDefault="00413C82" w:rsidP="00413C82">
            <w:pPr>
              <w:jc w:val="center"/>
              <w:rPr>
                <w:rFonts w:ascii="Univers" w:hAnsi="Univers"/>
                <w:b/>
                <w:sz w:val="20"/>
              </w:rPr>
            </w:pPr>
            <w:r>
              <w:rPr>
                <w:rFonts w:ascii="Univers" w:hAnsi="Univers"/>
                <w:b/>
              </w:rPr>
              <w:t xml:space="preserve">DEPARTMENT OF </w:t>
            </w:r>
          </w:p>
          <w:p w14:paraId="405CA3D0" w14:textId="77777777" w:rsidR="00413C82" w:rsidRDefault="00413C82" w:rsidP="00413C82">
            <w:pPr>
              <w:jc w:val="center"/>
              <w:rPr>
                <w:rFonts w:ascii="Univers" w:hAnsi="Univers"/>
                <w:sz w:val="20"/>
              </w:rPr>
            </w:pPr>
            <w:r>
              <w:rPr>
                <w:rFonts w:ascii="Univers" w:hAnsi="Univers"/>
                <w:b/>
              </w:rPr>
              <w:t>ENVIRONMENTAL QUALITY</w:t>
            </w:r>
          </w:p>
          <w:p w14:paraId="3D053C8D" w14:textId="77777777" w:rsidR="00413C82" w:rsidRDefault="00413C82" w:rsidP="00413C82">
            <w:pPr>
              <w:jc w:val="center"/>
              <w:rPr>
                <w:rFonts w:ascii="Univers" w:hAnsi="Univers"/>
              </w:rPr>
            </w:pPr>
          </w:p>
          <w:p w14:paraId="0CF0CCD6" w14:textId="77777777" w:rsidR="00413C82" w:rsidRDefault="00413C82" w:rsidP="00413C82">
            <w:pPr>
              <w:jc w:val="center"/>
              <w:rPr>
                <w:rFonts w:ascii="Univers" w:hAnsi="Univers"/>
                <w:b/>
                <w:sz w:val="20"/>
              </w:rPr>
            </w:pPr>
            <w:r>
              <w:rPr>
                <w:rFonts w:ascii="Univers" w:hAnsi="Univers"/>
                <w:b/>
              </w:rPr>
              <w:t>Air Resources Management Bureau</w:t>
            </w:r>
          </w:p>
          <w:p w14:paraId="0CEED888" w14:textId="77777777" w:rsidR="00413C82" w:rsidRDefault="00413C82" w:rsidP="00413C82">
            <w:pPr>
              <w:jc w:val="center"/>
              <w:rPr>
                <w:rFonts w:ascii="Univers" w:hAnsi="Univers"/>
                <w:sz w:val="20"/>
              </w:rPr>
            </w:pPr>
            <w:permStart w:id="822289514" w:edGrp="everyone"/>
            <w:permEnd w:id="822289514"/>
            <w:r>
              <w:rPr>
                <w:rFonts w:ascii="Univers" w:hAnsi="Univers"/>
                <w:b/>
                <w:sz w:val="20"/>
              </w:rPr>
              <w:t xml:space="preserve">Air </w:t>
            </w:r>
            <w:r w:rsidR="006428CD">
              <w:rPr>
                <w:rFonts w:ascii="Univers" w:hAnsi="Univers"/>
                <w:b/>
                <w:sz w:val="20"/>
              </w:rPr>
              <w:t>Registration</w:t>
            </w:r>
            <w:r>
              <w:rPr>
                <w:rFonts w:ascii="Univers" w:hAnsi="Univers"/>
                <w:b/>
                <w:sz w:val="20"/>
              </w:rPr>
              <w:t xml:space="preserve"> Section</w:t>
            </w:r>
          </w:p>
          <w:p w14:paraId="41F58205" w14:textId="77777777" w:rsidR="00413C82" w:rsidRDefault="00413C82" w:rsidP="00413C82">
            <w:pPr>
              <w:jc w:val="center"/>
              <w:rPr>
                <w:rFonts w:ascii="Univers" w:hAnsi="Univers"/>
                <w:sz w:val="20"/>
              </w:rPr>
            </w:pPr>
          </w:p>
          <w:p w14:paraId="0289BE88" w14:textId="77777777" w:rsidR="00413C82" w:rsidRDefault="00413C82" w:rsidP="00413C82">
            <w:pPr>
              <w:jc w:val="center"/>
              <w:rPr>
                <w:rFonts w:ascii="Univers" w:hAnsi="Univers"/>
                <w:sz w:val="22"/>
              </w:rPr>
            </w:pPr>
            <w:r>
              <w:rPr>
                <w:rFonts w:ascii="Univers" w:hAnsi="Univers"/>
                <w:b/>
              </w:rPr>
              <w:t>GUIDANCE STATEMENT</w:t>
            </w:r>
          </w:p>
        </w:tc>
        <w:tc>
          <w:tcPr>
            <w:tcW w:w="3458" w:type="dxa"/>
            <w:tcBorders>
              <w:top w:val="double" w:sz="7" w:space="0" w:color="000000"/>
              <w:left w:val="single" w:sz="7" w:space="0" w:color="000000"/>
              <w:bottom w:val="single" w:sz="6" w:space="0" w:color="FFFFFF"/>
              <w:right w:val="double" w:sz="7" w:space="0" w:color="000000"/>
            </w:tcBorders>
          </w:tcPr>
          <w:p w14:paraId="795F0A2B" w14:textId="77777777" w:rsidR="00413C82" w:rsidRDefault="00413C82" w:rsidP="00413C82">
            <w:pPr>
              <w:spacing w:line="201" w:lineRule="exact"/>
              <w:rPr>
                <w:rFonts w:ascii="Univers" w:hAnsi="Univers"/>
                <w:sz w:val="22"/>
              </w:rPr>
            </w:pPr>
          </w:p>
          <w:p w14:paraId="4E161E9D" w14:textId="77777777" w:rsidR="00413C82" w:rsidRDefault="005455B9" w:rsidP="00413C82">
            <w:pPr>
              <w:rPr>
                <w:rFonts w:ascii="Univers" w:hAnsi="Univers"/>
                <w:sz w:val="22"/>
              </w:rPr>
            </w:pPr>
            <w:r>
              <w:rPr>
                <w:rFonts w:ascii="Univers" w:hAnsi="Univers"/>
                <w:sz w:val="22"/>
              </w:rPr>
              <w:t>Effective Date:</w:t>
            </w:r>
            <w:r w:rsidR="00B46BE0">
              <w:rPr>
                <w:rFonts w:ascii="Univers" w:hAnsi="Univers"/>
                <w:sz w:val="22"/>
              </w:rPr>
              <w:t>07/09/09</w:t>
            </w:r>
          </w:p>
        </w:tc>
      </w:tr>
      <w:tr w:rsidR="00413C82" w14:paraId="3B097A1D" w14:textId="77777777" w:rsidTr="002F6D04">
        <w:tblPrEx>
          <w:tblCellMar>
            <w:top w:w="0" w:type="dxa"/>
            <w:bottom w:w="0" w:type="dxa"/>
          </w:tblCellMar>
        </w:tblPrEx>
        <w:trPr>
          <w:jc w:val="center"/>
        </w:trPr>
        <w:tc>
          <w:tcPr>
            <w:tcW w:w="2079" w:type="dxa"/>
            <w:vMerge/>
            <w:tcBorders>
              <w:left w:val="double" w:sz="7" w:space="0" w:color="000000"/>
              <w:right w:val="single" w:sz="6" w:space="0" w:color="FFFFFF"/>
            </w:tcBorders>
          </w:tcPr>
          <w:p w14:paraId="6647ED18" w14:textId="77777777" w:rsidR="00413C82" w:rsidRDefault="00413C82" w:rsidP="00413C82">
            <w:pPr>
              <w:rPr>
                <w:rFonts w:ascii="Univers" w:hAnsi="Univers"/>
                <w:sz w:val="22"/>
              </w:rPr>
            </w:pPr>
          </w:p>
        </w:tc>
        <w:tc>
          <w:tcPr>
            <w:tcW w:w="4830" w:type="dxa"/>
            <w:vMerge/>
            <w:tcBorders>
              <w:left w:val="double" w:sz="7" w:space="0" w:color="000000"/>
              <w:right w:val="single" w:sz="6" w:space="0" w:color="FFFFFF"/>
            </w:tcBorders>
          </w:tcPr>
          <w:p w14:paraId="705F905A" w14:textId="77777777" w:rsidR="00413C82" w:rsidRDefault="00413C82" w:rsidP="00413C82">
            <w:pPr>
              <w:rPr>
                <w:rFonts w:ascii="Univers" w:hAnsi="Univers"/>
                <w:sz w:val="22"/>
              </w:rPr>
            </w:pPr>
          </w:p>
        </w:tc>
        <w:tc>
          <w:tcPr>
            <w:tcW w:w="3458" w:type="dxa"/>
            <w:tcBorders>
              <w:top w:val="single" w:sz="7" w:space="0" w:color="000000"/>
              <w:left w:val="single" w:sz="7" w:space="0" w:color="000000"/>
              <w:bottom w:val="single" w:sz="6" w:space="0" w:color="FFFFFF"/>
              <w:right w:val="double" w:sz="7" w:space="0" w:color="000000"/>
            </w:tcBorders>
          </w:tcPr>
          <w:p w14:paraId="1D31B659" w14:textId="77777777" w:rsidR="00413C82" w:rsidRPr="00B46BE0" w:rsidRDefault="00413C82" w:rsidP="00413C82">
            <w:pPr>
              <w:spacing w:line="163" w:lineRule="exact"/>
              <w:rPr>
                <w:rFonts w:ascii="Univers" w:hAnsi="Univers"/>
                <w:sz w:val="22"/>
              </w:rPr>
            </w:pPr>
          </w:p>
          <w:p w14:paraId="172D2C4E" w14:textId="77777777" w:rsidR="00413C82" w:rsidRPr="00B46BE0" w:rsidRDefault="00413C82" w:rsidP="00413C82">
            <w:pPr>
              <w:rPr>
                <w:rFonts w:ascii="Univers" w:hAnsi="Univers"/>
                <w:sz w:val="22"/>
              </w:rPr>
            </w:pPr>
            <w:r w:rsidRPr="00B46BE0">
              <w:rPr>
                <w:rFonts w:ascii="Univers" w:hAnsi="Univers"/>
                <w:sz w:val="22"/>
              </w:rPr>
              <w:t xml:space="preserve">Authored By: </w:t>
            </w:r>
            <w:r w:rsidR="002F6D04" w:rsidRPr="00B46BE0">
              <w:rPr>
                <w:rFonts w:ascii="Univers" w:hAnsi="Univers"/>
                <w:sz w:val="22"/>
              </w:rPr>
              <w:t>Mark Ewanic</w:t>
            </w:r>
          </w:p>
        </w:tc>
      </w:tr>
      <w:tr w:rsidR="00413C82" w14:paraId="1AFC24BB" w14:textId="77777777" w:rsidTr="002F6D04">
        <w:tblPrEx>
          <w:tblCellMar>
            <w:top w:w="0" w:type="dxa"/>
            <w:bottom w:w="0" w:type="dxa"/>
          </w:tblCellMar>
        </w:tblPrEx>
        <w:trPr>
          <w:jc w:val="center"/>
        </w:trPr>
        <w:tc>
          <w:tcPr>
            <w:tcW w:w="2079" w:type="dxa"/>
            <w:vMerge/>
            <w:tcBorders>
              <w:left w:val="double" w:sz="7" w:space="0" w:color="000000"/>
              <w:right w:val="single" w:sz="6" w:space="0" w:color="FFFFFF"/>
            </w:tcBorders>
          </w:tcPr>
          <w:p w14:paraId="759E72D7" w14:textId="77777777" w:rsidR="00413C82" w:rsidRDefault="00413C82" w:rsidP="00413C82">
            <w:pPr>
              <w:rPr>
                <w:rFonts w:ascii="Univers" w:hAnsi="Univers"/>
                <w:sz w:val="22"/>
              </w:rPr>
            </w:pPr>
          </w:p>
        </w:tc>
        <w:tc>
          <w:tcPr>
            <w:tcW w:w="4830" w:type="dxa"/>
            <w:vMerge/>
            <w:tcBorders>
              <w:left w:val="double" w:sz="7" w:space="0" w:color="000000"/>
              <w:right w:val="single" w:sz="6" w:space="0" w:color="FFFFFF"/>
            </w:tcBorders>
          </w:tcPr>
          <w:p w14:paraId="5AA886CF" w14:textId="77777777" w:rsidR="00413C82" w:rsidRDefault="00413C82" w:rsidP="00413C82">
            <w:pPr>
              <w:rPr>
                <w:rFonts w:ascii="Univers" w:hAnsi="Univers"/>
                <w:sz w:val="22"/>
              </w:rPr>
            </w:pPr>
          </w:p>
        </w:tc>
        <w:tc>
          <w:tcPr>
            <w:tcW w:w="3458" w:type="dxa"/>
            <w:tcBorders>
              <w:top w:val="single" w:sz="7" w:space="0" w:color="000000"/>
              <w:left w:val="single" w:sz="7" w:space="0" w:color="000000"/>
              <w:bottom w:val="single" w:sz="6" w:space="0" w:color="FFFFFF"/>
              <w:right w:val="double" w:sz="7" w:space="0" w:color="000000"/>
            </w:tcBorders>
          </w:tcPr>
          <w:p w14:paraId="0E4891D6" w14:textId="77777777" w:rsidR="00413C82" w:rsidRPr="00B46BE0" w:rsidRDefault="00413C82" w:rsidP="00413C82">
            <w:pPr>
              <w:spacing w:line="163" w:lineRule="exact"/>
              <w:rPr>
                <w:rFonts w:ascii="Univers" w:hAnsi="Univers"/>
                <w:sz w:val="22"/>
              </w:rPr>
            </w:pPr>
          </w:p>
          <w:p w14:paraId="110F8208" w14:textId="77777777" w:rsidR="00413C82" w:rsidRPr="00B46BE0" w:rsidRDefault="00413C82" w:rsidP="00413C82">
            <w:pPr>
              <w:rPr>
                <w:rFonts w:ascii="Univers" w:hAnsi="Univers"/>
                <w:sz w:val="22"/>
              </w:rPr>
            </w:pPr>
            <w:r w:rsidRPr="00B46BE0">
              <w:rPr>
                <w:rFonts w:ascii="Univers" w:hAnsi="Univers"/>
                <w:sz w:val="22"/>
              </w:rPr>
              <w:t xml:space="preserve">Approved By: </w:t>
            </w:r>
            <w:r w:rsidR="002F6D04" w:rsidRPr="00B46BE0">
              <w:rPr>
                <w:rFonts w:ascii="Univers" w:hAnsi="Univers"/>
                <w:sz w:val="22"/>
              </w:rPr>
              <w:t>Dave Aguirre</w:t>
            </w:r>
          </w:p>
        </w:tc>
      </w:tr>
      <w:tr w:rsidR="00413C82" w14:paraId="4C55104E" w14:textId="77777777" w:rsidTr="002F6D04">
        <w:tblPrEx>
          <w:tblCellMar>
            <w:top w:w="0" w:type="dxa"/>
            <w:bottom w:w="0" w:type="dxa"/>
          </w:tblCellMar>
        </w:tblPrEx>
        <w:trPr>
          <w:jc w:val="center"/>
        </w:trPr>
        <w:tc>
          <w:tcPr>
            <w:tcW w:w="2079" w:type="dxa"/>
            <w:vMerge/>
            <w:tcBorders>
              <w:left w:val="double" w:sz="7" w:space="0" w:color="000000"/>
              <w:bottom w:val="single" w:sz="6" w:space="0" w:color="FFFFFF"/>
              <w:right w:val="single" w:sz="6" w:space="0" w:color="FFFFFF"/>
            </w:tcBorders>
          </w:tcPr>
          <w:p w14:paraId="5619D9C5" w14:textId="77777777" w:rsidR="00413C82" w:rsidRDefault="00413C82" w:rsidP="00413C82">
            <w:pPr>
              <w:rPr>
                <w:rFonts w:ascii="Univers" w:hAnsi="Univers"/>
                <w:sz w:val="22"/>
              </w:rPr>
            </w:pPr>
          </w:p>
        </w:tc>
        <w:tc>
          <w:tcPr>
            <w:tcW w:w="4830" w:type="dxa"/>
            <w:vMerge/>
            <w:tcBorders>
              <w:left w:val="double" w:sz="7" w:space="0" w:color="000000"/>
              <w:bottom w:val="single" w:sz="6" w:space="0" w:color="FFFFFF"/>
              <w:right w:val="single" w:sz="6" w:space="0" w:color="FFFFFF"/>
            </w:tcBorders>
          </w:tcPr>
          <w:p w14:paraId="38C4517A" w14:textId="77777777" w:rsidR="00413C82" w:rsidRDefault="00413C82" w:rsidP="00413C82">
            <w:pPr>
              <w:rPr>
                <w:rFonts w:ascii="Univers" w:hAnsi="Univers"/>
                <w:sz w:val="22"/>
              </w:rPr>
            </w:pPr>
          </w:p>
        </w:tc>
        <w:tc>
          <w:tcPr>
            <w:tcW w:w="3458" w:type="dxa"/>
            <w:tcBorders>
              <w:top w:val="single" w:sz="7" w:space="0" w:color="000000"/>
              <w:left w:val="single" w:sz="7" w:space="0" w:color="000000"/>
              <w:bottom w:val="single" w:sz="6" w:space="0" w:color="FFFFFF"/>
              <w:right w:val="double" w:sz="7" w:space="0" w:color="000000"/>
            </w:tcBorders>
          </w:tcPr>
          <w:p w14:paraId="5E769946" w14:textId="77777777" w:rsidR="00413C82" w:rsidRDefault="00413C82" w:rsidP="00413C82">
            <w:pPr>
              <w:spacing w:line="163" w:lineRule="exact"/>
              <w:rPr>
                <w:rFonts w:ascii="Univers" w:hAnsi="Univers"/>
                <w:sz w:val="22"/>
              </w:rPr>
            </w:pPr>
          </w:p>
          <w:p w14:paraId="06E2F81C" w14:textId="77777777" w:rsidR="00413C82" w:rsidRDefault="00413C82" w:rsidP="00413C82">
            <w:pPr>
              <w:rPr>
                <w:rFonts w:ascii="Univers" w:hAnsi="Univers"/>
                <w:sz w:val="22"/>
              </w:rPr>
            </w:pPr>
            <w:r>
              <w:rPr>
                <w:rFonts w:ascii="Univers" w:hAnsi="Univers"/>
                <w:sz w:val="22"/>
              </w:rPr>
              <w:t>Manual Section: Section I</w:t>
            </w:r>
            <w:r w:rsidR="002F6D04">
              <w:rPr>
                <w:rFonts w:ascii="Univers" w:hAnsi="Univers"/>
                <w:sz w:val="22"/>
              </w:rPr>
              <w:t xml:space="preserve"> General Procedures, 1-</w:t>
            </w:r>
            <w:r w:rsidR="00862422">
              <w:rPr>
                <w:rFonts w:ascii="Univers" w:hAnsi="Univers"/>
                <w:sz w:val="22"/>
              </w:rPr>
              <w:t>6</w:t>
            </w:r>
          </w:p>
        </w:tc>
      </w:tr>
      <w:tr w:rsidR="00413C82" w14:paraId="470BE27B" w14:textId="77777777" w:rsidTr="002F6D04">
        <w:tblPrEx>
          <w:tblCellMar>
            <w:top w:w="0" w:type="dxa"/>
            <w:bottom w:w="0" w:type="dxa"/>
          </w:tblCellMar>
        </w:tblPrEx>
        <w:trPr>
          <w:jc w:val="center"/>
        </w:trPr>
        <w:tc>
          <w:tcPr>
            <w:tcW w:w="10367" w:type="dxa"/>
            <w:gridSpan w:val="3"/>
            <w:tcBorders>
              <w:top w:val="single" w:sz="7" w:space="0" w:color="000000"/>
              <w:left w:val="double" w:sz="7" w:space="0" w:color="000000"/>
              <w:right w:val="double" w:sz="7" w:space="0" w:color="000000"/>
            </w:tcBorders>
          </w:tcPr>
          <w:p w14:paraId="765F5AC5" w14:textId="77777777" w:rsidR="00413C82" w:rsidRDefault="00413C82" w:rsidP="00413C82">
            <w:pPr>
              <w:spacing w:line="163" w:lineRule="exact"/>
              <w:rPr>
                <w:rFonts w:ascii="Univers" w:hAnsi="Univers"/>
                <w:sz w:val="22"/>
              </w:rPr>
            </w:pPr>
          </w:p>
          <w:p w14:paraId="432A40FC" w14:textId="77777777" w:rsidR="00413C82" w:rsidRDefault="00413C82" w:rsidP="00413C82">
            <w:pPr>
              <w:spacing w:after="58"/>
              <w:rPr>
                <w:rFonts w:ascii="Univers" w:hAnsi="Univers"/>
                <w:bCs/>
                <w:sz w:val="22"/>
              </w:rPr>
            </w:pPr>
            <w:r>
              <w:rPr>
                <w:rFonts w:ascii="Univers" w:hAnsi="Univers"/>
                <w:b/>
              </w:rPr>
              <w:t xml:space="preserve">Title: </w:t>
            </w:r>
            <w:r w:rsidR="00D13283">
              <w:rPr>
                <w:rFonts w:ascii="Univers" w:hAnsi="Univers"/>
              </w:rPr>
              <w:t>Oil or</w:t>
            </w:r>
            <w:r>
              <w:rPr>
                <w:rFonts w:ascii="Univers" w:hAnsi="Univers"/>
              </w:rPr>
              <w:t xml:space="preserve"> Gas Well Facilities and Calculating </w:t>
            </w:r>
            <w:r w:rsidR="00776440">
              <w:rPr>
                <w:rFonts w:ascii="Univers" w:hAnsi="Univers"/>
              </w:rPr>
              <w:t>Potential to Emit (</w:t>
            </w:r>
            <w:r>
              <w:rPr>
                <w:rFonts w:ascii="Univers" w:hAnsi="Univers"/>
              </w:rPr>
              <w:t>PTE</w:t>
            </w:r>
            <w:r w:rsidR="00776440">
              <w:rPr>
                <w:rFonts w:ascii="Univers" w:hAnsi="Univers"/>
              </w:rPr>
              <w:t>)</w:t>
            </w:r>
          </w:p>
        </w:tc>
      </w:tr>
      <w:tr w:rsidR="00413C82" w14:paraId="7B3C3452" w14:textId="77777777" w:rsidTr="002F6D04">
        <w:tblPrEx>
          <w:tblCellMar>
            <w:top w:w="0" w:type="dxa"/>
            <w:bottom w:w="0" w:type="dxa"/>
          </w:tblCellMar>
        </w:tblPrEx>
        <w:trPr>
          <w:jc w:val="center"/>
        </w:trPr>
        <w:tc>
          <w:tcPr>
            <w:tcW w:w="10367" w:type="dxa"/>
            <w:gridSpan w:val="3"/>
            <w:tcBorders>
              <w:left w:val="double" w:sz="7" w:space="0" w:color="000000"/>
              <w:right w:val="double" w:sz="7" w:space="0" w:color="000000"/>
            </w:tcBorders>
          </w:tcPr>
          <w:p w14:paraId="2DFC67D8" w14:textId="77777777" w:rsidR="00413C82" w:rsidRDefault="00413C82" w:rsidP="00413C82">
            <w:pPr>
              <w:spacing w:line="163" w:lineRule="exact"/>
              <w:rPr>
                <w:rFonts w:ascii="Univers" w:hAnsi="Univers"/>
                <w:sz w:val="22"/>
              </w:rPr>
            </w:pPr>
          </w:p>
          <w:p w14:paraId="4728972B" w14:textId="77777777" w:rsidR="00413C82" w:rsidRDefault="00413C82" w:rsidP="00413C82">
            <w:pPr>
              <w:spacing w:after="58"/>
              <w:rPr>
                <w:rFonts w:ascii="Univers" w:hAnsi="Univers"/>
                <w:sz w:val="22"/>
              </w:rPr>
            </w:pPr>
            <w:r>
              <w:rPr>
                <w:rFonts w:ascii="Univers" w:hAnsi="Univers"/>
                <w:sz w:val="22"/>
              </w:rPr>
              <w:t xml:space="preserve">Applicability:  All </w:t>
            </w:r>
            <w:smartTag w:uri="urn:schemas-microsoft-com:office:smarttags" w:element="place">
              <w:smartTag w:uri="urn:schemas-microsoft-com:office:smarttags" w:element="State">
                <w:r>
                  <w:rPr>
                    <w:rFonts w:ascii="Univers" w:hAnsi="Univers"/>
                    <w:sz w:val="22"/>
                  </w:rPr>
                  <w:t>Montana</w:t>
                </w:r>
              </w:smartTag>
            </w:smartTag>
            <w:r>
              <w:rPr>
                <w:rFonts w:ascii="Univers" w:hAnsi="Univers"/>
                <w:sz w:val="22"/>
              </w:rPr>
              <w:t xml:space="preserve"> </w:t>
            </w:r>
            <w:r w:rsidR="003E55A7">
              <w:rPr>
                <w:rFonts w:ascii="Univers" w:hAnsi="Univers"/>
                <w:sz w:val="22"/>
              </w:rPr>
              <w:t xml:space="preserve">Registered </w:t>
            </w:r>
            <w:r w:rsidR="002F6D04">
              <w:rPr>
                <w:rFonts w:ascii="Univers" w:hAnsi="Univers"/>
                <w:sz w:val="22"/>
              </w:rPr>
              <w:t>Oil or Gas Well Facilities</w:t>
            </w:r>
          </w:p>
        </w:tc>
      </w:tr>
      <w:tr w:rsidR="00413C82" w14:paraId="59D10149" w14:textId="77777777" w:rsidTr="002F6D04">
        <w:tblPrEx>
          <w:tblCellMar>
            <w:top w:w="0" w:type="dxa"/>
            <w:bottom w:w="0" w:type="dxa"/>
          </w:tblCellMar>
        </w:tblPrEx>
        <w:trPr>
          <w:jc w:val="center"/>
        </w:trPr>
        <w:tc>
          <w:tcPr>
            <w:tcW w:w="10367" w:type="dxa"/>
            <w:gridSpan w:val="3"/>
            <w:tcBorders>
              <w:left w:val="double" w:sz="7" w:space="0" w:color="000000"/>
              <w:bottom w:val="double" w:sz="7" w:space="0" w:color="000000"/>
              <w:right w:val="double" w:sz="7" w:space="0" w:color="000000"/>
            </w:tcBorders>
          </w:tcPr>
          <w:p w14:paraId="4FB0169D" w14:textId="77777777" w:rsidR="00413C82" w:rsidRDefault="00413C82" w:rsidP="00413C82">
            <w:pPr>
              <w:spacing w:line="163" w:lineRule="exact"/>
              <w:rPr>
                <w:rFonts w:ascii="Univers" w:hAnsi="Univers"/>
                <w:sz w:val="22"/>
              </w:rPr>
            </w:pPr>
          </w:p>
          <w:p w14:paraId="3160635F" w14:textId="77777777" w:rsidR="00413C82" w:rsidRPr="0010413F" w:rsidRDefault="00413C82" w:rsidP="0010413F">
            <w:pPr>
              <w:spacing w:after="58"/>
              <w:rPr>
                <w:rFonts w:ascii="Univers" w:hAnsi="Univers"/>
                <w:sz w:val="22"/>
              </w:rPr>
            </w:pPr>
            <w:r>
              <w:rPr>
                <w:rFonts w:ascii="Univers" w:hAnsi="Univers"/>
                <w:sz w:val="22"/>
              </w:rPr>
              <w:t xml:space="preserve">Title, Date &amp; Author of Superseded Guidance or Policy Statement (if any):  </w:t>
            </w:r>
            <w:r w:rsidR="0010413F" w:rsidRPr="0010413F">
              <w:rPr>
                <w:rFonts w:ascii="Univers" w:hAnsi="Univers"/>
                <w:sz w:val="22"/>
              </w:rPr>
              <w:t>Oil &amp; Gas Well Facilities and Calculating Potential to Emit (PTE)</w:t>
            </w:r>
            <w:r w:rsidR="0010413F">
              <w:rPr>
                <w:rFonts w:ascii="Univers" w:hAnsi="Univers"/>
                <w:sz w:val="22"/>
              </w:rPr>
              <w:t xml:space="preserve">, </w:t>
            </w:r>
            <w:r w:rsidR="0010413F" w:rsidRPr="0010413F">
              <w:rPr>
                <w:rFonts w:ascii="Univers" w:hAnsi="Univers"/>
                <w:sz w:val="22"/>
              </w:rPr>
              <w:t>06/01/07</w:t>
            </w:r>
            <w:r w:rsidR="0010413F">
              <w:rPr>
                <w:rFonts w:ascii="Univers" w:hAnsi="Univers"/>
                <w:sz w:val="22"/>
              </w:rPr>
              <w:t xml:space="preserve">, </w:t>
            </w:r>
            <w:r w:rsidR="0010413F" w:rsidRPr="0010413F">
              <w:rPr>
                <w:rFonts w:ascii="Univers" w:hAnsi="Univers"/>
                <w:sz w:val="22"/>
              </w:rPr>
              <w:t>Vickie Walsh</w:t>
            </w:r>
          </w:p>
        </w:tc>
      </w:tr>
    </w:tbl>
    <w:p w14:paraId="422B3C30" w14:textId="77777777" w:rsidR="00413C82" w:rsidRDefault="00413C82">
      <w:pPr>
        <w:rPr>
          <w:rFonts w:ascii="Arial" w:hAnsi="Arial" w:cs="Arial"/>
          <w:b/>
        </w:rPr>
      </w:pPr>
    </w:p>
    <w:p w14:paraId="0FB0E225" w14:textId="77777777" w:rsidR="00AB77F7" w:rsidRDefault="00AB77F7" w:rsidP="00E76EBA">
      <w:pPr>
        <w:rPr>
          <w:rFonts w:ascii="Arial" w:hAnsi="Arial" w:cs="Arial"/>
        </w:rPr>
      </w:pPr>
      <w:r>
        <w:rPr>
          <w:rFonts w:ascii="Arial" w:hAnsi="Arial" w:cs="Arial"/>
          <w:b/>
        </w:rPr>
        <w:t>PURPOSE</w:t>
      </w:r>
    </w:p>
    <w:p w14:paraId="0FE05DB7" w14:textId="77777777" w:rsidR="00AB77F7" w:rsidRDefault="00AB77F7" w:rsidP="00E76EBA">
      <w:pPr>
        <w:rPr>
          <w:rFonts w:ascii="Arial" w:hAnsi="Arial" w:cs="Arial"/>
        </w:rPr>
      </w:pPr>
    </w:p>
    <w:p w14:paraId="2D77F8C4" w14:textId="77777777" w:rsidR="00E76EBA" w:rsidRDefault="00E76EBA" w:rsidP="00E76EBA">
      <w:pPr>
        <w:rPr>
          <w:rFonts w:ascii="Arial" w:hAnsi="Arial" w:cs="Arial"/>
        </w:rPr>
      </w:pPr>
      <w:r>
        <w:rPr>
          <w:rFonts w:ascii="Arial" w:hAnsi="Arial" w:cs="Arial"/>
        </w:rPr>
        <w:t xml:space="preserve">The purpose of this guidance statement is to clarify the </w:t>
      </w:r>
      <w:r w:rsidR="00AB77F7">
        <w:rPr>
          <w:rFonts w:ascii="Arial" w:hAnsi="Arial" w:cs="Arial"/>
        </w:rPr>
        <w:t>determination of</w:t>
      </w:r>
      <w:r>
        <w:rPr>
          <w:rFonts w:ascii="Arial" w:hAnsi="Arial" w:cs="Arial"/>
        </w:rPr>
        <w:t xml:space="preserve"> potential to emit (PTE) </w:t>
      </w:r>
      <w:r w:rsidR="00AB77F7">
        <w:rPr>
          <w:rFonts w:ascii="Arial" w:hAnsi="Arial" w:cs="Arial"/>
        </w:rPr>
        <w:t>for</w:t>
      </w:r>
      <w:r>
        <w:rPr>
          <w:rFonts w:ascii="Arial" w:hAnsi="Arial" w:cs="Arial"/>
        </w:rPr>
        <w:t xml:space="preserve"> oil </w:t>
      </w:r>
      <w:r w:rsidR="00B153AE">
        <w:rPr>
          <w:rFonts w:ascii="Arial" w:hAnsi="Arial" w:cs="Arial"/>
        </w:rPr>
        <w:t xml:space="preserve">or </w:t>
      </w:r>
      <w:r>
        <w:rPr>
          <w:rFonts w:ascii="Arial" w:hAnsi="Arial" w:cs="Arial"/>
        </w:rPr>
        <w:t>gas well facilities as defined in 75-2-103(13), M</w:t>
      </w:r>
      <w:r w:rsidR="00D13283">
        <w:rPr>
          <w:rFonts w:ascii="Arial" w:hAnsi="Arial" w:cs="Arial"/>
        </w:rPr>
        <w:t xml:space="preserve">ontana </w:t>
      </w:r>
      <w:r>
        <w:rPr>
          <w:rFonts w:ascii="Arial" w:hAnsi="Arial" w:cs="Arial"/>
        </w:rPr>
        <w:t>C</w:t>
      </w:r>
      <w:r w:rsidR="00D13283">
        <w:rPr>
          <w:rFonts w:ascii="Arial" w:hAnsi="Arial" w:cs="Arial"/>
        </w:rPr>
        <w:t xml:space="preserve">ode </w:t>
      </w:r>
      <w:r>
        <w:rPr>
          <w:rFonts w:ascii="Arial" w:hAnsi="Arial" w:cs="Arial"/>
        </w:rPr>
        <w:t>A</w:t>
      </w:r>
      <w:r w:rsidR="00D13283">
        <w:rPr>
          <w:rFonts w:ascii="Arial" w:hAnsi="Arial" w:cs="Arial"/>
        </w:rPr>
        <w:t>nnotated</w:t>
      </w:r>
      <w:r w:rsidR="00687235">
        <w:rPr>
          <w:rFonts w:ascii="Arial" w:hAnsi="Arial" w:cs="Arial"/>
        </w:rPr>
        <w:t xml:space="preserve"> (MCA)</w:t>
      </w:r>
      <w:r>
        <w:rPr>
          <w:rFonts w:ascii="Arial" w:hAnsi="Arial" w:cs="Arial"/>
        </w:rPr>
        <w:t>.</w:t>
      </w:r>
    </w:p>
    <w:p w14:paraId="6E8F5563" w14:textId="77777777" w:rsidR="00E76EBA" w:rsidRDefault="00E76EBA">
      <w:pPr>
        <w:rPr>
          <w:rFonts w:ascii="Arial" w:hAnsi="Arial" w:cs="Arial"/>
          <w:b/>
        </w:rPr>
      </w:pPr>
    </w:p>
    <w:p w14:paraId="0BCB9D2C" w14:textId="77777777" w:rsidR="00C23DB3" w:rsidRPr="005C61E7" w:rsidRDefault="00C23DB3" w:rsidP="00C23DB3">
      <w:pPr>
        <w:rPr>
          <w:rFonts w:ascii="Arial" w:hAnsi="Arial" w:cs="Arial"/>
          <w:b/>
        </w:rPr>
      </w:pPr>
      <w:r>
        <w:rPr>
          <w:rFonts w:ascii="Arial" w:hAnsi="Arial" w:cs="Arial"/>
          <w:b/>
        </w:rPr>
        <w:t>BACKGROUND</w:t>
      </w:r>
    </w:p>
    <w:p w14:paraId="1D594B2C" w14:textId="77777777" w:rsidR="00C23DB3" w:rsidRDefault="00C23DB3" w:rsidP="00C23DB3">
      <w:pPr>
        <w:rPr>
          <w:rFonts w:ascii="Arial" w:hAnsi="Arial" w:cs="Arial"/>
        </w:rPr>
      </w:pPr>
    </w:p>
    <w:p w14:paraId="05A59494" w14:textId="77777777" w:rsidR="00A83958" w:rsidRDefault="00C23DB3" w:rsidP="00C23DB3">
      <w:pPr>
        <w:rPr>
          <w:rFonts w:ascii="Arial" w:hAnsi="Arial" w:cs="Arial"/>
        </w:rPr>
      </w:pPr>
      <w:r>
        <w:rPr>
          <w:rFonts w:ascii="Arial" w:hAnsi="Arial" w:cs="Arial"/>
        </w:rPr>
        <w:t>In the spring of 2004</w:t>
      </w:r>
      <w:r w:rsidR="00AB77F7">
        <w:rPr>
          <w:rFonts w:ascii="Arial" w:hAnsi="Arial" w:cs="Arial"/>
        </w:rPr>
        <w:t>,</w:t>
      </w:r>
      <w:r>
        <w:rPr>
          <w:rFonts w:ascii="Arial" w:hAnsi="Arial" w:cs="Arial"/>
        </w:rPr>
        <w:t xml:space="preserve"> the Department of Environmental Quality – Air Resources Management Bureau (Department) became aware that there </w:t>
      </w:r>
      <w:r w:rsidR="00687235">
        <w:rPr>
          <w:rFonts w:ascii="Arial" w:hAnsi="Arial" w:cs="Arial"/>
        </w:rPr>
        <w:t xml:space="preserve">were </w:t>
      </w:r>
      <w:r w:rsidR="00D13283">
        <w:rPr>
          <w:rFonts w:ascii="Arial" w:hAnsi="Arial" w:cs="Arial"/>
        </w:rPr>
        <w:t>many oil or</w:t>
      </w:r>
      <w:r>
        <w:rPr>
          <w:rFonts w:ascii="Arial" w:hAnsi="Arial" w:cs="Arial"/>
        </w:rPr>
        <w:t xml:space="preserve"> gas well facilities </w:t>
      </w:r>
      <w:r w:rsidR="00D13283">
        <w:rPr>
          <w:rFonts w:ascii="Arial" w:hAnsi="Arial" w:cs="Arial"/>
        </w:rPr>
        <w:t xml:space="preserve">that </w:t>
      </w:r>
      <w:r>
        <w:rPr>
          <w:rFonts w:ascii="Arial" w:hAnsi="Arial" w:cs="Arial"/>
        </w:rPr>
        <w:t>exceed</w:t>
      </w:r>
      <w:r w:rsidR="00D13283">
        <w:rPr>
          <w:rFonts w:ascii="Arial" w:hAnsi="Arial" w:cs="Arial"/>
        </w:rPr>
        <w:t>ed</w:t>
      </w:r>
      <w:r>
        <w:rPr>
          <w:rFonts w:ascii="Arial" w:hAnsi="Arial" w:cs="Arial"/>
        </w:rPr>
        <w:t xml:space="preserve"> the PTE permitting threshold and would therefore be required to obtain a Montana Air Quality Permit</w:t>
      </w:r>
      <w:r w:rsidR="00E76EBA">
        <w:rPr>
          <w:rFonts w:ascii="Arial" w:hAnsi="Arial" w:cs="Arial"/>
        </w:rPr>
        <w:t xml:space="preserve"> (MAQP)</w:t>
      </w:r>
      <w:r>
        <w:rPr>
          <w:rFonts w:ascii="Arial" w:hAnsi="Arial" w:cs="Arial"/>
        </w:rPr>
        <w:t xml:space="preserve"> prior to construction and operation</w:t>
      </w:r>
      <w:r w:rsidR="00E76EBA">
        <w:rPr>
          <w:rFonts w:ascii="Arial" w:hAnsi="Arial" w:cs="Arial"/>
        </w:rPr>
        <w:t xml:space="preserve"> of a facility</w:t>
      </w:r>
      <w:r>
        <w:rPr>
          <w:rFonts w:ascii="Arial" w:hAnsi="Arial" w:cs="Arial"/>
        </w:rPr>
        <w:t xml:space="preserve">. The Department undertook a review process and ultimately the Montana Legislature </w:t>
      </w:r>
      <w:r w:rsidR="00E76EBA">
        <w:rPr>
          <w:rFonts w:ascii="Arial" w:hAnsi="Arial" w:cs="Arial"/>
        </w:rPr>
        <w:t xml:space="preserve">and the Department </w:t>
      </w:r>
      <w:r>
        <w:rPr>
          <w:rFonts w:ascii="Arial" w:hAnsi="Arial" w:cs="Arial"/>
        </w:rPr>
        <w:t xml:space="preserve">made some statutory </w:t>
      </w:r>
      <w:r w:rsidR="00E76EBA">
        <w:rPr>
          <w:rFonts w:ascii="Arial" w:hAnsi="Arial" w:cs="Arial"/>
        </w:rPr>
        <w:t xml:space="preserve">and rule </w:t>
      </w:r>
      <w:r>
        <w:rPr>
          <w:rFonts w:ascii="Arial" w:hAnsi="Arial" w:cs="Arial"/>
        </w:rPr>
        <w:t>changes</w:t>
      </w:r>
      <w:r w:rsidR="00E76EBA">
        <w:rPr>
          <w:rFonts w:ascii="Arial" w:hAnsi="Arial" w:cs="Arial"/>
        </w:rPr>
        <w:t>, respectively,</w:t>
      </w:r>
      <w:r>
        <w:rPr>
          <w:rFonts w:ascii="Arial" w:hAnsi="Arial" w:cs="Arial"/>
        </w:rPr>
        <w:t xml:space="preserve"> to deal with oil </w:t>
      </w:r>
      <w:r w:rsidR="00D13283">
        <w:rPr>
          <w:rFonts w:ascii="Arial" w:hAnsi="Arial" w:cs="Arial"/>
        </w:rPr>
        <w:t>or</w:t>
      </w:r>
      <w:r>
        <w:rPr>
          <w:rFonts w:ascii="Arial" w:hAnsi="Arial" w:cs="Arial"/>
        </w:rPr>
        <w:t xml:space="preserve"> gas well facilities.  In January of 2006</w:t>
      </w:r>
      <w:r w:rsidR="00687235">
        <w:rPr>
          <w:rFonts w:ascii="Arial" w:hAnsi="Arial" w:cs="Arial"/>
        </w:rPr>
        <w:t>,</w:t>
      </w:r>
      <w:r>
        <w:rPr>
          <w:rFonts w:ascii="Arial" w:hAnsi="Arial" w:cs="Arial"/>
        </w:rPr>
        <w:t xml:space="preserve"> the Department was inundated with MAQP applications f</w:t>
      </w:r>
      <w:r w:rsidR="00D13283">
        <w:rPr>
          <w:rFonts w:ascii="Arial" w:hAnsi="Arial" w:cs="Arial"/>
        </w:rPr>
        <w:t>or oil or</w:t>
      </w:r>
      <w:r>
        <w:rPr>
          <w:rFonts w:ascii="Arial" w:hAnsi="Arial" w:cs="Arial"/>
        </w:rPr>
        <w:t xml:space="preserve"> gas well facili</w:t>
      </w:r>
      <w:r w:rsidR="00E76EBA">
        <w:rPr>
          <w:rFonts w:ascii="Arial" w:hAnsi="Arial" w:cs="Arial"/>
        </w:rPr>
        <w:t>ties</w:t>
      </w:r>
      <w:r w:rsidR="00A83958">
        <w:rPr>
          <w:rFonts w:ascii="Arial" w:hAnsi="Arial" w:cs="Arial"/>
        </w:rPr>
        <w:t xml:space="preserve">.  As a result, in April 2006, </w:t>
      </w:r>
      <w:r w:rsidR="00A83958" w:rsidRPr="00A83958">
        <w:rPr>
          <w:rFonts w:ascii="Arial" w:hAnsi="Arial" w:cs="Arial"/>
        </w:rPr>
        <w:t>Administrative Rules of Montana (ARM) Title 17, Chapter 8, Subchapter 17, Registration</w:t>
      </w:r>
      <w:r w:rsidR="00A83958">
        <w:rPr>
          <w:rFonts w:ascii="Arial" w:hAnsi="Arial" w:cs="Arial"/>
        </w:rPr>
        <w:t xml:space="preserve"> of Air Contaminant Sources was</w:t>
      </w:r>
      <w:r w:rsidR="00A83958" w:rsidRPr="00A83958">
        <w:rPr>
          <w:rFonts w:ascii="Arial" w:hAnsi="Arial" w:cs="Arial"/>
        </w:rPr>
        <w:t xml:space="preserve"> finalized</w:t>
      </w:r>
      <w:r w:rsidR="00A83958">
        <w:rPr>
          <w:rFonts w:ascii="Arial" w:hAnsi="Arial" w:cs="Arial"/>
        </w:rPr>
        <w:t xml:space="preserve">.  </w:t>
      </w:r>
    </w:p>
    <w:p w14:paraId="3C41B115" w14:textId="77777777" w:rsidR="00A83958" w:rsidRDefault="00A83958" w:rsidP="00C23DB3">
      <w:pPr>
        <w:rPr>
          <w:rFonts w:ascii="Arial" w:hAnsi="Arial" w:cs="Arial"/>
        </w:rPr>
      </w:pPr>
    </w:p>
    <w:p w14:paraId="3F3338C3" w14:textId="77777777" w:rsidR="0095707D" w:rsidRDefault="00A83958">
      <w:pPr>
        <w:rPr>
          <w:rFonts w:ascii="Arial" w:hAnsi="Arial" w:cs="Arial"/>
        </w:rPr>
      </w:pPr>
      <w:r>
        <w:rPr>
          <w:rFonts w:ascii="Arial" w:hAnsi="Arial" w:cs="Arial"/>
        </w:rPr>
        <w:t xml:space="preserve">Questions regarding calculation of PTE for an oil or gas well facility have been brought up by </w:t>
      </w:r>
      <w:r w:rsidR="00C23DB3">
        <w:rPr>
          <w:rFonts w:ascii="Arial" w:hAnsi="Arial" w:cs="Arial"/>
        </w:rPr>
        <w:t>industry</w:t>
      </w:r>
      <w:r>
        <w:rPr>
          <w:rFonts w:ascii="Arial" w:hAnsi="Arial" w:cs="Arial"/>
        </w:rPr>
        <w:t xml:space="preserve">.  </w:t>
      </w:r>
      <w:r w:rsidR="00F94C50">
        <w:rPr>
          <w:rFonts w:ascii="Arial" w:hAnsi="Arial" w:cs="Arial"/>
        </w:rPr>
        <w:t xml:space="preserve">PTE is defined under the </w:t>
      </w:r>
      <w:r w:rsidR="0010413F">
        <w:rPr>
          <w:rFonts w:ascii="Arial" w:hAnsi="Arial" w:cs="Arial"/>
        </w:rPr>
        <w:t>ARM</w:t>
      </w:r>
      <w:r w:rsidR="00F94C50">
        <w:rPr>
          <w:rFonts w:ascii="Arial" w:hAnsi="Arial" w:cs="Arial"/>
        </w:rPr>
        <w:t xml:space="preserve"> as, </w:t>
      </w:r>
      <w:r w:rsidR="00F94C50" w:rsidRPr="005472FA">
        <w:rPr>
          <w:rFonts w:ascii="Arial" w:hAnsi="Arial" w:cs="Arial"/>
          <w:u w:val="single"/>
        </w:rPr>
        <w:t>"Potential to emit</w:t>
      </w:r>
      <w:r w:rsidR="00F94C50" w:rsidRPr="005472FA">
        <w:rPr>
          <w:rFonts w:ascii="Arial" w:hAnsi="Arial" w:cs="Arial"/>
        </w:rPr>
        <w:t xml:space="preserve"> means the maximum capacity of a facility or emitting unit, </w:t>
      </w:r>
      <w:r w:rsidR="00F94C50" w:rsidRPr="00721472">
        <w:rPr>
          <w:rFonts w:ascii="Arial" w:hAnsi="Arial" w:cs="Arial"/>
          <w:b/>
          <w:i/>
        </w:rPr>
        <w:t>within physical and operational design</w:t>
      </w:r>
      <w:r w:rsidR="00F94C50" w:rsidRPr="005472FA">
        <w:rPr>
          <w:rFonts w:ascii="Arial" w:hAnsi="Arial" w:cs="Arial"/>
        </w:rPr>
        <w:t>, to emit a pollutant.  Any physical or operational limitation on the capacity of the facility or emitting unit to emit a pollutant, including air pollution control equipment and restrictions on hours of operation or on the type or amount of material combusted, stored, or processed, is treated as part of its design only if the limitation or the effect it would have on emissions is federally enforceable.  Secondary emissions are not considered in determining potential to emit</w:t>
      </w:r>
      <w:r w:rsidR="00F94C50">
        <w:rPr>
          <w:rFonts w:ascii="Arial" w:hAnsi="Arial" w:cs="Arial"/>
        </w:rPr>
        <w:t>.”</w:t>
      </w:r>
    </w:p>
    <w:p w14:paraId="2B156B48" w14:textId="77777777" w:rsidR="00F94C50" w:rsidRDefault="00F94C50">
      <w:pPr>
        <w:rPr>
          <w:rFonts w:ascii="Arial" w:hAnsi="Arial" w:cs="Arial"/>
        </w:rPr>
      </w:pPr>
    </w:p>
    <w:p w14:paraId="6FC165D8" w14:textId="77777777" w:rsidR="00C57265" w:rsidRPr="00C57265" w:rsidRDefault="0043050D">
      <w:pPr>
        <w:rPr>
          <w:rFonts w:ascii="Arial" w:hAnsi="Arial" w:cs="Arial"/>
          <w:b/>
        </w:rPr>
      </w:pPr>
      <w:r>
        <w:rPr>
          <w:rFonts w:ascii="Arial" w:hAnsi="Arial" w:cs="Arial"/>
          <w:b/>
        </w:rPr>
        <w:br w:type="page"/>
      </w:r>
      <w:r w:rsidR="00A83958">
        <w:rPr>
          <w:rFonts w:ascii="Arial" w:hAnsi="Arial" w:cs="Arial"/>
          <w:b/>
        </w:rPr>
        <w:lastRenderedPageBreak/>
        <w:t>METHODS</w:t>
      </w:r>
    </w:p>
    <w:p w14:paraId="696D149D" w14:textId="77777777" w:rsidR="00C57265" w:rsidRDefault="00C57265">
      <w:pPr>
        <w:rPr>
          <w:rFonts w:ascii="Arial" w:hAnsi="Arial" w:cs="Arial"/>
        </w:rPr>
      </w:pPr>
    </w:p>
    <w:p w14:paraId="18BCC2B3" w14:textId="77777777" w:rsidR="00C20259" w:rsidRDefault="00E76EBA">
      <w:pPr>
        <w:rPr>
          <w:rFonts w:ascii="Arial" w:hAnsi="Arial" w:cs="Arial"/>
        </w:rPr>
      </w:pPr>
      <w:r>
        <w:rPr>
          <w:rFonts w:ascii="Arial" w:hAnsi="Arial" w:cs="Arial"/>
        </w:rPr>
        <w:t xml:space="preserve">The issue in determining PTE for an oil </w:t>
      </w:r>
      <w:r w:rsidR="00F4710B">
        <w:rPr>
          <w:rFonts w:ascii="Arial" w:hAnsi="Arial" w:cs="Arial"/>
        </w:rPr>
        <w:t>or</w:t>
      </w:r>
      <w:r>
        <w:rPr>
          <w:rFonts w:ascii="Arial" w:hAnsi="Arial" w:cs="Arial"/>
        </w:rPr>
        <w:t xml:space="preserve"> gas well facility is to determine “…</w:t>
      </w:r>
      <w:r w:rsidRPr="005472FA">
        <w:rPr>
          <w:rFonts w:ascii="Arial" w:hAnsi="Arial" w:cs="Arial"/>
        </w:rPr>
        <w:t xml:space="preserve">the maximum capacity of a facility or emitting unit, </w:t>
      </w:r>
      <w:r w:rsidRPr="00C87703">
        <w:rPr>
          <w:rFonts w:ascii="Arial" w:hAnsi="Arial" w:cs="Arial"/>
          <w:b/>
          <w:i/>
        </w:rPr>
        <w:t>within physical and operational design</w:t>
      </w:r>
      <w:r w:rsidRPr="005472FA">
        <w:rPr>
          <w:rFonts w:ascii="Arial" w:hAnsi="Arial" w:cs="Arial"/>
        </w:rPr>
        <w:t>, to emit a pollutant</w:t>
      </w:r>
      <w:r>
        <w:rPr>
          <w:rFonts w:ascii="Arial" w:hAnsi="Arial" w:cs="Arial"/>
        </w:rPr>
        <w:t>.”</w:t>
      </w:r>
      <w:r w:rsidR="00A83958">
        <w:rPr>
          <w:rFonts w:ascii="Arial" w:hAnsi="Arial" w:cs="Arial"/>
        </w:rPr>
        <w:t xml:space="preserve">  </w:t>
      </w:r>
      <w:r w:rsidR="00914EBD">
        <w:rPr>
          <w:rFonts w:ascii="Arial" w:hAnsi="Arial" w:cs="Arial"/>
        </w:rPr>
        <w:t>A general facility set-up</w:t>
      </w:r>
      <w:r w:rsidR="00F4710B">
        <w:rPr>
          <w:rFonts w:ascii="Arial" w:hAnsi="Arial" w:cs="Arial"/>
        </w:rPr>
        <w:t>,</w:t>
      </w:r>
      <w:r w:rsidR="00914EBD">
        <w:rPr>
          <w:rFonts w:ascii="Arial" w:hAnsi="Arial" w:cs="Arial"/>
        </w:rPr>
        <w:t xml:space="preserve"> showing typical emitting points at an oil or gas well facility</w:t>
      </w:r>
      <w:r w:rsidR="00F4710B">
        <w:rPr>
          <w:rFonts w:ascii="Arial" w:hAnsi="Arial" w:cs="Arial"/>
        </w:rPr>
        <w:t>,</w:t>
      </w:r>
      <w:r w:rsidR="00914EBD">
        <w:rPr>
          <w:rFonts w:ascii="Arial" w:hAnsi="Arial" w:cs="Arial"/>
        </w:rPr>
        <w:t xml:space="preserve"> is shown in the figure below.</w:t>
      </w:r>
    </w:p>
    <w:p w14:paraId="1C860394" w14:textId="77777777" w:rsidR="00A83958" w:rsidRDefault="00A83958">
      <w:pPr>
        <w:rPr>
          <w:rFonts w:ascii="Arial" w:hAnsi="Arial" w:cs="Arial"/>
        </w:rPr>
      </w:pPr>
    </w:p>
    <w:p w14:paraId="5C44013B" w14:textId="080C54EA" w:rsidR="00A83958" w:rsidRDefault="003C347F" w:rsidP="00A83958">
      <w:pPr>
        <w:jc w:val="center"/>
        <w:rPr>
          <w:rFonts w:ascii="Arial" w:hAnsi="Arial" w:cs="Arial"/>
        </w:rPr>
      </w:pPr>
      <w:r>
        <w:rPr>
          <w:noProof/>
        </w:rPr>
        <w:drawing>
          <wp:inline distT="0" distB="0" distL="0" distR="0" wp14:anchorId="0398059D" wp14:editId="0D1C0905">
            <wp:extent cx="5943600" cy="4467225"/>
            <wp:effectExtent l="19050" t="1905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67225"/>
                    </a:xfrm>
                    <a:prstGeom prst="rect">
                      <a:avLst/>
                    </a:prstGeom>
                    <a:noFill/>
                    <a:ln w="6350" cmpd="sng">
                      <a:solidFill>
                        <a:srgbClr val="000000"/>
                      </a:solidFill>
                      <a:miter lim="800000"/>
                      <a:headEnd/>
                      <a:tailEnd/>
                    </a:ln>
                    <a:effectLst/>
                  </pic:spPr>
                </pic:pic>
              </a:graphicData>
            </a:graphic>
          </wp:inline>
        </w:drawing>
      </w:r>
    </w:p>
    <w:p w14:paraId="37F024AD" w14:textId="77777777" w:rsidR="00441DAB" w:rsidRDefault="00441DAB">
      <w:pPr>
        <w:rPr>
          <w:rFonts w:ascii="Arial" w:hAnsi="Arial" w:cs="Arial"/>
        </w:rPr>
      </w:pPr>
    </w:p>
    <w:p w14:paraId="12BBDE70" w14:textId="77777777" w:rsidR="00A45569" w:rsidRDefault="00C20259">
      <w:pPr>
        <w:rPr>
          <w:rFonts w:ascii="Arial" w:hAnsi="Arial" w:cs="Arial"/>
        </w:rPr>
      </w:pPr>
      <w:r w:rsidRPr="00C20259">
        <w:rPr>
          <w:rFonts w:ascii="Arial" w:hAnsi="Arial" w:cs="Arial"/>
        </w:rPr>
        <w:t>PTE must be based on the maximum daily operational capacity that is not expected to be exceeded during normal operation.  If oil and/or gas production exceeds the rate at which the facility was registered, the facility may be out of compliance with registration and/or emission control requirements.</w:t>
      </w:r>
      <w:r w:rsidR="00A83958">
        <w:rPr>
          <w:rFonts w:ascii="Arial" w:hAnsi="Arial" w:cs="Arial"/>
        </w:rPr>
        <w:t xml:space="preserve">  </w:t>
      </w:r>
      <w:r w:rsidR="00A45569">
        <w:rPr>
          <w:rFonts w:ascii="Arial" w:hAnsi="Arial" w:cs="Arial"/>
        </w:rPr>
        <w:t xml:space="preserve">The following sections provide general guidance for determining PTE for the standard emitting units found at oil or gas well facilities.  </w:t>
      </w:r>
    </w:p>
    <w:p w14:paraId="4C511D25" w14:textId="77777777" w:rsidR="00A45569" w:rsidRDefault="00A45569">
      <w:pPr>
        <w:rPr>
          <w:rFonts w:ascii="Arial" w:hAnsi="Arial" w:cs="Arial"/>
        </w:rPr>
      </w:pPr>
    </w:p>
    <w:p w14:paraId="5ED7DF98" w14:textId="77777777" w:rsidR="00A83958" w:rsidRPr="00A83958" w:rsidRDefault="00C20259" w:rsidP="00A83958">
      <w:pPr>
        <w:ind w:left="720"/>
        <w:rPr>
          <w:rFonts w:ascii="Arial" w:hAnsi="Arial" w:cs="Arial"/>
          <w:b/>
        </w:rPr>
      </w:pPr>
      <w:r w:rsidRPr="00A83958">
        <w:rPr>
          <w:rFonts w:ascii="Arial" w:hAnsi="Arial" w:cs="Arial"/>
          <w:b/>
        </w:rPr>
        <w:t>Internal Combustion Engines</w:t>
      </w:r>
    </w:p>
    <w:p w14:paraId="1AA9AB2E" w14:textId="77777777" w:rsidR="00C20259" w:rsidRPr="00C20259" w:rsidRDefault="00C20259" w:rsidP="00A83958">
      <w:pPr>
        <w:ind w:left="720"/>
        <w:rPr>
          <w:rFonts w:ascii="Arial" w:hAnsi="Arial" w:cs="Arial"/>
        </w:rPr>
      </w:pPr>
      <w:r w:rsidRPr="00C20259">
        <w:rPr>
          <w:rFonts w:ascii="Arial" w:hAnsi="Arial" w:cs="Arial"/>
        </w:rPr>
        <w:t xml:space="preserve">Potential emissions </w:t>
      </w:r>
      <w:r>
        <w:rPr>
          <w:rFonts w:ascii="Arial" w:hAnsi="Arial" w:cs="Arial"/>
        </w:rPr>
        <w:t xml:space="preserve">from internal combustion engines (ICEs) </w:t>
      </w:r>
      <w:r w:rsidRPr="00C20259">
        <w:rPr>
          <w:rFonts w:ascii="Arial" w:hAnsi="Arial" w:cs="Arial"/>
        </w:rPr>
        <w:t xml:space="preserve">must be calculated based on </w:t>
      </w:r>
      <w:r w:rsidR="00ED5CDD">
        <w:rPr>
          <w:rFonts w:ascii="Arial" w:hAnsi="Arial" w:cs="Arial"/>
        </w:rPr>
        <w:t>8,760</w:t>
      </w:r>
      <w:r w:rsidRPr="00C20259">
        <w:rPr>
          <w:rFonts w:ascii="Arial" w:hAnsi="Arial" w:cs="Arial"/>
        </w:rPr>
        <w:t xml:space="preserve">-hours per year (hrs/yr) </w:t>
      </w:r>
      <w:r>
        <w:rPr>
          <w:rFonts w:ascii="Arial" w:hAnsi="Arial" w:cs="Arial"/>
        </w:rPr>
        <w:t xml:space="preserve">operation </w:t>
      </w:r>
      <w:r w:rsidRPr="00C20259">
        <w:rPr>
          <w:rFonts w:ascii="Arial" w:hAnsi="Arial" w:cs="Arial"/>
        </w:rPr>
        <w:t>and the manufacturer</w:t>
      </w:r>
      <w:smartTag w:uri="urn:schemas-microsoft-com:office:smarttags" w:element="PersonName">
        <w:r w:rsidRPr="00C20259">
          <w:rPr>
            <w:rFonts w:ascii="Arial" w:hAnsi="Arial" w:cs="Arial"/>
          </w:rPr>
          <w:t>'</w:t>
        </w:r>
      </w:smartTag>
      <w:r w:rsidRPr="00C20259">
        <w:rPr>
          <w:rFonts w:ascii="Arial" w:hAnsi="Arial" w:cs="Arial"/>
        </w:rPr>
        <w:t xml:space="preserve">s guaranteed maximum rated design capacity (horsepower).  The horsepower (hp) rating should not be adjusted </w:t>
      </w:r>
      <w:r>
        <w:rPr>
          <w:rFonts w:ascii="Arial" w:hAnsi="Arial" w:cs="Arial"/>
        </w:rPr>
        <w:t xml:space="preserve">for elevation </w:t>
      </w:r>
      <w:r w:rsidR="00AA7B35">
        <w:rPr>
          <w:rFonts w:ascii="Arial" w:hAnsi="Arial" w:cs="Arial"/>
        </w:rPr>
        <w:t>or</w:t>
      </w:r>
      <w:r>
        <w:rPr>
          <w:rFonts w:ascii="Arial" w:hAnsi="Arial" w:cs="Arial"/>
        </w:rPr>
        <w:t xml:space="preserve"> temperature.  </w:t>
      </w:r>
      <w:r w:rsidR="00137B8E">
        <w:rPr>
          <w:rFonts w:ascii="Arial" w:hAnsi="Arial" w:cs="Arial"/>
        </w:rPr>
        <w:t xml:space="preserve">Emission factors used in calculations </w:t>
      </w:r>
      <w:r w:rsidR="0010413F">
        <w:rPr>
          <w:rFonts w:ascii="Arial" w:hAnsi="Arial" w:cs="Arial"/>
        </w:rPr>
        <w:t>are typically</w:t>
      </w:r>
      <w:r w:rsidR="00137B8E">
        <w:rPr>
          <w:rFonts w:ascii="Arial" w:hAnsi="Arial" w:cs="Arial"/>
        </w:rPr>
        <w:t xml:space="preserve"> </w:t>
      </w:r>
      <w:r w:rsidRPr="00C20259">
        <w:rPr>
          <w:rFonts w:ascii="Arial" w:hAnsi="Arial" w:cs="Arial"/>
        </w:rPr>
        <w:t>manufacturer guaranteed emission factors or AP-42 emission factors</w:t>
      </w:r>
      <w:r w:rsidR="00137B8E">
        <w:rPr>
          <w:rFonts w:ascii="Arial" w:hAnsi="Arial" w:cs="Arial"/>
        </w:rPr>
        <w:t xml:space="preserve">.  </w:t>
      </w:r>
      <w:r w:rsidRPr="00C20259">
        <w:rPr>
          <w:rFonts w:ascii="Arial" w:hAnsi="Arial" w:cs="Arial"/>
        </w:rPr>
        <w:t xml:space="preserve">Also, if the heat content of the fuel is not available, a </w:t>
      </w:r>
      <w:r w:rsidRPr="00C20259">
        <w:rPr>
          <w:rFonts w:ascii="Arial" w:hAnsi="Arial" w:cs="Arial"/>
        </w:rPr>
        <w:lastRenderedPageBreak/>
        <w:t>value of 1020-B</w:t>
      </w:r>
      <w:r w:rsidR="00E8188C">
        <w:rPr>
          <w:rFonts w:ascii="Arial" w:hAnsi="Arial" w:cs="Arial"/>
        </w:rPr>
        <w:t xml:space="preserve">ritish </w:t>
      </w:r>
      <w:r w:rsidRPr="00C20259">
        <w:rPr>
          <w:rFonts w:ascii="Arial" w:hAnsi="Arial" w:cs="Arial"/>
        </w:rPr>
        <w:t>t</w:t>
      </w:r>
      <w:r w:rsidR="00E8188C">
        <w:rPr>
          <w:rFonts w:ascii="Arial" w:hAnsi="Arial" w:cs="Arial"/>
        </w:rPr>
        <w:t xml:space="preserve">hermal </w:t>
      </w:r>
      <w:r w:rsidRPr="00C20259">
        <w:rPr>
          <w:rFonts w:ascii="Arial" w:hAnsi="Arial" w:cs="Arial"/>
        </w:rPr>
        <w:t>u</w:t>
      </w:r>
      <w:r w:rsidR="00E8188C">
        <w:rPr>
          <w:rFonts w:ascii="Arial" w:hAnsi="Arial" w:cs="Arial"/>
        </w:rPr>
        <w:t>nits</w:t>
      </w:r>
      <w:r w:rsidRPr="00C20259">
        <w:rPr>
          <w:rFonts w:ascii="Arial" w:hAnsi="Arial" w:cs="Arial"/>
        </w:rPr>
        <w:t>/s</w:t>
      </w:r>
      <w:r w:rsidR="00E8188C">
        <w:rPr>
          <w:rFonts w:ascii="Arial" w:hAnsi="Arial" w:cs="Arial"/>
        </w:rPr>
        <w:t xml:space="preserve">tandard </w:t>
      </w:r>
      <w:r w:rsidRPr="00C20259">
        <w:rPr>
          <w:rFonts w:ascii="Arial" w:hAnsi="Arial" w:cs="Arial"/>
        </w:rPr>
        <w:t>c</w:t>
      </w:r>
      <w:r w:rsidR="00E8188C">
        <w:rPr>
          <w:rFonts w:ascii="Arial" w:hAnsi="Arial" w:cs="Arial"/>
        </w:rPr>
        <w:t xml:space="preserve">ubic </w:t>
      </w:r>
      <w:r w:rsidRPr="00C20259">
        <w:rPr>
          <w:rFonts w:ascii="Arial" w:hAnsi="Arial" w:cs="Arial"/>
        </w:rPr>
        <w:t>f</w:t>
      </w:r>
      <w:r w:rsidR="00E8188C">
        <w:rPr>
          <w:rFonts w:ascii="Arial" w:hAnsi="Arial" w:cs="Arial"/>
        </w:rPr>
        <w:t>eet (</w:t>
      </w:r>
      <w:r w:rsidR="00E8188C" w:rsidRPr="00675342">
        <w:rPr>
          <w:rFonts w:ascii="Arial" w:hAnsi="Arial" w:cs="Arial"/>
        </w:rPr>
        <w:t>Btu/scf</w:t>
      </w:r>
      <w:r w:rsidR="00E8188C">
        <w:rPr>
          <w:rFonts w:ascii="Arial" w:hAnsi="Arial" w:cs="Arial"/>
        </w:rPr>
        <w:t>)</w:t>
      </w:r>
      <w:r w:rsidRPr="00C20259">
        <w:rPr>
          <w:rFonts w:ascii="Arial" w:hAnsi="Arial" w:cs="Arial"/>
        </w:rPr>
        <w:t xml:space="preserve"> may be assumed.</w:t>
      </w:r>
    </w:p>
    <w:p w14:paraId="7A18B8D5" w14:textId="77777777" w:rsidR="00A45569" w:rsidRDefault="00A45569">
      <w:pPr>
        <w:rPr>
          <w:rFonts w:ascii="Arial" w:hAnsi="Arial" w:cs="Arial"/>
        </w:rPr>
      </w:pPr>
    </w:p>
    <w:p w14:paraId="2177BB44" w14:textId="77777777" w:rsidR="000172E8" w:rsidRPr="000172E8" w:rsidRDefault="00137B8E" w:rsidP="00A83958">
      <w:pPr>
        <w:ind w:left="720"/>
        <w:rPr>
          <w:rFonts w:ascii="Arial" w:hAnsi="Arial" w:cs="Arial"/>
          <w:b/>
        </w:rPr>
      </w:pPr>
      <w:r w:rsidRPr="000172E8">
        <w:rPr>
          <w:rFonts w:ascii="Arial" w:hAnsi="Arial" w:cs="Arial"/>
          <w:b/>
        </w:rPr>
        <w:t>Natural Gas Burners</w:t>
      </w:r>
    </w:p>
    <w:p w14:paraId="0957EB29" w14:textId="77777777" w:rsidR="00137B8E" w:rsidRPr="00675342" w:rsidRDefault="00137B8E" w:rsidP="00A83958">
      <w:pPr>
        <w:ind w:left="720"/>
        <w:rPr>
          <w:rFonts w:ascii="Arial" w:hAnsi="Arial" w:cs="Arial"/>
        </w:rPr>
      </w:pPr>
      <w:r>
        <w:rPr>
          <w:rFonts w:ascii="Arial" w:hAnsi="Arial" w:cs="Arial"/>
        </w:rPr>
        <w:t xml:space="preserve">Potential emissions from natural gas burners </w:t>
      </w:r>
      <w:r w:rsidRPr="00137B8E">
        <w:rPr>
          <w:rFonts w:ascii="Arial" w:hAnsi="Arial" w:cs="Arial"/>
        </w:rPr>
        <w:t xml:space="preserve">must be calculated based on </w:t>
      </w:r>
      <w:r w:rsidR="00ED5CDD">
        <w:rPr>
          <w:rFonts w:ascii="Arial" w:hAnsi="Arial" w:cs="Arial"/>
        </w:rPr>
        <w:t>8,760</w:t>
      </w:r>
      <w:r w:rsidRPr="00137B8E">
        <w:rPr>
          <w:rFonts w:ascii="Arial" w:hAnsi="Arial" w:cs="Arial"/>
        </w:rPr>
        <w:t xml:space="preserve">-hrs/yr </w:t>
      </w:r>
      <w:r w:rsidR="00AA7B35">
        <w:rPr>
          <w:rFonts w:ascii="Arial" w:hAnsi="Arial" w:cs="Arial"/>
        </w:rPr>
        <w:t xml:space="preserve">operation </w:t>
      </w:r>
      <w:r w:rsidRPr="00137B8E">
        <w:rPr>
          <w:rFonts w:ascii="Arial" w:hAnsi="Arial" w:cs="Arial"/>
        </w:rPr>
        <w:t>and the manufacturer</w:t>
      </w:r>
      <w:smartTag w:uri="urn:schemas-microsoft-com:office:smarttags" w:element="PersonName">
        <w:r w:rsidRPr="00137B8E">
          <w:rPr>
            <w:rFonts w:ascii="Arial" w:hAnsi="Arial" w:cs="Arial"/>
          </w:rPr>
          <w:t>'</w:t>
        </w:r>
      </w:smartTag>
      <w:r w:rsidRPr="00137B8E">
        <w:rPr>
          <w:rFonts w:ascii="Arial" w:hAnsi="Arial" w:cs="Arial"/>
        </w:rPr>
        <w:t>s maximum rated design capacity of the burner</w:t>
      </w:r>
      <w:r>
        <w:rPr>
          <w:rFonts w:ascii="Arial" w:hAnsi="Arial" w:cs="Arial"/>
        </w:rPr>
        <w:t xml:space="preserve">.  </w:t>
      </w:r>
      <w:r w:rsidR="00675342" w:rsidRPr="00137B8E">
        <w:rPr>
          <w:rFonts w:ascii="Arial" w:hAnsi="Arial" w:cs="Arial"/>
        </w:rPr>
        <w:t>If the bur</w:t>
      </w:r>
      <w:r w:rsidR="00E8188C">
        <w:rPr>
          <w:rFonts w:ascii="Arial" w:hAnsi="Arial" w:cs="Arial"/>
        </w:rPr>
        <w:t>ner efficiency is</w:t>
      </w:r>
      <w:r w:rsidR="00675342" w:rsidRPr="00137B8E">
        <w:rPr>
          <w:rFonts w:ascii="Arial" w:hAnsi="Arial" w:cs="Arial"/>
        </w:rPr>
        <w:t xml:space="preserve"> not known, a value no greater than 80% may be assumed.</w:t>
      </w:r>
      <w:r w:rsidR="00675342">
        <w:rPr>
          <w:rFonts w:ascii="Arial" w:hAnsi="Arial" w:cs="Arial"/>
        </w:rPr>
        <w:t xml:space="preserve">  </w:t>
      </w:r>
      <w:r w:rsidR="00675342" w:rsidRPr="00675342">
        <w:rPr>
          <w:rFonts w:ascii="Arial" w:hAnsi="Arial" w:cs="Arial"/>
        </w:rPr>
        <w:t xml:space="preserve">Emission factors used in calculations </w:t>
      </w:r>
      <w:r w:rsidR="0010413F">
        <w:rPr>
          <w:rFonts w:ascii="Arial" w:hAnsi="Arial" w:cs="Arial"/>
        </w:rPr>
        <w:t>are typically</w:t>
      </w:r>
      <w:r w:rsidR="00675342" w:rsidRPr="00675342">
        <w:rPr>
          <w:rFonts w:ascii="Arial" w:hAnsi="Arial" w:cs="Arial"/>
        </w:rPr>
        <w:t xml:space="preserve"> manufacturer guaranteed emission factors or AP-42 emission factors.  Also, if the heat content of the fuel is not available, a value of 1020-</w:t>
      </w:r>
      <w:bookmarkStart w:id="0" w:name="OLE_LINK1"/>
      <w:bookmarkStart w:id="1" w:name="OLE_LINK2"/>
      <w:r w:rsidR="00675342" w:rsidRPr="00675342">
        <w:rPr>
          <w:rFonts w:ascii="Arial" w:hAnsi="Arial" w:cs="Arial"/>
        </w:rPr>
        <w:t>Btu/scf</w:t>
      </w:r>
      <w:bookmarkEnd w:id="0"/>
      <w:bookmarkEnd w:id="1"/>
      <w:r w:rsidR="00675342" w:rsidRPr="00675342">
        <w:rPr>
          <w:rFonts w:ascii="Arial" w:hAnsi="Arial" w:cs="Arial"/>
        </w:rPr>
        <w:t xml:space="preserve"> may be assumed.</w:t>
      </w:r>
    </w:p>
    <w:p w14:paraId="0CE53400" w14:textId="77777777" w:rsidR="00137B8E" w:rsidRDefault="00137B8E" w:rsidP="00137B8E">
      <w:pPr>
        <w:rPr>
          <w:rFonts w:ascii="Arial" w:hAnsi="Arial" w:cs="Arial"/>
        </w:rPr>
      </w:pPr>
    </w:p>
    <w:p w14:paraId="5008AF01" w14:textId="77777777" w:rsidR="000172E8" w:rsidRPr="000172E8" w:rsidRDefault="00F76A23" w:rsidP="00A83958">
      <w:pPr>
        <w:ind w:left="720"/>
        <w:rPr>
          <w:rFonts w:ascii="Arial" w:hAnsi="Arial" w:cs="Arial"/>
          <w:b/>
        </w:rPr>
      </w:pPr>
      <w:r w:rsidRPr="000172E8">
        <w:rPr>
          <w:rFonts w:ascii="Arial" w:hAnsi="Arial" w:cs="Arial"/>
          <w:b/>
        </w:rPr>
        <w:t>Produced Oil Storage Tanks</w:t>
      </w:r>
    </w:p>
    <w:p w14:paraId="782E8C61" w14:textId="77777777" w:rsidR="000172E8" w:rsidRDefault="00F76A23" w:rsidP="000172E8">
      <w:pPr>
        <w:ind w:left="720"/>
        <w:rPr>
          <w:rFonts w:ascii="Arial" w:hAnsi="Arial" w:cs="Arial"/>
        </w:rPr>
      </w:pPr>
      <w:r w:rsidRPr="00F76A23">
        <w:rPr>
          <w:rFonts w:ascii="Arial" w:hAnsi="Arial" w:cs="Arial"/>
        </w:rPr>
        <w:t xml:space="preserve">Emissions from </w:t>
      </w:r>
      <w:r>
        <w:rPr>
          <w:rFonts w:ascii="Arial" w:hAnsi="Arial" w:cs="Arial"/>
        </w:rPr>
        <w:t xml:space="preserve">oil storage tanks </w:t>
      </w:r>
      <w:r w:rsidRPr="00F76A23">
        <w:rPr>
          <w:rFonts w:ascii="Arial" w:hAnsi="Arial" w:cs="Arial"/>
        </w:rPr>
        <w:t xml:space="preserve">include flashing losses, working losses, and breathing losses.  Flashing losses occur when the vapors are released from the crude oil (or other hydrocarbon liquid) in the storage tanks as it is transferred from a higher pressure vessel (separator) to a lower pressure vessel (storage tank).  Working losses are those losses caused as the tank is filled and emptied; and, breathing losses occur from the daily changes in temperature and barometric pressure.  </w:t>
      </w:r>
      <w:r>
        <w:rPr>
          <w:rFonts w:ascii="Arial" w:hAnsi="Arial" w:cs="Arial"/>
        </w:rPr>
        <w:t>The potential emissions from oil storage tanks must take into account all three losses.</w:t>
      </w:r>
    </w:p>
    <w:p w14:paraId="2CCC6F55" w14:textId="77777777" w:rsidR="000172E8" w:rsidRDefault="000172E8" w:rsidP="000172E8">
      <w:pPr>
        <w:ind w:left="720"/>
        <w:rPr>
          <w:rFonts w:ascii="Arial" w:hAnsi="Arial" w:cs="Arial"/>
        </w:rPr>
      </w:pPr>
    </w:p>
    <w:p w14:paraId="39D7E0BA" w14:textId="77777777" w:rsidR="000172E8" w:rsidRDefault="00F76A23" w:rsidP="000172E8">
      <w:pPr>
        <w:ind w:left="720"/>
        <w:rPr>
          <w:rFonts w:ascii="Arial" w:hAnsi="Arial" w:cs="Arial"/>
        </w:rPr>
      </w:pPr>
      <w:r w:rsidRPr="00F76A23">
        <w:rPr>
          <w:rFonts w:ascii="Arial" w:hAnsi="Arial" w:cs="Arial"/>
        </w:rPr>
        <w:t xml:space="preserve">A variety of software packages and other empirical methods to estimate tank flashing losses, working losses, and breathing losses are available.  In general, the Department </w:t>
      </w:r>
      <w:r>
        <w:rPr>
          <w:rFonts w:ascii="Arial" w:hAnsi="Arial" w:cs="Arial"/>
        </w:rPr>
        <w:t xml:space="preserve">accepts the </w:t>
      </w:r>
      <w:r w:rsidRPr="00F76A23">
        <w:rPr>
          <w:rFonts w:ascii="Arial" w:hAnsi="Arial" w:cs="Arial"/>
        </w:rPr>
        <w:t xml:space="preserve">use </w:t>
      </w:r>
      <w:r>
        <w:rPr>
          <w:rFonts w:ascii="Arial" w:hAnsi="Arial" w:cs="Arial"/>
        </w:rPr>
        <w:t xml:space="preserve">of </w:t>
      </w:r>
      <w:r w:rsidRPr="00F76A23">
        <w:rPr>
          <w:rFonts w:ascii="Arial" w:hAnsi="Arial" w:cs="Arial"/>
        </w:rPr>
        <w:t>Peng-Robinson or S-R-K methods based on widely acknowledged principals of behavior for h</w:t>
      </w:r>
      <w:r>
        <w:rPr>
          <w:rFonts w:ascii="Arial" w:hAnsi="Arial" w:cs="Arial"/>
        </w:rPr>
        <w:t xml:space="preserve">ydrocarbon vapors and liquids.  </w:t>
      </w:r>
      <w:r w:rsidR="00222260" w:rsidRPr="00222260">
        <w:rPr>
          <w:rFonts w:ascii="Arial" w:hAnsi="Arial" w:cs="Arial"/>
        </w:rPr>
        <w:t>The use of default values offered or non site-specific data i</w:t>
      </w:r>
      <w:r w:rsidR="00222260">
        <w:rPr>
          <w:rFonts w:ascii="Arial" w:hAnsi="Arial" w:cs="Arial"/>
        </w:rPr>
        <w:t xml:space="preserve">s discouraged unless </w:t>
      </w:r>
      <w:r w:rsidR="00222260" w:rsidRPr="00222260">
        <w:rPr>
          <w:rFonts w:ascii="Arial" w:hAnsi="Arial" w:cs="Arial"/>
        </w:rPr>
        <w:t>adequate justification (e.g., analytical data was taken from a nearby well producing from the same geologic formation, etc.)</w:t>
      </w:r>
      <w:r w:rsidR="00222260">
        <w:rPr>
          <w:rFonts w:ascii="Arial" w:hAnsi="Arial" w:cs="Arial"/>
        </w:rPr>
        <w:t xml:space="preserve"> can be provided</w:t>
      </w:r>
      <w:r w:rsidR="00222260" w:rsidRPr="00222260">
        <w:rPr>
          <w:rFonts w:ascii="Arial" w:hAnsi="Arial" w:cs="Arial"/>
        </w:rPr>
        <w:t xml:space="preserve">.  Default values or non site-specific data may not be acceptable when evaluating/reviewing </w:t>
      </w:r>
      <w:r w:rsidR="00222260">
        <w:rPr>
          <w:rFonts w:ascii="Arial" w:hAnsi="Arial" w:cs="Arial"/>
        </w:rPr>
        <w:t xml:space="preserve">PTE as it pertains to </w:t>
      </w:r>
      <w:r w:rsidR="00222260" w:rsidRPr="00222260">
        <w:rPr>
          <w:rFonts w:ascii="Arial" w:hAnsi="Arial" w:cs="Arial"/>
        </w:rPr>
        <w:t>facility emission control requirements, emission inventories, or deregistration requests.</w:t>
      </w:r>
    </w:p>
    <w:p w14:paraId="29D51909" w14:textId="77777777" w:rsidR="000172E8" w:rsidRDefault="000172E8" w:rsidP="000172E8">
      <w:pPr>
        <w:ind w:left="720"/>
        <w:rPr>
          <w:rFonts w:ascii="Arial" w:hAnsi="Arial" w:cs="Arial"/>
        </w:rPr>
      </w:pPr>
    </w:p>
    <w:p w14:paraId="6F2E4376" w14:textId="77777777" w:rsidR="000172E8" w:rsidRDefault="00F76A23" w:rsidP="000172E8">
      <w:pPr>
        <w:ind w:left="720"/>
        <w:rPr>
          <w:rFonts w:ascii="Arial" w:hAnsi="Arial" w:cs="Arial"/>
        </w:rPr>
      </w:pPr>
      <w:r>
        <w:rPr>
          <w:rFonts w:ascii="Arial" w:hAnsi="Arial" w:cs="Arial"/>
        </w:rPr>
        <w:t xml:space="preserve">As </w:t>
      </w:r>
      <w:r w:rsidR="00222260">
        <w:rPr>
          <w:rFonts w:ascii="Arial" w:hAnsi="Arial" w:cs="Arial"/>
        </w:rPr>
        <w:t>stated above, t</w:t>
      </w:r>
      <w:r w:rsidRPr="00F76A23">
        <w:rPr>
          <w:rFonts w:ascii="Arial" w:hAnsi="Arial" w:cs="Arial"/>
        </w:rPr>
        <w:t xml:space="preserve">he oil production rate used to calculate potential oil </w:t>
      </w:r>
      <w:r w:rsidR="00222260">
        <w:rPr>
          <w:rFonts w:ascii="Arial" w:hAnsi="Arial" w:cs="Arial"/>
        </w:rPr>
        <w:t xml:space="preserve">storage </w:t>
      </w:r>
      <w:r w:rsidRPr="00F76A23">
        <w:rPr>
          <w:rFonts w:ascii="Arial" w:hAnsi="Arial" w:cs="Arial"/>
        </w:rPr>
        <w:t>tank emissions should be a daily maximum production rate not expected to be exc</w:t>
      </w:r>
      <w:r w:rsidR="00222260">
        <w:rPr>
          <w:rFonts w:ascii="Arial" w:hAnsi="Arial" w:cs="Arial"/>
        </w:rPr>
        <w:t xml:space="preserve">eeded during normal operation.  </w:t>
      </w:r>
      <w:r w:rsidR="00222260" w:rsidRPr="00222260">
        <w:rPr>
          <w:rFonts w:ascii="Arial" w:hAnsi="Arial" w:cs="Arial"/>
        </w:rPr>
        <w:t>Any analytical sample should be acquired using accepted methods, consistent with the requirements of the selected method/model, to ensure sample integrity.</w:t>
      </w:r>
    </w:p>
    <w:p w14:paraId="5CDEF3DC" w14:textId="77777777" w:rsidR="00222260" w:rsidRDefault="00222260" w:rsidP="00222260">
      <w:pPr>
        <w:rPr>
          <w:rFonts w:ascii="Arial" w:hAnsi="Arial" w:cs="Arial"/>
        </w:rPr>
      </w:pPr>
    </w:p>
    <w:p w14:paraId="703E31A2" w14:textId="77777777" w:rsidR="000172E8" w:rsidRDefault="00222260" w:rsidP="000172E8">
      <w:pPr>
        <w:ind w:firstLine="720"/>
        <w:rPr>
          <w:rFonts w:ascii="Arial" w:hAnsi="Arial" w:cs="Arial"/>
          <w:b/>
        </w:rPr>
      </w:pPr>
      <w:r w:rsidRPr="000172E8">
        <w:rPr>
          <w:rFonts w:ascii="Arial" w:hAnsi="Arial" w:cs="Arial"/>
          <w:b/>
        </w:rPr>
        <w:t>Produced Water Storage Tanks</w:t>
      </w:r>
    </w:p>
    <w:p w14:paraId="1D031794" w14:textId="77777777" w:rsidR="00F76A23" w:rsidRDefault="00222260" w:rsidP="000172E8">
      <w:pPr>
        <w:ind w:left="720"/>
        <w:rPr>
          <w:rFonts w:ascii="Arial" w:hAnsi="Arial" w:cs="Arial"/>
        </w:rPr>
      </w:pPr>
      <w:r>
        <w:rPr>
          <w:rFonts w:ascii="Arial" w:hAnsi="Arial" w:cs="Arial"/>
        </w:rPr>
        <w:t>Potential e</w:t>
      </w:r>
      <w:r w:rsidRPr="00222260">
        <w:rPr>
          <w:rFonts w:ascii="Arial" w:hAnsi="Arial" w:cs="Arial"/>
        </w:rPr>
        <w:t xml:space="preserve">missions from </w:t>
      </w:r>
      <w:r>
        <w:rPr>
          <w:rFonts w:ascii="Arial" w:hAnsi="Arial" w:cs="Arial"/>
        </w:rPr>
        <w:t xml:space="preserve">produced water </w:t>
      </w:r>
      <w:r w:rsidRPr="00222260">
        <w:rPr>
          <w:rFonts w:ascii="Arial" w:hAnsi="Arial" w:cs="Arial"/>
        </w:rPr>
        <w:t>storage tanks can be estimated using the methods described in AP-42 Chapter 7: Liquid Storage Tanks</w:t>
      </w:r>
      <w:r>
        <w:rPr>
          <w:rFonts w:ascii="Arial" w:hAnsi="Arial" w:cs="Arial"/>
        </w:rPr>
        <w:t xml:space="preserve">, providing </w:t>
      </w:r>
      <w:r w:rsidRPr="00222260">
        <w:rPr>
          <w:rFonts w:ascii="Arial" w:hAnsi="Arial" w:cs="Arial"/>
        </w:rPr>
        <w:t>sufficient information on the physical and chemical properties of the mixture (i.e., water and petroleum liquids) in the water tanks</w:t>
      </w:r>
      <w:r>
        <w:rPr>
          <w:rFonts w:ascii="Arial" w:hAnsi="Arial" w:cs="Arial"/>
        </w:rPr>
        <w:t xml:space="preserve"> is known</w:t>
      </w:r>
      <w:r w:rsidRPr="00222260">
        <w:rPr>
          <w:rFonts w:ascii="Arial" w:hAnsi="Arial" w:cs="Arial"/>
        </w:rPr>
        <w:t>.</w:t>
      </w:r>
      <w:r w:rsidR="00FD7B86">
        <w:rPr>
          <w:rFonts w:ascii="Arial" w:hAnsi="Arial" w:cs="Arial"/>
        </w:rPr>
        <w:t xml:space="preserve">  </w:t>
      </w:r>
      <w:r w:rsidRPr="00222260">
        <w:rPr>
          <w:rFonts w:ascii="Arial" w:hAnsi="Arial" w:cs="Arial"/>
        </w:rPr>
        <w:t xml:space="preserve">Since analytical data for the water and petroleum liquids mixture are often not available, the Department has determined </w:t>
      </w:r>
      <w:r w:rsidR="00FD7B86">
        <w:rPr>
          <w:rFonts w:ascii="Arial" w:hAnsi="Arial" w:cs="Arial"/>
        </w:rPr>
        <w:t xml:space="preserve">that </w:t>
      </w:r>
      <w:r w:rsidRPr="00222260">
        <w:rPr>
          <w:rFonts w:ascii="Arial" w:hAnsi="Arial" w:cs="Arial"/>
        </w:rPr>
        <w:t>using EPA-450/3-85-001a – V</w:t>
      </w:r>
      <w:r w:rsidR="00E8188C">
        <w:rPr>
          <w:rFonts w:ascii="Arial" w:hAnsi="Arial" w:cs="Arial"/>
        </w:rPr>
        <w:t xml:space="preserve">olatile </w:t>
      </w:r>
      <w:r w:rsidRPr="00222260">
        <w:rPr>
          <w:rFonts w:ascii="Arial" w:hAnsi="Arial" w:cs="Arial"/>
        </w:rPr>
        <w:t>O</w:t>
      </w:r>
      <w:r w:rsidR="00E8188C">
        <w:rPr>
          <w:rFonts w:ascii="Arial" w:hAnsi="Arial" w:cs="Arial"/>
        </w:rPr>
        <w:t xml:space="preserve">rganic </w:t>
      </w:r>
      <w:r w:rsidR="00E8188C" w:rsidRPr="00222260">
        <w:rPr>
          <w:rFonts w:ascii="Arial" w:hAnsi="Arial" w:cs="Arial"/>
        </w:rPr>
        <w:t>C</w:t>
      </w:r>
      <w:r w:rsidR="00E8188C">
        <w:rPr>
          <w:rFonts w:ascii="Arial" w:hAnsi="Arial" w:cs="Arial"/>
        </w:rPr>
        <w:t xml:space="preserve">ompound </w:t>
      </w:r>
      <w:r w:rsidR="00E8188C" w:rsidRPr="00222260">
        <w:rPr>
          <w:rFonts w:ascii="Arial" w:hAnsi="Arial" w:cs="Arial"/>
        </w:rPr>
        <w:t>Emissions</w:t>
      </w:r>
      <w:r w:rsidRPr="00222260">
        <w:rPr>
          <w:rFonts w:ascii="Arial" w:hAnsi="Arial" w:cs="Arial"/>
        </w:rPr>
        <w:t xml:space="preserve"> from Petroleum Refinery Wastewater Systems - </w:t>
      </w:r>
      <w:r w:rsidRPr="00222260">
        <w:rPr>
          <w:rFonts w:ascii="Arial" w:hAnsi="Arial" w:cs="Arial"/>
        </w:rPr>
        <w:lastRenderedPageBreak/>
        <w:t>Background Information for Proposed Standards</w:t>
      </w:r>
      <w:r w:rsidR="00FD7B86">
        <w:rPr>
          <w:rFonts w:ascii="Arial" w:hAnsi="Arial" w:cs="Arial"/>
        </w:rPr>
        <w:t xml:space="preserve"> is </w:t>
      </w:r>
      <w:r w:rsidR="00FD7B86" w:rsidRPr="00222260">
        <w:rPr>
          <w:rFonts w:ascii="Arial" w:hAnsi="Arial" w:cs="Arial"/>
        </w:rPr>
        <w:t xml:space="preserve">an acceptable alternative to estimating </w:t>
      </w:r>
      <w:r w:rsidR="00FD7B86">
        <w:rPr>
          <w:rFonts w:ascii="Arial" w:hAnsi="Arial" w:cs="Arial"/>
        </w:rPr>
        <w:t xml:space="preserve">potential </w:t>
      </w:r>
      <w:r w:rsidR="00FD7B86" w:rsidRPr="00222260">
        <w:rPr>
          <w:rFonts w:ascii="Arial" w:hAnsi="Arial" w:cs="Arial"/>
        </w:rPr>
        <w:t>water storage tank emissions</w:t>
      </w:r>
      <w:r w:rsidRPr="00222260">
        <w:rPr>
          <w:rFonts w:ascii="Arial" w:hAnsi="Arial" w:cs="Arial"/>
        </w:rPr>
        <w:t xml:space="preserve">.  </w:t>
      </w:r>
      <w:r w:rsidR="00FD7B86" w:rsidRPr="00222260">
        <w:rPr>
          <w:rFonts w:ascii="Arial" w:hAnsi="Arial" w:cs="Arial"/>
        </w:rPr>
        <w:t xml:space="preserve">EPA-450/3-85-001a </w:t>
      </w:r>
      <w:r w:rsidR="00FD7B86">
        <w:rPr>
          <w:rFonts w:ascii="Arial" w:hAnsi="Arial" w:cs="Arial"/>
        </w:rPr>
        <w:t>gives a</w:t>
      </w:r>
      <w:r w:rsidRPr="00222260">
        <w:rPr>
          <w:rFonts w:ascii="Arial" w:hAnsi="Arial" w:cs="Arial"/>
        </w:rPr>
        <w:t>n emission factor of 0.0000195-ton VOC per barrel of wastewater produced</w:t>
      </w:r>
      <w:r w:rsidR="00FD7B86">
        <w:rPr>
          <w:rFonts w:ascii="Arial" w:hAnsi="Arial" w:cs="Arial"/>
        </w:rPr>
        <w:t xml:space="preserve"> for </w:t>
      </w:r>
      <w:r w:rsidRPr="00222260">
        <w:rPr>
          <w:rFonts w:ascii="Arial" w:hAnsi="Arial" w:cs="Arial"/>
        </w:rPr>
        <w:t>wastewater in an oil-water separator.  The water production rate used to calculate potential water tank emissions should be a daily maximum production rate not expected to be exc</w:t>
      </w:r>
      <w:r w:rsidR="00FD7B86">
        <w:rPr>
          <w:rFonts w:ascii="Arial" w:hAnsi="Arial" w:cs="Arial"/>
        </w:rPr>
        <w:t>eeded during normal operation.</w:t>
      </w:r>
    </w:p>
    <w:p w14:paraId="1AAC48D5" w14:textId="77777777" w:rsidR="00F76A23" w:rsidRDefault="00F76A23">
      <w:pPr>
        <w:rPr>
          <w:rFonts w:ascii="Arial" w:hAnsi="Arial" w:cs="Arial"/>
        </w:rPr>
      </w:pPr>
    </w:p>
    <w:p w14:paraId="5E72D278" w14:textId="77777777" w:rsidR="000172E8" w:rsidRDefault="00E21D5B" w:rsidP="000172E8">
      <w:pPr>
        <w:ind w:firstLine="720"/>
        <w:rPr>
          <w:rFonts w:ascii="Arial" w:hAnsi="Arial" w:cs="Arial"/>
          <w:b/>
        </w:rPr>
      </w:pPr>
      <w:r w:rsidRPr="000172E8">
        <w:rPr>
          <w:rFonts w:ascii="Arial" w:hAnsi="Arial" w:cs="Arial"/>
          <w:b/>
        </w:rPr>
        <w:t>Produced Gas</w:t>
      </w:r>
    </w:p>
    <w:p w14:paraId="76011D2F" w14:textId="77777777" w:rsidR="00102B71" w:rsidRDefault="0059333B" w:rsidP="000172E8">
      <w:pPr>
        <w:ind w:left="720"/>
        <w:rPr>
          <w:rFonts w:ascii="Arial" w:hAnsi="Arial" w:cs="Arial"/>
        </w:rPr>
      </w:pPr>
      <w:r w:rsidRPr="000172E8">
        <w:rPr>
          <w:rFonts w:ascii="Arial" w:hAnsi="Arial" w:cs="Arial"/>
        </w:rPr>
        <w:t>Potential emissions resulting from the produced gas depend on the design of the facility.  The Department determined that oil or gas well facilities that were designed to route</w:t>
      </w:r>
      <w:r w:rsidR="000172E8">
        <w:rPr>
          <w:rFonts w:ascii="Arial" w:hAnsi="Arial" w:cs="Arial"/>
        </w:rPr>
        <w:t xml:space="preserve"> produced gas to a sales </w:t>
      </w:r>
      <w:r w:rsidRPr="000172E8">
        <w:rPr>
          <w:rFonts w:ascii="Arial" w:hAnsi="Arial" w:cs="Arial"/>
        </w:rPr>
        <w:t xml:space="preserve">pipeline </w:t>
      </w:r>
      <w:r w:rsidR="00B865E4">
        <w:rPr>
          <w:rFonts w:ascii="Arial" w:hAnsi="Arial" w:cs="Arial"/>
        </w:rPr>
        <w:t xml:space="preserve">or use all of the produced gas to power on-site equipment </w:t>
      </w:r>
      <w:r w:rsidR="00AA7B35">
        <w:rPr>
          <w:rFonts w:ascii="Arial" w:hAnsi="Arial" w:cs="Arial"/>
        </w:rPr>
        <w:t>do</w:t>
      </w:r>
      <w:r w:rsidRPr="000172E8">
        <w:rPr>
          <w:rFonts w:ascii="Arial" w:hAnsi="Arial" w:cs="Arial"/>
        </w:rPr>
        <w:t xml:space="preserve"> not </w:t>
      </w:r>
      <w:r w:rsidR="00E8188C">
        <w:rPr>
          <w:rFonts w:ascii="Arial" w:hAnsi="Arial" w:cs="Arial"/>
        </w:rPr>
        <w:t xml:space="preserve">normally </w:t>
      </w:r>
      <w:r w:rsidRPr="000172E8">
        <w:rPr>
          <w:rFonts w:ascii="Arial" w:hAnsi="Arial" w:cs="Arial"/>
        </w:rPr>
        <w:t>disconnect these lines and allow the gas to vent to atmosphere.  As</w:t>
      </w:r>
      <w:r>
        <w:rPr>
          <w:rFonts w:ascii="Arial" w:hAnsi="Arial" w:cs="Arial"/>
        </w:rPr>
        <w:t xml:space="preserve"> a result, PTE from such a facility may not need to include the </w:t>
      </w:r>
      <w:r w:rsidR="00102B71">
        <w:rPr>
          <w:rFonts w:ascii="Arial" w:hAnsi="Arial" w:cs="Arial"/>
        </w:rPr>
        <w:t xml:space="preserve">total emission from produced gas.  Instead, if a </w:t>
      </w:r>
      <w:r w:rsidR="00441690">
        <w:rPr>
          <w:rFonts w:ascii="Arial" w:hAnsi="Arial" w:cs="Arial"/>
        </w:rPr>
        <w:t>smokeless combustion device</w:t>
      </w:r>
      <w:r w:rsidR="00102B71">
        <w:rPr>
          <w:rFonts w:ascii="Arial" w:hAnsi="Arial" w:cs="Arial"/>
        </w:rPr>
        <w:t xml:space="preserve"> is used in situations when the produced gas can not be routed to the </w:t>
      </w:r>
      <w:r w:rsidR="00E8188C">
        <w:rPr>
          <w:rFonts w:ascii="Arial" w:hAnsi="Arial" w:cs="Arial"/>
        </w:rPr>
        <w:t xml:space="preserve">sales </w:t>
      </w:r>
      <w:r w:rsidR="00102B71">
        <w:rPr>
          <w:rFonts w:ascii="Arial" w:hAnsi="Arial" w:cs="Arial"/>
        </w:rPr>
        <w:t>pipeline</w:t>
      </w:r>
      <w:r w:rsidR="00B865E4">
        <w:rPr>
          <w:rFonts w:ascii="Arial" w:hAnsi="Arial" w:cs="Arial"/>
        </w:rPr>
        <w:t xml:space="preserve"> or the facility does not operate without the produced gas as fuel</w:t>
      </w:r>
      <w:r w:rsidR="00102B71">
        <w:rPr>
          <w:rFonts w:ascii="Arial" w:hAnsi="Arial" w:cs="Arial"/>
        </w:rPr>
        <w:t xml:space="preserve">, the PTE is determined using a method consistent with the </w:t>
      </w:r>
      <w:r w:rsidR="00A6668D" w:rsidRPr="00A6668D">
        <w:rPr>
          <w:rFonts w:ascii="Arial" w:hAnsi="Arial" w:cs="Arial"/>
        </w:rPr>
        <w:t>Department’s</w:t>
      </w:r>
      <w:r w:rsidR="002100E1">
        <w:rPr>
          <w:rFonts w:ascii="Arial" w:hAnsi="Arial" w:cs="Arial"/>
        </w:rPr>
        <w:t xml:space="preserve"> and Environmental Protection A</w:t>
      </w:r>
      <w:r w:rsidR="00A6668D" w:rsidRPr="00A6668D">
        <w:rPr>
          <w:rFonts w:ascii="Arial" w:hAnsi="Arial" w:cs="Arial"/>
        </w:rPr>
        <w:t>ge</w:t>
      </w:r>
      <w:r w:rsidR="002100E1">
        <w:rPr>
          <w:rFonts w:ascii="Arial" w:hAnsi="Arial" w:cs="Arial"/>
        </w:rPr>
        <w:t>n</w:t>
      </w:r>
      <w:r w:rsidR="00A6668D" w:rsidRPr="00A6668D">
        <w:rPr>
          <w:rFonts w:ascii="Arial" w:hAnsi="Arial" w:cs="Arial"/>
        </w:rPr>
        <w:t>cy’s (EPA)</w:t>
      </w:r>
      <w:r w:rsidR="00102B71">
        <w:rPr>
          <w:rFonts w:ascii="Arial" w:hAnsi="Arial" w:cs="Arial"/>
        </w:rPr>
        <w:t xml:space="preserve"> guidance on backup/emergency generators.  </w:t>
      </w:r>
    </w:p>
    <w:p w14:paraId="23C97AE1" w14:textId="77777777" w:rsidR="00102B71" w:rsidRDefault="00102B71" w:rsidP="0059333B">
      <w:pPr>
        <w:rPr>
          <w:rFonts w:ascii="Arial" w:hAnsi="Arial" w:cs="Arial"/>
        </w:rPr>
      </w:pPr>
    </w:p>
    <w:p w14:paraId="037BC54F" w14:textId="77777777" w:rsidR="0059333B" w:rsidRDefault="0059333B" w:rsidP="000172E8">
      <w:pPr>
        <w:ind w:left="720"/>
        <w:rPr>
          <w:rFonts w:ascii="Arial" w:hAnsi="Arial" w:cs="Arial"/>
        </w:rPr>
      </w:pPr>
      <w:r>
        <w:rPr>
          <w:rFonts w:ascii="Arial" w:hAnsi="Arial" w:cs="Arial"/>
        </w:rPr>
        <w:t xml:space="preserve">When determining whether the pipeline </w:t>
      </w:r>
      <w:r w:rsidR="00572A85">
        <w:rPr>
          <w:rFonts w:ascii="Arial" w:hAnsi="Arial" w:cs="Arial"/>
        </w:rPr>
        <w:t xml:space="preserve">or produced gas-powered equipment </w:t>
      </w:r>
      <w:r>
        <w:rPr>
          <w:rFonts w:ascii="Arial" w:hAnsi="Arial" w:cs="Arial"/>
        </w:rPr>
        <w:t xml:space="preserve">is an inherent part of the design, the following three </w:t>
      </w:r>
      <w:r w:rsidR="00441690">
        <w:rPr>
          <w:rFonts w:ascii="Arial" w:hAnsi="Arial" w:cs="Arial"/>
        </w:rPr>
        <w:t xml:space="preserve">primary </w:t>
      </w:r>
      <w:r>
        <w:rPr>
          <w:rFonts w:ascii="Arial" w:hAnsi="Arial" w:cs="Arial"/>
        </w:rPr>
        <w:t xml:space="preserve">questions must be answered. </w:t>
      </w:r>
    </w:p>
    <w:p w14:paraId="3E4D2AAF" w14:textId="77777777" w:rsidR="0059333B" w:rsidRDefault="0059333B" w:rsidP="0059333B">
      <w:pPr>
        <w:rPr>
          <w:rFonts w:ascii="Arial" w:hAnsi="Arial" w:cs="Arial"/>
        </w:rPr>
      </w:pPr>
    </w:p>
    <w:p w14:paraId="316B6440" w14:textId="77777777" w:rsidR="0059333B" w:rsidRDefault="0059333B" w:rsidP="0059333B">
      <w:pPr>
        <w:numPr>
          <w:ilvl w:val="0"/>
          <w:numId w:val="1"/>
        </w:numPr>
        <w:rPr>
          <w:rFonts w:ascii="Arial" w:hAnsi="Arial" w:cs="Arial"/>
        </w:rPr>
      </w:pPr>
      <w:r>
        <w:rPr>
          <w:rFonts w:ascii="Arial" w:hAnsi="Arial" w:cs="Arial"/>
        </w:rPr>
        <w:t>Is the primary purpose of the equipment (</w:t>
      </w:r>
      <w:r w:rsidR="00572A85">
        <w:rPr>
          <w:rFonts w:ascii="Arial" w:hAnsi="Arial" w:cs="Arial"/>
        </w:rPr>
        <w:t xml:space="preserve">e.g., </w:t>
      </w:r>
      <w:r>
        <w:rPr>
          <w:rFonts w:ascii="Arial" w:hAnsi="Arial" w:cs="Arial"/>
        </w:rPr>
        <w:t>pipeline</w:t>
      </w:r>
      <w:r w:rsidR="00572A85">
        <w:rPr>
          <w:rFonts w:ascii="Arial" w:hAnsi="Arial" w:cs="Arial"/>
        </w:rPr>
        <w:t>, pumpjack engine, heater/treater burner</w:t>
      </w:r>
      <w:r>
        <w:rPr>
          <w:rFonts w:ascii="Arial" w:hAnsi="Arial" w:cs="Arial"/>
        </w:rPr>
        <w:t>) to control air pollution?</w:t>
      </w:r>
    </w:p>
    <w:p w14:paraId="7FF1BB92" w14:textId="77777777" w:rsidR="000172E8" w:rsidRDefault="000172E8" w:rsidP="000172E8">
      <w:pPr>
        <w:ind w:left="1080"/>
        <w:rPr>
          <w:rFonts w:ascii="Arial" w:hAnsi="Arial" w:cs="Arial"/>
        </w:rPr>
      </w:pPr>
    </w:p>
    <w:p w14:paraId="77B5C573" w14:textId="77777777" w:rsidR="0059333B" w:rsidRDefault="0059333B" w:rsidP="0059333B">
      <w:pPr>
        <w:numPr>
          <w:ilvl w:val="0"/>
          <w:numId w:val="1"/>
        </w:numPr>
        <w:rPr>
          <w:rFonts w:ascii="Arial" w:hAnsi="Arial" w:cs="Arial"/>
        </w:rPr>
      </w:pPr>
      <w:r>
        <w:rPr>
          <w:rFonts w:ascii="Arial" w:hAnsi="Arial" w:cs="Arial"/>
        </w:rPr>
        <w:t>Where the equipment is recovering product, h</w:t>
      </w:r>
      <w:r w:rsidR="00E8188C">
        <w:rPr>
          <w:rFonts w:ascii="Arial" w:hAnsi="Arial" w:cs="Arial"/>
        </w:rPr>
        <w:t xml:space="preserve">ow do the cost savings from </w:t>
      </w:r>
      <w:r>
        <w:rPr>
          <w:rFonts w:ascii="Arial" w:hAnsi="Arial" w:cs="Arial"/>
        </w:rPr>
        <w:t>product recovery compare to the cost of the equipment?</w:t>
      </w:r>
    </w:p>
    <w:p w14:paraId="1364BEE5" w14:textId="77777777" w:rsidR="000172E8" w:rsidRDefault="000172E8" w:rsidP="000172E8">
      <w:pPr>
        <w:ind w:left="1080"/>
        <w:rPr>
          <w:rFonts w:ascii="Arial" w:hAnsi="Arial" w:cs="Arial"/>
        </w:rPr>
      </w:pPr>
    </w:p>
    <w:p w14:paraId="1AFC233F" w14:textId="77777777" w:rsidR="0059333B" w:rsidRDefault="0059333B" w:rsidP="0059333B">
      <w:pPr>
        <w:numPr>
          <w:ilvl w:val="0"/>
          <w:numId w:val="1"/>
        </w:numPr>
        <w:rPr>
          <w:rFonts w:ascii="Arial" w:hAnsi="Arial" w:cs="Arial"/>
        </w:rPr>
      </w:pPr>
      <w:r>
        <w:rPr>
          <w:rFonts w:ascii="Arial" w:hAnsi="Arial" w:cs="Arial"/>
        </w:rPr>
        <w:t xml:space="preserve">Would the equipment be installed if no air quality regulations </w:t>
      </w:r>
      <w:r w:rsidR="00AA7B35">
        <w:rPr>
          <w:rFonts w:ascii="Arial" w:hAnsi="Arial" w:cs="Arial"/>
        </w:rPr>
        <w:t>were</w:t>
      </w:r>
      <w:r>
        <w:rPr>
          <w:rFonts w:ascii="Arial" w:hAnsi="Arial" w:cs="Arial"/>
        </w:rPr>
        <w:t xml:space="preserve"> in place?</w:t>
      </w:r>
    </w:p>
    <w:p w14:paraId="55E0E95F" w14:textId="77777777" w:rsidR="0059333B" w:rsidRDefault="0059333B" w:rsidP="0059333B">
      <w:pPr>
        <w:rPr>
          <w:rFonts w:ascii="Arial" w:hAnsi="Arial" w:cs="Arial"/>
        </w:rPr>
      </w:pPr>
    </w:p>
    <w:p w14:paraId="3065D846" w14:textId="77777777" w:rsidR="00441690" w:rsidRDefault="00441690" w:rsidP="000172E8">
      <w:pPr>
        <w:ind w:left="720"/>
        <w:rPr>
          <w:rFonts w:ascii="Arial" w:hAnsi="Arial" w:cs="Arial"/>
        </w:rPr>
      </w:pPr>
      <w:r>
        <w:rPr>
          <w:rFonts w:ascii="Arial" w:hAnsi="Arial" w:cs="Arial"/>
        </w:rPr>
        <w:t xml:space="preserve">For example, a facility, such as one shown in the above figure, routes oil and water from the heater/treater (separator) to the storage tanks and the produced gas is primarily routed to a sales pipeline.  In emergencies (e.g., pressure in sales pipeline prevents produced gas from entering) the produced gas can be sent to a smokeless combustion device.  In determining the </w:t>
      </w:r>
      <w:r w:rsidR="00DE3375">
        <w:rPr>
          <w:rFonts w:ascii="Arial" w:hAnsi="Arial" w:cs="Arial"/>
        </w:rPr>
        <w:t xml:space="preserve">PTE </w:t>
      </w:r>
      <w:r>
        <w:rPr>
          <w:rFonts w:ascii="Arial" w:hAnsi="Arial" w:cs="Arial"/>
        </w:rPr>
        <w:t xml:space="preserve">from </w:t>
      </w:r>
      <w:r w:rsidR="00DE3375">
        <w:rPr>
          <w:rFonts w:ascii="Arial" w:hAnsi="Arial" w:cs="Arial"/>
        </w:rPr>
        <w:t>this</w:t>
      </w:r>
      <w:r>
        <w:rPr>
          <w:rFonts w:ascii="Arial" w:hAnsi="Arial" w:cs="Arial"/>
        </w:rPr>
        <w:t xml:space="preserve"> example facility, the answer to the three primary questions above may be:</w:t>
      </w:r>
    </w:p>
    <w:p w14:paraId="4E26CB72" w14:textId="77777777" w:rsidR="00441690" w:rsidRDefault="00441690" w:rsidP="00441690">
      <w:pPr>
        <w:rPr>
          <w:rFonts w:ascii="Arial" w:hAnsi="Arial" w:cs="Arial"/>
        </w:rPr>
      </w:pPr>
    </w:p>
    <w:p w14:paraId="4157C256" w14:textId="77777777" w:rsidR="00441690" w:rsidRDefault="00441690" w:rsidP="00441690">
      <w:pPr>
        <w:numPr>
          <w:ilvl w:val="0"/>
          <w:numId w:val="3"/>
        </w:numPr>
        <w:rPr>
          <w:rFonts w:ascii="Arial" w:hAnsi="Arial" w:cs="Arial"/>
        </w:rPr>
      </w:pPr>
      <w:r>
        <w:rPr>
          <w:rFonts w:ascii="Arial" w:hAnsi="Arial" w:cs="Arial"/>
        </w:rPr>
        <w:t>Is the primary purpose of the equipment to control air pollution?</w:t>
      </w:r>
    </w:p>
    <w:p w14:paraId="5EC722A0" w14:textId="77777777" w:rsidR="00441690" w:rsidRPr="00DE3375" w:rsidRDefault="00441690" w:rsidP="000172E8">
      <w:pPr>
        <w:ind w:left="1440"/>
        <w:rPr>
          <w:rFonts w:ascii="Arial" w:hAnsi="Arial" w:cs="Arial"/>
          <w:i/>
        </w:rPr>
      </w:pPr>
      <w:r w:rsidRPr="00DE3375">
        <w:rPr>
          <w:rFonts w:ascii="Arial" w:hAnsi="Arial" w:cs="Arial"/>
          <w:i/>
        </w:rPr>
        <w:t>No, the pipeline’s primary purpose is to gather hydrocarbons to transport them for sale and use.</w:t>
      </w:r>
    </w:p>
    <w:p w14:paraId="1888359C" w14:textId="77777777" w:rsidR="00DE3375" w:rsidRDefault="00DE3375" w:rsidP="00DE3375">
      <w:pPr>
        <w:rPr>
          <w:rFonts w:ascii="Arial" w:hAnsi="Arial" w:cs="Arial"/>
        </w:rPr>
      </w:pPr>
    </w:p>
    <w:p w14:paraId="3C7D6136" w14:textId="77777777" w:rsidR="00441690" w:rsidRDefault="00441690" w:rsidP="00441690">
      <w:pPr>
        <w:numPr>
          <w:ilvl w:val="0"/>
          <w:numId w:val="3"/>
        </w:numPr>
        <w:rPr>
          <w:rFonts w:ascii="Arial" w:hAnsi="Arial" w:cs="Arial"/>
        </w:rPr>
      </w:pPr>
      <w:r>
        <w:rPr>
          <w:rFonts w:ascii="Arial" w:hAnsi="Arial" w:cs="Arial"/>
        </w:rPr>
        <w:t>Where the equipment is recovering product, how do the cost savings from the product recovery compare to the cost of the equipment?</w:t>
      </w:r>
    </w:p>
    <w:p w14:paraId="31072FA8" w14:textId="77777777" w:rsidR="00441690" w:rsidRPr="00DE3375" w:rsidRDefault="00441690" w:rsidP="000172E8">
      <w:pPr>
        <w:ind w:left="1440"/>
        <w:rPr>
          <w:rFonts w:ascii="Arial" w:hAnsi="Arial" w:cs="Arial"/>
          <w:i/>
        </w:rPr>
      </w:pPr>
      <w:r w:rsidRPr="00DE3375">
        <w:rPr>
          <w:rFonts w:ascii="Arial" w:hAnsi="Arial" w:cs="Arial"/>
          <w:i/>
        </w:rPr>
        <w:lastRenderedPageBreak/>
        <w:t>Product recovery is the sole reason the pipeline is installed and the cost savings of the product recovered far outweighs the cost of the pipeline.  The only reason the well is completed and the pipeline installed, instead of plugged and abandoned, is recovery of the hydrocarbons through the pipeline outweigh</w:t>
      </w:r>
      <w:r w:rsidR="00AA7B35">
        <w:rPr>
          <w:rFonts w:ascii="Arial" w:hAnsi="Arial" w:cs="Arial"/>
          <w:i/>
        </w:rPr>
        <w:t>s</w:t>
      </w:r>
      <w:r w:rsidRPr="00DE3375">
        <w:rPr>
          <w:rFonts w:ascii="Arial" w:hAnsi="Arial" w:cs="Arial"/>
          <w:i/>
        </w:rPr>
        <w:t xml:space="preserve"> abandonment.</w:t>
      </w:r>
    </w:p>
    <w:p w14:paraId="7BBC0E1A" w14:textId="77777777" w:rsidR="00441690" w:rsidRDefault="00441690" w:rsidP="00441690">
      <w:pPr>
        <w:ind w:left="1080"/>
        <w:rPr>
          <w:rFonts w:ascii="Arial" w:hAnsi="Arial" w:cs="Arial"/>
        </w:rPr>
      </w:pPr>
    </w:p>
    <w:p w14:paraId="787605FC" w14:textId="77777777" w:rsidR="00441690" w:rsidRDefault="00441690" w:rsidP="00441690">
      <w:pPr>
        <w:numPr>
          <w:ilvl w:val="0"/>
          <w:numId w:val="3"/>
        </w:numPr>
        <w:rPr>
          <w:rFonts w:ascii="Arial" w:hAnsi="Arial" w:cs="Arial"/>
        </w:rPr>
      </w:pPr>
      <w:r>
        <w:rPr>
          <w:rFonts w:ascii="Arial" w:hAnsi="Arial" w:cs="Arial"/>
        </w:rPr>
        <w:t xml:space="preserve">Would the equipment be installed if no air quality regulations </w:t>
      </w:r>
      <w:r w:rsidR="00AA7B35">
        <w:rPr>
          <w:rFonts w:ascii="Arial" w:hAnsi="Arial" w:cs="Arial"/>
        </w:rPr>
        <w:t>were</w:t>
      </w:r>
      <w:r>
        <w:rPr>
          <w:rFonts w:ascii="Arial" w:hAnsi="Arial" w:cs="Arial"/>
        </w:rPr>
        <w:t xml:space="preserve"> in place?</w:t>
      </w:r>
    </w:p>
    <w:p w14:paraId="62D08F34" w14:textId="77777777" w:rsidR="00441690" w:rsidRPr="00DE3375" w:rsidRDefault="00441690" w:rsidP="000172E8">
      <w:pPr>
        <w:ind w:left="1440"/>
        <w:rPr>
          <w:rFonts w:ascii="Arial" w:hAnsi="Arial" w:cs="Arial"/>
          <w:i/>
        </w:rPr>
      </w:pPr>
      <w:r w:rsidRPr="00DE3375">
        <w:rPr>
          <w:rFonts w:ascii="Arial" w:hAnsi="Arial" w:cs="Arial"/>
          <w:i/>
        </w:rPr>
        <w:t>Pipelines have been installed long before air quality regulations were in place.  Therefore, even without air quality regulations, the oil and gas industry would continue to collect hydrocarbons for sale and use.  The primary way hydrocarbons are collected is through the use of pipelines.</w:t>
      </w:r>
    </w:p>
    <w:p w14:paraId="7612A510" w14:textId="77777777" w:rsidR="00441690" w:rsidRDefault="00441690" w:rsidP="00441690">
      <w:pPr>
        <w:rPr>
          <w:rFonts w:ascii="Arial" w:hAnsi="Arial" w:cs="Arial"/>
        </w:rPr>
      </w:pPr>
    </w:p>
    <w:p w14:paraId="44535B96" w14:textId="77777777" w:rsidR="00441690" w:rsidRDefault="00441690" w:rsidP="000172E8">
      <w:pPr>
        <w:ind w:left="720"/>
        <w:rPr>
          <w:rFonts w:ascii="Arial" w:hAnsi="Arial" w:cs="Arial"/>
        </w:rPr>
      </w:pPr>
      <w:r>
        <w:rPr>
          <w:rFonts w:ascii="Arial" w:hAnsi="Arial" w:cs="Arial"/>
        </w:rPr>
        <w:t>The determination from this example would be that the facility is inherently designed to send gas to the pipeline.  Therefore, the PTE calculation would not include the potential gas emissions sent to the pipeline.</w:t>
      </w:r>
    </w:p>
    <w:p w14:paraId="4CED5E3C" w14:textId="77777777" w:rsidR="00102B71" w:rsidRDefault="00102B71" w:rsidP="0059333B">
      <w:pPr>
        <w:rPr>
          <w:rFonts w:ascii="Arial" w:hAnsi="Arial" w:cs="Arial"/>
        </w:rPr>
      </w:pPr>
    </w:p>
    <w:p w14:paraId="49450E58" w14:textId="77777777" w:rsidR="00C10891" w:rsidRDefault="00A75D31" w:rsidP="000172E8">
      <w:pPr>
        <w:ind w:left="720"/>
        <w:rPr>
          <w:rFonts w:ascii="Arial" w:hAnsi="Arial" w:cs="Arial"/>
        </w:rPr>
      </w:pPr>
      <w:r w:rsidRPr="00E21D5B">
        <w:rPr>
          <w:rFonts w:ascii="Arial" w:hAnsi="Arial" w:cs="Arial"/>
        </w:rPr>
        <w:t xml:space="preserve">The </w:t>
      </w:r>
      <w:r>
        <w:rPr>
          <w:rFonts w:ascii="Arial" w:hAnsi="Arial" w:cs="Arial"/>
        </w:rPr>
        <w:t xml:space="preserve">manner and </w:t>
      </w:r>
      <w:r w:rsidRPr="00E21D5B">
        <w:rPr>
          <w:rFonts w:ascii="Arial" w:hAnsi="Arial" w:cs="Arial"/>
        </w:rPr>
        <w:t>annual</w:t>
      </w:r>
      <w:r>
        <w:rPr>
          <w:rFonts w:ascii="Arial" w:hAnsi="Arial" w:cs="Arial"/>
        </w:rPr>
        <w:t xml:space="preserve"> hours of operation used in determining </w:t>
      </w:r>
      <w:r w:rsidRPr="00E21D5B">
        <w:rPr>
          <w:rFonts w:ascii="Arial" w:hAnsi="Arial" w:cs="Arial"/>
        </w:rPr>
        <w:t xml:space="preserve">produced gas </w:t>
      </w:r>
      <w:r>
        <w:rPr>
          <w:rFonts w:ascii="Arial" w:hAnsi="Arial" w:cs="Arial"/>
        </w:rPr>
        <w:t xml:space="preserve">potential </w:t>
      </w:r>
      <w:r w:rsidRPr="00E21D5B">
        <w:rPr>
          <w:rFonts w:ascii="Arial" w:hAnsi="Arial" w:cs="Arial"/>
        </w:rPr>
        <w:t>emission estimations will</w:t>
      </w:r>
      <w:r w:rsidR="000172E8">
        <w:rPr>
          <w:rFonts w:ascii="Arial" w:hAnsi="Arial" w:cs="Arial"/>
        </w:rPr>
        <w:t xml:space="preserve">, however, </w:t>
      </w:r>
      <w:r>
        <w:rPr>
          <w:rFonts w:ascii="Arial" w:hAnsi="Arial" w:cs="Arial"/>
        </w:rPr>
        <w:t xml:space="preserve">depend on the facility design.  </w:t>
      </w:r>
      <w:r w:rsidR="00C10891">
        <w:rPr>
          <w:rFonts w:ascii="Arial" w:hAnsi="Arial" w:cs="Arial"/>
        </w:rPr>
        <w:t xml:space="preserve">The following questions pertaining to the facility design should be answered in order to determine </w:t>
      </w:r>
      <w:bookmarkStart w:id="2" w:name="OLE_LINK9"/>
      <w:bookmarkStart w:id="3" w:name="OLE_LINK10"/>
      <w:r w:rsidR="00C10891">
        <w:rPr>
          <w:rFonts w:ascii="Arial" w:hAnsi="Arial" w:cs="Arial"/>
        </w:rPr>
        <w:t>produced gas PTE</w:t>
      </w:r>
      <w:bookmarkEnd w:id="2"/>
      <w:bookmarkEnd w:id="3"/>
      <w:r w:rsidR="00C10891">
        <w:rPr>
          <w:rFonts w:ascii="Arial" w:hAnsi="Arial" w:cs="Arial"/>
        </w:rPr>
        <w:t>:</w:t>
      </w:r>
    </w:p>
    <w:p w14:paraId="79442B0B" w14:textId="77777777" w:rsidR="00C10891" w:rsidRDefault="00C10891" w:rsidP="00E21D5B">
      <w:pPr>
        <w:rPr>
          <w:rFonts w:ascii="Arial" w:hAnsi="Arial" w:cs="Arial"/>
        </w:rPr>
      </w:pPr>
    </w:p>
    <w:p w14:paraId="47344679" w14:textId="77777777" w:rsidR="00E21D5B" w:rsidRDefault="00F43241" w:rsidP="00E21D5B">
      <w:pPr>
        <w:numPr>
          <w:ilvl w:val="0"/>
          <w:numId w:val="4"/>
        </w:numPr>
        <w:rPr>
          <w:rFonts w:ascii="Arial" w:hAnsi="Arial" w:cs="Arial"/>
        </w:rPr>
      </w:pPr>
      <w:r>
        <w:rPr>
          <w:rFonts w:ascii="Arial" w:hAnsi="Arial" w:cs="Arial"/>
        </w:rPr>
        <w:t>I</w:t>
      </w:r>
      <w:r w:rsidR="00C10891">
        <w:rPr>
          <w:rFonts w:ascii="Arial" w:hAnsi="Arial" w:cs="Arial"/>
        </w:rPr>
        <w:t>s the facility designed to route produced gas to a sales pipeline</w:t>
      </w:r>
      <w:r>
        <w:rPr>
          <w:rFonts w:ascii="Arial" w:hAnsi="Arial" w:cs="Arial"/>
        </w:rPr>
        <w:t>?</w:t>
      </w:r>
    </w:p>
    <w:p w14:paraId="3B806500" w14:textId="77777777" w:rsidR="000172E8" w:rsidRDefault="000172E8" w:rsidP="000172E8">
      <w:pPr>
        <w:ind w:left="1080"/>
        <w:rPr>
          <w:rFonts w:ascii="Arial" w:hAnsi="Arial" w:cs="Arial"/>
        </w:rPr>
      </w:pPr>
    </w:p>
    <w:p w14:paraId="47AF910F" w14:textId="77777777" w:rsidR="000172E8" w:rsidRDefault="00F43241" w:rsidP="000172E8">
      <w:pPr>
        <w:numPr>
          <w:ilvl w:val="0"/>
          <w:numId w:val="4"/>
        </w:numPr>
        <w:rPr>
          <w:rFonts w:ascii="Arial" w:hAnsi="Arial" w:cs="Arial"/>
        </w:rPr>
      </w:pPr>
      <w:r>
        <w:rPr>
          <w:rFonts w:ascii="Arial" w:hAnsi="Arial" w:cs="Arial"/>
        </w:rPr>
        <w:t xml:space="preserve">Is a </w:t>
      </w:r>
      <w:r w:rsidRPr="00E21D5B">
        <w:rPr>
          <w:rFonts w:ascii="Arial" w:hAnsi="Arial" w:cs="Arial"/>
        </w:rPr>
        <w:t xml:space="preserve">smokeless combustion device </w:t>
      </w:r>
      <w:r>
        <w:rPr>
          <w:rFonts w:ascii="Arial" w:hAnsi="Arial" w:cs="Arial"/>
        </w:rPr>
        <w:t>installed on-site?</w:t>
      </w:r>
    </w:p>
    <w:p w14:paraId="355CC10B" w14:textId="77777777" w:rsidR="000172E8" w:rsidRDefault="000172E8" w:rsidP="000172E8">
      <w:pPr>
        <w:ind w:left="1080"/>
        <w:rPr>
          <w:rFonts w:ascii="Arial" w:hAnsi="Arial" w:cs="Arial"/>
        </w:rPr>
      </w:pPr>
    </w:p>
    <w:p w14:paraId="42669F9C" w14:textId="77777777" w:rsidR="000172E8" w:rsidRDefault="00F43241" w:rsidP="000172E8">
      <w:pPr>
        <w:numPr>
          <w:ilvl w:val="0"/>
          <w:numId w:val="4"/>
        </w:numPr>
        <w:rPr>
          <w:rFonts w:ascii="Arial" w:hAnsi="Arial" w:cs="Arial"/>
        </w:rPr>
      </w:pPr>
      <w:r>
        <w:rPr>
          <w:rFonts w:ascii="Arial" w:hAnsi="Arial" w:cs="Arial"/>
        </w:rPr>
        <w:t xml:space="preserve">If a </w:t>
      </w:r>
      <w:r w:rsidRPr="00E21D5B">
        <w:rPr>
          <w:rFonts w:ascii="Arial" w:hAnsi="Arial" w:cs="Arial"/>
        </w:rPr>
        <w:t xml:space="preserve">smokeless combustion device </w:t>
      </w:r>
      <w:r>
        <w:rPr>
          <w:rFonts w:ascii="Arial" w:hAnsi="Arial" w:cs="Arial"/>
        </w:rPr>
        <w:t>is installed on-site, is the facility designed to route produced gas to it (either full-time or in emergencies)?</w:t>
      </w:r>
    </w:p>
    <w:p w14:paraId="7605EAA0" w14:textId="77777777" w:rsidR="000172E8" w:rsidRDefault="000172E8" w:rsidP="000172E8">
      <w:pPr>
        <w:ind w:left="1080"/>
        <w:rPr>
          <w:rFonts w:ascii="Arial" w:hAnsi="Arial" w:cs="Arial"/>
        </w:rPr>
      </w:pPr>
    </w:p>
    <w:p w14:paraId="5C06FCDA" w14:textId="77777777" w:rsidR="00F43241" w:rsidRDefault="00F43241" w:rsidP="000172E8">
      <w:pPr>
        <w:numPr>
          <w:ilvl w:val="0"/>
          <w:numId w:val="4"/>
        </w:numPr>
        <w:rPr>
          <w:rFonts w:ascii="Arial" w:hAnsi="Arial" w:cs="Arial"/>
        </w:rPr>
      </w:pPr>
      <w:r>
        <w:rPr>
          <w:rFonts w:ascii="Arial" w:hAnsi="Arial" w:cs="Arial"/>
        </w:rPr>
        <w:t xml:space="preserve">If routed to a </w:t>
      </w:r>
      <w:r w:rsidRPr="00E21D5B">
        <w:rPr>
          <w:rFonts w:ascii="Arial" w:hAnsi="Arial" w:cs="Arial"/>
        </w:rPr>
        <w:t xml:space="preserve">smokeless combustion device </w:t>
      </w:r>
      <w:r>
        <w:rPr>
          <w:rFonts w:ascii="Arial" w:hAnsi="Arial" w:cs="Arial"/>
        </w:rPr>
        <w:t xml:space="preserve">in emergencies, are the hours </w:t>
      </w:r>
      <w:r w:rsidRPr="00E21D5B">
        <w:rPr>
          <w:rFonts w:ascii="Arial" w:hAnsi="Arial" w:cs="Arial"/>
        </w:rPr>
        <w:t>of operation expected to exceed 2,000-hrs/yr</w:t>
      </w:r>
      <w:r>
        <w:rPr>
          <w:rFonts w:ascii="Arial" w:hAnsi="Arial" w:cs="Arial"/>
        </w:rPr>
        <w:t>?</w:t>
      </w:r>
    </w:p>
    <w:p w14:paraId="131F136F" w14:textId="77777777" w:rsidR="00F43241" w:rsidRDefault="00F43241" w:rsidP="00E21D5B">
      <w:pPr>
        <w:rPr>
          <w:rFonts w:ascii="Arial" w:hAnsi="Arial" w:cs="Arial"/>
        </w:rPr>
      </w:pPr>
    </w:p>
    <w:p w14:paraId="2A3953CE" w14:textId="77777777" w:rsidR="000E4341" w:rsidRDefault="00F43241" w:rsidP="000172E8">
      <w:pPr>
        <w:ind w:left="720"/>
        <w:rPr>
          <w:rFonts w:ascii="Arial" w:hAnsi="Arial" w:cs="Arial"/>
        </w:rPr>
      </w:pPr>
      <w:r>
        <w:rPr>
          <w:rFonts w:ascii="Arial" w:hAnsi="Arial" w:cs="Arial"/>
        </w:rPr>
        <w:t>The following</w:t>
      </w:r>
      <w:r w:rsidR="000E4341">
        <w:rPr>
          <w:rFonts w:ascii="Arial" w:hAnsi="Arial" w:cs="Arial"/>
        </w:rPr>
        <w:t xml:space="preserve"> flowchart can</w:t>
      </w:r>
      <w:r>
        <w:rPr>
          <w:rFonts w:ascii="Arial" w:hAnsi="Arial" w:cs="Arial"/>
        </w:rPr>
        <w:t xml:space="preserve"> be used to </w:t>
      </w:r>
      <w:r w:rsidR="00931223">
        <w:rPr>
          <w:rFonts w:ascii="Arial" w:hAnsi="Arial" w:cs="Arial"/>
        </w:rPr>
        <w:t xml:space="preserve">help </w:t>
      </w:r>
      <w:r>
        <w:rPr>
          <w:rFonts w:ascii="Arial" w:hAnsi="Arial" w:cs="Arial"/>
        </w:rPr>
        <w:t>determine</w:t>
      </w:r>
      <w:r w:rsidR="000E4341">
        <w:rPr>
          <w:rFonts w:ascii="Arial" w:hAnsi="Arial" w:cs="Arial"/>
        </w:rPr>
        <w:t xml:space="preserve"> </w:t>
      </w:r>
      <w:r w:rsidR="00B83CF3">
        <w:rPr>
          <w:rFonts w:ascii="Arial" w:hAnsi="Arial" w:cs="Arial"/>
        </w:rPr>
        <w:t>w</w:t>
      </w:r>
      <w:r w:rsidR="000F0E1F">
        <w:rPr>
          <w:rFonts w:ascii="Arial" w:hAnsi="Arial" w:cs="Arial"/>
        </w:rPr>
        <w:t xml:space="preserve">hat </w:t>
      </w:r>
      <w:r w:rsidR="00B83CF3">
        <w:rPr>
          <w:rFonts w:ascii="Arial" w:hAnsi="Arial" w:cs="Arial"/>
        </w:rPr>
        <w:t xml:space="preserve">manner and </w:t>
      </w:r>
      <w:r w:rsidR="00B83CF3" w:rsidRPr="00E21D5B">
        <w:rPr>
          <w:rFonts w:ascii="Arial" w:hAnsi="Arial" w:cs="Arial"/>
        </w:rPr>
        <w:t>annual</w:t>
      </w:r>
      <w:r w:rsidR="00B83CF3">
        <w:rPr>
          <w:rFonts w:ascii="Arial" w:hAnsi="Arial" w:cs="Arial"/>
        </w:rPr>
        <w:t xml:space="preserve"> hours of operation </w:t>
      </w:r>
      <w:r w:rsidR="000F0E1F">
        <w:rPr>
          <w:rFonts w:ascii="Arial" w:hAnsi="Arial" w:cs="Arial"/>
        </w:rPr>
        <w:t xml:space="preserve">should be considered when calculating </w:t>
      </w:r>
      <w:r w:rsidR="000E4341">
        <w:rPr>
          <w:rFonts w:ascii="Arial" w:hAnsi="Arial" w:cs="Arial"/>
        </w:rPr>
        <w:t>produced gas PTE.</w:t>
      </w:r>
    </w:p>
    <w:p w14:paraId="7450CE70" w14:textId="77777777" w:rsidR="0056256D" w:rsidRDefault="0056256D" w:rsidP="00E21D5B">
      <w:pPr>
        <w:rPr>
          <w:rFonts w:ascii="Arial" w:hAnsi="Arial" w:cs="Arial"/>
        </w:rPr>
      </w:pPr>
    </w:p>
    <w:p w14:paraId="5B0C9F43" w14:textId="6939788A" w:rsidR="009F506A" w:rsidRDefault="003C347F" w:rsidP="009F506A">
      <w:pPr>
        <w:jc w:val="center"/>
      </w:pPr>
      <w:r>
        <w:rPr>
          <w:noProof/>
        </w:rPr>
        <w:lastRenderedPageBreak/>
        <w:drawing>
          <wp:inline distT="0" distB="0" distL="0" distR="0" wp14:anchorId="7A1C1D7E" wp14:editId="26C4DC05">
            <wp:extent cx="4572000" cy="4095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3804" t="4195" r="3804" b="4565"/>
                    <a:stretch>
                      <a:fillRect/>
                    </a:stretch>
                  </pic:blipFill>
                  <pic:spPr bwMode="auto">
                    <a:xfrm>
                      <a:off x="0" y="0"/>
                      <a:ext cx="4572000" cy="4095750"/>
                    </a:xfrm>
                    <a:prstGeom prst="rect">
                      <a:avLst/>
                    </a:prstGeom>
                    <a:noFill/>
                    <a:ln>
                      <a:noFill/>
                    </a:ln>
                  </pic:spPr>
                </pic:pic>
              </a:graphicData>
            </a:graphic>
          </wp:inline>
        </w:drawing>
      </w:r>
    </w:p>
    <w:p w14:paraId="0E46C1DB" w14:textId="77777777" w:rsidR="009F506A" w:rsidRDefault="009F506A" w:rsidP="00E21D5B"/>
    <w:p w14:paraId="4B87B358" w14:textId="77777777" w:rsidR="00521575" w:rsidRDefault="00521575" w:rsidP="00931223">
      <w:pPr>
        <w:ind w:left="720"/>
        <w:rPr>
          <w:rFonts w:ascii="Arial" w:hAnsi="Arial" w:cs="Arial"/>
        </w:rPr>
      </w:pPr>
      <w:r>
        <w:rPr>
          <w:rFonts w:ascii="Arial" w:hAnsi="Arial" w:cs="Arial"/>
        </w:rPr>
        <w:t xml:space="preserve">Continuing with the example facility above, </w:t>
      </w:r>
      <w:r w:rsidR="00F43241" w:rsidRPr="00E21D5B">
        <w:rPr>
          <w:rFonts w:ascii="Arial" w:hAnsi="Arial" w:cs="Arial"/>
        </w:rPr>
        <w:t xml:space="preserve">produced gas is </w:t>
      </w:r>
      <w:r>
        <w:rPr>
          <w:rFonts w:ascii="Arial" w:hAnsi="Arial" w:cs="Arial"/>
        </w:rPr>
        <w:t xml:space="preserve">primarily </w:t>
      </w:r>
      <w:r w:rsidR="00F43241" w:rsidRPr="00E21D5B">
        <w:rPr>
          <w:rFonts w:ascii="Arial" w:hAnsi="Arial" w:cs="Arial"/>
        </w:rPr>
        <w:t>routed to a sales line</w:t>
      </w:r>
      <w:r>
        <w:rPr>
          <w:rFonts w:ascii="Arial" w:hAnsi="Arial" w:cs="Arial"/>
        </w:rPr>
        <w:t xml:space="preserve">; and, in emergencies the produced gas </w:t>
      </w:r>
      <w:r w:rsidR="009F506A">
        <w:rPr>
          <w:rFonts w:ascii="Arial" w:hAnsi="Arial" w:cs="Arial"/>
        </w:rPr>
        <w:t xml:space="preserve">is </w:t>
      </w:r>
      <w:r>
        <w:rPr>
          <w:rFonts w:ascii="Arial" w:hAnsi="Arial" w:cs="Arial"/>
        </w:rPr>
        <w:t xml:space="preserve">re-routed to an on-site </w:t>
      </w:r>
      <w:r w:rsidR="009F506A" w:rsidRPr="00E21D5B">
        <w:rPr>
          <w:rFonts w:ascii="Arial" w:hAnsi="Arial" w:cs="Arial"/>
        </w:rPr>
        <w:t>smokeless combustion device</w:t>
      </w:r>
      <w:r>
        <w:rPr>
          <w:rFonts w:ascii="Arial" w:hAnsi="Arial" w:cs="Arial"/>
        </w:rPr>
        <w:t xml:space="preserve">.  Historically, the facility has never needed to </w:t>
      </w:r>
      <w:r w:rsidR="009F506A">
        <w:rPr>
          <w:rFonts w:ascii="Arial" w:hAnsi="Arial" w:cs="Arial"/>
        </w:rPr>
        <w:t>combust</w:t>
      </w:r>
      <w:r>
        <w:rPr>
          <w:rFonts w:ascii="Arial" w:hAnsi="Arial" w:cs="Arial"/>
        </w:rPr>
        <w:t xml:space="preserve"> the produced gas for more than 2</w:t>
      </w:r>
      <w:r w:rsidR="00ED5CDD">
        <w:rPr>
          <w:rFonts w:ascii="Arial" w:hAnsi="Arial" w:cs="Arial"/>
        </w:rPr>
        <w:t>,</w:t>
      </w:r>
      <w:r>
        <w:rPr>
          <w:rFonts w:ascii="Arial" w:hAnsi="Arial" w:cs="Arial"/>
        </w:rPr>
        <w:t>0</w:t>
      </w:r>
      <w:r w:rsidR="00ED5CDD">
        <w:rPr>
          <w:rFonts w:ascii="Arial" w:hAnsi="Arial" w:cs="Arial"/>
        </w:rPr>
        <w:t>0</w:t>
      </w:r>
      <w:r>
        <w:rPr>
          <w:rFonts w:ascii="Arial" w:hAnsi="Arial" w:cs="Arial"/>
        </w:rPr>
        <w:t>0-hours in a given year.  In determining t</w:t>
      </w:r>
      <w:r w:rsidRPr="00E21D5B">
        <w:rPr>
          <w:rFonts w:ascii="Arial" w:hAnsi="Arial" w:cs="Arial"/>
        </w:rPr>
        <w:t xml:space="preserve">he </w:t>
      </w:r>
      <w:r>
        <w:rPr>
          <w:rFonts w:ascii="Arial" w:hAnsi="Arial" w:cs="Arial"/>
        </w:rPr>
        <w:t xml:space="preserve">manner and </w:t>
      </w:r>
      <w:r w:rsidRPr="00E21D5B">
        <w:rPr>
          <w:rFonts w:ascii="Arial" w:hAnsi="Arial" w:cs="Arial"/>
        </w:rPr>
        <w:t>annual</w:t>
      </w:r>
      <w:r>
        <w:rPr>
          <w:rFonts w:ascii="Arial" w:hAnsi="Arial" w:cs="Arial"/>
        </w:rPr>
        <w:t xml:space="preserve"> hours of operation for the produced gas PTE, the answers to the above questions would be:</w:t>
      </w:r>
    </w:p>
    <w:p w14:paraId="2FF80712" w14:textId="77777777" w:rsidR="00521575" w:rsidRDefault="00521575" w:rsidP="00521575">
      <w:pPr>
        <w:rPr>
          <w:rFonts w:ascii="Arial" w:hAnsi="Arial" w:cs="Arial"/>
        </w:rPr>
      </w:pPr>
    </w:p>
    <w:p w14:paraId="5933F7AF" w14:textId="77777777" w:rsidR="00521575" w:rsidRDefault="00521575" w:rsidP="00521575">
      <w:pPr>
        <w:numPr>
          <w:ilvl w:val="0"/>
          <w:numId w:val="5"/>
        </w:numPr>
        <w:rPr>
          <w:rFonts w:ascii="Arial" w:hAnsi="Arial" w:cs="Arial"/>
        </w:rPr>
      </w:pPr>
      <w:r>
        <w:rPr>
          <w:rFonts w:ascii="Arial" w:hAnsi="Arial" w:cs="Arial"/>
        </w:rPr>
        <w:t>Is the facility designed to route produced gas to a sales pipeline?</w:t>
      </w:r>
    </w:p>
    <w:p w14:paraId="39B1CC9E" w14:textId="77777777" w:rsidR="00521575" w:rsidRPr="00521575" w:rsidRDefault="00521575" w:rsidP="00931223">
      <w:pPr>
        <w:ind w:left="1440"/>
        <w:rPr>
          <w:rFonts w:ascii="Arial" w:hAnsi="Arial" w:cs="Arial"/>
          <w:i/>
        </w:rPr>
      </w:pPr>
      <w:r w:rsidRPr="00521575">
        <w:rPr>
          <w:rFonts w:ascii="Arial" w:hAnsi="Arial" w:cs="Arial"/>
          <w:i/>
        </w:rPr>
        <w:t>Yes, a pipeline is in place to route produced gas to a sales line.  The primary method of handling produced gas is routing it to the sales pipeline.</w:t>
      </w:r>
    </w:p>
    <w:p w14:paraId="75038D48" w14:textId="77777777" w:rsidR="00521575" w:rsidRDefault="00521575" w:rsidP="00521575">
      <w:pPr>
        <w:ind w:left="720"/>
        <w:rPr>
          <w:rFonts w:ascii="Arial" w:hAnsi="Arial" w:cs="Arial"/>
        </w:rPr>
      </w:pPr>
    </w:p>
    <w:p w14:paraId="244FF2BA" w14:textId="77777777" w:rsidR="00521575" w:rsidRDefault="00521575" w:rsidP="00521575">
      <w:pPr>
        <w:numPr>
          <w:ilvl w:val="0"/>
          <w:numId w:val="5"/>
        </w:numPr>
        <w:rPr>
          <w:rFonts w:ascii="Arial" w:hAnsi="Arial" w:cs="Arial"/>
        </w:rPr>
      </w:pPr>
      <w:r>
        <w:rPr>
          <w:rFonts w:ascii="Arial" w:hAnsi="Arial" w:cs="Arial"/>
        </w:rPr>
        <w:t xml:space="preserve">Is a </w:t>
      </w:r>
      <w:r w:rsidRPr="00E21D5B">
        <w:rPr>
          <w:rFonts w:ascii="Arial" w:hAnsi="Arial" w:cs="Arial"/>
        </w:rPr>
        <w:t xml:space="preserve">smokeless combustion device </w:t>
      </w:r>
      <w:r>
        <w:rPr>
          <w:rFonts w:ascii="Arial" w:hAnsi="Arial" w:cs="Arial"/>
        </w:rPr>
        <w:t>installed on-site?</w:t>
      </w:r>
    </w:p>
    <w:p w14:paraId="2A1F8EE1" w14:textId="77777777" w:rsidR="00521575" w:rsidRPr="00521575" w:rsidRDefault="00521575" w:rsidP="00931223">
      <w:pPr>
        <w:ind w:left="720" w:firstLine="720"/>
        <w:rPr>
          <w:rFonts w:ascii="Arial" w:hAnsi="Arial" w:cs="Arial"/>
          <w:i/>
        </w:rPr>
      </w:pPr>
      <w:r w:rsidRPr="00521575">
        <w:rPr>
          <w:rFonts w:ascii="Arial" w:hAnsi="Arial" w:cs="Arial"/>
          <w:i/>
        </w:rPr>
        <w:t xml:space="preserve">Yes, the site has a </w:t>
      </w:r>
      <w:r w:rsidR="009F506A" w:rsidRPr="009F506A">
        <w:rPr>
          <w:rFonts w:ascii="Arial" w:hAnsi="Arial" w:cs="Arial"/>
          <w:i/>
        </w:rPr>
        <w:t>smokeless combustion device</w:t>
      </w:r>
      <w:r w:rsidRPr="00521575">
        <w:rPr>
          <w:rFonts w:ascii="Arial" w:hAnsi="Arial" w:cs="Arial"/>
          <w:i/>
        </w:rPr>
        <w:t xml:space="preserve"> installed on-site.</w:t>
      </w:r>
    </w:p>
    <w:p w14:paraId="17B92841" w14:textId="77777777" w:rsidR="00521575" w:rsidRDefault="00521575" w:rsidP="00521575">
      <w:pPr>
        <w:ind w:left="720"/>
        <w:rPr>
          <w:rFonts w:ascii="Arial" w:hAnsi="Arial" w:cs="Arial"/>
        </w:rPr>
      </w:pPr>
    </w:p>
    <w:p w14:paraId="354A0946" w14:textId="77777777" w:rsidR="00521575" w:rsidRDefault="00521575" w:rsidP="00521575">
      <w:pPr>
        <w:numPr>
          <w:ilvl w:val="0"/>
          <w:numId w:val="5"/>
        </w:numPr>
        <w:rPr>
          <w:rFonts w:ascii="Arial" w:hAnsi="Arial" w:cs="Arial"/>
        </w:rPr>
      </w:pPr>
      <w:r>
        <w:rPr>
          <w:rFonts w:ascii="Arial" w:hAnsi="Arial" w:cs="Arial"/>
        </w:rPr>
        <w:t xml:space="preserve">If a </w:t>
      </w:r>
      <w:r w:rsidRPr="00E21D5B">
        <w:rPr>
          <w:rFonts w:ascii="Arial" w:hAnsi="Arial" w:cs="Arial"/>
        </w:rPr>
        <w:t xml:space="preserve">smokeless combustion device </w:t>
      </w:r>
      <w:r>
        <w:rPr>
          <w:rFonts w:ascii="Arial" w:hAnsi="Arial" w:cs="Arial"/>
        </w:rPr>
        <w:t>is installed on-site, is the facility designed to route produced gas to it (either full-time or in emergencies)?</w:t>
      </w:r>
    </w:p>
    <w:p w14:paraId="74529D17" w14:textId="77777777" w:rsidR="00521575" w:rsidRPr="00A53EF5" w:rsidRDefault="00521575" w:rsidP="00931223">
      <w:pPr>
        <w:ind w:left="1440"/>
        <w:rPr>
          <w:rFonts w:ascii="Arial" w:hAnsi="Arial" w:cs="Arial"/>
          <w:i/>
        </w:rPr>
      </w:pPr>
      <w:r w:rsidRPr="00A53EF5">
        <w:rPr>
          <w:rFonts w:ascii="Arial" w:hAnsi="Arial" w:cs="Arial"/>
          <w:i/>
        </w:rPr>
        <w:t xml:space="preserve">Yes, the produced gas can be routed to the on-site </w:t>
      </w:r>
      <w:r w:rsidR="009F506A" w:rsidRPr="009F506A">
        <w:rPr>
          <w:rFonts w:ascii="Arial" w:hAnsi="Arial" w:cs="Arial"/>
          <w:i/>
        </w:rPr>
        <w:t>smokeless combustion device</w:t>
      </w:r>
      <w:r w:rsidRPr="00A53EF5">
        <w:rPr>
          <w:rFonts w:ascii="Arial" w:hAnsi="Arial" w:cs="Arial"/>
          <w:i/>
        </w:rPr>
        <w:t xml:space="preserve">.  This is done </w:t>
      </w:r>
      <w:r w:rsidR="00A53EF5" w:rsidRPr="00A53EF5">
        <w:rPr>
          <w:rFonts w:ascii="Arial" w:hAnsi="Arial" w:cs="Arial"/>
          <w:i/>
        </w:rPr>
        <w:t>only during periods when the produced gas can not be routed to the sales pipeline.</w:t>
      </w:r>
    </w:p>
    <w:p w14:paraId="20617351" w14:textId="77777777" w:rsidR="00521575" w:rsidRDefault="00521575" w:rsidP="00521575">
      <w:pPr>
        <w:ind w:left="360"/>
        <w:rPr>
          <w:rFonts w:ascii="Arial" w:hAnsi="Arial" w:cs="Arial"/>
        </w:rPr>
      </w:pPr>
    </w:p>
    <w:p w14:paraId="5591BCEC" w14:textId="77777777" w:rsidR="00521575" w:rsidRDefault="00521575" w:rsidP="00521575">
      <w:pPr>
        <w:numPr>
          <w:ilvl w:val="0"/>
          <w:numId w:val="5"/>
        </w:numPr>
        <w:rPr>
          <w:rFonts w:ascii="Arial" w:hAnsi="Arial" w:cs="Arial"/>
        </w:rPr>
      </w:pPr>
      <w:r>
        <w:rPr>
          <w:rFonts w:ascii="Arial" w:hAnsi="Arial" w:cs="Arial"/>
        </w:rPr>
        <w:t xml:space="preserve">If routed to a </w:t>
      </w:r>
      <w:r w:rsidRPr="00E21D5B">
        <w:rPr>
          <w:rFonts w:ascii="Arial" w:hAnsi="Arial" w:cs="Arial"/>
        </w:rPr>
        <w:t xml:space="preserve">smokeless combustion device </w:t>
      </w:r>
      <w:r>
        <w:rPr>
          <w:rFonts w:ascii="Arial" w:hAnsi="Arial" w:cs="Arial"/>
        </w:rPr>
        <w:t xml:space="preserve">in emergencies, are the hours </w:t>
      </w:r>
      <w:r w:rsidRPr="00E21D5B">
        <w:rPr>
          <w:rFonts w:ascii="Arial" w:hAnsi="Arial" w:cs="Arial"/>
        </w:rPr>
        <w:t>of operation expected to exceed 2,000-hrs/yr</w:t>
      </w:r>
      <w:r>
        <w:rPr>
          <w:rFonts w:ascii="Arial" w:hAnsi="Arial" w:cs="Arial"/>
        </w:rPr>
        <w:t>?</w:t>
      </w:r>
    </w:p>
    <w:p w14:paraId="5309830C" w14:textId="77777777" w:rsidR="00521575" w:rsidRPr="00A53EF5" w:rsidRDefault="00A53EF5" w:rsidP="00931223">
      <w:pPr>
        <w:ind w:left="1440"/>
        <w:rPr>
          <w:rFonts w:ascii="Arial" w:hAnsi="Arial" w:cs="Arial"/>
          <w:i/>
        </w:rPr>
      </w:pPr>
      <w:r w:rsidRPr="00A53EF5">
        <w:rPr>
          <w:rFonts w:ascii="Arial" w:hAnsi="Arial" w:cs="Arial"/>
          <w:i/>
        </w:rPr>
        <w:lastRenderedPageBreak/>
        <w:t xml:space="preserve">No, historically the hours of </w:t>
      </w:r>
      <w:r w:rsidR="009F506A">
        <w:rPr>
          <w:rFonts w:ascii="Arial" w:hAnsi="Arial" w:cs="Arial"/>
          <w:i/>
        </w:rPr>
        <w:t>combusting</w:t>
      </w:r>
      <w:r w:rsidRPr="00A53EF5">
        <w:rPr>
          <w:rFonts w:ascii="Arial" w:hAnsi="Arial" w:cs="Arial"/>
          <w:i/>
        </w:rPr>
        <w:t xml:space="preserve"> produced gas have been much less than 2</w:t>
      </w:r>
      <w:r w:rsidR="00ED5CDD">
        <w:rPr>
          <w:rFonts w:ascii="Arial" w:hAnsi="Arial" w:cs="Arial"/>
          <w:i/>
        </w:rPr>
        <w:t>,</w:t>
      </w:r>
      <w:r w:rsidRPr="00A53EF5">
        <w:rPr>
          <w:rFonts w:ascii="Arial" w:hAnsi="Arial" w:cs="Arial"/>
          <w:i/>
        </w:rPr>
        <w:t>000-hrs/yr.</w:t>
      </w:r>
    </w:p>
    <w:p w14:paraId="2EF550FB" w14:textId="77777777" w:rsidR="00521575" w:rsidRDefault="00521575" w:rsidP="00E21D5B">
      <w:pPr>
        <w:rPr>
          <w:rFonts w:ascii="Arial" w:hAnsi="Arial" w:cs="Arial"/>
        </w:rPr>
      </w:pPr>
    </w:p>
    <w:p w14:paraId="14307D0F" w14:textId="77777777" w:rsidR="00A53EF5" w:rsidRDefault="00A53EF5" w:rsidP="00931223">
      <w:pPr>
        <w:ind w:left="720"/>
        <w:rPr>
          <w:rFonts w:ascii="Arial" w:hAnsi="Arial" w:cs="Arial"/>
        </w:rPr>
      </w:pPr>
      <w:r>
        <w:rPr>
          <w:rFonts w:ascii="Arial" w:hAnsi="Arial" w:cs="Arial"/>
        </w:rPr>
        <w:t>The determination from this example would be that the PTE calculation to determine the produced gas emissions would need to account for 500- to 2</w:t>
      </w:r>
      <w:r w:rsidR="00ED5CDD">
        <w:rPr>
          <w:rFonts w:ascii="Arial" w:hAnsi="Arial" w:cs="Arial"/>
        </w:rPr>
        <w:t>,</w:t>
      </w:r>
      <w:r>
        <w:rPr>
          <w:rFonts w:ascii="Arial" w:hAnsi="Arial" w:cs="Arial"/>
        </w:rPr>
        <w:t>00</w:t>
      </w:r>
      <w:r w:rsidR="009F506A">
        <w:rPr>
          <w:rFonts w:ascii="Arial" w:hAnsi="Arial" w:cs="Arial"/>
        </w:rPr>
        <w:t>0</w:t>
      </w:r>
      <w:r>
        <w:rPr>
          <w:rFonts w:ascii="Arial" w:hAnsi="Arial" w:cs="Arial"/>
        </w:rPr>
        <w:t>-hrs/yr of combusting the produced gas.</w:t>
      </w:r>
    </w:p>
    <w:p w14:paraId="233A740E" w14:textId="77777777" w:rsidR="00466194" w:rsidRDefault="00466194" w:rsidP="00C0792B">
      <w:pPr>
        <w:rPr>
          <w:rFonts w:ascii="Arial" w:hAnsi="Arial" w:cs="Arial"/>
        </w:rPr>
      </w:pPr>
    </w:p>
    <w:p w14:paraId="1482FB21" w14:textId="77777777" w:rsidR="00931223" w:rsidRDefault="00C0792B" w:rsidP="00931223">
      <w:pPr>
        <w:ind w:firstLine="720"/>
        <w:rPr>
          <w:rFonts w:ascii="Arial" w:hAnsi="Arial" w:cs="Arial"/>
          <w:b/>
        </w:rPr>
      </w:pPr>
      <w:r w:rsidRPr="00931223">
        <w:rPr>
          <w:rFonts w:ascii="Arial" w:hAnsi="Arial" w:cs="Arial"/>
          <w:b/>
        </w:rPr>
        <w:t>Truck Loading Losses</w:t>
      </w:r>
    </w:p>
    <w:p w14:paraId="7FE8E3BF" w14:textId="77777777" w:rsidR="00C0792B" w:rsidRPr="00C0792B" w:rsidRDefault="00ED5CDD" w:rsidP="00931223">
      <w:pPr>
        <w:ind w:left="720"/>
        <w:rPr>
          <w:rFonts w:ascii="Arial" w:hAnsi="Arial" w:cs="Arial"/>
        </w:rPr>
      </w:pPr>
      <w:r w:rsidRPr="00ED5CDD">
        <w:rPr>
          <w:rFonts w:ascii="Arial" w:hAnsi="Arial" w:cs="Arial"/>
        </w:rPr>
        <w:t>Loading losses occur as stored oil is loaded into the tank and hydrocarbon vapors in the empty tank are displaced to the atmosphere</w:t>
      </w:r>
      <w:r w:rsidR="00C0792B" w:rsidRPr="00931223">
        <w:rPr>
          <w:rFonts w:ascii="Arial" w:hAnsi="Arial" w:cs="Arial"/>
        </w:rPr>
        <w:t>.  The Department has determine</w:t>
      </w:r>
      <w:r w:rsidR="009F506A" w:rsidRPr="00931223">
        <w:rPr>
          <w:rFonts w:ascii="Arial" w:hAnsi="Arial" w:cs="Arial"/>
        </w:rPr>
        <w:t>d</w:t>
      </w:r>
      <w:r w:rsidR="00C0792B" w:rsidRPr="00931223">
        <w:rPr>
          <w:rFonts w:ascii="Arial" w:hAnsi="Arial" w:cs="Arial"/>
        </w:rPr>
        <w:t xml:space="preserve"> that the methods estimating tank loading losses found in AP-42 Chapter 5.2 – Transportation and Marketing of Petroleum Liquids are acceptable when determining PTE.  </w:t>
      </w:r>
      <w:r w:rsidR="00C0792B">
        <w:rPr>
          <w:rFonts w:ascii="Arial" w:hAnsi="Arial" w:cs="Arial"/>
        </w:rPr>
        <w:t xml:space="preserve"> </w:t>
      </w:r>
      <w:r w:rsidR="00C0792B" w:rsidRPr="00C0792B">
        <w:rPr>
          <w:rFonts w:ascii="Arial" w:hAnsi="Arial" w:cs="Arial"/>
        </w:rPr>
        <w:t xml:space="preserve">The oil production rate used to calculate truck loading loss emissions should be a daily maximum production rate </w:t>
      </w:r>
      <w:r w:rsidR="00C0792B">
        <w:rPr>
          <w:rFonts w:ascii="Arial" w:hAnsi="Arial" w:cs="Arial"/>
        </w:rPr>
        <w:t xml:space="preserve">for the facility that is </w:t>
      </w:r>
      <w:r w:rsidR="00C0792B" w:rsidRPr="00C0792B">
        <w:rPr>
          <w:rFonts w:ascii="Arial" w:hAnsi="Arial" w:cs="Arial"/>
        </w:rPr>
        <w:t>not expected to be exceeded during normal operation.</w:t>
      </w:r>
    </w:p>
    <w:p w14:paraId="24761086" w14:textId="77777777" w:rsidR="00C0792B" w:rsidRPr="00C0792B" w:rsidRDefault="00C0792B" w:rsidP="00C0792B">
      <w:pPr>
        <w:rPr>
          <w:rFonts w:ascii="Arial" w:hAnsi="Arial" w:cs="Arial"/>
        </w:rPr>
      </w:pPr>
    </w:p>
    <w:p w14:paraId="60649B27" w14:textId="77777777" w:rsidR="00931223" w:rsidRDefault="00C0792B" w:rsidP="00931223">
      <w:pPr>
        <w:ind w:firstLine="720"/>
        <w:rPr>
          <w:rFonts w:ascii="Arial" w:hAnsi="Arial" w:cs="Arial"/>
          <w:b/>
        </w:rPr>
      </w:pPr>
      <w:r w:rsidRPr="00931223">
        <w:rPr>
          <w:rFonts w:ascii="Arial" w:hAnsi="Arial" w:cs="Arial"/>
          <w:b/>
        </w:rPr>
        <w:t>Fugitive Equipment Leaks</w:t>
      </w:r>
    </w:p>
    <w:p w14:paraId="0EA10309" w14:textId="77777777" w:rsidR="00C0792B" w:rsidRPr="00C0792B" w:rsidRDefault="00C0792B" w:rsidP="00931223">
      <w:pPr>
        <w:ind w:left="720"/>
        <w:rPr>
          <w:rFonts w:ascii="Arial" w:hAnsi="Arial" w:cs="Arial"/>
        </w:rPr>
      </w:pPr>
      <w:r w:rsidRPr="00931223">
        <w:rPr>
          <w:rFonts w:ascii="Arial" w:hAnsi="Arial" w:cs="Arial"/>
        </w:rPr>
        <w:t xml:space="preserve">Emissions from fugitive equipment leaks may be estimated using EPA methods or with applicable software.  </w:t>
      </w:r>
      <w:r w:rsidR="00097572" w:rsidRPr="00931223">
        <w:rPr>
          <w:rFonts w:ascii="Arial" w:hAnsi="Arial" w:cs="Arial"/>
        </w:rPr>
        <w:t xml:space="preserve">The number of </w:t>
      </w:r>
      <w:r w:rsidRPr="00931223">
        <w:rPr>
          <w:rFonts w:ascii="Arial" w:hAnsi="Arial" w:cs="Arial"/>
        </w:rPr>
        <w:t xml:space="preserve">components (e.g., connectors, flanges, open-ended lines, pumps, valves, etc.) </w:t>
      </w:r>
      <w:r w:rsidR="00097572" w:rsidRPr="00931223">
        <w:rPr>
          <w:rFonts w:ascii="Arial" w:hAnsi="Arial" w:cs="Arial"/>
        </w:rPr>
        <w:t xml:space="preserve">at the facility </w:t>
      </w:r>
      <w:r w:rsidRPr="00931223">
        <w:rPr>
          <w:rFonts w:ascii="Arial" w:hAnsi="Arial" w:cs="Arial"/>
        </w:rPr>
        <w:t xml:space="preserve">may be counted or estimated.  </w:t>
      </w:r>
      <w:r w:rsidR="00097572" w:rsidRPr="00931223">
        <w:rPr>
          <w:rFonts w:ascii="Arial" w:hAnsi="Arial" w:cs="Arial"/>
        </w:rPr>
        <w:t>However, e</w:t>
      </w:r>
      <w:r w:rsidRPr="00C0792B">
        <w:rPr>
          <w:rFonts w:ascii="Arial" w:hAnsi="Arial" w:cs="Arial"/>
        </w:rPr>
        <w:t xml:space="preserve">stimates </w:t>
      </w:r>
      <w:r w:rsidR="00097572">
        <w:rPr>
          <w:rFonts w:ascii="Arial" w:hAnsi="Arial" w:cs="Arial"/>
        </w:rPr>
        <w:t xml:space="preserve">must have proper justification </w:t>
      </w:r>
      <w:r w:rsidRPr="00C0792B">
        <w:rPr>
          <w:rFonts w:ascii="Arial" w:hAnsi="Arial" w:cs="Arial"/>
        </w:rPr>
        <w:t>(e.g., based on facility drawings or numbers observed at similar facilities).</w:t>
      </w:r>
      <w:r w:rsidR="00097572">
        <w:rPr>
          <w:rFonts w:ascii="Arial" w:hAnsi="Arial" w:cs="Arial"/>
        </w:rPr>
        <w:t xml:space="preserve">  PTE </w:t>
      </w:r>
      <w:r w:rsidRPr="00C0792B">
        <w:rPr>
          <w:rFonts w:ascii="Arial" w:hAnsi="Arial" w:cs="Arial"/>
        </w:rPr>
        <w:t>must be calculated based on 8</w:t>
      </w:r>
      <w:r w:rsidR="00ED5CDD">
        <w:rPr>
          <w:rFonts w:ascii="Arial" w:hAnsi="Arial" w:cs="Arial"/>
        </w:rPr>
        <w:t>,</w:t>
      </w:r>
      <w:r w:rsidRPr="00C0792B">
        <w:rPr>
          <w:rFonts w:ascii="Arial" w:hAnsi="Arial" w:cs="Arial"/>
        </w:rPr>
        <w:t>760-hrs/yr</w:t>
      </w:r>
      <w:r w:rsidR="00ED5CDD">
        <w:rPr>
          <w:rFonts w:ascii="Arial" w:hAnsi="Arial" w:cs="Arial"/>
        </w:rPr>
        <w:t xml:space="preserve"> operation.</w:t>
      </w:r>
    </w:p>
    <w:p w14:paraId="51FE17E8" w14:textId="77777777" w:rsidR="00C0792B" w:rsidRDefault="00C0792B">
      <w:pPr>
        <w:rPr>
          <w:rFonts w:ascii="Arial" w:hAnsi="Arial" w:cs="Arial"/>
        </w:rPr>
      </w:pPr>
    </w:p>
    <w:p w14:paraId="1BE7FC7F" w14:textId="77777777" w:rsidR="0074751C" w:rsidRPr="0074751C" w:rsidRDefault="0074751C">
      <w:pPr>
        <w:rPr>
          <w:rFonts w:ascii="Arial" w:hAnsi="Arial" w:cs="Arial"/>
          <w:b/>
        </w:rPr>
      </w:pPr>
      <w:r w:rsidRPr="0074751C">
        <w:rPr>
          <w:rFonts w:ascii="Arial" w:hAnsi="Arial" w:cs="Arial"/>
          <w:b/>
        </w:rPr>
        <w:t>CONCLUSION</w:t>
      </w:r>
    </w:p>
    <w:p w14:paraId="2DCE461E" w14:textId="77777777" w:rsidR="0074751C" w:rsidRDefault="0074751C">
      <w:pPr>
        <w:rPr>
          <w:rFonts w:ascii="Arial" w:hAnsi="Arial" w:cs="Arial"/>
        </w:rPr>
      </w:pPr>
    </w:p>
    <w:p w14:paraId="5D64A64B" w14:textId="77777777" w:rsidR="0074751C" w:rsidRPr="00C57265" w:rsidRDefault="0074751C">
      <w:pPr>
        <w:rPr>
          <w:rFonts w:ascii="Arial" w:hAnsi="Arial" w:cs="Arial"/>
        </w:rPr>
      </w:pPr>
      <w:r>
        <w:rPr>
          <w:rFonts w:ascii="Arial" w:hAnsi="Arial" w:cs="Arial"/>
        </w:rPr>
        <w:t xml:space="preserve">This guidance is </w:t>
      </w:r>
      <w:r w:rsidR="00CB350E">
        <w:rPr>
          <w:rFonts w:ascii="Arial" w:hAnsi="Arial" w:cs="Arial"/>
        </w:rPr>
        <w:t xml:space="preserve">only </w:t>
      </w:r>
      <w:r>
        <w:rPr>
          <w:rFonts w:ascii="Arial" w:hAnsi="Arial" w:cs="Arial"/>
        </w:rPr>
        <w:t xml:space="preserve">intended for use </w:t>
      </w:r>
      <w:r w:rsidR="00B849E0">
        <w:rPr>
          <w:rFonts w:ascii="Arial" w:hAnsi="Arial" w:cs="Arial"/>
        </w:rPr>
        <w:t>at</w:t>
      </w:r>
      <w:r>
        <w:rPr>
          <w:rFonts w:ascii="Arial" w:hAnsi="Arial" w:cs="Arial"/>
        </w:rPr>
        <w:t xml:space="preserve"> oil </w:t>
      </w:r>
      <w:r w:rsidR="00A34AC3">
        <w:rPr>
          <w:rFonts w:ascii="Arial" w:hAnsi="Arial" w:cs="Arial"/>
        </w:rPr>
        <w:t>or</w:t>
      </w:r>
      <w:r>
        <w:rPr>
          <w:rFonts w:ascii="Arial" w:hAnsi="Arial" w:cs="Arial"/>
        </w:rPr>
        <w:t xml:space="preserve"> gas well facilities </w:t>
      </w:r>
      <w:r w:rsidR="00CB350E">
        <w:rPr>
          <w:rFonts w:ascii="Arial" w:hAnsi="Arial" w:cs="Arial"/>
        </w:rPr>
        <w:t>as defined by 75-2-103(13), MCA, and</w:t>
      </w:r>
      <w:r>
        <w:rPr>
          <w:rFonts w:ascii="Arial" w:hAnsi="Arial" w:cs="Arial"/>
        </w:rPr>
        <w:t xml:space="preserve"> is not intended to be applied </w:t>
      </w:r>
      <w:r w:rsidR="0013779D">
        <w:rPr>
          <w:rFonts w:ascii="Arial" w:hAnsi="Arial" w:cs="Arial"/>
        </w:rPr>
        <w:t>to</w:t>
      </w:r>
      <w:r>
        <w:rPr>
          <w:rFonts w:ascii="Arial" w:hAnsi="Arial" w:cs="Arial"/>
        </w:rPr>
        <w:t xml:space="preserve"> </w:t>
      </w:r>
      <w:r w:rsidR="00931223">
        <w:rPr>
          <w:rFonts w:ascii="Arial" w:hAnsi="Arial" w:cs="Arial"/>
        </w:rPr>
        <w:t>other</w:t>
      </w:r>
      <w:r>
        <w:rPr>
          <w:rFonts w:ascii="Arial" w:hAnsi="Arial" w:cs="Arial"/>
        </w:rPr>
        <w:t xml:space="preserve"> industries and/or facilities. </w:t>
      </w:r>
      <w:r w:rsidR="0010413F">
        <w:rPr>
          <w:rFonts w:ascii="Arial" w:hAnsi="Arial" w:cs="Arial"/>
        </w:rPr>
        <w:t xml:space="preserve">  </w:t>
      </w:r>
      <w:r w:rsidR="00A6668D">
        <w:rPr>
          <w:rFonts w:ascii="Arial" w:hAnsi="Arial" w:cs="Arial"/>
        </w:rPr>
        <w:t xml:space="preserve">Alternative methods for determining PTE, not </w:t>
      </w:r>
      <w:r w:rsidR="0010413F">
        <w:rPr>
          <w:rFonts w:ascii="Arial" w:hAnsi="Arial" w:cs="Arial"/>
        </w:rPr>
        <w:t>described in this guidance</w:t>
      </w:r>
      <w:r w:rsidR="00A6668D">
        <w:rPr>
          <w:rFonts w:ascii="Arial" w:hAnsi="Arial" w:cs="Arial"/>
        </w:rPr>
        <w:t>, may be acceptable.  The Department will review PTE determinations on a case-by-case basis.</w:t>
      </w:r>
    </w:p>
    <w:sectPr w:rsidR="0074751C" w:rsidRPr="00C57265" w:rsidSect="00A83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35B04"/>
    <w:multiLevelType w:val="hybridMultilevel"/>
    <w:tmpl w:val="C12C2FAC"/>
    <w:lvl w:ilvl="0" w:tplc="32E4E3B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EBC16F3"/>
    <w:multiLevelType w:val="hybridMultilevel"/>
    <w:tmpl w:val="3E023482"/>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364D6328"/>
    <w:multiLevelType w:val="multilevel"/>
    <w:tmpl w:val="C12C2FA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42671FA9"/>
    <w:multiLevelType w:val="hybridMultilevel"/>
    <w:tmpl w:val="8CB6AFF2"/>
    <w:lvl w:ilvl="0" w:tplc="2D3CA0F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FF85F66"/>
    <w:multiLevelType w:val="hybridMultilevel"/>
    <w:tmpl w:val="210C122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802192387">
    <w:abstractNumId w:val="0"/>
  </w:num>
  <w:num w:numId="2" w16cid:durableId="777411341">
    <w:abstractNumId w:val="2"/>
  </w:num>
  <w:num w:numId="3" w16cid:durableId="1338116974">
    <w:abstractNumId w:val="3"/>
  </w:num>
  <w:num w:numId="4" w16cid:durableId="524902494">
    <w:abstractNumId w:val="1"/>
  </w:num>
  <w:num w:numId="5" w16cid:durableId="1124620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50"/>
    <w:rsid w:val="000172E8"/>
    <w:rsid w:val="00035C95"/>
    <w:rsid w:val="000464FE"/>
    <w:rsid w:val="00063E5F"/>
    <w:rsid w:val="00084E29"/>
    <w:rsid w:val="00097572"/>
    <w:rsid w:val="000A1878"/>
    <w:rsid w:val="000E4341"/>
    <w:rsid w:val="000F0E1F"/>
    <w:rsid w:val="00102B71"/>
    <w:rsid w:val="0010413F"/>
    <w:rsid w:val="00125F8F"/>
    <w:rsid w:val="0013779D"/>
    <w:rsid w:val="00137B8E"/>
    <w:rsid w:val="002100E1"/>
    <w:rsid w:val="0021068D"/>
    <w:rsid w:val="00222260"/>
    <w:rsid w:val="002378DA"/>
    <w:rsid w:val="0026346D"/>
    <w:rsid w:val="00275504"/>
    <w:rsid w:val="002D44B9"/>
    <w:rsid w:val="002F6D04"/>
    <w:rsid w:val="00323474"/>
    <w:rsid w:val="003C347F"/>
    <w:rsid w:val="003E55A7"/>
    <w:rsid w:val="003F70FB"/>
    <w:rsid w:val="00413C82"/>
    <w:rsid w:val="0043050D"/>
    <w:rsid w:val="00441690"/>
    <w:rsid w:val="00441DAB"/>
    <w:rsid w:val="00447629"/>
    <w:rsid w:val="00466194"/>
    <w:rsid w:val="004979ED"/>
    <w:rsid w:val="004A7CCA"/>
    <w:rsid w:val="004E43A4"/>
    <w:rsid w:val="00521575"/>
    <w:rsid w:val="005455B9"/>
    <w:rsid w:val="0056256D"/>
    <w:rsid w:val="00572A85"/>
    <w:rsid w:val="0059333B"/>
    <w:rsid w:val="005A4F78"/>
    <w:rsid w:val="005C3811"/>
    <w:rsid w:val="005C61E7"/>
    <w:rsid w:val="006428CD"/>
    <w:rsid w:val="00671713"/>
    <w:rsid w:val="00675342"/>
    <w:rsid w:val="00687235"/>
    <w:rsid w:val="006C0146"/>
    <w:rsid w:val="006C4CE5"/>
    <w:rsid w:val="00721472"/>
    <w:rsid w:val="0074751C"/>
    <w:rsid w:val="00776440"/>
    <w:rsid w:val="007E6F34"/>
    <w:rsid w:val="007F6CBF"/>
    <w:rsid w:val="00860CBD"/>
    <w:rsid w:val="00862422"/>
    <w:rsid w:val="0089710B"/>
    <w:rsid w:val="008B0204"/>
    <w:rsid w:val="00914EBD"/>
    <w:rsid w:val="00931223"/>
    <w:rsid w:val="0095707D"/>
    <w:rsid w:val="009E5FBE"/>
    <w:rsid w:val="009F506A"/>
    <w:rsid w:val="00A34AC3"/>
    <w:rsid w:val="00A429A0"/>
    <w:rsid w:val="00A45569"/>
    <w:rsid w:val="00A53EF5"/>
    <w:rsid w:val="00A640F8"/>
    <w:rsid w:val="00A6668D"/>
    <w:rsid w:val="00A75D31"/>
    <w:rsid w:val="00A83958"/>
    <w:rsid w:val="00AA7B35"/>
    <w:rsid w:val="00AB77F7"/>
    <w:rsid w:val="00B153AE"/>
    <w:rsid w:val="00B34A63"/>
    <w:rsid w:val="00B46BE0"/>
    <w:rsid w:val="00B476A1"/>
    <w:rsid w:val="00B53AE3"/>
    <w:rsid w:val="00B6658C"/>
    <w:rsid w:val="00B67008"/>
    <w:rsid w:val="00B83CF3"/>
    <w:rsid w:val="00B849E0"/>
    <w:rsid w:val="00B865E4"/>
    <w:rsid w:val="00C0015E"/>
    <w:rsid w:val="00C0792B"/>
    <w:rsid w:val="00C10891"/>
    <w:rsid w:val="00C20259"/>
    <w:rsid w:val="00C23DB3"/>
    <w:rsid w:val="00C57265"/>
    <w:rsid w:val="00C87703"/>
    <w:rsid w:val="00CB350E"/>
    <w:rsid w:val="00D13283"/>
    <w:rsid w:val="00D75913"/>
    <w:rsid w:val="00DE1D94"/>
    <w:rsid w:val="00DE3375"/>
    <w:rsid w:val="00E025FF"/>
    <w:rsid w:val="00E21D5B"/>
    <w:rsid w:val="00E37A7E"/>
    <w:rsid w:val="00E5608A"/>
    <w:rsid w:val="00E76EBA"/>
    <w:rsid w:val="00E8188C"/>
    <w:rsid w:val="00EB7521"/>
    <w:rsid w:val="00ED024A"/>
    <w:rsid w:val="00ED5CDD"/>
    <w:rsid w:val="00F43241"/>
    <w:rsid w:val="00F4710B"/>
    <w:rsid w:val="00F76A23"/>
    <w:rsid w:val="00F94C50"/>
    <w:rsid w:val="00FC2160"/>
    <w:rsid w:val="00FD6F6B"/>
    <w:rsid w:val="00FD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7122624"/>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76440"/>
    <w:rPr>
      <w:rFonts w:ascii="Tahoma" w:hAnsi="Tahoma" w:cs="Tahoma"/>
      <w:sz w:val="16"/>
      <w:szCs w:val="16"/>
    </w:rPr>
  </w:style>
  <w:style w:type="character" w:styleId="CommentReference">
    <w:name w:val="annotation reference"/>
    <w:basedOn w:val="DefaultParagraphFont"/>
    <w:semiHidden/>
    <w:rsid w:val="00776440"/>
    <w:rPr>
      <w:sz w:val="16"/>
      <w:szCs w:val="16"/>
    </w:rPr>
  </w:style>
  <w:style w:type="paragraph" w:styleId="CommentText">
    <w:name w:val="annotation text"/>
    <w:basedOn w:val="Normal"/>
    <w:semiHidden/>
    <w:rsid w:val="00776440"/>
    <w:rPr>
      <w:sz w:val="20"/>
      <w:szCs w:val="20"/>
    </w:rPr>
  </w:style>
  <w:style w:type="paragraph" w:styleId="CommentSubject">
    <w:name w:val="annotation subject"/>
    <w:basedOn w:val="CommentText"/>
    <w:next w:val="CommentText"/>
    <w:semiHidden/>
    <w:rsid w:val="00776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The purpose of this guidance statement is to clarify the definition of potential to emit (PTE) when applied to oil and gas wells operation in the oil and gas well production portion of the industry</vt:lpstr>
    </vt:vector>
  </TitlesOfParts>
  <Company>MT DEQ</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purpose of this guidance statement is to clarify the definition of potential to emit (PTE) when applied to oil and gas wells operation in the oil and gas well production portion of the industry</dc:title>
  <dc:subject/>
  <dc:creator>Vicki Walsh</dc:creator>
  <cp:keywords/>
  <dc:description/>
  <cp:lastModifiedBy>Velasquez, Rina</cp:lastModifiedBy>
  <cp:revision>2</cp:revision>
  <dcterms:created xsi:type="dcterms:W3CDTF">2026-07-27T21:16:00Z</dcterms:created>
  <dcterms:modified xsi:type="dcterms:W3CDTF">2026-07-27T21:16:00Z</dcterms:modified>
</cp:coreProperties>
</file>