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FA772" w14:textId="77777777" w:rsidR="002F5D7E" w:rsidRPr="00F82CFD" w:rsidRDefault="002F5D7E">
      <w:pPr>
        <w:pStyle w:val="Title"/>
        <w:rPr>
          <w:rFonts w:ascii="Garamond" w:hAnsi="Garamond"/>
          <w:sz w:val="24"/>
          <w:szCs w:val="24"/>
        </w:rPr>
      </w:pPr>
      <w:r w:rsidRPr="00F82CFD">
        <w:rPr>
          <w:rFonts w:ascii="Garamond" w:hAnsi="Garamond"/>
          <w:sz w:val="24"/>
          <w:szCs w:val="24"/>
        </w:rPr>
        <w:t>MONTANA DEPARTMENT OF ENVIRONMENTAL QUALITY</w:t>
      </w:r>
    </w:p>
    <w:p w14:paraId="56F7A890" w14:textId="77777777" w:rsidR="002F5D7E" w:rsidRPr="00F82CFD" w:rsidRDefault="002F5D7E">
      <w:pPr>
        <w:jc w:val="center"/>
        <w:rPr>
          <w:rFonts w:ascii="Garamond" w:hAnsi="Garamond"/>
          <w:b/>
          <w:sz w:val="24"/>
          <w:szCs w:val="24"/>
        </w:rPr>
      </w:pPr>
      <w:r w:rsidRPr="00F82CFD">
        <w:rPr>
          <w:rFonts w:ascii="Garamond" w:hAnsi="Garamond"/>
          <w:b/>
          <w:sz w:val="24"/>
          <w:szCs w:val="24"/>
        </w:rPr>
        <w:t>OPERATING PERMIT TECHNICAL REVIEW DOCUMENT</w:t>
      </w:r>
    </w:p>
    <w:p w14:paraId="760A88BB" w14:textId="77777777" w:rsidR="002F5D7E" w:rsidRPr="00F82CFD" w:rsidRDefault="002F5D7E">
      <w:pPr>
        <w:jc w:val="center"/>
        <w:rPr>
          <w:rFonts w:ascii="Garamond" w:hAnsi="Garamond"/>
          <w:b/>
          <w:sz w:val="24"/>
          <w:szCs w:val="24"/>
        </w:rPr>
      </w:pPr>
    </w:p>
    <w:p w14:paraId="0D2C67C5" w14:textId="77777777" w:rsidR="002F5D7E" w:rsidRPr="00F82CFD" w:rsidRDefault="008952E5">
      <w:pPr>
        <w:jc w:val="center"/>
        <w:rPr>
          <w:rFonts w:ascii="Garamond" w:hAnsi="Garamond"/>
          <w:b/>
          <w:sz w:val="24"/>
          <w:szCs w:val="24"/>
        </w:rPr>
      </w:pPr>
      <w:r>
        <w:rPr>
          <w:rFonts w:ascii="Garamond" w:hAnsi="Garamond"/>
          <w:b/>
          <w:sz w:val="24"/>
          <w:szCs w:val="24"/>
        </w:rPr>
        <w:t>Air, Energy &amp; Mining Division</w:t>
      </w:r>
    </w:p>
    <w:p w14:paraId="7B95B187" w14:textId="77777777" w:rsidR="002F5D7E" w:rsidRPr="00F82CFD" w:rsidRDefault="002F5D7E">
      <w:pPr>
        <w:jc w:val="center"/>
        <w:rPr>
          <w:rFonts w:ascii="Garamond" w:hAnsi="Garamond"/>
          <w:b/>
          <w:sz w:val="24"/>
          <w:szCs w:val="24"/>
        </w:rPr>
      </w:pPr>
      <w:r w:rsidRPr="00F82CFD">
        <w:rPr>
          <w:rFonts w:ascii="Garamond" w:hAnsi="Garamond"/>
          <w:b/>
          <w:sz w:val="24"/>
          <w:szCs w:val="24"/>
        </w:rPr>
        <w:t>1520 E. Sixth Avenue</w:t>
      </w:r>
    </w:p>
    <w:p w14:paraId="38C87464" w14:textId="77777777" w:rsidR="002F5D7E" w:rsidRPr="00F82CFD" w:rsidRDefault="002F5D7E">
      <w:pPr>
        <w:jc w:val="center"/>
        <w:rPr>
          <w:rFonts w:ascii="Garamond" w:hAnsi="Garamond"/>
          <w:b/>
          <w:sz w:val="24"/>
          <w:szCs w:val="24"/>
        </w:rPr>
      </w:pPr>
      <w:r w:rsidRPr="00F82CFD">
        <w:rPr>
          <w:rFonts w:ascii="Garamond" w:hAnsi="Garamond"/>
          <w:b/>
          <w:sz w:val="24"/>
          <w:szCs w:val="24"/>
        </w:rPr>
        <w:t>P.O. Box 200901</w:t>
      </w:r>
    </w:p>
    <w:p w14:paraId="7D25ECFA" w14:textId="77777777" w:rsidR="002F5D7E" w:rsidRPr="00F82CFD" w:rsidRDefault="002F5D7E">
      <w:pPr>
        <w:jc w:val="center"/>
        <w:rPr>
          <w:rFonts w:ascii="Garamond" w:hAnsi="Garamond"/>
          <w:sz w:val="24"/>
          <w:szCs w:val="24"/>
        </w:rPr>
      </w:pPr>
      <w:r w:rsidRPr="00F82CFD">
        <w:rPr>
          <w:rFonts w:ascii="Garamond" w:hAnsi="Garamond"/>
          <w:b/>
          <w:sz w:val="24"/>
          <w:szCs w:val="24"/>
        </w:rPr>
        <w:t>Helena, Montana 59620-0901</w:t>
      </w:r>
    </w:p>
    <w:p w14:paraId="33012C0E" w14:textId="77777777" w:rsidR="002F5D7E" w:rsidRPr="00F82CFD" w:rsidRDefault="002F5D7E">
      <w:pPr>
        <w:jc w:val="center"/>
        <w:rPr>
          <w:rFonts w:ascii="Garamond" w:hAnsi="Garamond"/>
          <w:sz w:val="24"/>
          <w:szCs w:val="24"/>
        </w:rPr>
      </w:pPr>
    </w:p>
    <w:p w14:paraId="698FA7AA" w14:textId="77777777" w:rsidR="00DD7185" w:rsidRPr="00DD7185" w:rsidRDefault="00DD7185" w:rsidP="00DD7185">
      <w:pPr>
        <w:jc w:val="center"/>
        <w:rPr>
          <w:rFonts w:ascii="Garamond" w:hAnsi="Garamond"/>
          <w:sz w:val="24"/>
          <w:szCs w:val="24"/>
        </w:rPr>
      </w:pPr>
      <w:r w:rsidRPr="00DD7185">
        <w:rPr>
          <w:rFonts w:ascii="Garamond" w:hAnsi="Garamond"/>
          <w:sz w:val="24"/>
          <w:szCs w:val="24"/>
        </w:rPr>
        <w:t>Northwestern Energy</w:t>
      </w:r>
    </w:p>
    <w:p w14:paraId="472004E4" w14:textId="77777777" w:rsidR="00DD7185" w:rsidRPr="00DD7185" w:rsidRDefault="00DD7185" w:rsidP="00DD7185">
      <w:pPr>
        <w:jc w:val="center"/>
        <w:rPr>
          <w:rFonts w:ascii="Garamond" w:hAnsi="Garamond"/>
          <w:sz w:val="24"/>
          <w:szCs w:val="24"/>
        </w:rPr>
      </w:pPr>
      <w:r w:rsidRPr="00DD7185">
        <w:rPr>
          <w:rFonts w:ascii="Garamond" w:hAnsi="Garamond"/>
          <w:sz w:val="24"/>
          <w:szCs w:val="24"/>
        </w:rPr>
        <w:t>Yellowstone County Generating Station</w:t>
      </w:r>
    </w:p>
    <w:p w14:paraId="32687A64" w14:textId="77777777" w:rsidR="00DD7185" w:rsidRPr="00DD7185" w:rsidRDefault="00DD7185" w:rsidP="00DD7185">
      <w:pPr>
        <w:jc w:val="center"/>
        <w:rPr>
          <w:rFonts w:ascii="Garamond" w:hAnsi="Garamond"/>
          <w:sz w:val="24"/>
          <w:szCs w:val="24"/>
        </w:rPr>
      </w:pPr>
      <w:r w:rsidRPr="00DD7185">
        <w:rPr>
          <w:rFonts w:ascii="Garamond" w:hAnsi="Garamond"/>
          <w:sz w:val="24"/>
          <w:szCs w:val="24"/>
        </w:rPr>
        <w:t>11 East Park Street</w:t>
      </w:r>
    </w:p>
    <w:p w14:paraId="123FE583" w14:textId="6D2C26D1" w:rsidR="002F5D7E" w:rsidRDefault="00DD7185" w:rsidP="00DD7185">
      <w:pPr>
        <w:jc w:val="center"/>
        <w:rPr>
          <w:rFonts w:ascii="Garamond" w:hAnsi="Garamond"/>
          <w:sz w:val="24"/>
          <w:szCs w:val="24"/>
        </w:rPr>
      </w:pPr>
      <w:r w:rsidRPr="00DD7185">
        <w:rPr>
          <w:rFonts w:ascii="Garamond" w:hAnsi="Garamond"/>
          <w:sz w:val="24"/>
          <w:szCs w:val="24"/>
        </w:rPr>
        <w:t>Butte Montana, 59701</w:t>
      </w:r>
    </w:p>
    <w:p w14:paraId="3549639B" w14:textId="77777777" w:rsidR="00DD7185" w:rsidRPr="00F82CFD" w:rsidRDefault="00DD7185" w:rsidP="00DD7185">
      <w:pPr>
        <w:jc w:val="center"/>
        <w:rPr>
          <w:rFonts w:ascii="Garamond" w:hAnsi="Garamond"/>
          <w:sz w:val="24"/>
          <w:szCs w:val="24"/>
        </w:rPr>
      </w:pPr>
    </w:p>
    <w:p w14:paraId="38548997" w14:textId="77777777" w:rsidR="002F5D7E" w:rsidRPr="00F82CFD" w:rsidRDefault="002F5D7E">
      <w:pPr>
        <w:rPr>
          <w:rFonts w:ascii="Garamond" w:hAnsi="Garamond"/>
          <w:sz w:val="24"/>
          <w:szCs w:val="24"/>
        </w:rPr>
      </w:pPr>
      <w:r w:rsidRPr="00F82CFD">
        <w:rPr>
          <w:rFonts w:ascii="Garamond" w:hAnsi="Garamond"/>
          <w:sz w:val="24"/>
          <w:szCs w:val="24"/>
        </w:rPr>
        <w:t>The following table summarizes the air quality programs testing, monitoring, and reporting requirements applicable to this facility.</w:t>
      </w:r>
    </w:p>
    <w:p w14:paraId="1E2F25C6" w14:textId="77777777" w:rsidR="002F5D7E" w:rsidRPr="00F82CFD" w:rsidRDefault="002F5D7E">
      <w:pPr>
        <w:rPr>
          <w:rFonts w:ascii="Garamond" w:hAnsi="Garamond"/>
          <w:sz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7"/>
        <w:gridCol w:w="810"/>
        <w:gridCol w:w="1350"/>
        <w:gridCol w:w="2193"/>
      </w:tblGrid>
      <w:tr w:rsidR="002F5D7E" w:rsidRPr="00F82CFD" w14:paraId="24A6372B" w14:textId="77777777" w:rsidTr="008D19BA">
        <w:trPr>
          <w:trHeight w:val="400"/>
          <w:tblHeader/>
        </w:trPr>
        <w:tc>
          <w:tcPr>
            <w:tcW w:w="5007" w:type="dxa"/>
            <w:tcBorders>
              <w:top w:val="double" w:sz="4" w:space="0" w:color="auto"/>
              <w:left w:val="double" w:sz="4" w:space="0" w:color="auto"/>
              <w:bottom w:val="double" w:sz="4" w:space="0" w:color="auto"/>
            </w:tcBorders>
          </w:tcPr>
          <w:p w14:paraId="11C8CE16" w14:textId="77777777" w:rsidR="002F5D7E" w:rsidRPr="00F82CFD" w:rsidRDefault="002F5D7E">
            <w:pPr>
              <w:pStyle w:val="Title"/>
              <w:rPr>
                <w:rFonts w:ascii="Garamond" w:hAnsi="Garamond"/>
                <w:sz w:val="22"/>
                <w:szCs w:val="22"/>
              </w:rPr>
            </w:pPr>
            <w:r w:rsidRPr="00F82CFD">
              <w:rPr>
                <w:rFonts w:ascii="Garamond" w:hAnsi="Garamond"/>
                <w:sz w:val="22"/>
                <w:szCs w:val="22"/>
              </w:rPr>
              <w:t>Facility Compliance Requirements</w:t>
            </w:r>
          </w:p>
        </w:tc>
        <w:tc>
          <w:tcPr>
            <w:tcW w:w="810" w:type="dxa"/>
            <w:tcBorders>
              <w:top w:val="double" w:sz="4" w:space="0" w:color="auto"/>
              <w:bottom w:val="double" w:sz="4" w:space="0" w:color="auto"/>
            </w:tcBorders>
          </w:tcPr>
          <w:p w14:paraId="5F96DB76" w14:textId="77777777" w:rsidR="002F5D7E" w:rsidRPr="00F82CFD" w:rsidRDefault="002F5D7E">
            <w:pPr>
              <w:rPr>
                <w:rFonts w:ascii="Garamond" w:hAnsi="Garamond"/>
                <w:sz w:val="22"/>
                <w:szCs w:val="22"/>
              </w:rPr>
            </w:pPr>
            <w:r w:rsidRPr="00F82CFD">
              <w:rPr>
                <w:rFonts w:ascii="Garamond" w:hAnsi="Garamond"/>
                <w:sz w:val="22"/>
                <w:szCs w:val="22"/>
              </w:rPr>
              <w:t>Yes</w:t>
            </w:r>
          </w:p>
        </w:tc>
        <w:tc>
          <w:tcPr>
            <w:tcW w:w="1350" w:type="dxa"/>
            <w:tcBorders>
              <w:top w:val="double" w:sz="4" w:space="0" w:color="auto"/>
              <w:bottom w:val="double" w:sz="4" w:space="0" w:color="auto"/>
            </w:tcBorders>
          </w:tcPr>
          <w:p w14:paraId="396E23EC" w14:textId="77777777" w:rsidR="002F5D7E" w:rsidRPr="00F82CFD" w:rsidRDefault="002F5D7E">
            <w:pPr>
              <w:rPr>
                <w:rFonts w:ascii="Garamond" w:hAnsi="Garamond"/>
                <w:sz w:val="22"/>
                <w:szCs w:val="22"/>
              </w:rPr>
            </w:pPr>
            <w:r w:rsidRPr="00F82CFD">
              <w:rPr>
                <w:rFonts w:ascii="Garamond" w:hAnsi="Garamond"/>
                <w:sz w:val="22"/>
                <w:szCs w:val="22"/>
              </w:rPr>
              <w:t>No</w:t>
            </w:r>
          </w:p>
        </w:tc>
        <w:tc>
          <w:tcPr>
            <w:tcW w:w="2193" w:type="dxa"/>
            <w:tcBorders>
              <w:top w:val="double" w:sz="4" w:space="0" w:color="auto"/>
              <w:bottom w:val="double" w:sz="4" w:space="0" w:color="auto"/>
              <w:right w:val="double" w:sz="4" w:space="0" w:color="auto"/>
            </w:tcBorders>
          </w:tcPr>
          <w:p w14:paraId="5164D758" w14:textId="77777777" w:rsidR="002F5D7E" w:rsidRPr="00F82CFD" w:rsidRDefault="002F5D7E">
            <w:pPr>
              <w:jc w:val="center"/>
              <w:rPr>
                <w:rFonts w:ascii="Garamond" w:hAnsi="Garamond"/>
                <w:sz w:val="22"/>
                <w:szCs w:val="22"/>
              </w:rPr>
            </w:pPr>
            <w:r w:rsidRPr="00F82CFD">
              <w:rPr>
                <w:rFonts w:ascii="Garamond" w:hAnsi="Garamond"/>
                <w:sz w:val="22"/>
                <w:szCs w:val="22"/>
              </w:rPr>
              <w:t>Comments</w:t>
            </w:r>
          </w:p>
        </w:tc>
      </w:tr>
      <w:tr w:rsidR="002F5D7E" w:rsidRPr="00F82CFD" w14:paraId="2BC414B9" w14:textId="77777777" w:rsidTr="005C682B">
        <w:trPr>
          <w:trHeight w:val="400"/>
        </w:trPr>
        <w:tc>
          <w:tcPr>
            <w:tcW w:w="5007" w:type="dxa"/>
            <w:tcBorders>
              <w:top w:val="double" w:sz="4" w:space="0" w:color="auto"/>
              <w:left w:val="double" w:sz="4" w:space="0" w:color="auto"/>
            </w:tcBorders>
          </w:tcPr>
          <w:p w14:paraId="179F2B30" w14:textId="77777777" w:rsidR="002F5D7E" w:rsidRPr="00F82CFD" w:rsidRDefault="002F5D7E">
            <w:pPr>
              <w:rPr>
                <w:rFonts w:ascii="Garamond" w:hAnsi="Garamond"/>
                <w:sz w:val="22"/>
                <w:szCs w:val="22"/>
              </w:rPr>
            </w:pPr>
            <w:r w:rsidRPr="00F82CFD">
              <w:rPr>
                <w:rFonts w:ascii="Garamond" w:hAnsi="Garamond"/>
                <w:sz w:val="22"/>
                <w:szCs w:val="22"/>
              </w:rPr>
              <w:t>Source Tests Required</w:t>
            </w:r>
          </w:p>
        </w:tc>
        <w:tc>
          <w:tcPr>
            <w:tcW w:w="810" w:type="dxa"/>
            <w:tcBorders>
              <w:top w:val="double" w:sz="4" w:space="0" w:color="auto"/>
            </w:tcBorders>
          </w:tcPr>
          <w:p w14:paraId="50489D9D" w14:textId="0B2D9DC3" w:rsidR="002F5D7E" w:rsidRPr="00F82CFD" w:rsidRDefault="008F63D7">
            <w:pPr>
              <w:rPr>
                <w:rFonts w:ascii="Garamond" w:hAnsi="Garamond"/>
                <w:sz w:val="22"/>
                <w:szCs w:val="22"/>
              </w:rPr>
            </w:pPr>
            <w:r>
              <w:rPr>
                <w:rFonts w:ascii="Garamond" w:hAnsi="Garamond"/>
                <w:sz w:val="22"/>
                <w:szCs w:val="22"/>
              </w:rPr>
              <w:t>X</w:t>
            </w:r>
          </w:p>
        </w:tc>
        <w:tc>
          <w:tcPr>
            <w:tcW w:w="1350" w:type="dxa"/>
            <w:tcBorders>
              <w:top w:val="double" w:sz="4" w:space="0" w:color="auto"/>
            </w:tcBorders>
          </w:tcPr>
          <w:p w14:paraId="0CD36D53" w14:textId="77777777" w:rsidR="002F5D7E" w:rsidRPr="00F82CFD" w:rsidRDefault="002F5D7E">
            <w:pPr>
              <w:rPr>
                <w:rFonts w:ascii="Garamond" w:hAnsi="Garamond"/>
                <w:sz w:val="22"/>
                <w:szCs w:val="22"/>
              </w:rPr>
            </w:pPr>
          </w:p>
        </w:tc>
        <w:tc>
          <w:tcPr>
            <w:tcW w:w="2193" w:type="dxa"/>
            <w:tcBorders>
              <w:top w:val="double" w:sz="4" w:space="0" w:color="auto"/>
              <w:right w:val="double" w:sz="4" w:space="0" w:color="auto"/>
            </w:tcBorders>
          </w:tcPr>
          <w:p w14:paraId="2BD6368C" w14:textId="6A19B318" w:rsidR="002F5D7E" w:rsidRDefault="00E13DDC">
            <w:pPr>
              <w:rPr>
                <w:rFonts w:ascii="Garamond" w:hAnsi="Garamond"/>
                <w:sz w:val="22"/>
                <w:szCs w:val="22"/>
              </w:rPr>
            </w:pPr>
            <w:r>
              <w:rPr>
                <w:rFonts w:ascii="Garamond" w:hAnsi="Garamond"/>
                <w:sz w:val="22"/>
                <w:szCs w:val="22"/>
              </w:rPr>
              <w:t xml:space="preserve">EPA </w:t>
            </w:r>
            <w:r w:rsidR="008F63D7">
              <w:rPr>
                <w:rFonts w:ascii="Garamond" w:hAnsi="Garamond"/>
                <w:sz w:val="22"/>
                <w:szCs w:val="22"/>
              </w:rPr>
              <w:t>Method 5 (PM)</w:t>
            </w:r>
          </w:p>
          <w:p w14:paraId="6E4942C7" w14:textId="28D6B5FA" w:rsidR="008F63D7" w:rsidRDefault="00E13DDC">
            <w:pPr>
              <w:rPr>
                <w:rFonts w:ascii="Garamond" w:hAnsi="Garamond"/>
                <w:sz w:val="22"/>
                <w:szCs w:val="22"/>
              </w:rPr>
            </w:pPr>
            <w:r>
              <w:rPr>
                <w:rFonts w:ascii="Garamond" w:hAnsi="Garamond"/>
                <w:sz w:val="22"/>
                <w:szCs w:val="22"/>
              </w:rPr>
              <w:t xml:space="preserve">EPA </w:t>
            </w:r>
            <w:r w:rsidR="008F63D7">
              <w:rPr>
                <w:rFonts w:ascii="Garamond" w:hAnsi="Garamond"/>
                <w:sz w:val="22"/>
                <w:szCs w:val="22"/>
              </w:rPr>
              <w:t>Method 7</w:t>
            </w:r>
            <w:r w:rsidR="006E1005">
              <w:rPr>
                <w:rFonts w:ascii="Garamond" w:hAnsi="Garamond"/>
                <w:sz w:val="22"/>
                <w:szCs w:val="22"/>
              </w:rPr>
              <w:t>E</w:t>
            </w:r>
            <w:r w:rsidR="008F63D7">
              <w:rPr>
                <w:rFonts w:ascii="Garamond" w:hAnsi="Garamond"/>
                <w:sz w:val="22"/>
                <w:szCs w:val="22"/>
              </w:rPr>
              <w:t xml:space="preserve"> (NOx)</w:t>
            </w:r>
          </w:p>
          <w:p w14:paraId="27D35E10" w14:textId="75E98162" w:rsidR="008F63D7" w:rsidRDefault="00E13DDC">
            <w:pPr>
              <w:rPr>
                <w:rFonts w:ascii="Garamond" w:hAnsi="Garamond"/>
                <w:sz w:val="22"/>
                <w:szCs w:val="22"/>
              </w:rPr>
            </w:pPr>
            <w:r>
              <w:rPr>
                <w:rFonts w:ascii="Garamond" w:hAnsi="Garamond"/>
                <w:sz w:val="22"/>
                <w:szCs w:val="22"/>
              </w:rPr>
              <w:t xml:space="preserve">EPA </w:t>
            </w:r>
            <w:r w:rsidR="008F63D7">
              <w:rPr>
                <w:rFonts w:ascii="Garamond" w:hAnsi="Garamond"/>
                <w:sz w:val="22"/>
                <w:szCs w:val="22"/>
              </w:rPr>
              <w:t>Method 9 (Opacity)</w:t>
            </w:r>
          </w:p>
          <w:p w14:paraId="0A6C4B60" w14:textId="42F52CF6" w:rsidR="008F63D7" w:rsidRDefault="00E13DDC">
            <w:pPr>
              <w:rPr>
                <w:rFonts w:ascii="Garamond" w:hAnsi="Garamond"/>
                <w:sz w:val="22"/>
                <w:szCs w:val="22"/>
              </w:rPr>
            </w:pPr>
            <w:r>
              <w:rPr>
                <w:rFonts w:ascii="Garamond" w:hAnsi="Garamond"/>
                <w:sz w:val="22"/>
                <w:szCs w:val="22"/>
              </w:rPr>
              <w:t xml:space="preserve">EPA </w:t>
            </w:r>
            <w:r w:rsidR="008F63D7">
              <w:rPr>
                <w:rFonts w:ascii="Garamond" w:hAnsi="Garamond"/>
                <w:sz w:val="22"/>
                <w:szCs w:val="22"/>
              </w:rPr>
              <w:t>Method 10 (CO)</w:t>
            </w:r>
          </w:p>
          <w:p w14:paraId="5EE62491" w14:textId="1BE76F34" w:rsidR="008F63D7" w:rsidRDefault="00E13DDC">
            <w:pPr>
              <w:rPr>
                <w:rFonts w:ascii="Garamond" w:hAnsi="Garamond"/>
                <w:sz w:val="22"/>
                <w:szCs w:val="22"/>
              </w:rPr>
            </w:pPr>
            <w:r>
              <w:rPr>
                <w:rFonts w:ascii="Garamond" w:hAnsi="Garamond"/>
                <w:sz w:val="22"/>
                <w:szCs w:val="22"/>
              </w:rPr>
              <w:t xml:space="preserve">EPA </w:t>
            </w:r>
            <w:r w:rsidR="008F63D7">
              <w:rPr>
                <w:rFonts w:ascii="Garamond" w:hAnsi="Garamond"/>
                <w:sz w:val="22"/>
                <w:szCs w:val="22"/>
              </w:rPr>
              <w:t>Method 25 (VOC)</w:t>
            </w:r>
          </w:p>
          <w:p w14:paraId="58A6E8FF" w14:textId="053C1C91" w:rsidR="008F63D7" w:rsidRDefault="00E13DDC">
            <w:pPr>
              <w:rPr>
                <w:rFonts w:ascii="Garamond" w:hAnsi="Garamond"/>
                <w:sz w:val="22"/>
                <w:szCs w:val="22"/>
              </w:rPr>
            </w:pPr>
            <w:r>
              <w:rPr>
                <w:rFonts w:ascii="Garamond" w:hAnsi="Garamond"/>
                <w:sz w:val="22"/>
                <w:szCs w:val="22"/>
              </w:rPr>
              <w:t xml:space="preserve">EPA </w:t>
            </w:r>
            <w:r w:rsidR="008F63D7">
              <w:rPr>
                <w:rFonts w:ascii="Garamond" w:hAnsi="Garamond"/>
                <w:sz w:val="22"/>
                <w:szCs w:val="22"/>
              </w:rPr>
              <w:t>Method 201 (PM)</w:t>
            </w:r>
          </w:p>
          <w:p w14:paraId="2615C21A" w14:textId="73734FC9" w:rsidR="008F63D7" w:rsidRPr="00F82CFD" w:rsidRDefault="00E13DDC">
            <w:pPr>
              <w:rPr>
                <w:rFonts w:ascii="Garamond" w:hAnsi="Garamond"/>
                <w:sz w:val="22"/>
                <w:szCs w:val="22"/>
              </w:rPr>
            </w:pPr>
            <w:r>
              <w:rPr>
                <w:rFonts w:ascii="Garamond" w:hAnsi="Garamond"/>
                <w:sz w:val="22"/>
                <w:szCs w:val="22"/>
              </w:rPr>
              <w:t xml:space="preserve">EPA </w:t>
            </w:r>
            <w:r w:rsidR="008F63D7">
              <w:rPr>
                <w:rFonts w:ascii="Garamond" w:hAnsi="Garamond"/>
                <w:sz w:val="22"/>
                <w:szCs w:val="22"/>
              </w:rPr>
              <w:t>Method 202 (PM)</w:t>
            </w:r>
          </w:p>
        </w:tc>
      </w:tr>
      <w:tr w:rsidR="002F5D7E" w:rsidRPr="00F82CFD" w14:paraId="71C50F3E" w14:textId="77777777" w:rsidTr="005C682B">
        <w:trPr>
          <w:trHeight w:val="400"/>
        </w:trPr>
        <w:tc>
          <w:tcPr>
            <w:tcW w:w="5007" w:type="dxa"/>
            <w:tcBorders>
              <w:left w:val="double" w:sz="4" w:space="0" w:color="auto"/>
            </w:tcBorders>
          </w:tcPr>
          <w:p w14:paraId="1C5BB64E" w14:textId="77777777" w:rsidR="002F5D7E" w:rsidRPr="00F82CFD" w:rsidRDefault="002F5D7E">
            <w:pPr>
              <w:rPr>
                <w:rFonts w:ascii="Garamond" w:hAnsi="Garamond"/>
                <w:sz w:val="22"/>
                <w:szCs w:val="22"/>
              </w:rPr>
            </w:pPr>
            <w:r w:rsidRPr="00F82CFD">
              <w:rPr>
                <w:rFonts w:ascii="Garamond" w:hAnsi="Garamond"/>
                <w:sz w:val="22"/>
                <w:szCs w:val="22"/>
              </w:rPr>
              <w:t>Ambient Monitoring Required</w:t>
            </w:r>
          </w:p>
        </w:tc>
        <w:tc>
          <w:tcPr>
            <w:tcW w:w="810" w:type="dxa"/>
          </w:tcPr>
          <w:p w14:paraId="056D918D" w14:textId="77777777" w:rsidR="002F5D7E" w:rsidRPr="00F82CFD" w:rsidRDefault="002F5D7E">
            <w:pPr>
              <w:rPr>
                <w:rFonts w:ascii="Garamond" w:hAnsi="Garamond"/>
                <w:sz w:val="22"/>
                <w:szCs w:val="22"/>
              </w:rPr>
            </w:pPr>
          </w:p>
        </w:tc>
        <w:tc>
          <w:tcPr>
            <w:tcW w:w="1350" w:type="dxa"/>
          </w:tcPr>
          <w:p w14:paraId="57757F13" w14:textId="75635805" w:rsidR="002F5D7E" w:rsidRPr="00F82CFD" w:rsidRDefault="008F63D7">
            <w:pPr>
              <w:rPr>
                <w:rFonts w:ascii="Garamond" w:hAnsi="Garamond"/>
                <w:sz w:val="22"/>
                <w:szCs w:val="22"/>
              </w:rPr>
            </w:pPr>
            <w:r>
              <w:rPr>
                <w:rFonts w:ascii="Garamond" w:hAnsi="Garamond"/>
                <w:sz w:val="22"/>
                <w:szCs w:val="22"/>
              </w:rPr>
              <w:t>X</w:t>
            </w:r>
          </w:p>
        </w:tc>
        <w:tc>
          <w:tcPr>
            <w:tcW w:w="2193" w:type="dxa"/>
            <w:tcBorders>
              <w:right w:val="double" w:sz="4" w:space="0" w:color="auto"/>
            </w:tcBorders>
          </w:tcPr>
          <w:p w14:paraId="5198E63A" w14:textId="77777777" w:rsidR="002F5D7E" w:rsidRPr="00F82CFD" w:rsidRDefault="002F5D7E">
            <w:pPr>
              <w:rPr>
                <w:rFonts w:ascii="Garamond" w:hAnsi="Garamond"/>
                <w:sz w:val="22"/>
                <w:szCs w:val="22"/>
              </w:rPr>
            </w:pPr>
          </w:p>
        </w:tc>
      </w:tr>
      <w:tr w:rsidR="002F5D7E" w:rsidRPr="00F82CFD" w14:paraId="0E41B9FD" w14:textId="77777777" w:rsidTr="005C682B">
        <w:trPr>
          <w:trHeight w:val="400"/>
        </w:trPr>
        <w:tc>
          <w:tcPr>
            <w:tcW w:w="5007" w:type="dxa"/>
            <w:tcBorders>
              <w:left w:val="double" w:sz="4" w:space="0" w:color="auto"/>
            </w:tcBorders>
          </w:tcPr>
          <w:p w14:paraId="2FE6A500" w14:textId="77777777" w:rsidR="002F5D7E" w:rsidRPr="00F82CFD" w:rsidRDefault="002F5D7E">
            <w:pPr>
              <w:rPr>
                <w:rFonts w:ascii="Garamond" w:hAnsi="Garamond"/>
                <w:sz w:val="22"/>
                <w:szCs w:val="22"/>
              </w:rPr>
            </w:pPr>
            <w:r w:rsidRPr="00F82CFD">
              <w:rPr>
                <w:rFonts w:ascii="Garamond" w:hAnsi="Garamond"/>
                <w:sz w:val="22"/>
                <w:szCs w:val="22"/>
              </w:rPr>
              <w:t>COMS Required</w:t>
            </w:r>
          </w:p>
        </w:tc>
        <w:tc>
          <w:tcPr>
            <w:tcW w:w="810" w:type="dxa"/>
          </w:tcPr>
          <w:p w14:paraId="3E54C4FF" w14:textId="77777777" w:rsidR="002F5D7E" w:rsidRPr="00F82CFD" w:rsidRDefault="002F5D7E">
            <w:pPr>
              <w:rPr>
                <w:rFonts w:ascii="Garamond" w:hAnsi="Garamond"/>
                <w:sz w:val="22"/>
                <w:szCs w:val="22"/>
              </w:rPr>
            </w:pPr>
          </w:p>
        </w:tc>
        <w:tc>
          <w:tcPr>
            <w:tcW w:w="1350" w:type="dxa"/>
          </w:tcPr>
          <w:p w14:paraId="551635DD" w14:textId="119FD03A" w:rsidR="002F5D7E" w:rsidRPr="00F82CFD" w:rsidRDefault="008F63D7">
            <w:pPr>
              <w:rPr>
                <w:rFonts w:ascii="Garamond" w:hAnsi="Garamond"/>
                <w:sz w:val="22"/>
                <w:szCs w:val="22"/>
              </w:rPr>
            </w:pPr>
            <w:r>
              <w:rPr>
                <w:rFonts w:ascii="Garamond" w:hAnsi="Garamond"/>
                <w:sz w:val="22"/>
                <w:szCs w:val="22"/>
              </w:rPr>
              <w:t>X</w:t>
            </w:r>
          </w:p>
        </w:tc>
        <w:tc>
          <w:tcPr>
            <w:tcW w:w="2193" w:type="dxa"/>
            <w:tcBorders>
              <w:right w:val="double" w:sz="4" w:space="0" w:color="auto"/>
            </w:tcBorders>
          </w:tcPr>
          <w:p w14:paraId="501D4736" w14:textId="77777777" w:rsidR="002F5D7E" w:rsidRPr="00F82CFD" w:rsidRDefault="002F5D7E">
            <w:pPr>
              <w:rPr>
                <w:rFonts w:ascii="Garamond" w:hAnsi="Garamond"/>
                <w:sz w:val="22"/>
                <w:szCs w:val="22"/>
              </w:rPr>
            </w:pPr>
          </w:p>
        </w:tc>
      </w:tr>
      <w:tr w:rsidR="002F5D7E" w:rsidRPr="00F82CFD" w14:paraId="4DF4B968" w14:textId="77777777" w:rsidTr="005C682B">
        <w:trPr>
          <w:trHeight w:val="400"/>
        </w:trPr>
        <w:tc>
          <w:tcPr>
            <w:tcW w:w="5007" w:type="dxa"/>
            <w:tcBorders>
              <w:left w:val="double" w:sz="4" w:space="0" w:color="auto"/>
            </w:tcBorders>
          </w:tcPr>
          <w:p w14:paraId="0A88CA72" w14:textId="77777777" w:rsidR="002F5D7E" w:rsidRPr="00F82CFD" w:rsidRDefault="002F5D7E">
            <w:pPr>
              <w:rPr>
                <w:rFonts w:ascii="Garamond" w:hAnsi="Garamond"/>
                <w:sz w:val="22"/>
                <w:szCs w:val="22"/>
              </w:rPr>
            </w:pPr>
            <w:r w:rsidRPr="00F82CFD">
              <w:rPr>
                <w:rFonts w:ascii="Garamond" w:hAnsi="Garamond"/>
                <w:sz w:val="22"/>
                <w:szCs w:val="22"/>
              </w:rPr>
              <w:t>CEMS Required</w:t>
            </w:r>
          </w:p>
        </w:tc>
        <w:tc>
          <w:tcPr>
            <w:tcW w:w="810" w:type="dxa"/>
          </w:tcPr>
          <w:p w14:paraId="3CCB3F59" w14:textId="06465D79" w:rsidR="002F5D7E" w:rsidRPr="00F82CFD" w:rsidRDefault="00637487">
            <w:pPr>
              <w:rPr>
                <w:rFonts w:ascii="Garamond" w:hAnsi="Garamond"/>
                <w:sz w:val="22"/>
                <w:szCs w:val="22"/>
              </w:rPr>
            </w:pPr>
            <w:r>
              <w:rPr>
                <w:rFonts w:ascii="Garamond" w:hAnsi="Garamond"/>
                <w:sz w:val="22"/>
                <w:szCs w:val="22"/>
              </w:rPr>
              <w:t xml:space="preserve"> </w:t>
            </w:r>
          </w:p>
        </w:tc>
        <w:tc>
          <w:tcPr>
            <w:tcW w:w="1350" w:type="dxa"/>
          </w:tcPr>
          <w:p w14:paraId="5C49FB31" w14:textId="2164D50F" w:rsidR="002F5D7E" w:rsidRPr="00F82CFD" w:rsidRDefault="008F63D7">
            <w:pPr>
              <w:rPr>
                <w:rFonts w:ascii="Garamond" w:hAnsi="Garamond"/>
                <w:sz w:val="22"/>
                <w:szCs w:val="22"/>
              </w:rPr>
            </w:pPr>
            <w:r>
              <w:rPr>
                <w:rFonts w:ascii="Garamond" w:hAnsi="Garamond"/>
                <w:sz w:val="22"/>
                <w:szCs w:val="22"/>
              </w:rPr>
              <w:t>X</w:t>
            </w:r>
          </w:p>
        </w:tc>
        <w:tc>
          <w:tcPr>
            <w:tcW w:w="2193" w:type="dxa"/>
            <w:tcBorders>
              <w:right w:val="double" w:sz="4" w:space="0" w:color="auto"/>
            </w:tcBorders>
          </w:tcPr>
          <w:p w14:paraId="1D367A0B" w14:textId="5BE20035" w:rsidR="002F5D7E" w:rsidRPr="00F82CFD" w:rsidRDefault="002D1071">
            <w:pPr>
              <w:rPr>
                <w:rFonts w:ascii="Garamond" w:hAnsi="Garamond"/>
                <w:sz w:val="22"/>
                <w:szCs w:val="22"/>
              </w:rPr>
            </w:pPr>
            <w:r>
              <w:rPr>
                <w:rFonts w:ascii="Garamond" w:hAnsi="Garamond"/>
                <w:sz w:val="22"/>
                <w:szCs w:val="22"/>
              </w:rPr>
              <w:t>NOx</w:t>
            </w:r>
          </w:p>
        </w:tc>
      </w:tr>
      <w:tr w:rsidR="002F5D7E" w:rsidRPr="00F82CFD" w14:paraId="16562CA0" w14:textId="77777777" w:rsidTr="005C682B">
        <w:trPr>
          <w:trHeight w:val="400"/>
        </w:trPr>
        <w:tc>
          <w:tcPr>
            <w:tcW w:w="5007" w:type="dxa"/>
            <w:tcBorders>
              <w:left w:val="double" w:sz="4" w:space="0" w:color="auto"/>
            </w:tcBorders>
          </w:tcPr>
          <w:p w14:paraId="4079BA93" w14:textId="77777777" w:rsidR="002F5D7E" w:rsidRPr="00F82CFD" w:rsidRDefault="002F5D7E">
            <w:pPr>
              <w:rPr>
                <w:rFonts w:ascii="Garamond" w:hAnsi="Garamond"/>
                <w:sz w:val="22"/>
                <w:szCs w:val="22"/>
              </w:rPr>
            </w:pPr>
            <w:r w:rsidRPr="00F82CFD">
              <w:rPr>
                <w:rFonts w:ascii="Garamond" w:hAnsi="Garamond"/>
                <w:sz w:val="22"/>
                <w:szCs w:val="22"/>
              </w:rPr>
              <w:t>Schedule of Compliance Required</w:t>
            </w:r>
          </w:p>
        </w:tc>
        <w:tc>
          <w:tcPr>
            <w:tcW w:w="810" w:type="dxa"/>
          </w:tcPr>
          <w:p w14:paraId="18F7738B" w14:textId="77777777" w:rsidR="002F5D7E" w:rsidRPr="00F82CFD" w:rsidRDefault="002F5D7E">
            <w:pPr>
              <w:rPr>
                <w:rFonts w:ascii="Garamond" w:hAnsi="Garamond"/>
                <w:sz w:val="22"/>
                <w:szCs w:val="22"/>
              </w:rPr>
            </w:pPr>
          </w:p>
        </w:tc>
        <w:tc>
          <w:tcPr>
            <w:tcW w:w="1350" w:type="dxa"/>
          </w:tcPr>
          <w:p w14:paraId="681862AD" w14:textId="40436B3D" w:rsidR="002F5D7E" w:rsidRPr="00F82CFD" w:rsidRDefault="008F63D7">
            <w:pPr>
              <w:rPr>
                <w:rFonts w:ascii="Garamond" w:hAnsi="Garamond"/>
                <w:sz w:val="22"/>
                <w:szCs w:val="22"/>
              </w:rPr>
            </w:pPr>
            <w:r>
              <w:rPr>
                <w:rFonts w:ascii="Garamond" w:hAnsi="Garamond"/>
                <w:sz w:val="22"/>
                <w:szCs w:val="22"/>
              </w:rPr>
              <w:t>X</w:t>
            </w:r>
          </w:p>
        </w:tc>
        <w:tc>
          <w:tcPr>
            <w:tcW w:w="2193" w:type="dxa"/>
            <w:tcBorders>
              <w:right w:val="double" w:sz="4" w:space="0" w:color="auto"/>
            </w:tcBorders>
          </w:tcPr>
          <w:p w14:paraId="0A8E761F" w14:textId="77777777" w:rsidR="002F5D7E" w:rsidRPr="00F82CFD" w:rsidRDefault="002F5D7E">
            <w:pPr>
              <w:rPr>
                <w:rFonts w:ascii="Garamond" w:hAnsi="Garamond"/>
                <w:sz w:val="22"/>
                <w:szCs w:val="22"/>
              </w:rPr>
            </w:pPr>
          </w:p>
        </w:tc>
      </w:tr>
      <w:tr w:rsidR="002F5D7E" w:rsidRPr="00F82CFD" w14:paraId="625A9DE7" w14:textId="77777777" w:rsidTr="005C682B">
        <w:trPr>
          <w:trHeight w:val="400"/>
        </w:trPr>
        <w:tc>
          <w:tcPr>
            <w:tcW w:w="5007" w:type="dxa"/>
            <w:tcBorders>
              <w:left w:val="double" w:sz="4" w:space="0" w:color="auto"/>
            </w:tcBorders>
          </w:tcPr>
          <w:p w14:paraId="02FAB3CC" w14:textId="77777777" w:rsidR="002F5D7E" w:rsidRPr="00F82CFD" w:rsidRDefault="002F5D7E">
            <w:pPr>
              <w:rPr>
                <w:rFonts w:ascii="Garamond" w:hAnsi="Garamond"/>
                <w:sz w:val="22"/>
                <w:szCs w:val="22"/>
              </w:rPr>
            </w:pPr>
            <w:r w:rsidRPr="00F82CFD">
              <w:rPr>
                <w:rFonts w:ascii="Garamond" w:hAnsi="Garamond"/>
                <w:sz w:val="22"/>
                <w:szCs w:val="22"/>
              </w:rPr>
              <w:t>Annual Compliance Certification and Semiannual Reporting Required</w:t>
            </w:r>
          </w:p>
        </w:tc>
        <w:tc>
          <w:tcPr>
            <w:tcW w:w="810" w:type="dxa"/>
          </w:tcPr>
          <w:p w14:paraId="66D03907" w14:textId="44C904E3" w:rsidR="002F5D7E" w:rsidRPr="00F82CFD" w:rsidRDefault="008F63D7">
            <w:pPr>
              <w:rPr>
                <w:rFonts w:ascii="Garamond" w:hAnsi="Garamond"/>
                <w:sz w:val="22"/>
                <w:szCs w:val="22"/>
              </w:rPr>
            </w:pPr>
            <w:r>
              <w:rPr>
                <w:rFonts w:ascii="Garamond" w:hAnsi="Garamond"/>
                <w:sz w:val="22"/>
                <w:szCs w:val="22"/>
              </w:rPr>
              <w:t>X</w:t>
            </w:r>
          </w:p>
        </w:tc>
        <w:tc>
          <w:tcPr>
            <w:tcW w:w="1350" w:type="dxa"/>
          </w:tcPr>
          <w:p w14:paraId="5D28A9EB" w14:textId="77777777" w:rsidR="002F5D7E" w:rsidRPr="00F82CFD" w:rsidRDefault="002F5D7E">
            <w:pPr>
              <w:rPr>
                <w:rFonts w:ascii="Garamond" w:hAnsi="Garamond"/>
                <w:sz w:val="22"/>
                <w:szCs w:val="22"/>
              </w:rPr>
            </w:pPr>
          </w:p>
        </w:tc>
        <w:tc>
          <w:tcPr>
            <w:tcW w:w="2193" w:type="dxa"/>
            <w:tcBorders>
              <w:right w:val="double" w:sz="4" w:space="0" w:color="auto"/>
            </w:tcBorders>
          </w:tcPr>
          <w:p w14:paraId="7C0B8E2F" w14:textId="77777777" w:rsidR="002F5D7E" w:rsidRPr="00F82CFD" w:rsidRDefault="002F5D7E">
            <w:pPr>
              <w:rPr>
                <w:rFonts w:ascii="Garamond" w:hAnsi="Garamond"/>
                <w:sz w:val="22"/>
                <w:szCs w:val="22"/>
              </w:rPr>
            </w:pPr>
          </w:p>
        </w:tc>
      </w:tr>
      <w:tr w:rsidR="002F5D7E" w:rsidRPr="00F82CFD" w14:paraId="723D53AE" w14:textId="77777777" w:rsidTr="005C682B">
        <w:trPr>
          <w:trHeight w:val="400"/>
        </w:trPr>
        <w:tc>
          <w:tcPr>
            <w:tcW w:w="5007" w:type="dxa"/>
            <w:tcBorders>
              <w:left w:val="double" w:sz="4" w:space="0" w:color="auto"/>
            </w:tcBorders>
          </w:tcPr>
          <w:p w14:paraId="4968986F" w14:textId="77777777" w:rsidR="002F5D7E" w:rsidRPr="00F82CFD" w:rsidRDefault="002F5D7E">
            <w:pPr>
              <w:rPr>
                <w:rFonts w:ascii="Garamond" w:hAnsi="Garamond"/>
                <w:sz w:val="22"/>
                <w:szCs w:val="22"/>
              </w:rPr>
            </w:pPr>
            <w:r w:rsidRPr="00F82CFD">
              <w:rPr>
                <w:rFonts w:ascii="Garamond" w:hAnsi="Garamond"/>
                <w:sz w:val="22"/>
                <w:szCs w:val="22"/>
              </w:rPr>
              <w:t>Monthly Reporting Required</w:t>
            </w:r>
          </w:p>
        </w:tc>
        <w:tc>
          <w:tcPr>
            <w:tcW w:w="810" w:type="dxa"/>
          </w:tcPr>
          <w:p w14:paraId="4CACBB48" w14:textId="77777777" w:rsidR="002F5D7E" w:rsidRPr="00F82CFD" w:rsidRDefault="002F5D7E">
            <w:pPr>
              <w:rPr>
                <w:rFonts w:ascii="Garamond" w:hAnsi="Garamond"/>
                <w:sz w:val="22"/>
                <w:szCs w:val="22"/>
              </w:rPr>
            </w:pPr>
          </w:p>
        </w:tc>
        <w:tc>
          <w:tcPr>
            <w:tcW w:w="1350" w:type="dxa"/>
          </w:tcPr>
          <w:p w14:paraId="199994A5" w14:textId="3FF41C51" w:rsidR="002F5D7E" w:rsidRPr="00F82CFD" w:rsidRDefault="008F63D7">
            <w:pPr>
              <w:rPr>
                <w:rFonts w:ascii="Garamond" w:hAnsi="Garamond"/>
                <w:sz w:val="22"/>
                <w:szCs w:val="22"/>
              </w:rPr>
            </w:pPr>
            <w:r>
              <w:rPr>
                <w:rFonts w:ascii="Garamond" w:hAnsi="Garamond"/>
                <w:sz w:val="22"/>
                <w:szCs w:val="22"/>
              </w:rPr>
              <w:t xml:space="preserve">X </w:t>
            </w:r>
          </w:p>
        </w:tc>
        <w:tc>
          <w:tcPr>
            <w:tcW w:w="2193" w:type="dxa"/>
            <w:tcBorders>
              <w:right w:val="double" w:sz="4" w:space="0" w:color="auto"/>
            </w:tcBorders>
          </w:tcPr>
          <w:p w14:paraId="33E84F77" w14:textId="77777777" w:rsidR="002F5D7E" w:rsidRPr="00F82CFD" w:rsidRDefault="002F5D7E">
            <w:pPr>
              <w:rPr>
                <w:rFonts w:ascii="Garamond" w:hAnsi="Garamond"/>
                <w:sz w:val="22"/>
                <w:szCs w:val="22"/>
              </w:rPr>
            </w:pPr>
          </w:p>
        </w:tc>
      </w:tr>
      <w:tr w:rsidR="002F5D7E" w:rsidRPr="00F82CFD" w14:paraId="28576A0A" w14:textId="77777777" w:rsidTr="005C682B">
        <w:trPr>
          <w:trHeight w:val="400"/>
        </w:trPr>
        <w:tc>
          <w:tcPr>
            <w:tcW w:w="5007" w:type="dxa"/>
            <w:tcBorders>
              <w:left w:val="double" w:sz="4" w:space="0" w:color="auto"/>
              <w:bottom w:val="double" w:sz="4" w:space="0" w:color="auto"/>
            </w:tcBorders>
          </w:tcPr>
          <w:p w14:paraId="35C0370B" w14:textId="77777777" w:rsidR="002F5D7E" w:rsidRPr="00F82CFD" w:rsidRDefault="002F5D7E">
            <w:pPr>
              <w:rPr>
                <w:rFonts w:ascii="Garamond" w:hAnsi="Garamond"/>
                <w:sz w:val="22"/>
                <w:szCs w:val="22"/>
              </w:rPr>
            </w:pPr>
            <w:r w:rsidRPr="00F82CFD">
              <w:rPr>
                <w:rFonts w:ascii="Garamond" w:hAnsi="Garamond"/>
                <w:sz w:val="22"/>
                <w:szCs w:val="22"/>
              </w:rPr>
              <w:t>Quarterly Reporting Required</w:t>
            </w:r>
          </w:p>
        </w:tc>
        <w:tc>
          <w:tcPr>
            <w:tcW w:w="810" w:type="dxa"/>
            <w:tcBorders>
              <w:bottom w:val="double" w:sz="4" w:space="0" w:color="auto"/>
            </w:tcBorders>
          </w:tcPr>
          <w:p w14:paraId="2A0C6C27" w14:textId="77777777" w:rsidR="002F5D7E" w:rsidRPr="00F82CFD" w:rsidRDefault="002F5D7E">
            <w:pPr>
              <w:rPr>
                <w:rFonts w:ascii="Garamond" w:hAnsi="Garamond"/>
                <w:sz w:val="22"/>
                <w:szCs w:val="22"/>
              </w:rPr>
            </w:pPr>
          </w:p>
        </w:tc>
        <w:tc>
          <w:tcPr>
            <w:tcW w:w="1350" w:type="dxa"/>
            <w:tcBorders>
              <w:bottom w:val="double" w:sz="4" w:space="0" w:color="auto"/>
            </w:tcBorders>
          </w:tcPr>
          <w:p w14:paraId="399DCEC3" w14:textId="5898AC73" w:rsidR="002F5D7E" w:rsidRPr="00F82CFD" w:rsidRDefault="008F63D7">
            <w:pPr>
              <w:rPr>
                <w:rFonts w:ascii="Garamond" w:hAnsi="Garamond"/>
                <w:sz w:val="22"/>
                <w:szCs w:val="22"/>
              </w:rPr>
            </w:pPr>
            <w:r>
              <w:rPr>
                <w:rFonts w:ascii="Garamond" w:hAnsi="Garamond"/>
                <w:sz w:val="22"/>
                <w:szCs w:val="22"/>
              </w:rPr>
              <w:t>X</w:t>
            </w:r>
          </w:p>
        </w:tc>
        <w:tc>
          <w:tcPr>
            <w:tcW w:w="2193" w:type="dxa"/>
            <w:tcBorders>
              <w:bottom w:val="double" w:sz="4" w:space="0" w:color="auto"/>
              <w:right w:val="double" w:sz="4" w:space="0" w:color="auto"/>
            </w:tcBorders>
          </w:tcPr>
          <w:p w14:paraId="7611EA53" w14:textId="77777777" w:rsidR="002F5D7E" w:rsidRPr="00F82CFD" w:rsidRDefault="002F5D7E">
            <w:pPr>
              <w:rPr>
                <w:rFonts w:ascii="Garamond" w:hAnsi="Garamond"/>
                <w:sz w:val="22"/>
                <w:szCs w:val="22"/>
              </w:rPr>
            </w:pPr>
          </w:p>
        </w:tc>
      </w:tr>
      <w:tr w:rsidR="002F5D7E" w:rsidRPr="00F82CFD" w14:paraId="5ECEA4A2" w14:textId="77777777" w:rsidTr="005C682B">
        <w:trPr>
          <w:trHeight w:val="400"/>
        </w:trPr>
        <w:tc>
          <w:tcPr>
            <w:tcW w:w="5007" w:type="dxa"/>
            <w:tcBorders>
              <w:top w:val="double" w:sz="4" w:space="0" w:color="auto"/>
              <w:left w:val="double" w:sz="4" w:space="0" w:color="auto"/>
              <w:bottom w:val="double" w:sz="4" w:space="0" w:color="auto"/>
            </w:tcBorders>
          </w:tcPr>
          <w:p w14:paraId="3C8BCD16" w14:textId="77777777" w:rsidR="002F5D7E" w:rsidRPr="00F82CFD" w:rsidRDefault="002F5D7E">
            <w:pPr>
              <w:pStyle w:val="Title"/>
              <w:rPr>
                <w:rFonts w:ascii="Garamond" w:hAnsi="Garamond"/>
                <w:sz w:val="22"/>
                <w:szCs w:val="22"/>
              </w:rPr>
            </w:pPr>
            <w:r w:rsidRPr="00F82CFD">
              <w:rPr>
                <w:rFonts w:ascii="Garamond" w:hAnsi="Garamond"/>
                <w:sz w:val="22"/>
                <w:szCs w:val="22"/>
              </w:rPr>
              <w:t>Applicable Air Quality Programs</w:t>
            </w:r>
          </w:p>
        </w:tc>
        <w:tc>
          <w:tcPr>
            <w:tcW w:w="810" w:type="dxa"/>
            <w:tcBorders>
              <w:top w:val="double" w:sz="4" w:space="0" w:color="auto"/>
              <w:bottom w:val="double" w:sz="4" w:space="0" w:color="auto"/>
            </w:tcBorders>
          </w:tcPr>
          <w:p w14:paraId="5A479B75" w14:textId="77777777" w:rsidR="002F5D7E" w:rsidRPr="00F82CFD" w:rsidRDefault="002F5D7E">
            <w:pPr>
              <w:rPr>
                <w:rFonts w:ascii="Garamond" w:hAnsi="Garamond"/>
                <w:sz w:val="22"/>
                <w:szCs w:val="22"/>
              </w:rPr>
            </w:pPr>
          </w:p>
        </w:tc>
        <w:tc>
          <w:tcPr>
            <w:tcW w:w="1350" w:type="dxa"/>
            <w:tcBorders>
              <w:top w:val="double" w:sz="4" w:space="0" w:color="auto"/>
              <w:bottom w:val="double" w:sz="4" w:space="0" w:color="auto"/>
            </w:tcBorders>
          </w:tcPr>
          <w:p w14:paraId="0823C8E0" w14:textId="77777777" w:rsidR="002F5D7E" w:rsidRPr="00F82CFD" w:rsidRDefault="002F5D7E">
            <w:pPr>
              <w:rPr>
                <w:rFonts w:ascii="Garamond" w:hAnsi="Garamond"/>
                <w:sz w:val="22"/>
                <w:szCs w:val="22"/>
              </w:rPr>
            </w:pPr>
          </w:p>
        </w:tc>
        <w:tc>
          <w:tcPr>
            <w:tcW w:w="2193" w:type="dxa"/>
            <w:tcBorders>
              <w:top w:val="double" w:sz="4" w:space="0" w:color="auto"/>
              <w:bottom w:val="double" w:sz="4" w:space="0" w:color="auto"/>
              <w:right w:val="double" w:sz="4" w:space="0" w:color="auto"/>
            </w:tcBorders>
          </w:tcPr>
          <w:p w14:paraId="5FDDE608" w14:textId="77777777" w:rsidR="002F5D7E" w:rsidRPr="00F82CFD" w:rsidRDefault="002F5D7E">
            <w:pPr>
              <w:rPr>
                <w:rFonts w:ascii="Garamond" w:hAnsi="Garamond"/>
                <w:sz w:val="22"/>
                <w:szCs w:val="22"/>
              </w:rPr>
            </w:pPr>
          </w:p>
        </w:tc>
      </w:tr>
      <w:tr w:rsidR="002F5D7E" w:rsidRPr="00F82CFD" w14:paraId="5DD1FB7A" w14:textId="77777777" w:rsidTr="005C682B">
        <w:trPr>
          <w:trHeight w:val="400"/>
        </w:trPr>
        <w:tc>
          <w:tcPr>
            <w:tcW w:w="5007" w:type="dxa"/>
            <w:tcBorders>
              <w:top w:val="double" w:sz="4" w:space="0" w:color="auto"/>
              <w:left w:val="double" w:sz="4" w:space="0" w:color="auto"/>
            </w:tcBorders>
          </w:tcPr>
          <w:p w14:paraId="388ED1FD" w14:textId="77777777" w:rsidR="002F5D7E" w:rsidRPr="00F82CFD" w:rsidRDefault="002F5D7E">
            <w:pPr>
              <w:rPr>
                <w:rFonts w:ascii="Garamond" w:hAnsi="Garamond"/>
                <w:sz w:val="22"/>
                <w:szCs w:val="22"/>
              </w:rPr>
            </w:pPr>
            <w:r w:rsidRPr="00F82CFD">
              <w:rPr>
                <w:rFonts w:ascii="Garamond" w:hAnsi="Garamond"/>
                <w:sz w:val="22"/>
                <w:szCs w:val="22"/>
              </w:rPr>
              <w:t>ARM Subchapter 7 – Montana Air Quality Permit (MAQP)</w:t>
            </w:r>
          </w:p>
        </w:tc>
        <w:tc>
          <w:tcPr>
            <w:tcW w:w="810" w:type="dxa"/>
            <w:tcBorders>
              <w:top w:val="double" w:sz="4" w:space="0" w:color="auto"/>
            </w:tcBorders>
          </w:tcPr>
          <w:p w14:paraId="5A1AA968" w14:textId="74DB1A11" w:rsidR="002F5D7E" w:rsidRPr="00F82CFD" w:rsidRDefault="008F63D7">
            <w:pPr>
              <w:rPr>
                <w:rFonts w:ascii="Garamond" w:hAnsi="Garamond"/>
                <w:sz w:val="22"/>
                <w:szCs w:val="22"/>
              </w:rPr>
            </w:pPr>
            <w:r>
              <w:rPr>
                <w:rFonts w:ascii="Garamond" w:hAnsi="Garamond"/>
                <w:sz w:val="22"/>
                <w:szCs w:val="22"/>
              </w:rPr>
              <w:t>X</w:t>
            </w:r>
          </w:p>
        </w:tc>
        <w:tc>
          <w:tcPr>
            <w:tcW w:w="1350" w:type="dxa"/>
            <w:tcBorders>
              <w:top w:val="double" w:sz="4" w:space="0" w:color="auto"/>
            </w:tcBorders>
          </w:tcPr>
          <w:p w14:paraId="4BE1D418" w14:textId="77777777" w:rsidR="002F5D7E" w:rsidRPr="00F82CFD" w:rsidRDefault="002F5D7E">
            <w:pPr>
              <w:rPr>
                <w:rFonts w:ascii="Garamond" w:hAnsi="Garamond"/>
                <w:sz w:val="22"/>
                <w:szCs w:val="22"/>
              </w:rPr>
            </w:pPr>
          </w:p>
        </w:tc>
        <w:tc>
          <w:tcPr>
            <w:tcW w:w="2193" w:type="dxa"/>
            <w:tcBorders>
              <w:top w:val="double" w:sz="4" w:space="0" w:color="auto"/>
              <w:right w:val="double" w:sz="4" w:space="0" w:color="auto"/>
            </w:tcBorders>
          </w:tcPr>
          <w:p w14:paraId="31928A57" w14:textId="3889DD21" w:rsidR="002F5D7E" w:rsidRPr="00F82CFD" w:rsidRDefault="002D1071">
            <w:pPr>
              <w:rPr>
                <w:rFonts w:ascii="Garamond" w:hAnsi="Garamond"/>
                <w:sz w:val="22"/>
                <w:szCs w:val="22"/>
              </w:rPr>
            </w:pPr>
            <w:r>
              <w:rPr>
                <w:rFonts w:ascii="Garamond" w:hAnsi="Garamond"/>
                <w:sz w:val="22"/>
                <w:szCs w:val="22"/>
              </w:rPr>
              <w:t>MAQP #</w:t>
            </w:r>
            <w:r w:rsidR="008F63D7">
              <w:rPr>
                <w:rFonts w:ascii="Garamond" w:hAnsi="Garamond"/>
                <w:sz w:val="22"/>
                <w:szCs w:val="22"/>
              </w:rPr>
              <w:t>5261</w:t>
            </w:r>
          </w:p>
        </w:tc>
      </w:tr>
      <w:tr w:rsidR="002F5D7E" w:rsidRPr="00F82CFD" w14:paraId="7D25F4FC" w14:textId="77777777" w:rsidTr="005C682B">
        <w:trPr>
          <w:trHeight w:val="400"/>
        </w:trPr>
        <w:tc>
          <w:tcPr>
            <w:tcW w:w="5007" w:type="dxa"/>
            <w:tcBorders>
              <w:left w:val="double" w:sz="4" w:space="0" w:color="auto"/>
            </w:tcBorders>
          </w:tcPr>
          <w:p w14:paraId="5BA96949" w14:textId="77777777" w:rsidR="002F5D7E" w:rsidRPr="00F82CFD" w:rsidRDefault="002F5D7E">
            <w:pPr>
              <w:rPr>
                <w:rFonts w:ascii="Garamond" w:hAnsi="Garamond"/>
                <w:sz w:val="22"/>
                <w:szCs w:val="22"/>
              </w:rPr>
            </w:pPr>
            <w:r w:rsidRPr="00F82CFD">
              <w:rPr>
                <w:rFonts w:ascii="Garamond" w:hAnsi="Garamond"/>
                <w:sz w:val="22"/>
                <w:szCs w:val="22"/>
              </w:rPr>
              <w:t>New Source Performance Standards (NSPS)</w:t>
            </w:r>
          </w:p>
        </w:tc>
        <w:tc>
          <w:tcPr>
            <w:tcW w:w="810" w:type="dxa"/>
          </w:tcPr>
          <w:p w14:paraId="0D38F9ED" w14:textId="293D4482" w:rsidR="002F5D7E" w:rsidRPr="00F82CFD" w:rsidRDefault="008F63D7">
            <w:pPr>
              <w:rPr>
                <w:rFonts w:ascii="Garamond" w:hAnsi="Garamond"/>
                <w:sz w:val="22"/>
                <w:szCs w:val="22"/>
              </w:rPr>
            </w:pPr>
            <w:r>
              <w:rPr>
                <w:rFonts w:ascii="Garamond" w:hAnsi="Garamond"/>
                <w:sz w:val="22"/>
                <w:szCs w:val="22"/>
              </w:rPr>
              <w:t xml:space="preserve">X </w:t>
            </w:r>
            <w:r w:rsidR="00637487">
              <w:rPr>
                <w:rFonts w:ascii="Garamond" w:hAnsi="Garamond"/>
                <w:sz w:val="22"/>
                <w:szCs w:val="22"/>
              </w:rPr>
              <w:t>s</w:t>
            </w:r>
          </w:p>
        </w:tc>
        <w:tc>
          <w:tcPr>
            <w:tcW w:w="1350" w:type="dxa"/>
          </w:tcPr>
          <w:p w14:paraId="5DD8BBDB" w14:textId="77777777" w:rsidR="002F5D7E" w:rsidRPr="00F82CFD" w:rsidRDefault="002F5D7E">
            <w:pPr>
              <w:rPr>
                <w:rFonts w:ascii="Garamond" w:hAnsi="Garamond"/>
                <w:sz w:val="22"/>
                <w:szCs w:val="22"/>
              </w:rPr>
            </w:pPr>
          </w:p>
        </w:tc>
        <w:tc>
          <w:tcPr>
            <w:tcW w:w="2193" w:type="dxa"/>
            <w:tcBorders>
              <w:right w:val="double" w:sz="4" w:space="0" w:color="auto"/>
            </w:tcBorders>
          </w:tcPr>
          <w:p w14:paraId="5EABBAB1" w14:textId="098E38C4" w:rsidR="002F5D7E" w:rsidRPr="00F82CFD" w:rsidRDefault="002D1071">
            <w:pPr>
              <w:rPr>
                <w:rFonts w:ascii="Garamond" w:hAnsi="Garamond"/>
                <w:sz w:val="22"/>
                <w:szCs w:val="22"/>
              </w:rPr>
            </w:pPr>
            <w:r w:rsidRPr="002D1071">
              <w:rPr>
                <w:rFonts w:ascii="Garamond" w:hAnsi="Garamond"/>
                <w:sz w:val="22"/>
                <w:szCs w:val="22"/>
              </w:rPr>
              <w:t xml:space="preserve">Subpart A, Subpart IIII, and Subpart </w:t>
            </w:r>
            <w:r w:rsidR="006E1005">
              <w:rPr>
                <w:rFonts w:ascii="Garamond" w:hAnsi="Garamond"/>
                <w:sz w:val="22"/>
                <w:szCs w:val="22"/>
              </w:rPr>
              <w:t>JJJJ</w:t>
            </w:r>
          </w:p>
        </w:tc>
      </w:tr>
      <w:tr w:rsidR="002F5D7E" w:rsidRPr="00F82CFD" w14:paraId="0EF57EC8" w14:textId="77777777" w:rsidTr="005C682B">
        <w:trPr>
          <w:trHeight w:val="400"/>
        </w:trPr>
        <w:tc>
          <w:tcPr>
            <w:tcW w:w="5007" w:type="dxa"/>
            <w:tcBorders>
              <w:left w:val="double" w:sz="4" w:space="0" w:color="auto"/>
            </w:tcBorders>
          </w:tcPr>
          <w:p w14:paraId="34345BD6" w14:textId="77777777" w:rsidR="002F5D7E" w:rsidRPr="00F82CFD" w:rsidRDefault="002F5D7E">
            <w:pPr>
              <w:rPr>
                <w:rFonts w:ascii="Garamond" w:hAnsi="Garamond"/>
                <w:sz w:val="22"/>
                <w:szCs w:val="22"/>
              </w:rPr>
            </w:pPr>
            <w:r w:rsidRPr="00F82CFD">
              <w:rPr>
                <w:rFonts w:ascii="Garamond" w:hAnsi="Garamond"/>
                <w:sz w:val="22"/>
                <w:szCs w:val="22"/>
              </w:rPr>
              <w:t>National Emission Standards for Hazardous Air Pollutants (NESHAPS)</w:t>
            </w:r>
          </w:p>
        </w:tc>
        <w:tc>
          <w:tcPr>
            <w:tcW w:w="810" w:type="dxa"/>
          </w:tcPr>
          <w:p w14:paraId="57B3F6FC" w14:textId="16485610" w:rsidR="002F5D7E" w:rsidRPr="00F82CFD" w:rsidRDefault="008F63D7">
            <w:pPr>
              <w:pStyle w:val="Header"/>
              <w:tabs>
                <w:tab w:val="clear" w:pos="4320"/>
                <w:tab w:val="clear" w:pos="8640"/>
              </w:tabs>
              <w:rPr>
                <w:rFonts w:ascii="Garamond" w:hAnsi="Garamond"/>
                <w:sz w:val="22"/>
                <w:szCs w:val="22"/>
              </w:rPr>
            </w:pPr>
            <w:r>
              <w:rPr>
                <w:rFonts w:ascii="Garamond" w:hAnsi="Garamond"/>
                <w:sz w:val="22"/>
                <w:szCs w:val="22"/>
              </w:rPr>
              <w:t>X</w:t>
            </w:r>
          </w:p>
        </w:tc>
        <w:tc>
          <w:tcPr>
            <w:tcW w:w="1350" w:type="dxa"/>
          </w:tcPr>
          <w:p w14:paraId="2E16FE03" w14:textId="77777777" w:rsidR="002F5D7E" w:rsidRPr="00F82CFD" w:rsidRDefault="002F5D7E">
            <w:pPr>
              <w:rPr>
                <w:rFonts w:ascii="Garamond" w:hAnsi="Garamond"/>
                <w:sz w:val="22"/>
                <w:szCs w:val="22"/>
              </w:rPr>
            </w:pPr>
          </w:p>
        </w:tc>
        <w:tc>
          <w:tcPr>
            <w:tcW w:w="2193" w:type="dxa"/>
            <w:tcBorders>
              <w:right w:val="double" w:sz="4" w:space="0" w:color="auto"/>
            </w:tcBorders>
          </w:tcPr>
          <w:p w14:paraId="431B721C" w14:textId="793BD6F9" w:rsidR="002F5D7E" w:rsidRPr="00F82CFD" w:rsidRDefault="002D1071">
            <w:pPr>
              <w:rPr>
                <w:rFonts w:ascii="Garamond" w:hAnsi="Garamond"/>
                <w:sz w:val="22"/>
                <w:szCs w:val="22"/>
              </w:rPr>
            </w:pPr>
            <w:r>
              <w:rPr>
                <w:rFonts w:ascii="Garamond" w:hAnsi="Garamond"/>
                <w:sz w:val="22"/>
                <w:szCs w:val="22"/>
              </w:rPr>
              <w:t xml:space="preserve">Subpart A </w:t>
            </w:r>
          </w:p>
        </w:tc>
      </w:tr>
      <w:tr w:rsidR="002F5D7E" w:rsidRPr="00F82CFD" w14:paraId="6597D19D" w14:textId="77777777" w:rsidTr="005C682B">
        <w:trPr>
          <w:trHeight w:val="400"/>
        </w:trPr>
        <w:tc>
          <w:tcPr>
            <w:tcW w:w="5007" w:type="dxa"/>
            <w:tcBorders>
              <w:left w:val="double" w:sz="4" w:space="0" w:color="auto"/>
            </w:tcBorders>
          </w:tcPr>
          <w:p w14:paraId="7B0D73A1" w14:textId="77777777" w:rsidR="002F5D7E" w:rsidRPr="00F82CFD" w:rsidRDefault="002F5D7E">
            <w:pPr>
              <w:rPr>
                <w:rFonts w:ascii="Garamond" w:hAnsi="Garamond"/>
                <w:sz w:val="22"/>
                <w:szCs w:val="22"/>
              </w:rPr>
            </w:pPr>
            <w:r w:rsidRPr="00F82CFD">
              <w:rPr>
                <w:rFonts w:ascii="Garamond" w:hAnsi="Garamond"/>
                <w:sz w:val="22"/>
                <w:szCs w:val="22"/>
              </w:rPr>
              <w:t>Maximum Achievable Control Technology (MACT)</w:t>
            </w:r>
          </w:p>
        </w:tc>
        <w:tc>
          <w:tcPr>
            <w:tcW w:w="810" w:type="dxa"/>
          </w:tcPr>
          <w:p w14:paraId="4E19D170" w14:textId="409BA0A3" w:rsidR="002F5D7E" w:rsidRPr="00F82CFD" w:rsidRDefault="008F63D7">
            <w:pPr>
              <w:rPr>
                <w:rFonts w:ascii="Garamond" w:hAnsi="Garamond"/>
                <w:sz w:val="22"/>
                <w:szCs w:val="22"/>
              </w:rPr>
            </w:pPr>
            <w:r>
              <w:rPr>
                <w:rFonts w:ascii="Garamond" w:hAnsi="Garamond"/>
                <w:sz w:val="22"/>
                <w:szCs w:val="22"/>
              </w:rPr>
              <w:t>X</w:t>
            </w:r>
          </w:p>
        </w:tc>
        <w:tc>
          <w:tcPr>
            <w:tcW w:w="1350" w:type="dxa"/>
          </w:tcPr>
          <w:p w14:paraId="4F848988" w14:textId="77777777" w:rsidR="002F5D7E" w:rsidRPr="00F82CFD" w:rsidRDefault="002F5D7E">
            <w:pPr>
              <w:rPr>
                <w:rFonts w:ascii="Garamond" w:hAnsi="Garamond"/>
                <w:sz w:val="22"/>
                <w:szCs w:val="22"/>
              </w:rPr>
            </w:pPr>
          </w:p>
        </w:tc>
        <w:tc>
          <w:tcPr>
            <w:tcW w:w="2193" w:type="dxa"/>
            <w:tcBorders>
              <w:right w:val="double" w:sz="4" w:space="0" w:color="auto"/>
            </w:tcBorders>
          </w:tcPr>
          <w:p w14:paraId="017BF083" w14:textId="77777777" w:rsidR="002F5D7E" w:rsidRDefault="002D1071">
            <w:pPr>
              <w:rPr>
                <w:rFonts w:ascii="Garamond" w:hAnsi="Garamond"/>
                <w:sz w:val="22"/>
                <w:szCs w:val="22"/>
              </w:rPr>
            </w:pPr>
            <w:r w:rsidRPr="002D1071">
              <w:rPr>
                <w:rFonts w:ascii="Garamond" w:hAnsi="Garamond"/>
                <w:sz w:val="22"/>
                <w:szCs w:val="22"/>
              </w:rPr>
              <w:t>Subpart A, and Subpart ZZZZ</w:t>
            </w:r>
          </w:p>
          <w:p w14:paraId="7C42167A" w14:textId="77777777" w:rsidR="006E23C0" w:rsidRPr="006E23C0" w:rsidRDefault="006E23C0" w:rsidP="006E23C0">
            <w:pPr>
              <w:rPr>
                <w:rFonts w:ascii="Garamond" w:hAnsi="Garamond"/>
                <w:sz w:val="22"/>
                <w:szCs w:val="22"/>
              </w:rPr>
            </w:pPr>
          </w:p>
          <w:p w14:paraId="2A9D0A10" w14:textId="302470D3" w:rsidR="006E23C0" w:rsidRPr="006E23C0" w:rsidRDefault="006E23C0" w:rsidP="006E23C0">
            <w:pPr>
              <w:jc w:val="center"/>
              <w:rPr>
                <w:rFonts w:ascii="Garamond" w:hAnsi="Garamond"/>
                <w:sz w:val="22"/>
                <w:szCs w:val="22"/>
              </w:rPr>
            </w:pPr>
          </w:p>
        </w:tc>
      </w:tr>
      <w:tr w:rsidR="002F5D7E" w:rsidRPr="00F82CFD" w14:paraId="35B492A2" w14:textId="77777777" w:rsidTr="005C682B">
        <w:trPr>
          <w:trHeight w:val="400"/>
        </w:trPr>
        <w:tc>
          <w:tcPr>
            <w:tcW w:w="5007" w:type="dxa"/>
            <w:tcBorders>
              <w:left w:val="double" w:sz="4" w:space="0" w:color="auto"/>
            </w:tcBorders>
          </w:tcPr>
          <w:p w14:paraId="0C517105" w14:textId="77777777" w:rsidR="002F5D7E" w:rsidRPr="00F82CFD" w:rsidRDefault="002F5D7E">
            <w:pPr>
              <w:rPr>
                <w:rFonts w:ascii="Garamond" w:hAnsi="Garamond"/>
                <w:sz w:val="22"/>
                <w:szCs w:val="22"/>
              </w:rPr>
            </w:pPr>
            <w:r w:rsidRPr="00F82CFD">
              <w:rPr>
                <w:rFonts w:ascii="Garamond" w:hAnsi="Garamond"/>
                <w:sz w:val="22"/>
                <w:szCs w:val="22"/>
              </w:rPr>
              <w:lastRenderedPageBreak/>
              <w:t>Major New Source Review (NSR) – includes Prevention of Significant Deterioration (PSD) and/or Non-attainment Area (NAA) NSR</w:t>
            </w:r>
          </w:p>
        </w:tc>
        <w:tc>
          <w:tcPr>
            <w:tcW w:w="810" w:type="dxa"/>
          </w:tcPr>
          <w:p w14:paraId="2B697F65" w14:textId="283166C7" w:rsidR="002F5D7E" w:rsidRPr="00F82CFD" w:rsidRDefault="00F350E6">
            <w:pPr>
              <w:rPr>
                <w:rFonts w:ascii="Garamond" w:hAnsi="Garamond"/>
                <w:sz w:val="22"/>
                <w:szCs w:val="22"/>
              </w:rPr>
            </w:pPr>
            <w:r>
              <w:rPr>
                <w:rFonts w:ascii="Garamond" w:hAnsi="Garamond"/>
                <w:sz w:val="22"/>
                <w:szCs w:val="22"/>
              </w:rPr>
              <w:t xml:space="preserve"> </w:t>
            </w:r>
          </w:p>
        </w:tc>
        <w:tc>
          <w:tcPr>
            <w:tcW w:w="1350" w:type="dxa"/>
          </w:tcPr>
          <w:p w14:paraId="09491079" w14:textId="19F3228A" w:rsidR="002F5D7E" w:rsidRPr="00F82CFD" w:rsidRDefault="00F350E6">
            <w:pPr>
              <w:rPr>
                <w:rFonts w:ascii="Garamond" w:hAnsi="Garamond"/>
                <w:sz w:val="22"/>
                <w:szCs w:val="22"/>
              </w:rPr>
            </w:pPr>
            <w:r w:rsidRPr="00F350E6">
              <w:rPr>
                <w:rFonts w:ascii="Garamond" w:hAnsi="Garamond"/>
                <w:sz w:val="22"/>
                <w:szCs w:val="22"/>
              </w:rPr>
              <w:t>X</w:t>
            </w:r>
          </w:p>
        </w:tc>
        <w:tc>
          <w:tcPr>
            <w:tcW w:w="2193" w:type="dxa"/>
            <w:tcBorders>
              <w:right w:val="double" w:sz="4" w:space="0" w:color="auto"/>
            </w:tcBorders>
          </w:tcPr>
          <w:p w14:paraId="5309B012" w14:textId="77777777" w:rsidR="002F5D7E" w:rsidRPr="00F82CFD" w:rsidRDefault="002F5D7E">
            <w:pPr>
              <w:rPr>
                <w:rFonts w:ascii="Garamond" w:hAnsi="Garamond"/>
                <w:sz w:val="22"/>
                <w:szCs w:val="22"/>
              </w:rPr>
            </w:pPr>
          </w:p>
        </w:tc>
      </w:tr>
      <w:tr w:rsidR="002F5D7E" w:rsidRPr="00F82CFD" w14:paraId="26E8C9CD" w14:textId="77777777" w:rsidTr="005C682B">
        <w:trPr>
          <w:trHeight w:val="400"/>
        </w:trPr>
        <w:tc>
          <w:tcPr>
            <w:tcW w:w="5007" w:type="dxa"/>
            <w:tcBorders>
              <w:left w:val="double" w:sz="4" w:space="0" w:color="auto"/>
            </w:tcBorders>
          </w:tcPr>
          <w:p w14:paraId="6B6A207F" w14:textId="77777777" w:rsidR="002F5D7E" w:rsidRPr="00F82CFD" w:rsidRDefault="002F5D7E">
            <w:pPr>
              <w:rPr>
                <w:rFonts w:ascii="Garamond" w:hAnsi="Garamond"/>
                <w:sz w:val="22"/>
                <w:szCs w:val="22"/>
              </w:rPr>
            </w:pPr>
            <w:r w:rsidRPr="00F82CFD">
              <w:rPr>
                <w:rFonts w:ascii="Garamond" w:hAnsi="Garamond"/>
                <w:sz w:val="22"/>
                <w:szCs w:val="22"/>
              </w:rPr>
              <w:t>Risk Management Plan Required (RMP)</w:t>
            </w:r>
          </w:p>
        </w:tc>
        <w:tc>
          <w:tcPr>
            <w:tcW w:w="810" w:type="dxa"/>
          </w:tcPr>
          <w:p w14:paraId="616DAB8F" w14:textId="77777777" w:rsidR="002F5D7E" w:rsidRPr="00F82CFD" w:rsidRDefault="002F5D7E">
            <w:pPr>
              <w:rPr>
                <w:rFonts w:ascii="Garamond" w:hAnsi="Garamond"/>
                <w:sz w:val="22"/>
                <w:szCs w:val="22"/>
              </w:rPr>
            </w:pPr>
          </w:p>
        </w:tc>
        <w:tc>
          <w:tcPr>
            <w:tcW w:w="1350" w:type="dxa"/>
          </w:tcPr>
          <w:p w14:paraId="475B7DDE" w14:textId="7F5D56CA" w:rsidR="002F5D7E" w:rsidRPr="00F82CFD" w:rsidRDefault="008F63D7">
            <w:pPr>
              <w:rPr>
                <w:rFonts w:ascii="Garamond" w:hAnsi="Garamond"/>
                <w:sz w:val="22"/>
                <w:szCs w:val="22"/>
              </w:rPr>
            </w:pPr>
            <w:r>
              <w:rPr>
                <w:rFonts w:ascii="Garamond" w:hAnsi="Garamond"/>
                <w:sz w:val="22"/>
                <w:szCs w:val="22"/>
              </w:rPr>
              <w:t>X</w:t>
            </w:r>
          </w:p>
        </w:tc>
        <w:tc>
          <w:tcPr>
            <w:tcW w:w="2193" w:type="dxa"/>
            <w:tcBorders>
              <w:right w:val="double" w:sz="4" w:space="0" w:color="auto"/>
            </w:tcBorders>
          </w:tcPr>
          <w:p w14:paraId="1BF87D3A" w14:textId="77777777" w:rsidR="002F5D7E" w:rsidRPr="00F82CFD" w:rsidRDefault="002F5D7E">
            <w:pPr>
              <w:rPr>
                <w:rFonts w:ascii="Garamond" w:hAnsi="Garamond"/>
                <w:sz w:val="22"/>
                <w:szCs w:val="22"/>
              </w:rPr>
            </w:pPr>
          </w:p>
        </w:tc>
      </w:tr>
      <w:tr w:rsidR="002F5D7E" w:rsidRPr="00F82CFD" w14:paraId="7703FE4A" w14:textId="77777777" w:rsidTr="005C682B">
        <w:trPr>
          <w:trHeight w:val="400"/>
        </w:trPr>
        <w:tc>
          <w:tcPr>
            <w:tcW w:w="5007" w:type="dxa"/>
            <w:tcBorders>
              <w:left w:val="double" w:sz="4" w:space="0" w:color="auto"/>
            </w:tcBorders>
          </w:tcPr>
          <w:p w14:paraId="4B928BFF" w14:textId="77777777" w:rsidR="002F5D7E" w:rsidRPr="00F82CFD" w:rsidRDefault="002F5D7E">
            <w:pPr>
              <w:rPr>
                <w:rFonts w:ascii="Garamond" w:hAnsi="Garamond"/>
                <w:sz w:val="22"/>
                <w:szCs w:val="22"/>
              </w:rPr>
            </w:pPr>
            <w:r w:rsidRPr="00F82CFD">
              <w:rPr>
                <w:rFonts w:ascii="Garamond" w:hAnsi="Garamond"/>
                <w:sz w:val="22"/>
                <w:szCs w:val="22"/>
              </w:rPr>
              <w:t>Acid Rain Title IV</w:t>
            </w:r>
          </w:p>
        </w:tc>
        <w:tc>
          <w:tcPr>
            <w:tcW w:w="810" w:type="dxa"/>
          </w:tcPr>
          <w:p w14:paraId="50119D43" w14:textId="77777777" w:rsidR="002F5D7E" w:rsidRPr="00F82CFD" w:rsidRDefault="002F5D7E">
            <w:pPr>
              <w:rPr>
                <w:rFonts w:ascii="Garamond" w:hAnsi="Garamond"/>
                <w:sz w:val="22"/>
                <w:szCs w:val="22"/>
              </w:rPr>
            </w:pPr>
          </w:p>
        </w:tc>
        <w:tc>
          <w:tcPr>
            <w:tcW w:w="1350" w:type="dxa"/>
          </w:tcPr>
          <w:p w14:paraId="4ECAF532" w14:textId="48D13DA2" w:rsidR="002F5D7E" w:rsidRPr="00F82CFD" w:rsidRDefault="008F63D7">
            <w:pPr>
              <w:rPr>
                <w:rFonts w:ascii="Garamond" w:hAnsi="Garamond"/>
                <w:sz w:val="22"/>
                <w:szCs w:val="22"/>
              </w:rPr>
            </w:pPr>
            <w:r w:rsidRPr="008F63D7">
              <w:rPr>
                <w:rFonts w:ascii="Garamond" w:hAnsi="Garamond"/>
                <w:sz w:val="22"/>
                <w:szCs w:val="22"/>
              </w:rPr>
              <w:t>X</w:t>
            </w:r>
          </w:p>
        </w:tc>
        <w:tc>
          <w:tcPr>
            <w:tcW w:w="2193" w:type="dxa"/>
            <w:tcBorders>
              <w:right w:val="double" w:sz="4" w:space="0" w:color="auto"/>
            </w:tcBorders>
          </w:tcPr>
          <w:p w14:paraId="5B2D618B" w14:textId="77777777" w:rsidR="002F5D7E" w:rsidRPr="00F82CFD" w:rsidRDefault="002F5D7E">
            <w:pPr>
              <w:rPr>
                <w:rFonts w:ascii="Garamond" w:hAnsi="Garamond"/>
                <w:sz w:val="22"/>
                <w:szCs w:val="22"/>
              </w:rPr>
            </w:pPr>
          </w:p>
        </w:tc>
      </w:tr>
      <w:tr w:rsidR="002F5D7E" w:rsidRPr="00F82CFD" w14:paraId="35E9B4FE" w14:textId="77777777" w:rsidTr="005C682B">
        <w:trPr>
          <w:trHeight w:val="400"/>
        </w:trPr>
        <w:tc>
          <w:tcPr>
            <w:tcW w:w="5007" w:type="dxa"/>
            <w:tcBorders>
              <w:left w:val="double" w:sz="4" w:space="0" w:color="auto"/>
            </w:tcBorders>
          </w:tcPr>
          <w:p w14:paraId="6F3F5331" w14:textId="77777777" w:rsidR="002F5D7E" w:rsidRPr="00F82CFD" w:rsidRDefault="002F5D7E">
            <w:pPr>
              <w:rPr>
                <w:rFonts w:ascii="Garamond" w:hAnsi="Garamond"/>
                <w:sz w:val="22"/>
                <w:szCs w:val="22"/>
              </w:rPr>
            </w:pPr>
            <w:r w:rsidRPr="00F82CFD">
              <w:rPr>
                <w:rFonts w:ascii="Garamond" w:hAnsi="Garamond"/>
                <w:sz w:val="22"/>
                <w:szCs w:val="22"/>
              </w:rPr>
              <w:t>Compliance Assurance Monitoring (CAM)</w:t>
            </w:r>
          </w:p>
        </w:tc>
        <w:tc>
          <w:tcPr>
            <w:tcW w:w="810" w:type="dxa"/>
          </w:tcPr>
          <w:p w14:paraId="6B6777CF" w14:textId="2528AC4B" w:rsidR="002F5D7E" w:rsidRPr="00F82CFD" w:rsidRDefault="008F63D7">
            <w:pPr>
              <w:rPr>
                <w:rFonts w:ascii="Garamond" w:hAnsi="Garamond"/>
                <w:sz w:val="22"/>
                <w:szCs w:val="22"/>
              </w:rPr>
            </w:pPr>
            <w:r>
              <w:rPr>
                <w:rFonts w:ascii="Garamond" w:hAnsi="Garamond"/>
                <w:sz w:val="22"/>
                <w:szCs w:val="22"/>
              </w:rPr>
              <w:t>X</w:t>
            </w:r>
          </w:p>
        </w:tc>
        <w:tc>
          <w:tcPr>
            <w:tcW w:w="1350" w:type="dxa"/>
          </w:tcPr>
          <w:p w14:paraId="7B6C2786" w14:textId="0DF2E8AA" w:rsidR="002F5D7E" w:rsidRPr="00F82CFD" w:rsidRDefault="00A7205A">
            <w:pPr>
              <w:rPr>
                <w:rFonts w:ascii="Garamond" w:hAnsi="Garamond"/>
                <w:sz w:val="22"/>
                <w:szCs w:val="22"/>
              </w:rPr>
            </w:pPr>
            <w:r>
              <w:rPr>
                <w:rFonts w:ascii="Garamond" w:hAnsi="Garamond"/>
                <w:sz w:val="22"/>
                <w:szCs w:val="22"/>
              </w:rPr>
              <w:t xml:space="preserve"> </w:t>
            </w:r>
          </w:p>
        </w:tc>
        <w:tc>
          <w:tcPr>
            <w:tcW w:w="2193" w:type="dxa"/>
            <w:tcBorders>
              <w:right w:val="double" w:sz="4" w:space="0" w:color="auto"/>
            </w:tcBorders>
          </w:tcPr>
          <w:p w14:paraId="7F352C19" w14:textId="35BEE399" w:rsidR="002F5D7E" w:rsidRPr="00F82CFD" w:rsidRDefault="003E4718">
            <w:pPr>
              <w:rPr>
                <w:rFonts w:ascii="Garamond" w:hAnsi="Garamond"/>
                <w:sz w:val="22"/>
                <w:szCs w:val="22"/>
              </w:rPr>
            </w:pPr>
            <w:r>
              <w:rPr>
                <w:rFonts w:ascii="Garamond" w:hAnsi="Garamond"/>
                <w:sz w:val="22"/>
                <w:szCs w:val="22"/>
              </w:rPr>
              <w:t>NOx and CO</w:t>
            </w:r>
          </w:p>
        </w:tc>
      </w:tr>
      <w:tr w:rsidR="002F5D7E" w:rsidRPr="00F82CFD" w14:paraId="05F8D6D2" w14:textId="77777777" w:rsidTr="005C682B">
        <w:trPr>
          <w:trHeight w:val="400"/>
        </w:trPr>
        <w:tc>
          <w:tcPr>
            <w:tcW w:w="5007" w:type="dxa"/>
            <w:tcBorders>
              <w:left w:val="double" w:sz="4" w:space="0" w:color="auto"/>
              <w:bottom w:val="double" w:sz="4" w:space="0" w:color="auto"/>
            </w:tcBorders>
          </w:tcPr>
          <w:p w14:paraId="61D13C21" w14:textId="77777777" w:rsidR="002F5D7E" w:rsidRPr="00F82CFD" w:rsidRDefault="002F5D7E">
            <w:pPr>
              <w:rPr>
                <w:rFonts w:ascii="Garamond" w:hAnsi="Garamond"/>
                <w:sz w:val="22"/>
                <w:szCs w:val="22"/>
              </w:rPr>
            </w:pPr>
            <w:r w:rsidRPr="00F82CFD">
              <w:rPr>
                <w:rFonts w:ascii="Garamond" w:hAnsi="Garamond"/>
                <w:sz w:val="22"/>
                <w:szCs w:val="22"/>
              </w:rPr>
              <w:t>State Implementation Plan (SIP)</w:t>
            </w:r>
          </w:p>
        </w:tc>
        <w:tc>
          <w:tcPr>
            <w:tcW w:w="810" w:type="dxa"/>
            <w:tcBorders>
              <w:bottom w:val="double" w:sz="4" w:space="0" w:color="auto"/>
            </w:tcBorders>
          </w:tcPr>
          <w:p w14:paraId="32FC9F3F" w14:textId="77777777" w:rsidR="002F5D7E" w:rsidRPr="00F82CFD" w:rsidRDefault="002F5D7E">
            <w:pPr>
              <w:rPr>
                <w:rFonts w:ascii="Garamond" w:hAnsi="Garamond"/>
                <w:sz w:val="22"/>
                <w:szCs w:val="22"/>
              </w:rPr>
            </w:pPr>
          </w:p>
        </w:tc>
        <w:tc>
          <w:tcPr>
            <w:tcW w:w="1350" w:type="dxa"/>
            <w:tcBorders>
              <w:bottom w:val="double" w:sz="4" w:space="0" w:color="auto"/>
            </w:tcBorders>
          </w:tcPr>
          <w:p w14:paraId="207604E3" w14:textId="3172CC6C" w:rsidR="002F5D7E" w:rsidRPr="00F82CFD" w:rsidRDefault="002D1071">
            <w:pPr>
              <w:rPr>
                <w:rFonts w:ascii="Garamond" w:hAnsi="Garamond"/>
                <w:sz w:val="22"/>
                <w:szCs w:val="22"/>
              </w:rPr>
            </w:pPr>
            <w:r>
              <w:rPr>
                <w:rFonts w:ascii="Garamond" w:hAnsi="Garamond"/>
                <w:sz w:val="22"/>
                <w:szCs w:val="22"/>
              </w:rPr>
              <w:t>X</w:t>
            </w:r>
          </w:p>
        </w:tc>
        <w:tc>
          <w:tcPr>
            <w:tcW w:w="2193" w:type="dxa"/>
            <w:tcBorders>
              <w:bottom w:val="double" w:sz="4" w:space="0" w:color="auto"/>
              <w:right w:val="double" w:sz="4" w:space="0" w:color="auto"/>
            </w:tcBorders>
          </w:tcPr>
          <w:p w14:paraId="6AA63980" w14:textId="77777777" w:rsidR="002F5D7E" w:rsidRPr="00F82CFD" w:rsidRDefault="002F5D7E">
            <w:pPr>
              <w:rPr>
                <w:rFonts w:ascii="Garamond" w:hAnsi="Garamond"/>
                <w:sz w:val="22"/>
                <w:szCs w:val="22"/>
              </w:rPr>
            </w:pPr>
          </w:p>
        </w:tc>
      </w:tr>
    </w:tbl>
    <w:p w14:paraId="3655D84F" w14:textId="77777777" w:rsidR="002F5D7E" w:rsidRPr="00F82CFD" w:rsidRDefault="002F5D7E">
      <w:pPr>
        <w:rPr>
          <w:rFonts w:ascii="Garamond" w:hAnsi="Garamond"/>
          <w:sz w:val="18"/>
        </w:rPr>
      </w:pPr>
    </w:p>
    <w:p w14:paraId="16581403" w14:textId="50546B51" w:rsidR="002F5D7E" w:rsidRPr="00F82CFD" w:rsidRDefault="002F5D7E">
      <w:pPr>
        <w:jc w:val="center"/>
        <w:rPr>
          <w:rFonts w:ascii="Garamond" w:hAnsi="Garamond"/>
          <w:sz w:val="24"/>
          <w:szCs w:val="24"/>
        </w:rPr>
      </w:pPr>
      <w:r w:rsidRPr="00F82CFD">
        <w:rPr>
          <w:rFonts w:ascii="Garamond" w:hAnsi="Garamond"/>
        </w:rPr>
        <w:br w:type="page"/>
      </w:r>
      <w:r w:rsidRPr="00F82CFD">
        <w:rPr>
          <w:rFonts w:ascii="Garamond" w:hAnsi="Garamond"/>
          <w:sz w:val="24"/>
          <w:szCs w:val="24"/>
          <w:u w:val="single"/>
        </w:rPr>
        <w:lastRenderedPageBreak/>
        <w:t>TABLE OF CONTENTS</w:t>
      </w:r>
    </w:p>
    <w:p w14:paraId="4C046B3D" w14:textId="77777777" w:rsidR="002F5D7E" w:rsidRPr="00F82CFD" w:rsidRDefault="002F5D7E">
      <w:pPr>
        <w:rPr>
          <w:rFonts w:ascii="Garamond" w:hAnsi="Garamond"/>
          <w:sz w:val="24"/>
          <w:szCs w:val="24"/>
        </w:rPr>
      </w:pPr>
    </w:p>
    <w:p w14:paraId="6092ED2F" w14:textId="77777777" w:rsidR="002F5D7E" w:rsidRPr="00F82CFD" w:rsidRDefault="002F5D7E">
      <w:pPr>
        <w:rPr>
          <w:rFonts w:ascii="Garamond" w:hAnsi="Garamond"/>
          <w:sz w:val="24"/>
          <w:szCs w:val="24"/>
        </w:rPr>
      </w:pPr>
    </w:p>
    <w:p w14:paraId="7FA1FEBC" w14:textId="77777777" w:rsidR="002F5D7E" w:rsidRPr="00F82CFD" w:rsidRDefault="002F5D7E">
      <w:pPr>
        <w:rPr>
          <w:rFonts w:ascii="Garamond" w:hAnsi="Garamond"/>
          <w:sz w:val="24"/>
          <w:szCs w:val="24"/>
        </w:rPr>
      </w:pPr>
    </w:p>
    <w:p w14:paraId="7D63D375" w14:textId="06B70035" w:rsidR="000F6776" w:rsidRDefault="002F5D7E">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r w:rsidRPr="00230CEC">
        <w:rPr>
          <w:rFonts w:ascii="Garamond" w:hAnsi="Garamond"/>
          <w:sz w:val="24"/>
          <w:szCs w:val="24"/>
        </w:rPr>
        <w:fldChar w:fldCharType="begin"/>
      </w:r>
      <w:r w:rsidRPr="00230CEC">
        <w:rPr>
          <w:rFonts w:ascii="Garamond" w:hAnsi="Garamond"/>
          <w:sz w:val="24"/>
          <w:szCs w:val="24"/>
        </w:rPr>
        <w:instrText xml:space="preserve"> TOC \o "1-2" </w:instrText>
      </w:r>
      <w:r w:rsidRPr="00230CEC">
        <w:rPr>
          <w:rFonts w:ascii="Garamond" w:hAnsi="Garamond"/>
          <w:sz w:val="24"/>
          <w:szCs w:val="24"/>
        </w:rPr>
        <w:fldChar w:fldCharType="separate"/>
      </w:r>
      <w:r w:rsidR="000F6776" w:rsidRPr="00A97B37">
        <w:rPr>
          <w:rFonts w:ascii="Garamond" w:hAnsi="Garamond"/>
          <w:noProof/>
        </w:rPr>
        <w:t>SECTION I. GENERAL INFORMATION</w:t>
      </w:r>
      <w:r w:rsidR="000F6776">
        <w:rPr>
          <w:noProof/>
        </w:rPr>
        <w:tab/>
      </w:r>
      <w:r w:rsidR="000F6776">
        <w:rPr>
          <w:noProof/>
        </w:rPr>
        <w:fldChar w:fldCharType="begin"/>
      </w:r>
      <w:r w:rsidR="000F6776">
        <w:rPr>
          <w:noProof/>
        </w:rPr>
        <w:instrText xml:space="preserve"> PAGEREF _Toc219189910 \h </w:instrText>
      </w:r>
      <w:r w:rsidR="000F6776">
        <w:rPr>
          <w:noProof/>
        </w:rPr>
      </w:r>
      <w:r w:rsidR="000F6776">
        <w:rPr>
          <w:noProof/>
        </w:rPr>
        <w:fldChar w:fldCharType="separate"/>
      </w:r>
      <w:r w:rsidR="000F6776">
        <w:rPr>
          <w:noProof/>
        </w:rPr>
        <w:t>4</w:t>
      </w:r>
      <w:r w:rsidR="000F6776">
        <w:rPr>
          <w:noProof/>
        </w:rPr>
        <w:fldChar w:fldCharType="end"/>
      </w:r>
    </w:p>
    <w:p w14:paraId="79B425BD" w14:textId="4F66F9AB"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A.</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Purpose</w:t>
      </w:r>
      <w:r>
        <w:tab/>
      </w:r>
      <w:r>
        <w:fldChar w:fldCharType="begin"/>
      </w:r>
      <w:r>
        <w:instrText xml:space="preserve"> PAGEREF _Toc219189911 \h </w:instrText>
      </w:r>
      <w:r>
        <w:fldChar w:fldCharType="separate"/>
      </w:r>
      <w:r>
        <w:t>4</w:t>
      </w:r>
      <w:r>
        <w:fldChar w:fldCharType="end"/>
      </w:r>
    </w:p>
    <w:p w14:paraId="0F18B5C7" w14:textId="64CACFD2"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B.</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Facility Location</w:t>
      </w:r>
      <w:r>
        <w:tab/>
      </w:r>
      <w:r>
        <w:fldChar w:fldCharType="begin"/>
      </w:r>
      <w:r>
        <w:instrText xml:space="preserve"> PAGEREF _Toc219189912 \h </w:instrText>
      </w:r>
      <w:r>
        <w:fldChar w:fldCharType="separate"/>
      </w:r>
      <w:r>
        <w:t>4</w:t>
      </w:r>
      <w:r>
        <w:fldChar w:fldCharType="end"/>
      </w:r>
    </w:p>
    <w:p w14:paraId="42025F58" w14:textId="1B1370BC"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C.</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Facility Background Information</w:t>
      </w:r>
      <w:r>
        <w:tab/>
      </w:r>
      <w:r>
        <w:fldChar w:fldCharType="begin"/>
      </w:r>
      <w:r>
        <w:instrText xml:space="preserve"> PAGEREF _Toc219189913 \h </w:instrText>
      </w:r>
      <w:r>
        <w:fldChar w:fldCharType="separate"/>
      </w:r>
      <w:r>
        <w:t>4</w:t>
      </w:r>
      <w:r>
        <w:fldChar w:fldCharType="end"/>
      </w:r>
    </w:p>
    <w:p w14:paraId="70109AD1" w14:textId="2801EFF9"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D.</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Taking and Damaging Analysis</w:t>
      </w:r>
      <w:r>
        <w:tab/>
      </w:r>
      <w:r>
        <w:fldChar w:fldCharType="begin"/>
      </w:r>
      <w:r>
        <w:instrText xml:space="preserve"> PAGEREF _Toc219189914 \h </w:instrText>
      </w:r>
      <w:r>
        <w:fldChar w:fldCharType="separate"/>
      </w:r>
      <w:r>
        <w:t>5</w:t>
      </w:r>
      <w:r>
        <w:fldChar w:fldCharType="end"/>
      </w:r>
    </w:p>
    <w:p w14:paraId="48103AB0" w14:textId="2D73D1B4"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E.</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Compliance Designation</w:t>
      </w:r>
      <w:r>
        <w:tab/>
      </w:r>
      <w:r>
        <w:fldChar w:fldCharType="begin"/>
      </w:r>
      <w:r>
        <w:instrText xml:space="preserve"> PAGEREF _Toc219189915 \h </w:instrText>
      </w:r>
      <w:r>
        <w:fldChar w:fldCharType="separate"/>
      </w:r>
      <w:r>
        <w:t>5</w:t>
      </w:r>
      <w:r>
        <w:fldChar w:fldCharType="end"/>
      </w:r>
    </w:p>
    <w:p w14:paraId="31A84808" w14:textId="53B755EB" w:rsidR="000F6776" w:rsidRDefault="000F6776">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r w:rsidRPr="00A97B37">
        <w:rPr>
          <w:rFonts w:ascii="Garamond" w:hAnsi="Garamond"/>
          <w:noProof/>
        </w:rPr>
        <w:t>SECTION II. SUMMARY OF EMISSIONS UNITS</w:t>
      </w:r>
      <w:r>
        <w:rPr>
          <w:noProof/>
        </w:rPr>
        <w:tab/>
      </w:r>
      <w:r>
        <w:rPr>
          <w:noProof/>
        </w:rPr>
        <w:fldChar w:fldCharType="begin"/>
      </w:r>
      <w:r>
        <w:rPr>
          <w:noProof/>
        </w:rPr>
        <w:instrText xml:space="preserve"> PAGEREF _Toc219189916 \h </w:instrText>
      </w:r>
      <w:r>
        <w:rPr>
          <w:noProof/>
        </w:rPr>
      </w:r>
      <w:r>
        <w:rPr>
          <w:noProof/>
        </w:rPr>
        <w:fldChar w:fldCharType="separate"/>
      </w:r>
      <w:r>
        <w:rPr>
          <w:noProof/>
        </w:rPr>
        <w:t>7</w:t>
      </w:r>
      <w:r>
        <w:rPr>
          <w:noProof/>
        </w:rPr>
        <w:fldChar w:fldCharType="end"/>
      </w:r>
    </w:p>
    <w:p w14:paraId="1FE0296F" w14:textId="5AC314E7"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A.</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Facility Process Description</w:t>
      </w:r>
      <w:r>
        <w:tab/>
      </w:r>
      <w:r>
        <w:fldChar w:fldCharType="begin"/>
      </w:r>
      <w:r>
        <w:instrText xml:space="preserve"> PAGEREF _Toc219189917 \h </w:instrText>
      </w:r>
      <w:r>
        <w:fldChar w:fldCharType="separate"/>
      </w:r>
      <w:r>
        <w:t>7</w:t>
      </w:r>
      <w:r>
        <w:fldChar w:fldCharType="end"/>
      </w:r>
    </w:p>
    <w:p w14:paraId="75A24895" w14:textId="0C46C148"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B.</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Emissions Units and Pollution Control Device Identification</w:t>
      </w:r>
      <w:r>
        <w:tab/>
      </w:r>
      <w:r>
        <w:fldChar w:fldCharType="begin"/>
      </w:r>
      <w:r>
        <w:instrText xml:space="preserve"> PAGEREF _Toc219189918 \h </w:instrText>
      </w:r>
      <w:r>
        <w:fldChar w:fldCharType="separate"/>
      </w:r>
      <w:r>
        <w:t>7</w:t>
      </w:r>
      <w:r>
        <w:fldChar w:fldCharType="end"/>
      </w:r>
    </w:p>
    <w:p w14:paraId="6DC78459" w14:textId="3A84766C"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C.</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Categorically Insignificant Sources/Activities</w:t>
      </w:r>
      <w:r>
        <w:tab/>
      </w:r>
      <w:r>
        <w:fldChar w:fldCharType="begin"/>
      </w:r>
      <w:r>
        <w:instrText xml:space="preserve"> PAGEREF _Toc219189919 \h </w:instrText>
      </w:r>
      <w:r>
        <w:fldChar w:fldCharType="separate"/>
      </w:r>
      <w:r>
        <w:t>8</w:t>
      </w:r>
      <w:r>
        <w:fldChar w:fldCharType="end"/>
      </w:r>
    </w:p>
    <w:p w14:paraId="1A2D2CDE" w14:textId="2C4AD475" w:rsidR="000F6776" w:rsidRDefault="000F6776">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r w:rsidRPr="00A97B37">
        <w:rPr>
          <w:rFonts w:ascii="Garamond" w:hAnsi="Garamond"/>
          <w:noProof/>
        </w:rPr>
        <w:t>SECTION III. PERMIT CONDITIONS</w:t>
      </w:r>
      <w:r>
        <w:rPr>
          <w:noProof/>
        </w:rPr>
        <w:tab/>
      </w:r>
      <w:r>
        <w:rPr>
          <w:noProof/>
        </w:rPr>
        <w:fldChar w:fldCharType="begin"/>
      </w:r>
      <w:r>
        <w:rPr>
          <w:noProof/>
        </w:rPr>
        <w:instrText xml:space="preserve"> PAGEREF _Toc219189920 \h </w:instrText>
      </w:r>
      <w:r>
        <w:rPr>
          <w:noProof/>
        </w:rPr>
      </w:r>
      <w:r>
        <w:rPr>
          <w:noProof/>
        </w:rPr>
        <w:fldChar w:fldCharType="separate"/>
      </w:r>
      <w:r>
        <w:rPr>
          <w:noProof/>
        </w:rPr>
        <w:t>9</w:t>
      </w:r>
      <w:r>
        <w:rPr>
          <w:noProof/>
        </w:rPr>
        <w:fldChar w:fldCharType="end"/>
      </w:r>
    </w:p>
    <w:p w14:paraId="521EEEBB" w14:textId="79217046"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A.</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Emission Limits and Standards</w:t>
      </w:r>
      <w:r>
        <w:tab/>
      </w:r>
      <w:r>
        <w:fldChar w:fldCharType="begin"/>
      </w:r>
      <w:r>
        <w:instrText xml:space="preserve"> PAGEREF _Toc219189921 \h </w:instrText>
      </w:r>
      <w:r>
        <w:fldChar w:fldCharType="separate"/>
      </w:r>
      <w:r>
        <w:t>9</w:t>
      </w:r>
      <w:r>
        <w:fldChar w:fldCharType="end"/>
      </w:r>
    </w:p>
    <w:p w14:paraId="07B94A9D" w14:textId="3DB87796"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B.</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Monitoring Requirements</w:t>
      </w:r>
      <w:r>
        <w:tab/>
      </w:r>
      <w:r>
        <w:fldChar w:fldCharType="begin"/>
      </w:r>
      <w:r>
        <w:instrText xml:space="preserve"> PAGEREF _Toc219189922 \h </w:instrText>
      </w:r>
      <w:r>
        <w:fldChar w:fldCharType="separate"/>
      </w:r>
      <w:r>
        <w:t>9</w:t>
      </w:r>
      <w:r>
        <w:fldChar w:fldCharType="end"/>
      </w:r>
    </w:p>
    <w:p w14:paraId="6A7011DE" w14:textId="668E2922"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C.</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Test Methods and Procedures</w:t>
      </w:r>
      <w:r>
        <w:tab/>
      </w:r>
      <w:r>
        <w:fldChar w:fldCharType="begin"/>
      </w:r>
      <w:r>
        <w:instrText xml:space="preserve"> PAGEREF _Toc219189923 \h </w:instrText>
      </w:r>
      <w:r>
        <w:fldChar w:fldCharType="separate"/>
      </w:r>
      <w:r>
        <w:t>9</w:t>
      </w:r>
      <w:r>
        <w:fldChar w:fldCharType="end"/>
      </w:r>
    </w:p>
    <w:p w14:paraId="686A71A0" w14:textId="349E8208"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D.</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Recordkeeping Requirements</w:t>
      </w:r>
      <w:r>
        <w:tab/>
      </w:r>
      <w:r>
        <w:fldChar w:fldCharType="begin"/>
      </w:r>
      <w:r>
        <w:instrText xml:space="preserve"> PAGEREF _Toc219189924 \h </w:instrText>
      </w:r>
      <w:r>
        <w:fldChar w:fldCharType="separate"/>
      </w:r>
      <w:r>
        <w:t>9</w:t>
      </w:r>
      <w:r>
        <w:fldChar w:fldCharType="end"/>
      </w:r>
    </w:p>
    <w:p w14:paraId="5695EA41" w14:textId="430393AC"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E.</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Reporting Requirements</w:t>
      </w:r>
      <w:r>
        <w:tab/>
      </w:r>
      <w:r>
        <w:fldChar w:fldCharType="begin"/>
      </w:r>
      <w:r>
        <w:instrText xml:space="preserve"> PAGEREF _Toc219189925 \h </w:instrText>
      </w:r>
      <w:r>
        <w:fldChar w:fldCharType="separate"/>
      </w:r>
      <w:r>
        <w:t>10</w:t>
      </w:r>
      <w:r>
        <w:fldChar w:fldCharType="end"/>
      </w:r>
    </w:p>
    <w:p w14:paraId="5048A55D" w14:textId="27CD0621"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F.</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Public Notice</w:t>
      </w:r>
      <w:r>
        <w:tab/>
      </w:r>
      <w:r>
        <w:fldChar w:fldCharType="begin"/>
      </w:r>
      <w:r>
        <w:instrText xml:space="preserve"> PAGEREF _Toc219189926 \h </w:instrText>
      </w:r>
      <w:r>
        <w:fldChar w:fldCharType="separate"/>
      </w:r>
      <w:r>
        <w:t>10</w:t>
      </w:r>
      <w:r>
        <w:fldChar w:fldCharType="end"/>
      </w:r>
    </w:p>
    <w:p w14:paraId="0DFCD441" w14:textId="1A5DE5D2"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G.</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Draft Permit Comments</w:t>
      </w:r>
      <w:r>
        <w:tab/>
      </w:r>
      <w:r>
        <w:fldChar w:fldCharType="begin"/>
      </w:r>
      <w:r>
        <w:instrText xml:space="preserve"> PAGEREF _Toc219189927 \h </w:instrText>
      </w:r>
      <w:r>
        <w:fldChar w:fldCharType="separate"/>
      </w:r>
      <w:r>
        <w:t>10</w:t>
      </w:r>
      <w:r>
        <w:fldChar w:fldCharType="end"/>
      </w:r>
    </w:p>
    <w:p w14:paraId="37677191" w14:textId="157C64AB" w:rsidR="000F6776" w:rsidRDefault="000F6776">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r w:rsidRPr="00A97B37">
        <w:rPr>
          <w:rFonts w:ascii="Garamond" w:hAnsi="Garamond"/>
          <w:noProof/>
        </w:rPr>
        <w:t>SECTION IV. NON-APPLICABLE REQUIREMENT ANALYSIS</w:t>
      </w:r>
      <w:r>
        <w:rPr>
          <w:noProof/>
        </w:rPr>
        <w:tab/>
      </w:r>
      <w:r>
        <w:rPr>
          <w:noProof/>
        </w:rPr>
        <w:fldChar w:fldCharType="begin"/>
      </w:r>
      <w:r>
        <w:rPr>
          <w:noProof/>
        </w:rPr>
        <w:instrText xml:space="preserve"> PAGEREF _Toc219189928 \h </w:instrText>
      </w:r>
      <w:r>
        <w:rPr>
          <w:noProof/>
        </w:rPr>
      </w:r>
      <w:r>
        <w:rPr>
          <w:noProof/>
        </w:rPr>
        <w:fldChar w:fldCharType="separate"/>
      </w:r>
      <w:r>
        <w:rPr>
          <w:noProof/>
        </w:rPr>
        <w:t>12</w:t>
      </w:r>
      <w:r>
        <w:rPr>
          <w:noProof/>
        </w:rPr>
        <w:fldChar w:fldCharType="end"/>
      </w:r>
    </w:p>
    <w:p w14:paraId="167CAB1C" w14:textId="5A0DC531" w:rsidR="000F6776" w:rsidRDefault="000F6776">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r w:rsidRPr="00A97B37">
        <w:rPr>
          <w:rFonts w:ascii="Garamond" w:hAnsi="Garamond"/>
          <w:noProof/>
        </w:rPr>
        <w:t>SECTION V. FUTURE PERMIT CONSIDERATIONS</w:t>
      </w:r>
      <w:r>
        <w:rPr>
          <w:noProof/>
        </w:rPr>
        <w:tab/>
      </w:r>
      <w:r>
        <w:rPr>
          <w:noProof/>
        </w:rPr>
        <w:fldChar w:fldCharType="begin"/>
      </w:r>
      <w:r>
        <w:rPr>
          <w:noProof/>
        </w:rPr>
        <w:instrText xml:space="preserve"> PAGEREF _Toc219189929 \h </w:instrText>
      </w:r>
      <w:r>
        <w:rPr>
          <w:noProof/>
        </w:rPr>
      </w:r>
      <w:r>
        <w:rPr>
          <w:noProof/>
        </w:rPr>
        <w:fldChar w:fldCharType="separate"/>
      </w:r>
      <w:r>
        <w:rPr>
          <w:noProof/>
        </w:rPr>
        <w:t>14</w:t>
      </w:r>
      <w:r>
        <w:rPr>
          <w:noProof/>
        </w:rPr>
        <w:fldChar w:fldCharType="end"/>
      </w:r>
    </w:p>
    <w:p w14:paraId="47BD0612" w14:textId="680A1D6F"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A.</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MACT Standards (Part 63)</w:t>
      </w:r>
      <w:r>
        <w:tab/>
      </w:r>
      <w:r>
        <w:fldChar w:fldCharType="begin"/>
      </w:r>
      <w:r>
        <w:instrText xml:space="preserve"> PAGEREF _Toc219189930 \h </w:instrText>
      </w:r>
      <w:r>
        <w:fldChar w:fldCharType="separate"/>
      </w:r>
      <w:r>
        <w:t>14</w:t>
      </w:r>
      <w:r>
        <w:fldChar w:fldCharType="end"/>
      </w:r>
    </w:p>
    <w:p w14:paraId="399EC385" w14:textId="239378B9"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B.</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NESHAP Standards (Part 61)</w:t>
      </w:r>
      <w:r>
        <w:tab/>
      </w:r>
      <w:r>
        <w:fldChar w:fldCharType="begin"/>
      </w:r>
      <w:r>
        <w:instrText xml:space="preserve"> PAGEREF _Toc219189931 \h </w:instrText>
      </w:r>
      <w:r>
        <w:fldChar w:fldCharType="separate"/>
      </w:r>
      <w:r>
        <w:t>14</w:t>
      </w:r>
      <w:r>
        <w:fldChar w:fldCharType="end"/>
      </w:r>
    </w:p>
    <w:p w14:paraId="1ABF9D23" w14:textId="36680BAD"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C.</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NSPS Standards</w:t>
      </w:r>
      <w:r>
        <w:tab/>
      </w:r>
      <w:r>
        <w:fldChar w:fldCharType="begin"/>
      </w:r>
      <w:r>
        <w:instrText xml:space="preserve"> PAGEREF _Toc219189932 \h </w:instrText>
      </w:r>
      <w:r>
        <w:fldChar w:fldCharType="separate"/>
      </w:r>
      <w:r>
        <w:t>14</w:t>
      </w:r>
      <w:r>
        <w:fldChar w:fldCharType="end"/>
      </w:r>
    </w:p>
    <w:p w14:paraId="43FBF6B2" w14:textId="2F6E9DED"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D.</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Risk Management Plan</w:t>
      </w:r>
      <w:r>
        <w:tab/>
      </w:r>
      <w:r>
        <w:fldChar w:fldCharType="begin"/>
      </w:r>
      <w:r>
        <w:instrText xml:space="preserve"> PAGEREF _Toc219189933 \h </w:instrText>
      </w:r>
      <w:r>
        <w:fldChar w:fldCharType="separate"/>
      </w:r>
      <w:r>
        <w:t>14</w:t>
      </w:r>
      <w:r>
        <w:fldChar w:fldCharType="end"/>
      </w:r>
    </w:p>
    <w:p w14:paraId="3433E03C" w14:textId="2A3B3B8F"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E.</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CAM Applicability</w:t>
      </w:r>
      <w:r>
        <w:tab/>
      </w:r>
      <w:r>
        <w:fldChar w:fldCharType="begin"/>
      </w:r>
      <w:r>
        <w:instrText xml:space="preserve"> PAGEREF _Toc219189934 \h </w:instrText>
      </w:r>
      <w:r>
        <w:fldChar w:fldCharType="separate"/>
      </w:r>
      <w:r>
        <w:t>14</w:t>
      </w:r>
      <w:r>
        <w:fldChar w:fldCharType="end"/>
      </w:r>
    </w:p>
    <w:p w14:paraId="452E21E8" w14:textId="3CDF3BAC"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F.</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PSD and Title V Greenhouse Gas Tailoring Rule</w:t>
      </w:r>
      <w:r>
        <w:tab/>
      </w:r>
      <w:r>
        <w:fldChar w:fldCharType="begin"/>
      </w:r>
      <w:r>
        <w:instrText xml:space="preserve"> PAGEREF _Toc219189935 \h </w:instrText>
      </w:r>
      <w:r>
        <w:fldChar w:fldCharType="separate"/>
      </w:r>
      <w:r>
        <w:t>15</w:t>
      </w:r>
      <w:r>
        <w:fldChar w:fldCharType="end"/>
      </w:r>
    </w:p>
    <w:p w14:paraId="3BA8D144" w14:textId="15D79F65" w:rsidR="002F5D7E" w:rsidRPr="00230CEC" w:rsidRDefault="002F5D7E">
      <w:pPr>
        <w:pStyle w:val="Header"/>
        <w:tabs>
          <w:tab w:val="clear" w:pos="4320"/>
          <w:tab w:val="clear" w:pos="8640"/>
        </w:tabs>
        <w:rPr>
          <w:rFonts w:ascii="Garamond" w:hAnsi="Garamond"/>
          <w:sz w:val="24"/>
          <w:szCs w:val="24"/>
        </w:rPr>
      </w:pPr>
      <w:r w:rsidRPr="00230CEC">
        <w:rPr>
          <w:rFonts w:ascii="Garamond" w:hAnsi="Garamond"/>
          <w:sz w:val="24"/>
          <w:szCs w:val="24"/>
        </w:rPr>
        <w:fldChar w:fldCharType="end"/>
      </w:r>
    </w:p>
    <w:p w14:paraId="5670EDA7" w14:textId="77777777" w:rsidR="002F5D7E" w:rsidRPr="00230CEC" w:rsidRDefault="002F5D7E">
      <w:pPr>
        <w:rPr>
          <w:rFonts w:ascii="Garamond" w:hAnsi="Garamond"/>
          <w:sz w:val="24"/>
          <w:szCs w:val="24"/>
        </w:rPr>
      </w:pPr>
    </w:p>
    <w:p w14:paraId="4559F23D" w14:textId="77777777" w:rsidR="002F5D7E" w:rsidRPr="00F82CFD" w:rsidRDefault="002F5D7E">
      <w:pPr>
        <w:rPr>
          <w:rFonts w:ascii="Garamond" w:hAnsi="Garamond"/>
        </w:rPr>
      </w:pPr>
    </w:p>
    <w:p w14:paraId="26AEEE72" w14:textId="77777777" w:rsidR="002F5D7E" w:rsidRPr="00F82CFD" w:rsidRDefault="002F5D7E">
      <w:pPr>
        <w:rPr>
          <w:rFonts w:ascii="Garamond" w:hAnsi="Garamond"/>
        </w:rPr>
      </w:pPr>
    </w:p>
    <w:p w14:paraId="1FFE4E8D" w14:textId="77777777" w:rsidR="002F5D7E" w:rsidRPr="00F82CFD" w:rsidRDefault="002F5D7E">
      <w:pPr>
        <w:pStyle w:val="Heading1"/>
        <w:rPr>
          <w:rFonts w:ascii="Garamond" w:hAnsi="Garamond"/>
          <w:sz w:val="24"/>
          <w:szCs w:val="24"/>
        </w:rPr>
      </w:pPr>
      <w:r w:rsidRPr="00F82CFD">
        <w:rPr>
          <w:rFonts w:ascii="Garamond" w:hAnsi="Garamond"/>
        </w:rPr>
        <w:br w:type="page"/>
      </w:r>
      <w:bookmarkStart w:id="0" w:name="_Toc219189910"/>
      <w:r w:rsidRPr="00F82CFD">
        <w:rPr>
          <w:rFonts w:ascii="Garamond" w:hAnsi="Garamond"/>
          <w:sz w:val="24"/>
          <w:szCs w:val="24"/>
        </w:rPr>
        <w:lastRenderedPageBreak/>
        <w:t>GENERAL INFORMATION</w:t>
      </w:r>
      <w:bookmarkEnd w:id="0"/>
    </w:p>
    <w:p w14:paraId="7A184778" w14:textId="77777777" w:rsidR="002F5D7E" w:rsidRPr="00F82CFD" w:rsidRDefault="002F5D7E">
      <w:pPr>
        <w:rPr>
          <w:rFonts w:ascii="Garamond" w:hAnsi="Garamond"/>
          <w:sz w:val="24"/>
          <w:szCs w:val="24"/>
        </w:rPr>
      </w:pPr>
    </w:p>
    <w:p w14:paraId="107AB50B" w14:textId="77777777" w:rsidR="002F5D7E" w:rsidRPr="006C251D" w:rsidRDefault="002F5D7E">
      <w:pPr>
        <w:pStyle w:val="Heading2"/>
        <w:spacing w:before="0" w:beforeAutospacing="0" w:after="0" w:afterAutospacing="0"/>
        <w:rPr>
          <w:rFonts w:ascii="Garamond" w:hAnsi="Garamond"/>
          <w:sz w:val="24"/>
          <w:szCs w:val="24"/>
        </w:rPr>
      </w:pPr>
      <w:bookmarkStart w:id="1" w:name="_Toc219189911"/>
      <w:r w:rsidRPr="006C251D">
        <w:rPr>
          <w:rFonts w:ascii="Garamond" w:hAnsi="Garamond"/>
          <w:sz w:val="24"/>
          <w:szCs w:val="24"/>
        </w:rPr>
        <w:t>Purpose</w:t>
      </w:r>
      <w:bookmarkEnd w:id="1"/>
    </w:p>
    <w:p w14:paraId="4E801095" w14:textId="77777777" w:rsidR="002F5D7E" w:rsidRPr="006C251D" w:rsidRDefault="002F5D7E">
      <w:pPr>
        <w:rPr>
          <w:rFonts w:ascii="Garamond" w:hAnsi="Garamond"/>
          <w:sz w:val="24"/>
          <w:szCs w:val="24"/>
        </w:rPr>
      </w:pPr>
    </w:p>
    <w:p w14:paraId="2208F6B4" w14:textId="44D3D9A0" w:rsidR="002F5D7E" w:rsidRPr="006C251D" w:rsidRDefault="002F5D7E" w:rsidP="00E12ACA">
      <w:pPr>
        <w:rPr>
          <w:rFonts w:ascii="Garamond" w:hAnsi="Garamond"/>
          <w:sz w:val="24"/>
          <w:szCs w:val="24"/>
        </w:rPr>
      </w:pPr>
      <w:r w:rsidRPr="006C251D">
        <w:rPr>
          <w:rFonts w:ascii="Garamond" w:hAnsi="Garamond"/>
          <w:sz w:val="24"/>
          <w:szCs w:val="24"/>
        </w:rPr>
        <w:t xml:space="preserve">This document establishes the basis for the decisions made regarding the applicable requirements, monitoring plan, and compliance status of emissions units affected by the operating permit proposed for this facility.  The document is intended for reference during review of the proposed permit by the Environmental Protection Agency (EPA) and the public.  It is also intended to provide background information not included in the operating permit and to document issues that may become important during modifications or renewals of the permit.  Conclusions in this document are based on information provided in the original application submitted by </w:t>
      </w:r>
      <w:r w:rsidR="00EA2BE9">
        <w:rPr>
          <w:rFonts w:ascii="Garamond" w:hAnsi="Garamond"/>
          <w:sz w:val="24"/>
          <w:szCs w:val="24"/>
        </w:rPr>
        <w:t>NWE</w:t>
      </w:r>
      <w:r w:rsidRPr="006C251D">
        <w:rPr>
          <w:rFonts w:ascii="Garamond" w:hAnsi="Garamond"/>
          <w:sz w:val="24"/>
          <w:szCs w:val="24"/>
        </w:rPr>
        <w:t xml:space="preserve"> on </w:t>
      </w:r>
      <w:r w:rsidR="00EA2BE9">
        <w:rPr>
          <w:rFonts w:ascii="Garamond" w:hAnsi="Garamond"/>
          <w:sz w:val="24"/>
          <w:szCs w:val="24"/>
        </w:rPr>
        <w:t xml:space="preserve">December </w:t>
      </w:r>
      <w:r w:rsidR="00E12ACA">
        <w:rPr>
          <w:rFonts w:ascii="Garamond" w:hAnsi="Garamond"/>
          <w:sz w:val="24"/>
          <w:szCs w:val="24"/>
        </w:rPr>
        <w:t>20</w:t>
      </w:r>
      <w:r w:rsidR="00EA2BE9">
        <w:rPr>
          <w:rFonts w:ascii="Garamond" w:hAnsi="Garamond"/>
          <w:sz w:val="24"/>
          <w:szCs w:val="24"/>
        </w:rPr>
        <w:t>, 2024</w:t>
      </w:r>
      <w:r w:rsidR="00E12ACA">
        <w:rPr>
          <w:rFonts w:ascii="Garamond" w:hAnsi="Garamond"/>
          <w:sz w:val="24"/>
          <w:szCs w:val="24"/>
        </w:rPr>
        <w:t>,</w:t>
      </w:r>
      <w:r w:rsidR="00EA2BE9">
        <w:rPr>
          <w:rFonts w:ascii="Garamond" w:hAnsi="Garamond"/>
          <w:sz w:val="24"/>
          <w:szCs w:val="24"/>
        </w:rPr>
        <w:t xml:space="preserve"> </w:t>
      </w:r>
      <w:r w:rsidR="00E12ACA">
        <w:rPr>
          <w:rFonts w:ascii="Garamond" w:hAnsi="Garamond"/>
          <w:sz w:val="24"/>
          <w:szCs w:val="24"/>
        </w:rPr>
        <w:t xml:space="preserve">with additional technical details submitted on </w:t>
      </w:r>
      <w:r w:rsidR="00EA2BE9">
        <w:rPr>
          <w:rFonts w:ascii="Garamond" w:hAnsi="Garamond"/>
          <w:sz w:val="24"/>
          <w:szCs w:val="24"/>
        </w:rPr>
        <w:t xml:space="preserve">March </w:t>
      </w:r>
      <w:r w:rsidR="00E12ACA">
        <w:rPr>
          <w:rFonts w:ascii="Garamond" w:hAnsi="Garamond"/>
          <w:sz w:val="24"/>
          <w:szCs w:val="24"/>
        </w:rPr>
        <w:t>5</w:t>
      </w:r>
      <w:r w:rsidR="00EA2BE9">
        <w:rPr>
          <w:rFonts w:ascii="Garamond" w:hAnsi="Garamond"/>
          <w:sz w:val="24"/>
          <w:szCs w:val="24"/>
        </w:rPr>
        <w:t>, 2025</w:t>
      </w:r>
      <w:r w:rsidR="00E12ACA">
        <w:rPr>
          <w:rFonts w:ascii="Garamond" w:hAnsi="Garamond"/>
          <w:sz w:val="24"/>
          <w:szCs w:val="24"/>
        </w:rPr>
        <w:t>.</w:t>
      </w:r>
      <w:r w:rsidRPr="006C251D">
        <w:rPr>
          <w:rFonts w:ascii="Garamond" w:hAnsi="Garamond"/>
          <w:sz w:val="24"/>
          <w:szCs w:val="24"/>
        </w:rPr>
        <w:t xml:space="preserve"> </w:t>
      </w:r>
      <w:r w:rsidR="00E12ACA">
        <w:rPr>
          <w:rFonts w:ascii="Garamond" w:hAnsi="Garamond"/>
          <w:sz w:val="24"/>
          <w:szCs w:val="24"/>
        </w:rPr>
        <w:t>Additional supporting documentation including the Montana Air Quality Permit application and MAQP #526</w:t>
      </w:r>
      <w:r w:rsidR="006711F4">
        <w:rPr>
          <w:rFonts w:ascii="Garamond" w:hAnsi="Garamond"/>
          <w:sz w:val="24"/>
          <w:szCs w:val="24"/>
        </w:rPr>
        <w:t>1-00</w:t>
      </w:r>
      <w:r w:rsidR="00E12ACA">
        <w:rPr>
          <w:rFonts w:ascii="Garamond" w:hAnsi="Garamond"/>
          <w:sz w:val="24"/>
          <w:szCs w:val="24"/>
        </w:rPr>
        <w:t xml:space="preserve"> final on September 8, 2021, was also referenced in developing this initial Title V </w:t>
      </w:r>
      <w:r w:rsidR="006711F4">
        <w:rPr>
          <w:rFonts w:ascii="Garamond" w:hAnsi="Garamond"/>
          <w:sz w:val="24"/>
          <w:szCs w:val="24"/>
        </w:rPr>
        <w:t xml:space="preserve">operating </w:t>
      </w:r>
      <w:r w:rsidR="00E12ACA">
        <w:rPr>
          <w:rFonts w:ascii="Garamond" w:hAnsi="Garamond"/>
          <w:sz w:val="24"/>
          <w:szCs w:val="24"/>
        </w:rPr>
        <w:t>permit.</w:t>
      </w:r>
    </w:p>
    <w:p w14:paraId="3DBDED33" w14:textId="77777777" w:rsidR="002F5D7E" w:rsidRPr="006C251D" w:rsidRDefault="002F5D7E">
      <w:pPr>
        <w:pStyle w:val="Heading2"/>
        <w:rPr>
          <w:rFonts w:ascii="Garamond" w:hAnsi="Garamond"/>
          <w:sz w:val="24"/>
          <w:szCs w:val="24"/>
        </w:rPr>
      </w:pPr>
      <w:bookmarkStart w:id="2" w:name="_Toc219189912"/>
      <w:r w:rsidRPr="006C251D">
        <w:rPr>
          <w:rFonts w:ascii="Garamond" w:hAnsi="Garamond"/>
          <w:sz w:val="24"/>
          <w:szCs w:val="24"/>
        </w:rPr>
        <w:t>Facility Location</w:t>
      </w:r>
      <w:bookmarkEnd w:id="2"/>
    </w:p>
    <w:p w14:paraId="3A418DC7" w14:textId="056E6166" w:rsidR="002F5D7E" w:rsidRPr="006C251D" w:rsidRDefault="0088708E" w:rsidP="00E12ACA">
      <w:pPr>
        <w:rPr>
          <w:rFonts w:ascii="Garamond" w:hAnsi="Garamond"/>
          <w:sz w:val="24"/>
          <w:szCs w:val="24"/>
          <w:highlight w:val="yellow"/>
        </w:rPr>
      </w:pPr>
      <w:r w:rsidRPr="0088708E">
        <w:rPr>
          <w:rFonts w:ascii="Garamond" w:hAnsi="Garamond"/>
          <w:sz w:val="24"/>
          <w:szCs w:val="24"/>
        </w:rPr>
        <w:t xml:space="preserve">The legal description of the site is the N ½ of Section 15, Township 2 South, Range 24 East in Yellowstone County, Montana. The City of Laurel wastewater treatment plant borders the property to the west while existing NWE and CHS Laurel Refinery property make up the northern boundary.  A private residence borders the northeastern and eastern sides. The main </w:t>
      </w:r>
      <w:r w:rsidR="00B46E10">
        <w:rPr>
          <w:rFonts w:ascii="Garamond" w:hAnsi="Garamond"/>
          <w:sz w:val="24"/>
          <w:szCs w:val="24"/>
        </w:rPr>
        <w:t>YCGS</w:t>
      </w:r>
      <w:r w:rsidRPr="0088708E">
        <w:rPr>
          <w:rFonts w:ascii="Garamond" w:hAnsi="Garamond"/>
          <w:sz w:val="24"/>
          <w:szCs w:val="24"/>
        </w:rPr>
        <w:t xml:space="preserve"> facility building </w:t>
      </w:r>
      <w:r w:rsidR="00E12ACA">
        <w:rPr>
          <w:rFonts w:ascii="Garamond" w:hAnsi="Garamond"/>
          <w:sz w:val="24"/>
          <w:szCs w:val="24"/>
        </w:rPr>
        <w:t>is</w:t>
      </w:r>
      <w:r w:rsidRPr="0088708E">
        <w:rPr>
          <w:rFonts w:ascii="Garamond" w:hAnsi="Garamond"/>
          <w:sz w:val="24"/>
          <w:szCs w:val="24"/>
        </w:rPr>
        <w:t xml:space="preserve"> constructed in approximately the center of the 36-acre lot.</w:t>
      </w:r>
      <w:r w:rsidR="00BB6C70">
        <w:rPr>
          <w:rFonts w:ascii="Garamond" w:hAnsi="Garamond"/>
          <w:sz w:val="24"/>
          <w:szCs w:val="24"/>
        </w:rPr>
        <w:t xml:space="preserve"> The main RICE are generally centered around latitude 45.659869</w:t>
      </w:r>
      <w:r w:rsidR="008C1DD4">
        <w:rPr>
          <w:rFonts w:ascii="Garamond" w:hAnsi="Garamond"/>
          <w:sz w:val="24"/>
          <w:szCs w:val="24"/>
        </w:rPr>
        <w:t xml:space="preserve"> degrees</w:t>
      </w:r>
      <w:r w:rsidR="00BB6C70">
        <w:rPr>
          <w:rFonts w:ascii="Garamond" w:hAnsi="Garamond"/>
          <w:sz w:val="24"/>
          <w:szCs w:val="24"/>
        </w:rPr>
        <w:t xml:space="preserve"> and longitude -108.746068</w:t>
      </w:r>
      <w:r w:rsidR="008C1DD4">
        <w:rPr>
          <w:rFonts w:ascii="Garamond" w:hAnsi="Garamond"/>
          <w:sz w:val="24"/>
          <w:szCs w:val="24"/>
        </w:rPr>
        <w:t xml:space="preserve"> degrees</w:t>
      </w:r>
      <w:r w:rsidR="00BB6C70">
        <w:rPr>
          <w:rFonts w:ascii="Garamond" w:hAnsi="Garamond"/>
          <w:sz w:val="24"/>
          <w:szCs w:val="24"/>
        </w:rPr>
        <w:t>.</w:t>
      </w:r>
    </w:p>
    <w:p w14:paraId="7FE8D35F" w14:textId="1A15667B" w:rsidR="008952E5" w:rsidRDefault="002F5D7E" w:rsidP="008952E5">
      <w:pPr>
        <w:pStyle w:val="Heading2"/>
        <w:ind w:left="720" w:hanging="720"/>
        <w:rPr>
          <w:rFonts w:ascii="Garamond" w:hAnsi="Garamond"/>
          <w:sz w:val="24"/>
          <w:szCs w:val="24"/>
        </w:rPr>
      </w:pPr>
      <w:bookmarkStart w:id="3" w:name="_Toc219189913"/>
      <w:r w:rsidRPr="006C251D">
        <w:rPr>
          <w:rFonts w:ascii="Garamond" w:hAnsi="Garamond"/>
          <w:sz w:val="24"/>
          <w:szCs w:val="24"/>
        </w:rPr>
        <w:t>Facility Background Information</w:t>
      </w:r>
      <w:bookmarkEnd w:id="3"/>
      <w:r w:rsidRPr="006C251D">
        <w:rPr>
          <w:rFonts w:ascii="Garamond" w:hAnsi="Garamond"/>
          <w:sz w:val="24"/>
          <w:szCs w:val="24"/>
        </w:rPr>
        <w:t xml:space="preserve"> </w:t>
      </w:r>
    </w:p>
    <w:p w14:paraId="78BF8193" w14:textId="63DAAC86" w:rsidR="006E1005" w:rsidRDefault="006E1005" w:rsidP="006E1005">
      <w:pPr>
        <w:rPr>
          <w:rFonts w:ascii="Garamond" w:hAnsi="Garamond"/>
          <w:sz w:val="24"/>
          <w:szCs w:val="24"/>
          <w:u w:val="single"/>
        </w:rPr>
      </w:pPr>
      <w:r w:rsidRPr="006E1005">
        <w:rPr>
          <w:rFonts w:ascii="Garamond" w:hAnsi="Garamond"/>
          <w:sz w:val="24"/>
          <w:szCs w:val="24"/>
          <w:u w:val="single"/>
        </w:rPr>
        <w:t>Montana Air Quality Permit History</w:t>
      </w:r>
    </w:p>
    <w:p w14:paraId="5F06590A" w14:textId="77777777" w:rsidR="006E1005" w:rsidRDefault="006E1005" w:rsidP="006E1005">
      <w:pPr>
        <w:rPr>
          <w:rFonts w:ascii="Garamond" w:hAnsi="Garamond"/>
          <w:sz w:val="24"/>
          <w:szCs w:val="24"/>
          <w:u w:val="single"/>
        </w:rPr>
      </w:pPr>
    </w:p>
    <w:p w14:paraId="67D7A6B3" w14:textId="73C5530A" w:rsidR="0088708E" w:rsidRPr="0088708E" w:rsidRDefault="0088708E" w:rsidP="0088708E">
      <w:pPr>
        <w:rPr>
          <w:rFonts w:ascii="Garamond" w:hAnsi="Garamond"/>
          <w:sz w:val="24"/>
          <w:szCs w:val="24"/>
        </w:rPr>
      </w:pPr>
      <w:r>
        <w:rPr>
          <w:rFonts w:ascii="Garamond" w:hAnsi="Garamond"/>
          <w:sz w:val="24"/>
          <w:szCs w:val="24"/>
        </w:rPr>
        <w:t xml:space="preserve">On May 10, 2021, NWE </w:t>
      </w:r>
      <w:proofErr w:type="gramStart"/>
      <w:r>
        <w:rPr>
          <w:rFonts w:ascii="Garamond" w:hAnsi="Garamond"/>
          <w:sz w:val="24"/>
          <w:szCs w:val="24"/>
        </w:rPr>
        <w:t>submitted an application</w:t>
      </w:r>
      <w:proofErr w:type="gramEnd"/>
      <w:r>
        <w:rPr>
          <w:rFonts w:ascii="Garamond" w:hAnsi="Garamond"/>
          <w:sz w:val="24"/>
          <w:szCs w:val="24"/>
        </w:rPr>
        <w:t xml:space="preserve"> for what was originally identified as the Laurel Generating Station, which has since been renamed as the Yellowstone County Generating Station (YCGS). </w:t>
      </w:r>
      <w:r w:rsidRPr="0088708E">
        <w:rPr>
          <w:rFonts w:ascii="Garamond" w:hAnsi="Garamond"/>
          <w:sz w:val="24"/>
          <w:szCs w:val="24"/>
        </w:rPr>
        <w:t xml:space="preserve">The generating units consist of eighteen (18) natural gas-fired reciprocating internal combustion engine (RICE) generator sets each with a nominal gross output of approximately 9.7-megawatt electric (MWe) per generator, for total nominal gross plant output of 175 MWe. Each engine is rated for approximately 13,008 horsepower (hp). </w:t>
      </w:r>
    </w:p>
    <w:p w14:paraId="5722FCAA" w14:textId="77777777" w:rsidR="0088708E" w:rsidRPr="0088708E" w:rsidRDefault="0088708E" w:rsidP="0088708E">
      <w:pPr>
        <w:rPr>
          <w:rFonts w:ascii="Garamond" w:hAnsi="Garamond"/>
          <w:sz w:val="24"/>
          <w:szCs w:val="24"/>
        </w:rPr>
      </w:pPr>
    </w:p>
    <w:p w14:paraId="7443E537" w14:textId="20FFADBA" w:rsidR="0088708E" w:rsidRPr="0088708E" w:rsidRDefault="0088708E" w:rsidP="0088708E">
      <w:pPr>
        <w:rPr>
          <w:rFonts w:ascii="Garamond" w:hAnsi="Garamond"/>
          <w:sz w:val="24"/>
          <w:szCs w:val="24"/>
        </w:rPr>
      </w:pPr>
      <w:r w:rsidRPr="0088708E">
        <w:rPr>
          <w:rFonts w:ascii="Garamond" w:hAnsi="Garamond"/>
          <w:sz w:val="24"/>
          <w:szCs w:val="24"/>
        </w:rPr>
        <w:t xml:space="preserve">An emergency generator and an emergency fire pump </w:t>
      </w:r>
      <w:r>
        <w:rPr>
          <w:rFonts w:ascii="Garamond" w:hAnsi="Garamond"/>
          <w:sz w:val="24"/>
          <w:szCs w:val="24"/>
        </w:rPr>
        <w:t>are also</w:t>
      </w:r>
      <w:r w:rsidRPr="0088708E">
        <w:rPr>
          <w:rFonts w:ascii="Garamond" w:hAnsi="Garamond"/>
          <w:sz w:val="24"/>
          <w:szCs w:val="24"/>
        </w:rPr>
        <w:t xml:space="preserve"> located at the </w:t>
      </w:r>
      <w:r>
        <w:rPr>
          <w:rFonts w:ascii="Garamond" w:hAnsi="Garamond"/>
          <w:sz w:val="24"/>
          <w:szCs w:val="24"/>
        </w:rPr>
        <w:t>YCGS</w:t>
      </w:r>
      <w:r w:rsidRPr="0088708E">
        <w:rPr>
          <w:rFonts w:ascii="Garamond" w:hAnsi="Garamond"/>
          <w:sz w:val="24"/>
          <w:szCs w:val="24"/>
        </w:rPr>
        <w:t xml:space="preserve">, each equipped with a diesel engine rated at 2,682 brake horsepower (bhp) and 315 bhp, respectively. </w:t>
      </w:r>
    </w:p>
    <w:p w14:paraId="6BBD588D" w14:textId="77777777" w:rsidR="0088708E" w:rsidRPr="0088708E" w:rsidRDefault="0088708E" w:rsidP="0088708E">
      <w:pPr>
        <w:rPr>
          <w:rFonts w:ascii="Garamond" w:hAnsi="Garamond"/>
          <w:sz w:val="24"/>
          <w:szCs w:val="24"/>
        </w:rPr>
      </w:pPr>
    </w:p>
    <w:p w14:paraId="47AFAD8F" w14:textId="61139FF4" w:rsidR="0088708E" w:rsidRPr="0088708E" w:rsidRDefault="0088708E" w:rsidP="0088708E">
      <w:pPr>
        <w:rPr>
          <w:rFonts w:ascii="Garamond" w:hAnsi="Garamond"/>
          <w:sz w:val="24"/>
          <w:szCs w:val="24"/>
        </w:rPr>
      </w:pPr>
      <w:r w:rsidRPr="0088708E">
        <w:rPr>
          <w:rFonts w:ascii="Garamond" w:hAnsi="Garamond"/>
          <w:sz w:val="24"/>
          <w:szCs w:val="24"/>
        </w:rPr>
        <w:t xml:space="preserve">There </w:t>
      </w:r>
      <w:r>
        <w:rPr>
          <w:rFonts w:ascii="Garamond" w:hAnsi="Garamond"/>
          <w:sz w:val="24"/>
          <w:szCs w:val="24"/>
        </w:rPr>
        <w:t>is also a</w:t>
      </w:r>
      <w:r w:rsidRPr="0088708E">
        <w:rPr>
          <w:rFonts w:ascii="Garamond" w:hAnsi="Garamond"/>
          <w:sz w:val="24"/>
          <w:szCs w:val="24"/>
        </w:rPr>
        <w:t xml:space="preserve"> 1.11 million British thermal unit per hour (MMBtu/</w:t>
      </w:r>
      <w:proofErr w:type="spellStart"/>
      <w:r w:rsidRPr="0088708E">
        <w:rPr>
          <w:rFonts w:ascii="Garamond" w:hAnsi="Garamond"/>
          <w:sz w:val="24"/>
          <w:szCs w:val="24"/>
        </w:rPr>
        <w:t>hr</w:t>
      </w:r>
      <w:proofErr w:type="spellEnd"/>
      <w:r w:rsidRPr="0088708E">
        <w:rPr>
          <w:rFonts w:ascii="Garamond" w:hAnsi="Garamond"/>
          <w:sz w:val="24"/>
          <w:szCs w:val="24"/>
        </w:rPr>
        <w:t>) natural gas dew point heater, also referred to as a line heater, for preheating natural gas to the RICE.</w:t>
      </w:r>
      <w:r>
        <w:rPr>
          <w:rFonts w:ascii="Garamond" w:hAnsi="Garamond"/>
          <w:sz w:val="24"/>
          <w:szCs w:val="24"/>
        </w:rPr>
        <w:t xml:space="preserve"> </w:t>
      </w:r>
      <w:r w:rsidRPr="0088708E">
        <w:rPr>
          <w:rFonts w:ascii="Garamond" w:hAnsi="Garamond"/>
          <w:b/>
          <w:bCs/>
          <w:sz w:val="24"/>
          <w:szCs w:val="24"/>
        </w:rPr>
        <w:t>MAQP #5261-00</w:t>
      </w:r>
      <w:r>
        <w:rPr>
          <w:rFonts w:ascii="Garamond" w:hAnsi="Garamond"/>
          <w:sz w:val="24"/>
          <w:szCs w:val="24"/>
        </w:rPr>
        <w:t xml:space="preserve"> was issued final on September 8, 2021.</w:t>
      </w:r>
    </w:p>
    <w:p w14:paraId="47527A8E" w14:textId="77777777" w:rsidR="006E1005" w:rsidRDefault="006E1005" w:rsidP="006E1005">
      <w:pPr>
        <w:rPr>
          <w:rFonts w:ascii="Garamond" w:hAnsi="Garamond"/>
          <w:sz w:val="24"/>
          <w:szCs w:val="24"/>
          <w:u w:val="single"/>
        </w:rPr>
      </w:pPr>
    </w:p>
    <w:p w14:paraId="709635C5" w14:textId="57AEDB30" w:rsidR="006E1005" w:rsidRDefault="006E1005" w:rsidP="006E1005">
      <w:pPr>
        <w:rPr>
          <w:rFonts w:ascii="Garamond" w:hAnsi="Garamond"/>
          <w:sz w:val="24"/>
          <w:szCs w:val="24"/>
          <w:u w:val="single"/>
        </w:rPr>
      </w:pPr>
      <w:r>
        <w:rPr>
          <w:rFonts w:ascii="Garamond" w:hAnsi="Garamond"/>
          <w:sz w:val="24"/>
          <w:szCs w:val="24"/>
          <w:u w:val="single"/>
        </w:rPr>
        <w:t>Title V Operating Permit History</w:t>
      </w:r>
    </w:p>
    <w:p w14:paraId="443EB652" w14:textId="77777777" w:rsidR="006E1005" w:rsidRDefault="006E1005" w:rsidP="006E1005">
      <w:pPr>
        <w:rPr>
          <w:rFonts w:ascii="Garamond" w:hAnsi="Garamond"/>
          <w:sz w:val="24"/>
          <w:szCs w:val="24"/>
          <w:u w:val="single"/>
        </w:rPr>
      </w:pPr>
    </w:p>
    <w:p w14:paraId="5B0AC409" w14:textId="4F265B92" w:rsidR="006E1005" w:rsidRPr="00E12ACA" w:rsidRDefault="00E12ACA" w:rsidP="006E1005">
      <w:pPr>
        <w:rPr>
          <w:rFonts w:ascii="Garamond" w:hAnsi="Garamond"/>
          <w:sz w:val="24"/>
          <w:szCs w:val="24"/>
        </w:rPr>
      </w:pPr>
      <w:r w:rsidRPr="00E12ACA">
        <w:rPr>
          <w:rFonts w:ascii="Garamond" w:hAnsi="Garamond"/>
          <w:sz w:val="24"/>
          <w:szCs w:val="24"/>
        </w:rPr>
        <w:t>This ini</w:t>
      </w:r>
      <w:r>
        <w:rPr>
          <w:rFonts w:ascii="Garamond" w:hAnsi="Garamond"/>
          <w:sz w:val="24"/>
          <w:szCs w:val="24"/>
        </w:rPr>
        <w:t>tial</w:t>
      </w:r>
      <w:r w:rsidRPr="00E12ACA">
        <w:rPr>
          <w:rFonts w:ascii="Garamond" w:hAnsi="Garamond"/>
          <w:sz w:val="24"/>
          <w:szCs w:val="24"/>
        </w:rPr>
        <w:t xml:space="preserve"> YCGS Operating Permit </w:t>
      </w:r>
      <w:r w:rsidRPr="00991091">
        <w:rPr>
          <w:rFonts w:ascii="Garamond" w:hAnsi="Garamond"/>
          <w:b/>
          <w:bCs/>
          <w:sz w:val="24"/>
          <w:szCs w:val="24"/>
        </w:rPr>
        <w:t>#OP5261-00</w:t>
      </w:r>
      <w:r w:rsidRPr="00E12ACA">
        <w:rPr>
          <w:rFonts w:ascii="Garamond" w:hAnsi="Garamond"/>
          <w:sz w:val="24"/>
          <w:szCs w:val="24"/>
        </w:rPr>
        <w:t xml:space="preserve"> will be </w:t>
      </w:r>
      <w:r w:rsidR="002E1991">
        <w:rPr>
          <w:rFonts w:ascii="Garamond" w:hAnsi="Garamond"/>
          <w:sz w:val="24"/>
          <w:szCs w:val="24"/>
        </w:rPr>
        <w:t>effective</w:t>
      </w:r>
      <w:r w:rsidRPr="00E12ACA">
        <w:rPr>
          <w:rFonts w:ascii="Garamond" w:hAnsi="Garamond"/>
          <w:sz w:val="24"/>
          <w:szCs w:val="24"/>
        </w:rPr>
        <w:t xml:space="preserve"> once the process proceeds thru the draft, proposed, decision, and final </w:t>
      </w:r>
      <w:r w:rsidR="006638D0">
        <w:rPr>
          <w:rFonts w:ascii="Garamond" w:hAnsi="Garamond"/>
          <w:sz w:val="24"/>
          <w:szCs w:val="24"/>
        </w:rPr>
        <w:t>version</w:t>
      </w:r>
      <w:r w:rsidRPr="00E12ACA">
        <w:rPr>
          <w:rFonts w:ascii="Garamond" w:hAnsi="Garamond"/>
          <w:sz w:val="24"/>
          <w:szCs w:val="24"/>
        </w:rPr>
        <w:t>.</w:t>
      </w:r>
    </w:p>
    <w:p w14:paraId="39433D2F" w14:textId="77777777" w:rsidR="006E1005" w:rsidRPr="006E1005" w:rsidRDefault="006E1005" w:rsidP="006E1005">
      <w:pPr>
        <w:rPr>
          <w:rFonts w:ascii="Garamond" w:hAnsi="Garamond"/>
          <w:sz w:val="24"/>
          <w:szCs w:val="24"/>
          <w:u w:val="single"/>
        </w:rPr>
      </w:pPr>
    </w:p>
    <w:p w14:paraId="6246703C" w14:textId="77777777" w:rsidR="003E4718" w:rsidRPr="003E4718" w:rsidRDefault="003E4718" w:rsidP="003E4718"/>
    <w:p w14:paraId="3C08868F" w14:textId="77777777" w:rsidR="002F5D7E" w:rsidRPr="006C251D" w:rsidRDefault="002F5D7E">
      <w:pPr>
        <w:pStyle w:val="Heading2"/>
        <w:ind w:left="720" w:hanging="720"/>
        <w:rPr>
          <w:rFonts w:ascii="Garamond" w:hAnsi="Garamond"/>
          <w:sz w:val="24"/>
          <w:szCs w:val="24"/>
        </w:rPr>
      </w:pPr>
      <w:bookmarkStart w:id="4" w:name="_Toc219189914"/>
      <w:r w:rsidRPr="006C251D">
        <w:rPr>
          <w:rFonts w:ascii="Garamond" w:hAnsi="Garamond"/>
          <w:sz w:val="24"/>
          <w:szCs w:val="24"/>
        </w:rPr>
        <w:lastRenderedPageBreak/>
        <w:t>Taking and Damaging Analysis</w:t>
      </w:r>
      <w:bookmarkEnd w:id="4"/>
      <w:r w:rsidRPr="006C251D">
        <w:rPr>
          <w:rFonts w:ascii="Garamond" w:hAnsi="Garamond"/>
          <w:sz w:val="24"/>
          <w:szCs w:val="24"/>
        </w:rPr>
        <w:t xml:space="preserve"> </w:t>
      </w:r>
    </w:p>
    <w:p w14:paraId="724714E4" w14:textId="1E370FBF" w:rsidR="002F5D7E" w:rsidRPr="006C251D" w:rsidRDefault="002F5D7E" w:rsidP="00467333">
      <w:pPr>
        <w:ind w:left="360"/>
        <w:rPr>
          <w:rFonts w:ascii="Garamond" w:hAnsi="Garamond"/>
          <w:sz w:val="24"/>
          <w:szCs w:val="24"/>
        </w:rPr>
      </w:pPr>
      <w:r w:rsidRPr="006C251D">
        <w:rPr>
          <w:rFonts w:ascii="Garamond" w:hAnsi="Garamond"/>
          <w:sz w:val="24"/>
          <w:szCs w:val="24"/>
        </w:rPr>
        <w:t xml:space="preserve">HB 311, the Montana Private Property Assessment Act, requires analysis of every proposed state agency administrative rule, policy, permit condition or permit denial, pertaining to an environmental matter, to determine whether the state action constitutes a taking or damaging of private real property that requires compensation under the Montana or U.S. Constitution.  As part of issuing an operating permit, </w:t>
      </w:r>
      <w:r w:rsidR="00543213">
        <w:rPr>
          <w:rFonts w:ascii="Garamond" w:hAnsi="Garamond"/>
          <w:sz w:val="24"/>
          <w:szCs w:val="24"/>
        </w:rPr>
        <w:t>DEQ</w:t>
      </w:r>
      <w:r w:rsidRPr="006C251D">
        <w:rPr>
          <w:rFonts w:ascii="Garamond" w:hAnsi="Garamond"/>
          <w:sz w:val="24"/>
          <w:szCs w:val="24"/>
        </w:rPr>
        <w:t xml:space="preserve"> is required to complete a Taking and Damaging Checklist.  As required by 2-10-101 through 2-10-105, MCA, </w:t>
      </w:r>
      <w:r w:rsidR="00543213">
        <w:rPr>
          <w:rFonts w:ascii="Garamond" w:hAnsi="Garamond"/>
          <w:sz w:val="24"/>
          <w:szCs w:val="24"/>
        </w:rPr>
        <w:t>DEQ</w:t>
      </w:r>
      <w:r w:rsidRPr="006C251D">
        <w:rPr>
          <w:rFonts w:ascii="Garamond" w:hAnsi="Garamond"/>
          <w:sz w:val="24"/>
          <w:szCs w:val="24"/>
        </w:rPr>
        <w:t xml:space="preserve"> conducted the following private property taking and damaging assessment.</w:t>
      </w:r>
    </w:p>
    <w:p w14:paraId="2BF96CDC" w14:textId="77777777" w:rsidR="002F5D7E" w:rsidRPr="006C251D" w:rsidRDefault="002F5D7E" w:rsidP="00467333">
      <w:pPr>
        <w:ind w:left="360"/>
        <w:rPr>
          <w:rFonts w:ascii="Garamond" w:hAnsi="Garamond"/>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720"/>
        <w:gridCol w:w="7897"/>
      </w:tblGrid>
      <w:tr w:rsidR="002F5D7E" w:rsidRPr="006C251D" w14:paraId="4E0466EF" w14:textId="77777777" w:rsidTr="005C682B">
        <w:trPr>
          <w:cantSplit/>
          <w:tblHeader/>
        </w:trPr>
        <w:tc>
          <w:tcPr>
            <w:tcW w:w="738" w:type="dxa"/>
            <w:tcBorders>
              <w:bottom w:val="nil"/>
            </w:tcBorders>
            <w:shd w:val="clear" w:color="auto" w:fill="FFFFFF"/>
          </w:tcPr>
          <w:p w14:paraId="1AD1FB7B" w14:textId="77777777" w:rsidR="002F5D7E" w:rsidRPr="006C251D" w:rsidRDefault="002F5D7E" w:rsidP="00C507C8">
            <w:pPr>
              <w:rPr>
                <w:rFonts w:ascii="Garamond" w:hAnsi="Garamond"/>
                <w:b/>
                <w:sz w:val="24"/>
                <w:szCs w:val="24"/>
              </w:rPr>
            </w:pPr>
            <w:r w:rsidRPr="006C251D">
              <w:rPr>
                <w:rFonts w:ascii="Garamond" w:hAnsi="Garamond"/>
                <w:b/>
                <w:sz w:val="24"/>
                <w:szCs w:val="24"/>
              </w:rPr>
              <w:t>YES</w:t>
            </w:r>
          </w:p>
        </w:tc>
        <w:tc>
          <w:tcPr>
            <w:tcW w:w="720" w:type="dxa"/>
            <w:shd w:val="clear" w:color="auto" w:fill="CCCCCC"/>
          </w:tcPr>
          <w:p w14:paraId="04A96312" w14:textId="77777777" w:rsidR="002F5D7E" w:rsidRPr="006C251D" w:rsidRDefault="002F5D7E" w:rsidP="00C507C8">
            <w:pPr>
              <w:rPr>
                <w:rFonts w:ascii="Garamond" w:hAnsi="Garamond"/>
                <w:b/>
                <w:sz w:val="24"/>
                <w:szCs w:val="24"/>
              </w:rPr>
            </w:pPr>
            <w:r w:rsidRPr="006C251D">
              <w:rPr>
                <w:rFonts w:ascii="Garamond" w:hAnsi="Garamond"/>
                <w:b/>
                <w:sz w:val="24"/>
                <w:szCs w:val="24"/>
              </w:rPr>
              <w:t>NO</w:t>
            </w:r>
          </w:p>
        </w:tc>
        <w:tc>
          <w:tcPr>
            <w:tcW w:w="7897" w:type="dxa"/>
          </w:tcPr>
          <w:p w14:paraId="714A64A8" w14:textId="77777777" w:rsidR="002F5D7E" w:rsidRPr="006C251D" w:rsidRDefault="002F5D7E" w:rsidP="00C507C8">
            <w:pPr>
              <w:rPr>
                <w:rFonts w:ascii="Garamond" w:hAnsi="Garamond"/>
                <w:sz w:val="24"/>
                <w:szCs w:val="24"/>
              </w:rPr>
            </w:pPr>
          </w:p>
        </w:tc>
      </w:tr>
      <w:tr w:rsidR="002F5D7E" w:rsidRPr="006C251D" w14:paraId="70F9AA29" w14:textId="77777777" w:rsidTr="005C682B">
        <w:trPr>
          <w:cantSplit/>
        </w:trPr>
        <w:tc>
          <w:tcPr>
            <w:tcW w:w="738" w:type="dxa"/>
            <w:tcBorders>
              <w:bottom w:val="nil"/>
            </w:tcBorders>
            <w:shd w:val="clear" w:color="auto" w:fill="FFFFFF"/>
          </w:tcPr>
          <w:p w14:paraId="19EDB9DD" w14:textId="5160777B" w:rsidR="002F5D7E" w:rsidRPr="006C251D" w:rsidRDefault="002523E5" w:rsidP="005570B4">
            <w:pPr>
              <w:jc w:val="center"/>
              <w:rPr>
                <w:rFonts w:ascii="Garamond" w:hAnsi="Garamond"/>
                <w:sz w:val="24"/>
                <w:szCs w:val="24"/>
              </w:rPr>
            </w:pPr>
            <w:r>
              <w:rPr>
                <w:rFonts w:ascii="Garamond" w:hAnsi="Garamond"/>
                <w:sz w:val="24"/>
                <w:szCs w:val="24"/>
              </w:rPr>
              <w:t>X</w:t>
            </w:r>
          </w:p>
        </w:tc>
        <w:tc>
          <w:tcPr>
            <w:tcW w:w="720" w:type="dxa"/>
            <w:shd w:val="clear" w:color="auto" w:fill="CCCCCC"/>
          </w:tcPr>
          <w:p w14:paraId="5000215C" w14:textId="77777777" w:rsidR="002F5D7E" w:rsidRPr="006C251D" w:rsidRDefault="002F5D7E" w:rsidP="005570B4">
            <w:pPr>
              <w:jc w:val="center"/>
              <w:rPr>
                <w:rFonts w:ascii="Garamond" w:hAnsi="Garamond"/>
                <w:sz w:val="24"/>
                <w:szCs w:val="24"/>
              </w:rPr>
            </w:pPr>
          </w:p>
        </w:tc>
        <w:tc>
          <w:tcPr>
            <w:tcW w:w="7897" w:type="dxa"/>
          </w:tcPr>
          <w:p w14:paraId="300CAA9A" w14:textId="77777777" w:rsidR="002F5D7E" w:rsidRPr="006C251D" w:rsidRDefault="002F5D7E" w:rsidP="00C507C8">
            <w:pPr>
              <w:rPr>
                <w:rFonts w:ascii="Garamond" w:hAnsi="Garamond"/>
                <w:sz w:val="24"/>
                <w:szCs w:val="24"/>
              </w:rPr>
            </w:pPr>
            <w:r w:rsidRPr="006C251D">
              <w:rPr>
                <w:rFonts w:ascii="Garamond" w:hAnsi="Garamond"/>
                <w:sz w:val="24"/>
                <w:szCs w:val="24"/>
              </w:rPr>
              <w:t>1. Does the action pertain to land or water management or environmental regulation affecting private real property or water rights?</w:t>
            </w:r>
          </w:p>
        </w:tc>
      </w:tr>
      <w:tr w:rsidR="002F5D7E" w:rsidRPr="006C251D" w14:paraId="04AE0204" w14:textId="77777777" w:rsidTr="005C682B">
        <w:trPr>
          <w:cantSplit/>
        </w:trPr>
        <w:tc>
          <w:tcPr>
            <w:tcW w:w="738" w:type="dxa"/>
            <w:shd w:val="pct15" w:color="auto" w:fill="FFFFFF"/>
          </w:tcPr>
          <w:p w14:paraId="3501ED64" w14:textId="77777777" w:rsidR="002F5D7E" w:rsidRPr="006C251D" w:rsidRDefault="002F5D7E" w:rsidP="005570B4">
            <w:pPr>
              <w:jc w:val="center"/>
              <w:rPr>
                <w:rFonts w:ascii="Garamond" w:hAnsi="Garamond"/>
                <w:sz w:val="24"/>
                <w:szCs w:val="24"/>
              </w:rPr>
            </w:pPr>
          </w:p>
        </w:tc>
        <w:tc>
          <w:tcPr>
            <w:tcW w:w="720" w:type="dxa"/>
          </w:tcPr>
          <w:p w14:paraId="25FCF0F8" w14:textId="7CD48D7C" w:rsidR="002F5D7E" w:rsidRPr="006C251D" w:rsidRDefault="002523E5" w:rsidP="005570B4">
            <w:pPr>
              <w:jc w:val="center"/>
              <w:rPr>
                <w:rFonts w:ascii="Garamond" w:hAnsi="Garamond"/>
                <w:sz w:val="24"/>
                <w:szCs w:val="24"/>
              </w:rPr>
            </w:pPr>
            <w:r>
              <w:rPr>
                <w:rFonts w:ascii="Garamond" w:hAnsi="Garamond"/>
                <w:sz w:val="24"/>
                <w:szCs w:val="24"/>
              </w:rPr>
              <w:t>X</w:t>
            </w:r>
          </w:p>
        </w:tc>
        <w:tc>
          <w:tcPr>
            <w:tcW w:w="7897" w:type="dxa"/>
          </w:tcPr>
          <w:p w14:paraId="73B51330" w14:textId="77777777" w:rsidR="002F5D7E" w:rsidRPr="006C251D" w:rsidRDefault="002F5D7E" w:rsidP="00C507C8">
            <w:pPr>
              <w:rPr>
                <w:rFonts w:ascii="Garamond" w:hAnsi="Garamond"/>
                <w:sz w:val="24"/>
                <w:szCs w:val="24"/>
              </w:rPr>
            </w:pPr>
            <w:r w:rsidRPr="006C251D">
              <w:rPr>
                <w:rFonts w:ascii="Garamond" w:hAnsi="Garamond"/>
                <w:sz w:val="24"/>
                <w:szCs w:val="24"/>
              </w:rPr>
              <w:t>2.  Does the action result in either a permanent or indefinite physical occupation of private property?</w:t>
            </w:r>
          </w:p>
        </w:tc>
      </w:tr>
      <w:tr w:rsidR="002F5D7E" w:rsidRPr="006C251D" w14:paraId="766EA75A" w14:textId="77777777" w:rsidTr="005C682B">
        <w:trPr>
          <w:cantSplit/>
        </w:trPr>
        <w:tc>
          <w:tcPr>
            <w:tcW w:w="738" w:type="dxa"/>
            <w:shd w:val="pct15" w:color="auto" w:fill="FFFFFF"/>
          </w:tcPr>
          <w:p w14:paraId="22900462" w14:textId="77777777" w:rsidR="002F5D7E" w:rsidRPr="006C251D" w:rsidRDefault="002F5D7E" w:rsidP="005570B4">
            <w:pPr>
              <w:jc w:val="center"/>
              <w:rPr>
                <w:rFonts w:ascii="Garamond" w:hAnsi="Garamond"/>
                <w:sz w:val="24"/>
                <w:szCs w:val="24"/>
              </w:rPr>
            </w:pPr>
          </w:p>
        </w:tc>
        <w:tc>
          <w:tcPr>
            <w:tcW w:w="720" w:type="dxa"/>
          </w:tcPr>
          <w:p w14:paraId="0A04EE89" w14:textId="0144CC28" w:rsidR="002F5D7E" w:rsidRPr="006C251D" w:rsidRDefault="002523E5" w:rsidP="005570B4">
            <w:pPr>
              <w:jc w:val="center"/>
              <w:rPr>
                <w:rFonts w:ascii="Garamond" w:hAnsi="Garamond"/>
                <w:sz w:val="24"/>
                <w:szCs w:val="24"/>
              </w:rPr>
            </w:pPr>
            <w:r>
              <w:rPr>
                <w:rFonts w:ascii="Garamond" w:hAnsi="Garamond"/>
                <w:sz w:val="24"/>
                <w:szCs w:val="24"/>
              </w:rPr>
              <w:t>X</w:t>
            </w:r>
          </w:p>
        </w:tc>
        <w:tc>
          <w:tcPr>
            <w:tcW w:w="7897" w:type="dxa"/>
          </w:tcPr>
          <w:p w14:paraId="7A3FA375" w14:textId="77777777" w:rsidR="002F5D7E" w:rsidRPr="006C251D" w:rsidRDefault="002F5D7E" w:rsidP="00C507C8">
            <w:pPr>
              <w:rPr>
                <w:rFonts w:ascii="Garamond" w:hAnsi="Garamond"/>
                <w:sz w:val="24"/>
                <w:szCs w:val="24"/>
              </w:rPr>
            </w:pPr>
            <w:r w:rsidRPr="006C251D">
              <w:rPr>
                <w:rFonts w:ascii="Garamond" w:hAnsi="Garamond"/>
                <w:sz w:val="24"/>
                <w:szCs w:val="24"/>
              </w:rPr>
              <w:t>3.  Does the action deny a fundamental attribute of ownership? (ex.:  right to exclude others, disposal of property)</w:t>
            </w:r>
          </w:p>
        </w:tc>
      </w:tr>
      <w:tr w:rsidR="002F5D7E" w:rsidRPr="006C251D" w14:paraId="33AE43D7" w14:textId="77777777" w:rsidTr="005C682B">
        <w:trPr>
          <w:cantSplit/>
        </w:trPr>
        <w:tc>
          <w:tcPr>
            <w:tcW w:w="738" w:type="dxa"/>
            <w:shd w:val="pct15" w:color="auto" w:fill="FFFFFF"/>
          </w:tcPr>
          <w:p w14:paraId="0E171E9C" w14:textId="77777777" w:rsidR="002F5D7E" w:rsidRPr="006C251D" w:rsidRDefault="002F5D7E" w:rsidP="005570B4">
            <w:pPr>
              <w:jc w:val="center"/>
              <w:rPr>
                <w:rFonts w:ascii="Garamond" w:hAnsi="Garamond"/>
                <w:sz w:val="24"/>
                <w:szCs w:val="24"/>
              </w:rPr>
            </w:pPr>
          </w:p>
        </w:tc>
        <w:tc>
          <w:tcPr>
            <w:tcW w:w="720" w:type="dxa"/>
          </w:tcPr>
          <w:p w14:paraId="27FE0457" w14:textId="4758C29E" w:rsidR="002F5D7E" w:rsidRPr="006C251D" w:rsidRDefault="002523E5" w:rsidP="005570B4">
            <w:pPr>
              <w:jc w:val="center"/>
              <w:rPr>
                <w:rFonts w:ascii="Garamond" w:hAnsi="Garamond"/>
                <w:sz w:val="24"/>
                <w:szCs w:val="24"/>
              </w:rPr>
            </w:pPr>
            <w:r>
              <w:rPr>
                <w:rFonts w:ascii="Garamond" w:hAnsi="Garamond"/>
                <w:sz w:val="24"/>
                <w:szCs w:val="24"/>
              </w:rPr>
              <w:t>X</w:t>
            </w:r>
          </w:p>
        </w:tc>
        <w:tc>
          <w:tcPr>
            <w:tcW w:w="7897" w:type="dxa"/>
          </w:tcPr>
          <w:p w14:paraId="56F943E3" w14:textId="77777777" w:rsidR="002F5D7E" w:rsidRPr="006C251D" w:rsidRDefault="002F5D7E" w:rsidP="00C507C8">
            <w:pPr>
              <w:rPr>
                <w:rFonts w:ascii="Garamond" w:hAnsi="Garamond"/>
                <w:sz w:val="24"/>
                <w:szCs w:val="24"/>
              </w:rPr>
            </w:pPr>
            <w:r w:rsidRPr="006C251D">
              <w:rPr>
                <w:rFonts w:ascii="Garamond" w:hAnsi="Garamond"/>
                <w:sz w:val="24"/>
                <w:szCs w:val="24"/>
              </w:rPr>
              <w:t>4.  Does the action deprive the owner of all economically viable uses of the property?</w:t>
            </w:r>
          </w:p>
        </w:tc>
      </w:tr>
      <w:tr w:rsidR="002F5D7E" w:rsidRPr="006C251D" w14:paraId="0FA36AF7" w14:textId="77777777" w:rsidTr="005C682B">
        <w:trPr>
          <w:cantSplit/>
        </w:trPr>
        <w:tc>
          <w:tcPr>
            <w:tcW w:w="738" w:type="dxa"/>
          </w:tcPr>
          <w:p w14:paraId="3F6D69EB" w14:textId="77777777" w:rsidR="002F5D7E" w:rsidRPr="006C251D" w:rsidRDefault="002F5D7E" w:rsidP="005570B4">
            <w:pPr>
              <w:jc w:val="center"/>
              <w:rPr>
                <w:rFonts w:ascii="Garamond" w:hAnsi="Garamond"/>
                <w:sz w:val="24"/>
                <w:szCs w:val="24"/>
              </w:rPr>
            </w:pPr>
          </w:p>
        </w:tc>
        <w:tc>
          <w:tcPr>
            <w:tcW w:w="720" w:type="dxa"/>
          </w:tcPr>
          <w:p w14:paraId="63853BE7" w14:textId="332F080F" w:rsidR="002F5D7E" w:rsidRPr="006C251D" w:rsidRDefault="002523E5" w:rsidP="005570B4">
            <w:pPr>
              <w:jc w:val="center"/>
              <w:rPr>
                <w:rFonts w:ascii="Garamond" w:hAnsi="Garamond"/>
                <w:sz w:val="24"/>
                <w:szCs w:val="24"/>
              </w:rPr>
            </w:pPr>
            <w:r>
              <w:rPr>
                <w:rFonts w:ascii="Garamond" w:hAnsi="Garamond"/>
                <w:sz w:val="24"/>
                <w:szCs w:val="24"/>
              </w:rPr>
              <w:t>X</w:t>
            </w:r>
          </w:p>
        </w:tc>
        <w:tc>
          <w:tcPr>
            <w:tcW w:w="7897" w:type="dxa"/>
          </w:tcPr>
          <w:p w14:paraId="0957FD77" w14:textId="77777777" w:rsidR="002F5D7E" w:rsidRPr="006C251D" w:rsidRDefault="002F5D7E" w:rsidP="00C507C8">
            <w:pPr>
              <w:rPr>
                <w:rFonts w:ascii="Garamond" w:hAnsi="Garamond"/>
                <w:sz w:val="24"/>
                <w:szCs w:val="24"/>
              </w:rPr>
            </w:pPr>
            <w:r w:rsidRPr="006C251D">
              <w:rPr>
                <w:rFonts w:ascii="Garamond" w:hAnsi="Garamond"/>
                <w:sz w:val="24"/>
                <w:szCs w:val="24"/>
              </w:rPr>
              <w:t>5.  Does the action require a property owner to dedicate a portion of property or to grant an easement? [If no, go to (6)].</w:t>
            </w:r>
          </w:p>
        </w:tc>
      </w:tr>
      <w:tr w:rsidR="002F5D7E" w:rsidRPr="006C251D" w14:paraId="5C183F42" w14:textId="77777777" w:rsidTr="005C682B">
        <w:trPr>
          <w:cantSplit/>
        </w:trPr>
        <w:tc>
          <w:tcPr>
            <w:tcW w:w="738" w:type="dxa"/>
          </w:tcPr>
          <w:p w14:paraId="0B4B4A12" w14:textId="77777777" w:rsidR="002F5D7E" w:rsidRPr="006C251D" w:rsidRDefault="002F5D7E" w:rsidP="005570B4">
            <w:pPr>
              <w:jc w:val="center"/>
              <w:rPr>
                <w:rFonts w:ascii="Garamond" w:hAnsi="Garamond"/>
                <w:sz w:val="24"/>
                <w:szCs w:val="24"/>
              </w:rPr>
            </w:pPr>
          </w:p>
        </w:tc>
        <w:tc>
          <w:tcPr>
            <w:tcW w:w="720" w:type="dxa"/>
            <w:shd w:val="pct15" w:color="auto" w:fill="FFFFFF"/>
          </w:tcPr>
          <w:p w14:paraId="62653AD3" w14:textId="77777777" w:rsidR="002F5D7E" w:rsidRPr="006C251D" w:rsidRDefault="002F5D7E" w:rsidP="005570B4">
            <w:pPr>
              <w:jc w:val="center"/>
              <w:rPr>
                <w:rFonts w:ascii="Garamond" w:hAnsi="Garamond"/>
                <w:sz w:val="24"/>
                <w:szCs w:val="24"/>
              </w:rPr>
            </w:pPr>
          </w:p>
        </w:tc>
        <w:tc>
          <w:tcPr>
            <w:tcW w:w="7897" w:type="dxa"/>
          </w:tcPr>
          <w:p w14:paraId="608EA9E2" w14:textId="77777777" w:rsidR="002F5D7E" w:rsidRPr="006C251D" w:rsidRDefault="002F5D7E" w:rsidP="00C507C8">
            <w:pPr>
              <w:rPr>
                <w:rFonts w:ascii="Garamond" w:hAnsi="Garamond"/>
                <w:sz w:val="24"/>
                <w:szCs w:val="24"/>
              </w:rPr>
            </w:pPr>
            <w:r w:rsidRPr="006C251D">
              <w:rPr>
                <w:rFonts w:ascii="Garamond" w:hAnsi="Garamond"/>
                <w:sz w:val="24"/>
                <w:szCs w:val="24"/>
              </w:rPr>
              <w:t>5a.  Is there a reasonable, specific connection between the government requirement and legitimate state interests?</w:t>
            </w:r>
          </w:p>
        </w:tc>
      </w:tr>
      <w:tr w:rsidR="002F5D7E" w:rsidRPr="006C251D" w14:paraId="0E0A3575" w14:textId="77777777" w:rsidTr="005C682B">
        <w:trPr>
          <w:cantSplit/>
        </w:trPr>
        <w:tc>
          <w:tcPr>
            <w:tcW w:w="738" w:type="dxa"/>
          </w:tcPr>
          <w:p w14:paraId="293F9FFE" w14:textId="77777777" w:rsidR="002F5D7E" w:rsidRPr="006C251D" w:rsidRDefault="002F5D7E" w:rsidP="005570B4">
            <w:pPr>
              <w:jc w:val="center"/>
              <w:rPr>
                <w:rFonts w:ascii="Garamond" w:hAnsi="Garamond"/>
                <w:sz w:val="24"/>
                <w:szCs w:val="24"/>
              </w:rPr>
            </w:pPr>
          </w:p>
        </w:tc>
        <w:tc>
          <w:tcPr>
            <w:tcW w:w="720" w:type="dxa"/>
            <w:shd w:val="pct15" w:color="auto" w:fill="FFFFFF"/>
          </w:tcPr>
          <w:p w14:paraId="08E9A506" w14:textId="77777777" w:rsidR="002F5D7E" w:rsidRPr="006C251D" w:rsidRDefault="002F5D7E" w:rsidP="005570B4">
            <w:pPr>
              <w:jc w:val="center"/>
              <w:rPr>
                <w:rFonts w:ascii="Garamond" w:hAnsi="Garamond"/>
                <w:sz w:val="24"/>
                <w:szCs w:val="24"/>
              </w:rPr>
            </w:pPr>
          </w:p>
        </w:tc>
        <w:tc>
          <w:tcPr>
            <w:tcW w:w="7897" w:type="dxa"/>
          </w:tcPr>
          <w:p w14:paraId="066C912E" w14:textId="77777777" w:rsidR="002F5D7E" w:rsidRPr="006C251D" w:rsidRDefault="002F5D7E" w:rsidP="00C507C8">
            <w:pPr>
              <w:rPr>
                <w:rFonts w:ascii="Garamond" w:hAnsi="Garamond"/>
                <w:sz w:val="24"/>
                <w:szCs w:val="24"/>
              </w:rPr>
            </w:pPr>
            <w:r w:rsidRPr="006C251D">
              <w:rPr>
                <w:rFonts w:ascii="Garamond" w:hAnsi="Garamond"/>
                <w:sz w:val="24"/>
                <w:szCs w:val="24"/>
              </w:rPr>
              <w:t>5b.  Is the government requirement roughly proportional to the impact of the proposed use of the property?</w:t>
            </w:r>
          </w:p>
        </w:tc>
      </w:tr>
      <w:tr w:rsidR="002F5D7E" w:rsidRPr="006C251D" w14:paraId="069C6F66" w14:textId="77777777" w:rsidTr="005C682B">
        <w:trPr>
          <w:cantSplit/>
        </w:trPr>
        <w:tc>
          <w:tcPr>
            <w:tcW w:w="738" w:type="dxa"/>
            <w:shd w:val="pct15" w:color="auto" w:fill="FFFFFF"/>
          </w:tcPr>
          <w:p w14:paraId="38B16F45" w14:textId="77777777" w:rsidR="002F5D7E" w:rsidRPr="006C251D" w:rsidRDefault="002F5D7E" w:rsidP="005570B4">
            <w:pPr>
              <w:jc w:val="center"/>
              <w:rPr>
                <w:rFonts w:ascii="Garamond" w:hAnsi="Garamond"/>
                <w:sz w:val="24"/>
                <w:szCs w:val="24"/>
              </w:rPr>
            </w:pPr>
          </w:p>
        </w:tc>
        <w:tc>
          <w:tcPr>
            <w:tcW w:w="720" w:type="dxa"/>
          </w:tcPr>
          <w:p w14:paraId="0A067287" w14:textId="2E54F287" w:rsidR="002F5D7E" w:rsidRPr="006C251D" w:rsidRDefault="002523E5" w:rsidP="005570B4">
            <w:pPr>
              <w:jc w:val="center"/>
              <w:rPr>
                <w:rFonts w:ascii="Garamond" w:hAnsi="Garamond"/>
                <w:sz w:val="24"/>
                <w:szCs w:val="24"/>
              </w:rPr>
            </w:pPr>
            <w:r>
              <w:rPr>
                <w:rFonts w:ascii="Garamond" w:hAnsi="Garamond"/>
                <w:sz w:val="24"/>
                <w:szCs w:val="24"/>
              </w:rPr>
              <w:t>X</w:t>
            </w:r>
          </w:p>
        </w:tc>
        <w:tc>
          <w:tcPr>
            <w:tcW w:w="7897" w:type="dxa"/>
          </w:tcPr>
          <w:p w14:paraId="34644AF5" w14:textId="77777777" w:rsidR="002F5D7E" w:rsidRPr="006C251D" w:rsidRDefault="002F5D7E" w:rsidP="00C507C8">
            <w:pPr>
              <w:rPr>
                <w:rFonts w:ascii="Garamond" w:hAnsi="Garamond"/>
                <w:sz w:val="24"/>
                <w:szCs w:val="24"/>
              </w:rPr>
            </w:pPr>
            <w:r w:rsidRPr="006C251D">
              <w:rPr>
                <w:rFonts w:ascii="Garamond" w:hAnsi="Garamond"/>
                <w:sz w:val="24"/>
                <w:szCs w:val="24"/>
              </w:rPr>
              <w:t>6.  Does the action have a severe impact on the value of the property?  (consider economic impact, investment-backed expectations, character of government action)</w:t>
            </w:r>
          </w:p>
        </w:tc>
      </w:tr>
      <w:tr w:rsidR="002F5D7E" w:rsidRPr="006C251D" w14:paraId="4E5C4611" w14:textId="77777777" w:rsidTr="005C682B">
        <w:trPr>
          <w:cantSplit/>
        </w:trPr>
        <w:tc>
          <w:tcPr>
            <w:tcW w:w="738" w:type="dxa"/>
          </w:tcPr>
          <w:p w14:paraId="3A6A6017" w14:textId="77777777" w:rsidR="002F5D7E" w:rsidRPr="006C251D" w:rsidRDefault="002F5D7E" w:rsidP="005570B4">
            <w:pPr>
              <w:jc w:val="center"/>
              <w:rPr>
                <w:rFonts w:ascii="Garamond" w:hAnsi="Garamond"/>
                <w:sz w:val="24"/>
                <w:szCs w:val="24"/>
              </w:rPr>
            </w:pPr>
          </w:p>
        </w:tc>
        <w:tc>
          <w:tcPr>
            <w:tcW w:w="720" w:type="dxa"/>
          </w:tcPr>
          <w:p w14:paraId="1DF52980" w14:textId="0BE8FF09" w:rsidR="002F5D7E" w:rsidRPr="006C251D" w:rsidRDefault="002523E5" w:rsidP="005570B4">
            <w:pPr>
              <w:jc w:val="center"/>
              <w:rPr>
                <w:rFonts w:ascii="Garamond" w:hAnsi="Garamond"/>
                <w:sz w:val="24"/>
                <w:szCs w:val="24"/>
              </w:rPr>
            </w:pPr>
            <w:r>
              <w:rPr>
                <w:rFonts w:ascii="Garamond" w:hAnsi="Garamond"/>
                <w:sz w:val="24"/>
                <w:szCs w:val="24"/>
              </w:rPr>
              <w:t>X</w:t>
            </w:r>
          </w:p>
        </w:tc>
        <w:tc>
          <w:tcPr>
            <w:tcW w:w="7897" w:type="dxa"/>
          </w:tcPr>
          <w:p w14:paraId="6145D07D" w14:textId="77777777" w:rsidR="002F5D7E" w:rsidRPr="006C251D" w:rsidRDefault="002F5D7E" w:rsidP="00C507C8">
            <w:pPr>
              <w:rPr>
                <w:rFonts w:ascii="Garamond" w:hAnsi="Garamond"/>
                <w:sz w:val="24"/>
                <w:szCs w:val="24"/>
              </w:rPr>
            </w:pPr>
            <w:r w:rsidRPr="006C251D">
              <w:rPr>
                <w:rFonts w:ascii="Garamond" w:hAnsi="Garamond"/>
                <w:sz w:val="24"/>
                <w:szCs w:val="24"/>
              </w:rPr>
              <w:t>7</w:t>
            </w:r>
            <w:proofErr w:type="gramStart"/>
            <w:r w:rsidRPr="006C251D">
              <w:rPr>
                <w:rFonts w:ascii="Garamond" w:hAnsi="Garamond"/>
                <w:sz w:val="24"/>
                <w:szCs w:val="24"/>
              </w:rPr>
              <w:t>.  Does</w:t>
            </w:r>
            <w:proofErr w:type="gramEnd"/>
            <w:r w:rsidRPr="006C251D">
              <w:rPr>
                <w:rFonts w:ascii="Garamond" w:hAnsi="Garamond"/>
                <w:sz w:val="24"/>
                <w:szCs w:val="24"/>
              </w:rPr>
              <w:t xml:space="preserve"> the action damage the property by causing some physical disturbance with respect to the property </w:t>
            </w:r>
            <w:proofErr w:type="gramStart"/>
            <w:r w:rsidRPr="006C251D">
              <w:rPr>
                <w:rFonts w:ascii="Garamond" w:hAnsi="Garamond"/>
                <w:sz w:val="24"/>
                <w:szCs w:val="24"/>
              </w:rPr>
              <w:t>in excess of</w:t>
            </w:r>
            <w:proofErr w:type="gramEnd"/>
            <w:r w:rsidRPr="006C251D">
              <w:rPr>
                <w:rFonts w:ascii="Garamond" w:hAnsi="Garamond"/>
                <w:sz w:val="24"/>
                <w:szCs w:val="24"/>
              </w:rPr>
              <w:t xml:space="preserve"> that sustained by the public generally?</w:t>
            </w:r>
          </w:p>
        </w:tc>
      </w:tr>
      <w:tr w:rsidR="002F5D7E" w:rsidRPr="006C251D" w14:paraId="4BBBF391" w14:textId="77777777" w:rsidTr="005C682B">
        <w:trPr>
          <w:cantSplit/>
        </w:trPr>
        <w:tc>
          <w:tcPr>
            <w:tcW w:w="738" w:type="dxa"/>
            <w:shd w:val="pct15" w:color="auto" w:fill="FFFFFF"/>
          </w:tcPr>
          <w:p w14:paraId="44F8E147" w14:textId="77777777" w:rsidR="002F5D7E" w:rsidRPr="006C251D" w:rsidRDefault="002F5D7E" w:rsidP="005570B4">
            <w:pPr>
              <w:jc w:val="center"/>
              <w:rPr>
                <w:rFonts w:ascii="Garamond" w:hAnsi="Garamond"/>
                <w:sz w:val="24"/>
                <w:szCs w:val="24"/>
              </w:rPr>
            </w:pPr>
          </w:p>
        </w:tc>
        <w:tc>
          <w:tcPr>
            <w:tcW w:w="720" w:type="dxa"/>
          </w:tcPr>
          <w:p w14:paraId="1AE7383D" w14:textId="048CB585" w:rsidR="002F5D7E" w:rsidRPr="006C251D" w:rsidRDefault="002523E5" w:rsidP="005570B4">
            <w:pPr>
              <w:jc w:val="center"/>
              <w:rPr>
                <w:rFonts w:ascii="Garamond" w:hAnsi="Garamond"/>
                <w:sz w:val="24"/>
                <w:szCs w:val="24"/>
              </w:rPr>
            </w:pPr>
            <w:r>
              <w:rPr>
                <w:rFonts w:ascii="Garamond" w:hAnsi="Garamond"/>
                <w:sz w:val="24"/>
                <w:szCs w:val="24"/>
              </w:rPr>
              <w:t>X</w:t>
            </w:r>
          </w:p>
        </w:tc>
        <w:tc>
          <w:tcPr>
            <w:tcW w:w="7897" w:type="dxa"/>
          </w:tcPr>
          <w:p w14:paraId="33652EAA" w14:textId="77777777" w:rsidR="002F5D7E" w:rsidRPr="006C251D" w:rsidRDefault="002F5D7E" w:rsidP="00C507C8">
            <w:pPr>
              <w:rPr>
                <w:rFonts w:ascii="Garamond" w:hAnsi="Garamond"/>
                <w:sz w:val="24"/>
                <w:szCs w:val="24"/>
              </w:rPr>
            </w:pPr>
            <w:r w:rsidRPr="006C251D">
              <w:rPr>
                <w:rFonts w:ascii="Garamond" w:hAnsi="Garamond"/>
                <w:sz w:val="24"/>
                <w:szCs w:val="24"/>
              </w:rPr>
              <w:t xml:space="preserve">7a.  Is the impact of government action direct, peculiar, and significant?  </w:t>
            </w:r>
          </w:p>
        </w:tc>
      </w:tr>
      <w:tr w:rsidR="002F5D7E" w:rsidRPr="006C251D" w14:paraId="579D5D1F" w14:textId="77777777" w:rsidTr="005C682B">
        <w:trPr>
          <w:cantSplit/>
        </w:trPr>
        <w:tc>
          <w:tcPr>
            <w:tcW w:w="738" w:type="dxa"/>
            <w:shd w:val="pct15" w:color="auto" w:fill="FFFFFF"/>
          </w:tcPr>
          <w:p w14:paraId="047BEA48" w14:textId="77777777" w:rsidR="002F5D7E" w:rsidRPr="006C251D" w:rsidRDefault="002F5D7E" w:rsidP="005570B4">
            <w:pPr>
              <w:jc w:val="center"/>
              <w:rPr>
                <w:rFonts w:ascii="Garamond" w:hAnsi="Garamond"/>
                <w:sz w:val="24"/>
                <w:szCs w:val="24"/>
              </w:rPr>
            </w:pPr>
          </w:p>
        </w:tc>
        <w:tc>
          <w:tcPr>
            <w:tcW w:w="720" w:type="dxa"/>
          </w:tcPr>
          <w:p w14:paraId="20D76F26" w14:textId="251C5A1A" w:rsidR="002F5D7E" w:rsidRPr="006C251D" w:rsidRDefault="002523E5" w:rsidP="005570B4">
            <w:pPr>
              <w:jc w:val="center"/>
              <w:rPr>
                <w:rFonts w:ascii="Garamond" w:hAnsi="Garamond"/>
                <w:sz w:val="24"/>
                <w:szCs w:val="24"/>
              </w:rPr>
            </w:pPr>
            <w:r>
              <w:rPr>
                <w:rFonts w:ascii="Garamond" w:hAnsi="Garamond"/>
                <w:sz w:val="24"/>
                <w:szCs w:val="24"/>
              </w:rPr>
              <w:t>X</w:t>
            </w:r>
          </w:p>
        </w:tc>
        <w:tc>
          <w:tcPr>
            <w:tcW w:w="7897" w:type="dxa"/>
          </w:tcPr>
          <w:p w14:paraId="03CFD7FB" w14:textId="77777777" w:rsidR="002F5D7E" w:rsidRPr="006C251D" w:rsidRDefault="002F5D7E" w:rsidP="00C507C8">
            <w:pPr>
              <w:rPr>
                <w:rFonts w:ascii="Garamond" w:hAnsi="Garamond"/>
                <w:sz w:val="24"/>
                <w:szCs w:val="24"/>
              </w:rPr>
            </w:pPr>
            <w:r w:rsidRPr="006C251D">
              <w:rPr>
                <w:rFonts w:ascii="Garamond" w:hAnsi="Garamond"/>
                <w:sz w:val="24"/>
                <w:szCs w:val="24"/>
              </w:rPr>
              <w:t>7b.  Has government action resulted in the property becoming practically inaccessible, waterlogged or flooded?</w:t>
            </w:r>
          </w:p>
        </w:tc>
      </w:tr>
      <w:tr w:rsidR="002F5D7E" w:rsidRPr="006C251D" w14:paraId="19E6FD17" w14:textId="77777777" w:rsidTr="005C682B">
        <w:trPr>
          <w:cantSplit/>
        </w:trPr>
        <w:tc>
          <w:tcPr>
            <w:tcW w:w="738" w:type="dxa"/>
            <w:shd w:val="pct15" w:color="auto" w:fill="FFFFFF"/>
          </w:tcPr>
          <w:p w14:paraId="4B0A5D28" w14:textId="77777777" w:rsidR="002F5D7E" w:rsidRPr="006C251D" w:rsidRDefault="002F5D7E" w:rsidP="005570B4">
            <w:pPr>
              <w:jc w:val="center"/>
              <w:rPr>
                <w:rFonts w:ascii="Garamond" w:hAnsi="Garamond"/>
                <w:sz w:val="24"/>
                <w:szCs w:val="24"/>
              </w:rPr>
            </w:pPr>
          </w:p>
        </w:tc>
        <w:tc>
          <w:tcPr>
            <w:tcW w:w="720" w:type="dxa"/>
          </w:tcPr>
          <w:p w14:paraId="67A49AC6" w14:textId="4BB9666B" w:rsidR="002F5D7E" w:rsidRPr="006C251D" w:rsidRDefault="002523E5" w:rsidP="005570B4">
            <w:pPr>
              <w:jc w:val="center"/>
              <w:rPr>
                <w:rFonts w:ascii="Garamond" w:hAnsi="Garamond"/>
                <w:sz w:val="24"/>
                <w:szCs w:val="24"/>
              </w:rPr>
            </w:pPr>
            <w:r>
              <w:rPr>
                <w:rFonts w:ascii="Garamond" w:hAnsi="Garamond"/>
                <w:sz w:val="24"/>
                <w:szCs w:val="24"/>
              </w:rPr>
              <w:t>X</w:t>
            </w:r>
          </w:p>
        </w:tc>
        <w:tc>
          <w:tcPr>
            <w:tcW w:w="7897" w:type="dxa"/>
          </w:tcPr>
          <w:p w14:paraId="30D29691" w14:textId="77777777" w:rsidR="002F5D7E" w:rsidRPr="006C251D" w:rsidRDefault="002F5D7E" w:rsidP="00C507C8">
            <w:pPr>
              <w:rPr>
                <w:rFonts w:ascii="Garamond" w:hAnsi="Garamond"/>
                <w:sz w:val="24"/>
                <w:szCs w:val="24"/>
              </w:rPr>
            </w:pPr>
            <w:r w:rsidRPr="006C251D">
              <w:rPr>
                <w:rFonts w:ascii="Garamond" w:hAnsi="Garamond"/>
                <w:sz w:val="24"/>
                <w:szCs w:val="24"/>
              </w:rPr>
              <w:t>7c.  Has government action lowered property values by more than 30% and necessitated the physical taking of adjacent property or property across a public way from the property in question?</w:t>
            </w:r>
          </w:p>
        </w:tc>
      </w:tr>
      <w:tr w:rsidR="002F5D7E" w:rsidRPr="006C251D" w14:paraId="493CED15" w14:textId="77777777" w:rsidTr="005C682B">
        <w:trPr>
          <w:cantSplit/>
        </w:trPr>
        <w:tc>
          <w:tcPr>
            <w:tcW w:w="738" w:type="dxa"/>
          </w:tcPr>
          <w:p w14:paraId="4D88089D" w14:textId="77777777" w:rsidR="002F5D7E" w:rsidRPr="006C251D" w:rsidRDefault="002F5D7E" w:rsidP="005570B4">
            <w:pPr>
              <w:jc w:val="center"/>
              <w:rPr>
                <w:rFonts w:ascii="Garamond" w:hAnsi="Garamond"/>
                <w:sz w:val="24"/>
                <w:szCs w:val="24"/>
              </w:rPr>
            </w:pPr>
          </w:p>
        </w:tc>
        <w:tc>
          <w:tcPr>
            <w:tcW w:w="720" w:type="dxa"/>
          </w:tcPr>
          <w:p w14:paraId="76BF3DC8" w14:textId="229B01F2" w:rsidR="002F5D7E" w:rsidRPr="006C251D" w:rsidRDefault="002523E5" w:rsidP="005570B4">
            <w:pPr>
              <w:jc w:val="center"/>
              <w:rPr>
                <w:rFonts w:ascii="Garamond" w:hAnsi="Garamond"/>
                <w:sz w:val="24"/>
                <w:szCs w:val="24"/>
              </w:rPr>
            </w:pPr>
            <w:r>
              <w:rPr>
                <w:rFonts w:ascii="Garamond" w:hAnsi="Garamond"/>
                <w:sz w:val="24"/>
                <w:szCs w:val="24"/>
              </w:rPr>
              <w:t>X</w:t>
            </w:r>
          </w:p>
        </w:tc>
        <w:tc>
          <w:tcPr>
            <w:tcW w:w="7897" w:type="dxa"/>
          </w:tcPr>
          <w:p w14:paraId="21B21E30" w14:textId="7EF261D1" w:rsidR="002F5D7E" w:rsidRPr="006C251D" w:rsidRDefault="002F5D7E" w:rsidP="00C507C8">
            <w:pPr>
              <w:rPr>
                <w:rFonts w:ascii="Garamond" w:hAnsi="Garamond"/>
                <w:sz w:val="24"/>
                <w:szCs w:val="24"/>
              </w:rPr>
            </w:pPr>
            <w:r w:rsidRPr="006C251D">
              <w:rPr>
                <w:rFonts w:ascii="Garamond" w:hAnsi="Garamond"/>
                <w:sz w:val="24"/>
                <w:szCs w:val="24"/>
              </w:rPr>
              <w:t xml:space="preserve">Takings or damaging implications?  (Taking or damaging implications exist if YES is checked in response to question 1 </w:t>
            </w:r>
            <w:proofErr w:type="gramStart"/>
            <w:r w:rsidRPr="006C251D">
              <w:rPr>
                <w:rFonts w:ascii="Garamond" w:hAnsi="Garamond"/>
                <w:sz w:val="24"/>
                <w:szCs w:val="24"/>
              </w:rPr>
              <w:t>and also</w:t>
            </w:r>
            <w:proofErr w:type="gramEnd"/>
            <w:r w:rsidRPr="006C251D">
              <w:rPr>
                <w:rFonts w:ascii="Garamond" w:hAnsi="Garamond"/>
                <w:sz w:val="24"/>
                <w:szCs w:val="24"/>
              </w:rPr>
              <w:t xml:space="preserve"> to any one or more of the following questions</w:t>
            </w:r>
            <w:proofErr w:type="gramStart"/>
            <w:r w:rsidRPr="006C251D">
              <w:rPr>
                <w:rFonts w:ascii="Garamond" w:hAnsi="Garamond"/>
                <w:sz w:val="24"/>
                <w:szCs w:val="24"/>
              </w:rPr>
              <w:t>:  2</w:t>
            </w:r>
            <w:proofErr w:type="gramEnd"/>
            <w:r w:rsidRPr="006C251D">
              <w:rPr>
                <w:rFonts w:ascii="Garamond" w:hAnsi="Garamond"/>
                <w:sz w:val="24"/>
                <w:szCs w:val="24"/>
              </w:rPr>
              <w:t>, 3, 4, 6, 7a, 7b, 7c; or if NO is checked in response to questions 5a or 5b; the shaded areas)</w:t>
            </w:r>
          </w:p>
        </w:tc>
      </w:tr>
    </w:tbl>
    <w:p w14:paraId="3339C2D6" w14:textId="77777777" w:rsidR="006638D0" w:rsidRDefault="006638D0" w:rsidP="00467333">
      <w:pPr>
        <w:pStyle w:val="BodyTextIndent2"/>
        <w:spacing w:after="0" w:line="240" w:lineRule="auto"/>
        <w:rPr>
          <w:rFonts w:ascii="Garamond" w:hAnsi="Garamond"/>
          <w:sz w:val="24"/>
          <w:szCs w:val="24"/>
        </w:rPr>
      </w:pPr>
    </w:p>
    <w:p w14:paraId="1C613EBF" w14:textId="3E829924" w:rsidR="002F5D7E" w:rsidRPr="00F82CFD" w:rsidRDefault="002F5D7E" w:rsidP="00467333">
      <w:pPr>
        <w:pStyle w:val="BodyTextIndent2"/>
        <w:spacing w:after="0" w:line="240" w:lineRule="auto"/>
        <w:rPr>
          <w:rFonts w:ascii="Garamond" w:hAnsi="Garamond"/>
          <w:sz w:val="24"/>
          <w:szCs w:val="24"/>
        </w:rPr>
      </w:pPr>
      <w:r w:rsidRPr="00F82CFD">
        <w:rPr>
          <w:rFonts w:ascii="Garamond" w:hAnsi="Garamond"/>
          <w:sz w:val="24"/>
          <w:szCs w:val="24"/>
        </w:rPr>
        <w:t xml:space="preserve">Based on this analysis, </w:t>
      </w:r>
      <w:r w:rsidR="00543213">
        <w:rPr>
          <w:rFonts w:ascii="Garamond" w:hAnsi="Garamond"/>
          <w:sz w:val="24"/>
          <w:szCs w:val="24"/>
        </w:rPr>
        <w:t>DEQ</w:t>
      </w:r>
      <w:r w:rsidRPr="00F82CFD">
        <w:rPr>
          <w:rFonts w:ascii="Garamond" w:hAnsi="Garamond"/>
          <w:sz w:val="24"/>
          <w:szCs w:val="24"/>
        </w:rPr>
        <w:t xml:space="preserve"> determined there are no taking or damaging implications associated with this permit action.</w:t>
      </w:r>
    </w:p>
    <w:p w14:paraId="58293FAE" w14:textId="5E5FD123" w:rsidR="002F5D7E" w:rsidRPr="00F82CFD" w:rsidRDefault="002F5D7E" w:rsidP="006711F4">
      <w:pPr>
        <w:pStyle w:val="Heading2"/>
        <w:ind w:left="720" w:hanging="720"/>
        <w:rPr>
          <w:rFonts w:ascii="Garamond" w:hAnsi="Garamond"/>
          <w:sz w:val="24"/>
          <w:szCs w:val="24"/>
        </w:rPr>
      </w:pPr>
      <w:bookmarkStart w:id="5" w:name="_Toc219189915"/>
      <w:r w:rsidRPr="00F82CFD">
        <w:rPr>
          <w:rFonts w:ascii="Garamond" w:hAnsi="Garamond"/>
          <w:sz w:val="24"/>
          <w:szCs w:val="24"/>
        </w:rPr>
        <w:t>Compliance Designation</w:t>
      </w:r>
      <w:bookmarkEnd w:id="5"/>
    </w:p>
    <w:p w14:paraId="650373D4" w14:textId="3C4F2051" w:rsidR="003D4501" w:rsidRDefault="00F350E6">
      <w:pPr>
        <w:rPr>
          <w:rFonts w:ascii="Garamond" w:hAnsi="Garamond"/>
          <w:sz w:val="24"/>
          <w:szCs w:val="24"/>
        </w:rPr>
      </w:pPr>
      <w:r w:rsidRPr="00F350E6">
        <w:rPr>
          <w:rFonts w:ascii="Garamond" w:hAnsi="Garamond"/>
          <w:sz w:val="24"/>
          <w:szCs w:val="24"/>
        </w:rPr>
        <w:t>A full compliance evaluation</w:t>
      </w:r>
      <w:r>
        <w:rPr>
          <w:rFonts w:ascii="Garamond" w:hAnsi="Garamond"/>
          <w:sz w:val="24"/>
          <w:szCs w:val="24"/>
        </w:rPr>
        <w:t xml:space="preserve"> (FCE)</w:t>
      </w:r>
      <w:r w:rsidRPr="00F350E6">
        <w:rPr>
          <w:rFonts w:ascii="Garamond" w:hAnsi="Garamond"/>
          <w:sz w:val="24"/>
          <w:szCs w:val="24"/>
        </w:rPr>
        <w:t xml:space="preserve"> was conducted for the period October 15, 2024</w:t>
      </w:r>
      <w:r>
        <w:rPr>
          <w:rFonts w:ascii="Garamond" w:hAnsi="Garamond"/>
          <w:sz w:val="24"/>
          <w:szCs w:val="24"/>
        </w:rPr>
        <w:t>,</w:t>
      </w:r>
      <w:r w:rsidRPr="00F350E6">
        <w:rPr>
          <w:rFonts w:ascii="Garamond" w:hAnsi="Garamond"/>
          <w:sz w:val="24"/>
          <w:szCs w:val="24"/>
        </w:rPr>
        <w:t xml:space="preserve"> through November 5, 2025. This included </w:t>
      </w:r>
      <w:r>
        <w:rPr>
          <w:rFonts w:ascii="Garamond" w:hAnsi="Garamond"/>
          <w:sz w:val="24"/>
          <w:szCs w:val="24"/>
        </w:rPr>
        <w:t>a</w:t>
      </w:r>
      <w:r w:rsidRPr="00F350E6">
        <w:rPr>
          <w:rFonts w:ascii="Garamond" w:hAnsi="Garamond"/>
          <w:sz w:val="24"/>
          <w:szCs w:val="24"/>
        </w:rPr>
        <w:t xml:space="preserve"> site visit on October 29, 2025</w:t>
      </w:r>
      <w:r>
        <w:rPr>
          <w:rFonts w:ascii="Garamond" w:hAnsi="Garamond"/>
          <w:sz w:val="24"/>
          <w:szCs w:val="24"/>
        </w:rPr>
        <w:t xml:space="preserve">, conducted by DEQ Field Services Staff. The results from the FCE are </w:t>
      </w:r>
      <w:r w:rsidR="00BB6C70">
        <w:rPr>
          <w:rFonts w:ascii="Garamond" w:hAnsi="Garamond"/>
          <w:sz w:val="24"/>
          <w:szCs w:val="24"/>
        </w:rPr>
        <w:t>summarized</w:t>
      </w:r>
      <w:r>
        <w:rPr>
          <w:rFonts w:ascii="Garamond" w:hAnsi="Garamond"/>
          <w:sz w:val="24"/>
          <w:szCs w:val="24"/>
        </w:rPr>
        <w:t xml:space="preserve"> below.</w:t>
      </w:r>
      <w:r w:rsidR="003D4501">
        <w:rPr>
          <w:rFonts w:ascii="Garamond" w:hAnsi="Garamond"/>
          <w:sz w:val="24"/>
          <w:szCs w:val="24"/>
        </w:rPr>
        <w:br w:type="page"/>
      </w:r>
    </w:p>
    <w:p w14:paraId="711EA578" w14:textId="339F7847" w:rsidR="00F350E6" w:rsidRDefault="00F350E6">
      <w:pPr>
        <w:rPr>
          <w:rFonts w:ascii="Garamond" w:hAnsi="Garamond"/>
          <w:sz w:val="24"/>
          <w:szCs w:val="24"/>
        </w:rPr>
      </w:pPr>
      <w:r w:rsidRPr="00F350E6">
        <w:rPr>
          <w:rFonts w:ascii="Garamond" w:hAnsi="Garamond"/>
          <w:sz w:val="24"/>
          <w:szCs w:val="24"/>
        </w:rPr>
        <w:lastRenderedPageBreak/>
        <w:t xml:space="preserve">No warning or violation letters have been issued to </w:t>
      </w:r>
      <w:r w:rsidR="00AE687A">
        <w:rPr>
          <w:rFonts w:ascii="Garamond" w:hAnsi="Garamond"/>
          <w:sz w:val="24"/>
          <w:szCs w:val="24"/>
        </w:rPr>
        <w:t>YCGS</w:t>
      </w:r>
      <w:r w:rsidRPr="00F350E6">
        <w:rPr>
          <w:rFonts w:ascii="Garamond" w:hAnsi="Garamond"/>
          <w:sz w:val="24"/>
          <w:szCs w:val="24"/>
        </w:rPr>
        <w:t xml:space="preserve"> during the </w:t>
      </w:r>
      <w:r w:rsidR="003D4501" w:rsidRPr="00F350E6">
        <w:rPr>
          <w:rFonts w:ascii="Garamond" w:hAnsi="Garamond"/>
          <w:sz w:val="24"/>
          <w:szCs w:val="24"/>
        </w:rPr>
        <w:t>period</w:t>
      </w:r>
      <w:r w:rsidRPr="00F350E6">
        <w:rPr>
          <w:rFonts w:ascii="Garamond" w:hAnsi="Garamond"/>
          <w:sz w:val="24"/>
          <w:szCs w:val="24"/>
        </w:rPr>
        <w:t xml:space="preserve"> covered by this CMR. No air quality enforcement activities have occurred at this facility during the review period. Violation and enforcement actions conducted by DEQ are documented and submitted to EPA’s ICIS-Air database.</w:t>
      </w:r>
    </w:p>
    <w:p w14:paraId="41F4CAB7" w14:textId="77777777" w:rsidR="00F350E6" w:rsidRDefault="00F350E6">
      <w:pPr>
        <w:rPr>
          <w:rFonts w:ascii="Garamond" w:hAnsi="Garamond"/>
          <w:sz w:val="24"/>
          <w:szCs w:val="24"/>
        </w:rPr>
      </w:pPr>
    </w:p>
    <w:p w14:paraId="2A790EB7" w14:textId="6916EBF3" w:rsidR="00F350E6" w:rsidRDefault="00AE687A">
      <w:pPr>
        <w:rPr>
          <w:rFonts w:ascii="Garamond" w:hAnsi="Garamond"/>
          <w:sz w:val="24"/>
          <w:szCs w:val="24"/>
        </w:rPr>
      </w:pPr>
      <w:r>
        <w:rPr>
          <w:rFonts w:ascii="Garamond" w:hAnsi="Garamond"/>
          <w:sz w:val="24"/>
          <w:szCs w:val="24"/>
        </w:rPr>
        <w:t>YCGS</w:t>
      </w:r>
      <w:r w:rsidR="00F350E6" w:rsidRPr="00F350E6">
        <w:rPr>
          <w:rFonts w:ascii="Garamond" w:hAnsi="Garamond"/>
          <w:sz w:val="24"/>
          <w:szCs w:val="24"/>
        </w:rPr>
        <w:t xml:space="preserve"> is required to conduct start-up testing for each RICE on location within 180 days of initial start-up. During the compliance review period, </w:t>
      </w:r>
      <w:r>
        <w:rPr>
          <w:rFonts w:ascii="Garamond" w:hAnsi="Garamond"/>
          <w:sz w:val="24"/>
          <w:szCs w:val="24"/>
        </w:rPr>
        <w:t>YCGS</w:t>
      </w:r>
      <w:r w:rsidR="00F350E6" w:rsidRPr="00F350E6">
        <w:rPr>
          <w:rFonts w:ascii="Garamond" w:hAnsi="Garamond"/>
          <w:sz w:val="24"/>
          <w:szCs w:val="24"/>
        </w:rPr>
        <w:t xml:space="preserve"> has tested several of the RICE with passing results, with the final two engines being tested during the on-site visit. </w:t>
      </w:r>
      <w:r>
        <w:rPr>
          <w:rFonts w:ascii="Garamond" w:hAnsi="Garamond"/>
          <w:sz w:val="24"/>
          <w:szCs w:val="24"/>
        </w:rPr>
        <w:t>YCGS</w:t>
      </w:r>
      <w:r w:rsidR="00F350E6" w:rsidRPr="00F350E6">
        <w:rPr>
          <w:rFonts w:ascii="Garamond" w:hAnsi="Garamond"/>
          <w:sz w:val="24"/>
          <w:szCs w:val="24"/>
        </w:rPr>
        <w:t xml:space="preserve"> submitted source test protocols and reports to DEQ for each of the stack testing events. All source tests indicated compliance with the MAQP conditions and the applicable air programs. Source testing activities conducted by regulated sources in Montana are documented and submitted to EPA’s ICIS-Air database.</w:t>
      </w:r>
    </w:p>
    <w:p w14:paraId="0A270A35" w14:textId="77777777" w:rsidR="00F350E6" w:rsidRDefault="00F350E6">
      <w:pPr>
        <w:rPr>
          <w:rFonts w:ascii="Garamond" w:hAnsi="Garamond"/>
          <w:sz w:val="24"/>
          <w:szCs w:val="24"/>
        </w:rPr>
      </w:pPr>
    </w:p>
    <w:p w14:paraId="43D55C6C" w14:textId="429788F6" w:rsidR="00F350E6" w:rsidRPr="00F350E6" w:rsidRDefault="00F350E6">
      <w:pPr>
        <w:rPr>
          <w:rFonts w:ascii="Garamond" w:hAnsi="Garamond"/>
          <w:sz w:val="24"/>
          <w:szCs w:val="24"/>
        </w:rPr>
      </w:pPr>
      <w:r w:rsidRPr="00F350E6">
        <w:rPr>
          <w:rFonts w:ascii="Garamond" w:hAnsi="Garamond"/>
          <w:sz w:val="24"/>
          <w:szCs w:val="24"/>
        </w:rPr>
        <w:t xml:space="preserve">Based upon the information gathered during the facility inspections, observations made during site visits, and the review of facility reports, notifications, and compliance certifications submitted by </w:t>
      </w:r>
      <w:r w:rsidR="00AE687A">
        <w:rPr>
          <w:rFonts w:ascii="Garamond" w:hAnsi="Garamond"/>
          <w:sz w:val="24"/>
          <w:szCs w:val="24"/>
        </w:rPr>
        <w:t>YCGS</w:t>
      </w:r>
      <w:r w:rsidRPr="00F350E6">
        <w:rPr>
          <w:rFonts w:ascii="Garamond" w:hAnsi="Garamond"/>
          <w:sz w:val="24"/>
          <w:szCs w:val="24"/>
        </w:rPr>
        <w:t xml:space="preserve"> during the review period</w:t>
      </w:r>
      <w:r w:rsidR="006638D0">
        <w:rPr>
          <w:rFonts w:ascii="Garamond" w:hAnsi="Garamond"/>
          <w:sz w:val="24"/>
          <w:szCs w:val="24"/>
        </w:rPr>
        <w:t>,</w:t>
      </w:r>
      <w:r w:rsidRPr="00F350E6">
        <w:rPr>
          <w:rFonts w:ascii="Garamond" w:hAnsi="Garamond"/>
          <w:sz w:val="24"/>
          <w:szCs w:val="24"/>
        </w:rPr>
        <w:t xml:space="preserve"> as required by MAQP #5261-00 and applicable air programs, DEQ believes that </w:t>
      </w:r>
      <w:r w:rsidR="00AE687A">
        <w:rPr>
          <w:rFonts w:ascii="Garamond" w:hAnsi="Garamond"/>
          <w:sz w:val="24"/>
          <w:szCs w:val="24"/>
        </w:rPr>
        <w:t>YCGS</w:t>
      </w:r>
      <w:r w:rsidRPr="00F350E6">
        <w:rPr>
          <w:rFonts w:ascii="Garamond" w:hAnsi="Garamond"/>
          <w:sz w:val="24"/>
          <w:szCs w:val="24"/>
        </w:rPr>
        <w:t xml:space="preserve"> is in compliance with the applicable requirements for the period covered by this Compliance Monitoring Report.</w:t>
      </w:r>
    </w:p>
    <w:p w14:paraId="6BDBF92D" w14:textId="77777777" w:rsidR="002F5D7E" w:rsidRPr="00F82CFD" w:rsidRDefault="002F5D7E">
      <w:pPr>
        <w:rPr>
          <w:rFonts w:ascii="Garamond" w:hAnsi="Garamond"/>
          <w:sz w:val="21"/>
        </w:rPr>
      </w:pPr>
      <w:r w:rsidRPr="00F82CFD">
        <w:rPr>
          <w:rFonts w:ascii="Garamond" w:hAnsi="Garamond"/>
          <w:sz w:val="21"/>
        </w:rPr>
        <w:t xml:space="preserve">     </w:t>
      </w:r>
    </w:p>
    <w:p w14:paraId="70F33220" w14:textId="77777777" w:rsidR="002F5D7E" w:rsidRPr="00F82CFD" w:rsidRDefault="002F5D7E">
      <w:pPr>
        <w:pStyle w:val="Heading1"/>
        <w:rPr>
          <w:rFonts w:ascii="Garamond" w:hAnsi="Garamond"/>
          <w:sz w:val="21"/>
        </w:rPr>
        <w:sectPr w:rsidR="002F5D7E" w:rsidRPr="00F82CFD" w:rsidSect="00EB78AF">
          <w:footerReference w:type="even" r:id="rId7"/>
          <w:footerReference w:type="default" r:id="rId8"/>
          <w:pgSz w:w="12240" w:h="15840"/>
          <w:pgMar w:top="1152" w:right="1440" w:bottom="1008" w:left="1440" w:header="720" w:footer="720" w:gutter="0"/>
          <w:pgNumType w:start="1"/>
          <w:cols w:space="720"/>
        </w:sectPr>
      </w:pPr>
    </w:p>
    <w:p w14:paraId="3CD6DC5A" w14:textId="77777777" w:rsidR="002F5D7E" w:rsidRPr="00F82CFD" w:rsidRDefault="002F5D7E">
      <w:pPr>
        <w:pStyle w:val="Heading1"/>
        <w:rPr>
          <w:rFonts w:ascii="Garamond" w:hAnsi="Garamond"/>
          <w:sz w:val="24"/>
          <w:szCs w:val="24"/>
        </w:rPr>
      </w:pPr>
      <w:bookmarkStart w:id="6" w:name="_Toc219189916"/>
      <w:r w:rsidRPr="00F82CFD">
        <w:rPr>
          <w:rFonts w:ascii="Garamond" w:hAnsi="Garamond"/>
          <w:sz w:val="24"/>
          <w:szCs w:val="24"/>
        </w:rPr>
        <w:lastRenderedPageBreak/>
        <w:t>SUMMARY OF EMISSIONS UNITS</w:t>
      </w:r>
      <w:bookmarkEnd w:id="6"/>
    </w:p>
    <w:p w14:paraId="19D043BC" w14:textId="77777777" w:rsidR="002F5D7E" w:rsidRPr="00F82CFD" w:rsidRDefault="002F5D7E">
      <w:pPr>
        <w:rPr>
          <w:rFonts w:ascii="Garamond" w:hAnsi="Garamond"/>
          <w:sz w:val="24"/>
          <w:szCs w:val="24"/>
        </w:rPr>
      </w:pPr>
    </w:p>
    <w:p w14:paraId="65C3515F" w14:textId="77777777" w:rsidR="002F5D7E" w:rsidRDefault="002F5D7E">
      <w:pPr>
        <w:pStyle w:val="Heading2"/>
        <w:numPr>
          <w:ilvl w:val="0"/>
          <w:numId w:val="21"/>
        </w:numPr>
        <w:rPr>
          <w:rFonts w:ascii="Garamond" w:hAnsi="Garamond"/>
          <w:sz w:val="24"/>
          <w:szCs w:val="24"/>
        </w:rPr>
      </w:pPr>
      <w:bookmarkStart w:id="7" w:name="_Toc219189917"/>
      <w:r w:rsidRPr="00F82CFD">
        <w:rPr>
          <w:rFonts w:ascii="Garamond" w:hAnsi="Garamond"/>
          <w:sz w:val="24"/>
          <w:szCs w:val="24"/>
        </w:rPr>
        <w:t>Facility Process Description</w:t>
      </w:r>
      <w:bookmarkEnd w:id="7"/>
    </w:p>
    <w:p w14:paraId="7B1A5C7F" w14:textId="58976532" w:rsidR="00487EB9" w:rsidRPr="00487EB9" w:rsidRDefault="00487EB9" w:rsidP="00487EB9">
      <w:pPr>
        <w:rPr>
          <w:rFonts w:ascii="Garamond" w:hAnsi="Garamond"/>
          <w:sz w:val="24"/>
          <w:szCs w:val="24"/>
        </w:rPr>
      </w:pPr>
      <w:r w:rsidRPr="00487EB9">
        <w:rPr>
          <w:rFonts w:ascii="Garamond" w:hAnsi="Garamond"/>
          <w:sz w:val="24"/>
          <w:szCs w:val="24"/>
        </w:rPr>
        <w:t xml:space="preserve">The generating units consist of eighteen (18) natural gas-fired reciprocating internal combustion engine (RICE) generator sets each with a nominal gross output of approximately 9.7-megawatt electric (MWe) per generator, for total nominal gross plant output of 175 MWe. Each engine is rated for approximately 13,008 horsepower (hp). </w:t>
      </w:r>
    </w:p>
    <w:p w14:paraId="3D5B7D8E" w14:textId="77777777" w:rsidR="00487EB9" w:rsidRPr="00487EB9" w:rsidRDefault="00487EB9" w:rsidP="00487EB9">
      <w:pPr>
        <w:rPr>
          <w:rFonts w:ascii="Garamond" w:hAnsi="Garamond"/>
          <w:sz w:val="24"/>
          <w:szCs w:val="24"/>
        </w:rPr>
      </w:pPr>
    </w:p>
    <w:p w14:paraId="79EC8F84" w14:textId="77777777" w:rsidR="00487EB9" w:rsidRPr="00487EB9" w:rsidRDefault="00487EB9" w:rsidP="00487EB9">
      <w:pPr>
        <w:rPr>
          <w:rFonts w:ascii="Garamond" w:hAnsi="Garamond"/>
          <w:sz w:val="24"/>
          <w:szCs w:val="24"/>
        </w:rPr>
      </w:pPr>
      <w:r w:rsidRPr="00487EB9">
        <w:rPr>
          <w:rFonts w:ascii="Garamond" w:hAnsi="Garamond"/>
          <w:sz w:val="24"/>
          <w:szCs w:val="24"/>
        </w:rPr>
        <w:t xml:space="preserve">An emergency generator and an emergency fire pump are also located at the YCGS, each equipped with a diesel engine rated at 2,682 brake horsepower (bhp) and 315 bhp, respectively. </w:t>
      </w:r>
    </w:p>
    <w:p w14:paraId="034AC07B" w14:textId="77777777" w:rsidR="00487EB9" w:rsidRPr="00487EB9" w:rsidRDefault="00487EB9" w:rsidP="00487EB9">
      <w:pPr>
        <w:rPr>
          <w:rFonts w:ascii="Garamond" w:hAnsi="Garamond"/>
          <w:sz w:val="24"/>
          <w:szCs w:val="24"/>
        </w:rPr>
      </w:pPr>
    </w:p>
    <w:p w14:paraId="6F922E01" w14:textId="431224A7" w:rsidR="003A7DED" w:rsidRPr="00487EB9" w:rsidRDefault="00487EB9" w:rsidP="00487EB9">
      <w:pPr>
        <w:rPr>
          <w:rFonts w:ascii="Garamond" w:hAnsi="Garamond"/>
          <w:sz w:val="24"/>
          <w:szCs w:val="24"/>
        </w:rPr>
      </w:pPr>
      <w:r w:rsidRPr="00487EB9">
        <w:rPr>
          <w:rFonts w:ascii="Garamond" w:hAnsi="Garamond"/>
          <w:sz w:val="24"/>
          <w:szCs w:val="24"/>
        </w:rPr>
        <w:t>There is also a 1.11 million British thermal unit per hour (MMBtu/</w:t>
      </w:r>
      <w:proofErr w:type="spellStart"/>
      <w:r w:rsidRPr="00487EB9">
        <w:rPr>
          <w:rFonts w:ascii="Garamond" w:hAnsi="Garamond"/>
          <w:sz w:val="24"/>
          <w:szCs w:val="24"/>
        </w:rPr>
        <w:t>hr</w:t>
      </w:r>
      <w:proofErr w:type="spellEnd"/>
      <w:r w:rsidRPr="00487EB9">
        <w:rPr>
          <w:rFonts w:ascii="Garamond" w:hAnsi="Garamond"/>
          <w:sz w:val="24"/>
          <w:szCs w:val="24"/>
        </w:rPr>
        <w:t>) natural gas dew point heater, also referred to as a line heater, for preheating natural gas to the RICE. MAQP #5261-00 was issued final on September 8, 2021.</w:t>
      </w:r>
    </w:p>
    <w:p w14:paraId="11158DB2" w14:textId="108B9333" w:rsidR="002F5D7E" w:rsidRDefault="002F5D7E">
      <w:pPr>
        <w:pStyle w:val="Heading2"/>
        <w:rPr>
          <w:rFonts w:ascii="Garamond" w:hAnsi="Garamond"/>
          <w:sz w:val="24"/>
          <w:szCs w:val="24"/>
        </w:rPr>
      </w:pPr>
      <w:bookmarkStart w:id="8" w:name="_Toc219189918"/>
      <w:r w:rsidRPr="00F82CFD">
        <w:rPr>
          <w:rFonts w:ascii="Garamond" w:hAnsi="Garamond"/>
          <w:sz w:val="24"/>
          <w:szCs w:val="24"/>
        </w:rPr>
        <w:t>Emissions Units and Pollution Control Device Identification</w:t>
      </w:r>
      <w:bookmarkEnd w:id="8"/>
    </w:p>
    <w:tbl>
      <w:tblPr>
        <w:tblW w:w="98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458"/>
        <w:gridCol w:w="5130"/>
        <w:gridCol w:w="3240"/>
      </w:tblGrid>
      <w:tr w:rsidR="003A7DED" w:rsidRPr="003A7DED" w14:paraId="1A1EEB3C" w14:textId="77777777" w:rsidTr="00094765">
        <w:tc>
          <w:tcPr>
            <w:tcW w:w="1458" w:type="dxa"/>
            <w:tcBorders>
              <w:bottom w:val="single" w:sz="12" w:space="0" w:color="000000"/>
            </w:tcBorders>
          </w:tcPr>
          <w:p w14:paraId="5502CA53" w14:textId="77777777" w:rsidR="003A7DED" w:rsidRPr="003A7DED" w:rsidRDefault="003A7DED" w:rsidP="003A7DED">
            <w:pPr>
              <w:jc w:val="center"/>
              <w:rPr>
                <w:rFonts w:ascii="Garamond" w:hAnsi="Garamond"/>
                <w:b/>
                <w:sz w:val="24"/>
                <w:szCs w:val="24"/>
              </w:rPr>
            </w:pPr>
            <w:r w:rsidRPr="003A7DED">
              <w:rPr>
                <w:rFonts w:ascii="Garamond" w:hAnsi="Garamond"/>
                <w:b/>
                <w:sz w:val="24"/>
                <w:szCs w:val="24"/>
              </w:rPr>
              <w:t>Emissions Unit ID</w:t>
            </w:r>
          </w:p>
        </w:tc>
        <w:tc>
          <w:tcPr>
            <w:tcW w:w="5130" w:type="dxa"/>
            <w:tcBorders>
              <w:bottom w:val="single" w:sz="12" w:space="0" w:color="000000"/>
            </w:tcBorders>
          </w:tcPr>
          <w:p w14:paraId="6718B701" w14:textId="77777777" w:rsidR="003A7DED" w:rsidRPr="003A7DED" w:rsidRDefault="003A7DED" w:rsidP="003A7DED">
            <w:pPr>
              <w:jc w:val="center"/>
              <w:rPr>
                <w:rFonts w:ascii="Garamond" w:hAnsi="Garamond"/>
                <w:b/>
                <w:sz w:val="24"/>
                <w:szCs w:val="24"/>
              </w:rPr>
            </w:pPr>
            <w:r w:rsidRPr="003A7DED">
              <w:rPr>
                <w:rFonts w:ascii="Garamond" w:hAnsi="Garamond"/>
                <w:b/>
                <w:sz w:val="24"/>
                <w:szCs w:val="24"/>
              </w:rPr>
              <w:t>Description</w:t>
            </w:r>
          </w:p>
        </w:tc>
        <w:tc>
          <w:tcPr>
            <w:tcW w:w="3240" w:type="dxa"/>
            <w:tcBorders>
              <w:bottom w:val="single" w:sz="12" w:space="0" w:color="000000"/>
            </w:tcBorders>
          </w:tcPr>
          <w:p w14:paraId="3A318DEF" w14:textId="77777777" w:rsidR="003A7DED" w:rsidRPr="003A7DED" w:rsidRDefault="003A7DED" w:rsidP="003A7DED">
            <w:pPr>
              <w:jc w:val="center"/>
              <w:rPr>
                <w:rFonts w:ascii="Garamond" w:hAnsi="Garamond"/>
                <w:b/>
                <w:sz w:val="24"/>
                <w:szCs w:val="24"/>
              </w:rPr>
            </w:pPr>
            <w:r w:rsidRPr="003A7DED">
              <w:rPr>
                <w:rFonts w:ascii="Garamond" w:hAnsi="Garamond"/>
                <w:b/>
                <w:sz w:val="24"/>
                <w:szCs w:val="24"/>
              </w:rPr>
              <w:t>Pollution Control Device/Practice</w:t>
            </w:r>
          </w:p>
        </w:tc>
      </w:tr>
      <w:tr w:rsidR="003A7DED" w:rsidRPr="003A7DED" w14:paraId="3309F6F0" w14:textId="77777777" w:rsidTr="00094765">
        <w:tc>
          <w:tcPr>
            <w:tcW w:w="1458" w:type="dxa"/>
            <w:tcBorders>
              <w:top w:val="nil"/>
            </w:tcBorders>
          </w:tcPr>
          <w:p w14:paraId="2F33155E" w14:textId="77777777" w:rsidR="003A7DED" w:rsidRPr="003A7DED" w:rsidRDefault="003A7DED" w:rsidP="003A7DED">
            <w:pPr>
              <w:rPr>
                <w:rFonts w:ascii="Garamond" w:hAnsi="Garamond"/>
                <w:sz w:val="24"/>
                <w:szCs w:val="24"/>
              </w:rPr>
            </w:pPr>
            <w:r w:rsidRPr="003A7DED">
              <w:rPr>
                <w:rFonts w:ascii="Garamond" w:hAnsi="Garamond"/>
                <w:sz w:val="24"/>
                <w:szCs w:val="24"/>
              </w:rPr>
              <w:t>EU001</w:t>
            </w:r>
          </w:p>
        </w:tc>
        <w:tc>
          <w:tcPr>
            <w:tcW w:w="5130" w:type="dxa"/>
            <w:tcBorders>
              <w:top w:val="nil"/>
            </w:tcBorders>
          </w:tcPr>
          <w:p w14:paraId="55C7964E"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Reciprocating Internal Combustion Engine (RICE) Generator Set</w:t>
            </w:r>
          </w:p>
        </w:tc>
        <w:tc>
          <w:tcPr>
            <w:tcW w:w="3240" w:type="dxa"/>
            <w:tcBorders>
              <w:top w:val="nil"/>
            </w:tcBorders>
          </w:tcPr>
          <w:p w14:paraId="64DE2266" w14:textId="77777777" w:rsidR="003A7DED" w:rsidRPr="003A7DED" w:rsidRDefault="003A7DED" w:rsidP="003A7DED">
            <w:pPr>
              <w:rPr>
                <w:rFonts w:ascii="Garamond" w:hAnsi="Garamond"/>
                <w:sz w:val="24"/>
                <w:szCs w:val="24"/>
              </w:rPr>
            </w:pPr>
            <w:r w:rsidRPr="003A7DED">
              <w:rPr>
                <w:rFonts w:ascii="Garamond" w:hAnsi="Garamond"/>
                <w:sz w:val="24"/>
                <w:szCs w:val="24"/>
              </w:rPr>
              <w:t>Selective Catalytic Reduction (SCR) and</w:t>
            </w:r>
          </w:p>
          <w:p w14:paraId="38DA8AC2" w14:textId="77777777" w:rsidR="003A7DED" w:rsidRPr="003A7DED" w:rsidRDefault="003A7DED" w:rsidP="003A7DED">
            <w:pPr>
              <w:rPr>
                <w:rFonts w:ascii="Garamond" w:hAnsi="Garamond"/>
                <w:sz w:val="24"/>
                <w:szCs w:val="24"/>
              </w:rPr>
            </w:pPr>
            <w:r w:rsidRPr="003A7DED">
              <w:rPr>
                <w:rFonts w:ascii="Garamond" w:hAnsi="Garamond"/>
                <w:sz w:val="24"/>
                <w:szCs w:val="24"/>
              </w:rPr>
              <w:t>Oxidation Catalyst</w:t>
            </w:r>
          </w:p>
        </w:tc>
      </w:tr>
      <w:tr w:rsidR="003A7DED" w:rsidRPr="003A7DED" w14:paraId="4DE61AB3" w14:textId="77777777" w:rsidTr="00094765">
        <w:tc>
          <w:tcPr>
            <w:tcW w:w="1458" w:type="dxa"/>
          </w:tcPr>
          <w:p w14:paraId="20533373" w14:textId="77777777" w:rsidR="003A7DED" w:rsidRPr="003A7DED" w:rsidRDefault="003A7DED" w:rsidP="003A7DED">
            <w:pPr>
              <w:rPr>
                <w:rFonts w:ascii="Garamond" w:hAnsi="Garamond"/>
                <w:sz w:val="24"/>
                <w:szCs w:val="24"/>
              </w:rPr>
            </w:pPr>
            <w:r w:rsidRPr="003A7DED">
              <w:rPr>
                <w:rFonts w:ascii="Garamond" w:hAnsi="Garamond"/>
                <w:sz w:val="24"/>
                <w:szCs w:val="24"/>
              </w:rPr>
              <w:t>EU002</w:t>
            </w:r>
          </w:p>
        </w:tc>
        <w:tc>
          <w:tcPr>
            <w:tcW w:w="5130" w:type="dxa"/>
          </w:tcPr>
          <w:p w14:paraId="32E98996" w14:textId="77777777" w:rsidR="003A7DED" w:rsidRPr="003A7DED" w:rsidRDefault="003A7DED" w:rsidP="003A7DED">
            <w:pPr>
              <w:jc w:val="both"/>
              <w:rPr>
                <w:rFonts w:ascii="Garamond" w:hAnsi="Garamond"/>
                <w:sz w:val="24"/>
                <w:szCs w:val="24"/>
              </w:rPr>
            </w:pPr>
            <w:r w:rsidRPr="003A7DED">
              <w:rPr>
                <w:rFonts w:ascii="Garamond" w:hAnsi="Garamond"/>
                <w:sz w:val="24"/>
                <w:szCs w:val="24"/>
              </w:rPr>
              <w:t>Caterpillar Natural Gas-Fired RICE Generator Set</w:t>
            </w:r>
          </w:p>
        </w:tc>
        <w:tc>
          <w:tcPr>
            <w:tcW w:w="3240" w:type="dxa"/>
          </w:tcPr>
          <w:p w14:paraId="44500BEB" w14:textId="77777777" w:rsidR="003A7DED" w:rsidRPr="003A7DED" w:rsidRDefault="003A7DED" w:rsidP="003A7DED">
            <w:pPr>
              <w:jc w:val="both"/>
              <w:rPr>
                <w:rFonts w:ascii="Garamond" w:hAnsi="Garamond"/>
                <w:sz w:val="24"/>
                <w:szCs w:val="24"/>
              </w:rPr>
            </w:pPr>
            <w:r w:rsidRPr="003A7DED">
              <w:rPr>
                <w:rFonts w:ascii="Garamond" w:hAnsi="Garamond"/>
                <w:sz w:val="24"/>
                <w:szCs w:val="24"/>
              </w:rPr>
              <w:t>SCR and Oxidation Catalyst</w:t>
            </w:r>
          </w:p>
        </w:tc>
      </w:tr>
      <w:tr w:rsidR="003A7DED" w:rsidRPr="003A7DED" w14:paraId="1B630C72" w14:textId="77777777" w:rsidTr="00094765">
        <w:tc>
          <w:tcPr>
            <w:tcW w:w="1458" w:type="dxa"/>
          </w:tcPr>
          <w:p w14:paraId="0F9B2730" w14:textId="77777777" w:rsidR="003A7DED" w:rsidRPr="003A7DED" w:rsidRDefault="003A7DED" w:rsidP="003A7DED">
            <w:pPr>
              <w:rPr>
                <w:rFonts w:ascii="Garamond" w:hAnsi="Garamond"/>
                <w:sz w:val="24"/>
                <w:szCs w:val="24"/>
              </w:rPr>
            </w:pPr>
            <w:r w:rsidRPr="003A7DED">
              <w:rPr>
                <w:rFonts w:ascii="Garamond" w:hAnsi="Garamond"/>
                <w:sz w:val="24"/>
                <w:szCs w:val="24"/>
              </w:rPr>
              <w:t>EU003</w:t>
            </w:r>
          </w:p>
        </w:tc>
        <w:tc>
          <w:tcPr>
            <w:tcW w:w="5130" w:type="dxa"/>
          </w:tcPr>
          <w:p w14:paraId="4E3B0DF7"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RICE Generator Set</w:t>
            </w:r>
          </w:p>
        </w:tc>
        <w:tc>
          <w:tcPr>
            <w:tcW w:w="3240" w:type="dxa"/>
          </w:tcPr>
          <w:p w14:paraId="4A93990B" w14:textId="77777777" w:rsidR="003A7DED" w:rsidRPr="003A7DED" w:rsidRDefault="003A7DED" w:rsidP="003A7DED">
            <w:pPr>
              <w:rPr>
                <w:rFonts w:ascii="Garamond" w:hAnsi="Garamond"/>
                <w:sz w:val="24"/>
                <w:szCs w:val="24"/>
              </w:rPr>
            </w:pPr>
            <w:r w:rsidRPr="003A7DED">
              <w:rPr>
                <w:rFonts w:ascii="Garamond" w:hAnsi="Garamond"/>
                <w:sz w:val="24"/>
                <w:szCs w:val="24"/>
              </w:rPr>
              <w:t>SCR and Oxidation Catalyst</w:t>
            </w:r>
          </w:p>
        </w:tc>
      </w:tr>
      <w:tr w:rsidR="003A7DED" w:rsidRPr="003A7DED" w14:paraId="08FC3216" w14:textId="77777777" w:rsidTr="00094765">
        <w:tc>
          <w:tcPr>
            <w:tcW w:w="1458" w:type="dxa"/>
          </w:tcPr>
          <w:p w14:paraId="41E135E6" w14:textId="77777777" w:rsidR="003A7DED" w:rsidRPr="003A7DED" w:rsidRDefault="003A7DED" w:rsidP="003A7DED">
            <w:pPr>
              <w:rPr>
                <w:rFonts w:ascii="Garamond" w:hAnsi="Garamond"/>
                <w:sz w:val="24"/>
                <w:szCs w:val="24"/>
              </w:rPr>
            </w:pPr>
            <w:r w:rsidRPr="003A7DED">
              <w:rPr>
                <w:rFonts w:ascii="Garamond" w:hAnsi="Garamond"/>
                <w:sz w:val="24"/>
                <w:szCs w:val="24"/>
              </w:rPr>
              <w:t>EU004</w:t>
            </w:r>
          </w:p>
        </w:tc>
        <w:tc>
          <w:tcPr>
            <w:tcW w:w="5130" w:type="dxa"/>
          </w:tcPr>
          <w:p w14:paraId="77DD9324"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RICE Generator Set</w:t>
            </w:r>
          </w:p>
        </w:tc>
        <w:tc>
          <w:tcPr>
            <w:tcW w:w="3240" w:type="dxa"/>
          </w:tcPr>
          <w:p w14:paraId="0A62BD13" w14:textId="77777777" w:rsidR="003A7DED" w:rsidRPr="003A7DED" w:rsidRDefault="003A7DED" w:rsidP="003A7DED">
            <w:pPr>
              <w:rPr>
                <w:rFonts w:ascii="Garamond" w:hAnsi="Garamond"/>
                <w:sz w:val="24"/>
                <w:szCs w:val="24"/>
              </w:rPr>
            </w:pPr>
            <w:r w:rsidRPr="003A7DED">
              <w:rPr>
                <w:rFonts w:ascii="Garamond" w:hAnsi="Garamond"/>
                <w:sz w:val="24"/>
                <w:szCs w:val="24"/>
              </w:rPr>
              <w:t>SCR and Oxidation Catalyst</w:t>
            </w:r>
          </w:p>
        </w:tc>
      </w:tr>
      <w:tr w:rsidR="003A7DED" w:rsidRPr="003A7DED" w14:paraId="40B0E5A7" w14:textId="77777777" w:rsidTr="00094765">
        <w:tc>
          <w:tcPr>
            <w:tcW w:w="1458" w:type="dxa"/>
          </w:tcPr>
          <w:p w14:paraId="4E1A219A" w14:textId="77777777" w:rsidR="003A7DED" w:rsidRPr="003A7DED" w:rsidRDefault="003A7DED" w:rsidP="003A7DED">
            <w:pPr>
              <w:rPr>
                <w:rFonts w:ascii="Garamond" w:hAnsi="Garamond"/>
                <w:sz w:val="24"/>
                <w:szCs w:val="24"/>
              </w:rPr>
            </w:pPr>
            <w:r w:rsidRPr="003A7DED">
              <w:rPr>
                <w:rFonts w:ascii="Garamond" w:hAnsi="Garamond"/>
                <w:sz w:val="24"/>
                <w:szCs w:val="24"/>
              </w:rPr>
              <w:t>EU005</w:t>
            </w:r>
          </w:p>
        </w:tc>
        <w:tc>
          <w:tcPr>
            <w:tcW w:w="5130" w:type="dxa"/>
          </w:tcPr>
          <w:p w14:paraId="5B87DFD8"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RICE Generator Set</w:t>
            </w:r>
          </w:p>
        </w:tc>
        <w:tc>
          <w:tcPr>
            <w:tcW w:w="3240" w:type="dxa"/>
          </w:tcPr>
          <w:p w14:paraId="06A34594" w14:textId="77777777" w:rsidR="003A7DED" w:rsidRPr="003A7DED" w:rsidRDefault="003A7DED" w:rsidP="003A7DED">
            <w:pPr>
              <w:rPr>
                <w:rFonts w:ascii="Garamond" w:hAnsi="Garamond"/>
                <w:sz w:val="24"/>
                <w:szCs w:val="24"/>
              </w:rPr>
            </w:pPr>
            <w:r w:rsidRPr="003A7DED">
              <w:rPr>
                <w:rFonts w:ascii="Garamond" w:hAnsi="Garamond"/>
                <w:sz w:val="24"/>
                <w:szCs w:val="24"/>
              </w:rPr>
              <w:t>SCR and Oxidation Catalyst</w:t>
            </w:r>
          </w:p>
        </w:tc>
      </w:tr>
      <w:tr w:rsidR="003A7DED" w:rsidRPr="003A7DED" w14:paraId="7F73AF52" w14:textId="77777777" w:rsidTr="00094765">
        <w:tc>
          <w:tcPr>
            <w:tcW w:w="1458" w:type="dxa"/>
          </w:tcPr>
          <w:p w14:paraId="5D671BEC" w14:textId="77777777" w:rsidR="003A7DED" w:rsidRPr="003A7DED" w:rsidRDefault="003A7DED" w:rsidP="003A7DED">
            <w:pPr>
              <w:rPr>
                <w:rFonts w:ascii="Garamond" w:hAnsi="Garamond"/>
                <w:sz w:val="24"/>
                <w:szCs w:val="24"/>
              </w:rPr>
            </w:pPr>
            <w:r w:rsidRPr="003A7DED">
              <w:rPr>
                <w:rFonts w:ascii="Garamond" w:hAnsi="Garamond"/>
                <w:sz w:val="24"/>
                <w:szCs w:val="24"/>
              </w:rPr>
              <w:t>EU006</w:t>
            </w:r>
          </w:p>
        </w:tc>
        <w:tc>
          <w:tcPr>
            <w:tcW w:w="5130" w:type="dxa"/>
          </w:tcPr>
          <w:p w14:paraId="57A707EC"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RICE Generator Set</w:t>
            </w:r>
          </w:p>
        </w:tc>
        <w:tc>
          <w:tcPr>
            <w:tcW w:w="3240" w:type="dxa"/>
          </w:tcPr>
          <w:p w14:paraId="3DE7C4BF" w14:textId="77777777" w:rsidR="003A7DED" w:rsidRPr="003A7DED" w:rsidRDefault="003A7DED" w:rsidP="003A7DED">
            <w:pPr>
              <w:rPr>
                <w:rFonts w:ascii="Garamond" w:hAnsi="Garamond"/>
                <w:sz w:val="24"/>
                <w:szCs w:val="24"/>
              </w:rPr>
            </w:pPr>
            <w:r w:rsidRPr="003A7DED">
              <w:rPr>
                <w:rFonts w:ascii="Garamond" w:hAnsi="Garamond"/>
                <w:sz w:val="24"/>
                <w:szCs w:val="24"/>
              </w:rPr>
              <w:t>SCR and Oxidation Catalyst</w:t>
            </w:r>
          </w:p>
        </w:tc>
      </w:tr>
      <w:tr w:rsidR="003A7DED" w:rsidRPr="003A7DED" w14:paraId="02DB732B" w14:textId="77777777" w:rsidTr="00094765">
        <w:tc>
          <w:tcPr>
            <w:tcW w:w="1458" w:type="dxa"/>
          </w:tcPr>
          <w:p w14:paraId="1419D820" w14:textId="77777777" w:rsidR="003A7DED" w:rsidRPr="003A7DED" w:rsidRDefault="003A7DED" w:rsidP="003A7DED">
            <w:pPr>
              <w:rPr>
                <w:rFonts w:ascii="Garamond" w:hAnsi="Garamond"/>
                <w:sz w:val="24"/>
                <w:szCs w:val="24"/>
              </w:rPr>
            </w:pPr>
            <w:r w:rsidRPr="003A7DED">
              <w:rPr>
                <w:rFonts w:ascii="Garamond" w:hAnsi="Garamond"/>
                <w:sz w:val="24"/>
                <w:szCs w:val="24"/>
              </w:rPr>
              <w:t>EU007</w:t>
            </w:r>
          </w:p>
        </w:tc>
        <w:tc>
          <w:tcPr>
            <w:tcW w:w="5130" w:type="dxa"/>
          </w:tcPr>
          <w:p w14:paraId="3E84F680"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RICE Generator Set</w:t>
            </w:r>
          </w:p>
        </w:tc>
        <w:tc>
          <w:tcPr>
            <w:tcW w:w="3240" w:type="dxa"/>
          </w:tcPr>
          <w:p w14:paraId="0DF17328" w14:textId="77777777" w:rsidR="003A7DED" w:rsidRPr="003A7DED" w:rsidRDefault="003A7DED" w:rsidP="003A7DED">
            <w:pPr>
              <w:rPr>
                <w:rFonts w:ascii="Garamond" w:hAnsi="Garamond"/>
                <w:sz w:val="24"/>
                <w:szCs w:val="24"/>
              </w:rPr>
            </w:pPr>
            <w:r w:rsidRPr="003A7DED">
              <w:rPr>
                <w:rFonts w:ascii="Garamond" w:hAnsi="Garamond"/>
                <w:sz w:val="24"/>
                <w:szCs w:val="24"/>
              </w:rPr>
              <w:t>SCR and Oxidation Catalyst</w:t>
            </w:r>
          </w:p>
        </w:tc>
      </w:tr>
      <w:tr w:rsidR="003A7DED" w:rsidRPr="003A7DED" w14:paraId="12E2C0D9" w14:textId="77777777" w:rsidTr="00094765">
        <w:tc>
          <w:tcPr>
            <w:tcW w:w="1458" w:type="dxa"/>
          </w:tcPr>
          <w:p w14:paraId="37DDDD7D" w14:textId="77777777" w:rsidR="003A7DED" w:rsidRPr="003A7DED" w:rsidRDefault="003A7DED" w:rsidP="003A7DED">
            <w:pPr>
              <w:rPr>
                <w:rFonts w:ascii="Garamond" w:hAnsi="Garamond"/>
                <w:sz w:val="24"/>
                <w:szCs w:val="24"/>
              </w:rPr>
            </w:pPr>
            <w:r w:rsidRPr="003A7DED">
              <w:rPr>
                <w:rFonts w:ascii="Garamond" w:hAnsi="Garamond"/>
                <w:sz w:val="24"/>
                <w:szCs w:val="24"/>
              </w:rPr>
              <w:t>EU008</w:t>
            </w:r>
          </w:p>
        </w:tc>
        <w:tc>
          <w:tcPr>
            <w:tcW w:w="5130" w:type="dxa"/>
          </w:tcPr>
          <w:p w14:paraId="5586C5F9"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RICE Generator Set</w:t>
            </w:r>
          </w:p>
        </w:tc>
        <w:tc>
          <w:tcPr>
            <w:tcW w:w="3240" w:type="dxa"/>
          </w:tcPr>
          <w:p w14:paraId="2E65CFD4" w14:textId="77777777" w:rsidR="003A7DED" w:rsidRPr="003A7DED" w:rsidRDefault="003A7DED" w:rsidP="003A7DED">
            <w:pPr>
              <w:rPr>
                <w:rFonts w:ascii="Garamond" w:hAnsi="Garamond"/>
                <w:sz w:val="24"/>
                <w:szCs w:val="24"/>
              </w:rPr>
            </w:pPr>
            <w:r w:rsidRPr="003A7DED">
              <w:rPr>
                <w:rFonts w:ascii="Garamond" w:hAnsi="Garamond"/>
                <w:sz w:val="24"/>
                <w:szCs w:val="24"/>
              </w:rPr>
              <w:t>SCR and Oxidation Catalyst</w:t>
            </w:r>
          </w:p>
        </w:tc>
      </w:tr>
      <w:tr w:rsidR="003A7DED" w:rsidRPr="003A7DED" w14:paraId="1E31C6BB" w14:textId="77777777" w:rsidTr="00094765">
        <w:tc>
          <w:tcPr>
            <w:tcW w:w="1458" w:type="dxa"/>
          </w:tcPr>
          <w:p w14:paraId="200D0D97" w14:textId="77777777" w:rsidR="003A7DED" w:rsidRPr="003A7DED" w:rsidRDefault="003A7DED" w:rsidP="003A7DED">
            <w:pPr>
              <w:rPr>
                <w:rFonts w:ascii="Garamond" w:hAnsi="Garamond"/>
                <w:sz w:val="24"/>
                <w:szCs w:val="24"/>
              </w:rPr>
            </w:pPr>
            <w:r w:rsidRPr="003A7DED">
              <w:rPr>
                <w:rFonts w:ascii="Garamond" w:hAnsi="Garamond"/>
                <w:sz w:val="24"/>
                <w:szCs w:val="24"/>
              </w:rPr>
              <w:t>EU009</w:t>
            </w:r>
          </w:p>
        </w:tc>
        <w:tc>
          <w:tcPr>
            <w:tcW w:w="5130" w:type="dxa"/>
          </w:tcPr>
          <w:p w14:paraId="2FCF1BA5"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RICE Generator Set</w:t>
            </w:r>
          </w:p>
        </w:tc>
        <w:tc>
          <w:tcPr>
            <w:tcW w:w="3240" w:type="dxa"/>
          </w:tcPr>
          <w:p w14:paraId="37644EDA" w14:textId="77777777" w:rsidR="003A7DED" w:rsidRPr="003A7DED" w:rsidRDefault="003A7DED" w:rsidP="003A7DED">
            <w:pPr>
              <w:rPr>
                <w:rFonts w:ascii="Garamond" w:hAnsi="Garamond"/>
                <w:sz w:val="24"/>
                <w:szCs w:val="24"/>
              </w:rPr>
            </w:pPr>
            <w:r w:rsidRPr="003A7DED">
              <w:rPr>
                <w:rFonts w:ascii="Garamond" w:hAnsi="Garamond"/>
                <w:sz w:val="24"/>
                <w:szCs w:val="24"/>
              </w:rPr>
              <w:t>SCR and Oxidation Catalyst</w:t>
            </w:r>
          </w:p>
        </w:tc>
      </w:tr>
      <w:tr w:rsidR="003A7DED" w:rsidRPr="003A7DED" w14:paraId="0F8A82CB" w14:textId="77777777" w:rsidTr="00094765">
        <w:tc>
          <w:tcPr>
            <w:tcW w:w="1458" w:type="dxa"/>
          </w:tcPr>
          <w:p w14:paraId="76A1BCFC" w14:textId="77777777" w:rsidR="003A7DED" w:rsidRPr="003A7DED" w:rsidRDefault="003A7DED" w:rsidP="003A7DED">
            <w:pPr>
              <w:rPr>
                <w:rFonts w:ascii="Garamond" w:hAnsi="Garamond"/>
                <w:sz w:val="24"/>
                <w:szCs w:val="24"/>
              </w:rPr>
            </w:pPr>
            <w:r w:rsidRPr="003A7DED">
              <w:rPr>
                <w:rFonts w:ascii="Garamond" w:hAnsi="Garamond"/>
                <w:sz w:val="24"/>
                <w:szCs w:val="24"/>
              </w:rPr>
              <w:t>EU010</w:t>
            </w:r>
          </w:p>
        </w:tc>
        <w:tc>
          <w:tcPr>
            <w:tcW w:w="5130" w:type="dxa"/>
          </w:tcPr>
          <w:p w14:paraId="35DC1392"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RICE Generator Set</w:t>
            </w:r>
          </w:p>
        </w:tc>
        <w:tc>
          <w:tcPr>
            <w:tcW w:w="3240" w:type="dxa"/>
          </w:tcPr>
          <w:p w14:paraId="56E7A3FA" w14:textId="77777777" w:rsidR="003A7DED" w:rsidRPr="003A7DED" w:rsidRDefault="003A7DED" w:rsidP="003A7DED">
            <w:pPr>
              <w:rPr>
                <w:rFonts w:ascii="Garamond" w:hAnsi="Garamond"/>
                <w:sz w:val="24"/>
                <w:szCs w:val="24"/>
              </w:rPr>
            </w:pPr>
            <w:r w:rsidRPr="003A7DED">
              <w:rPr>
                <w:rFonts w:ascii="Garamond" w:hAnsi="Garamond"/>
                <w:sz w:val="24"/>
                <w:szCs w:val="24"/>
              </w:rPr>
              <w:t>SCR and Oxidation Catalyst</w:t>
            </w:r>
          </w:p>
        </w:tc>
      </w:tr>
      <w:tr w:rsidR="003A7DED" w:rsidRPr="003A7DED" w14:paraId="7FCB5FAF" w14:textId="77777777" w:rsidTr="00094765">
        <w:tc>
          <w:tcPr>
            <w:tcW w:w="1458" w:type="dxa"/>
          </w:tcPr>
          <w:p w14:paraId="4FC85879" w14:textId="77777777" w:rsidR="003A7DED" w:rsidRPr="003A7DED" w:rsidRDefault="003A7DED" w:rsidP="003A7DED">
            <w:pPr>
              <w:rPr>
                <w:rFonts w:ascii="Garamond" w:hAnsi="Garamond"/>
                <w:sz w:val="24"/>
                <w:szCs w:val="24"/>
              </w:rPr>
            </w:pPr>
            <w:r w:rsidRPr="003A7DED">
              <w:rPr>
                <w:rFonts w:ascii="Garamond" w:hAnsi="Garamond"/>
                <w:sz w:val="24"/>
                <w:szCs w:val="24"/>
              </w:rPr>
              <w:t>EU011</w:t>
            </w:r>
          </w:p>
        </w:tc>
        <w:tc>
          <w:tcPr>
            <w:tcW w:w="5130" w:type="dxa"/>
          </w:tcPr>
          <w:p w14:paraId="53F6F2AC"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RICE Generator Set</w:t>
            </w:r>
          </w:p>
        </w:tc>
        <w:tc>
          <w:tcPr>
            <w:tcW w:w="3240" w:type="dxa"/>
          </w:tcPr>
          <w:p w14:paraId="43C88CB9" w14:textId="77777777" w:rsidR="003A7DED" w:rsidRPr="003A7DED" w:rsidRDefault="003A7DED" w:rsidP="003A7DED">
            <w:pPr>
              <w:rPr>
                <w:rFonts w:ascii="Garamond" w:hAnsi="Garamond"/>
                <w:sz w:val="24"/>
                <w:szCs w:val="24"/>
              </w:rPr>
            </w:pPr>
            <w:r w:rsidRPr="003A7DED">
              <w:rPr>
                <w:rFonts w:ascii="Garamond" w:hAnsi="Garamond"/>
                <w:sz w:val="24"/>
                <w:szCs w:val="24"/>
              </w:rPr>
              <w:t>SCR and Oxidation Catalyst</w:t>
            </w:r>
          </w:p>
        </w:tc>
      </w:tr>
      <w:tr w:rsidR="003A7DED" w:rsidRPr="003A7DED" w14:paraId="7611BEBD" w14:textId="77777777" w:rsidTr="00094765">
        <w:tc>
          <w:tcPr>
            <w:tcW w:w="1458" w:type="dxa"/>
          </w:tcPr>
          <w:p w14:paraId="3822AB8B" w14:textId="77777777" w:rsidR="003A7DED" w:rsidRPr="003A7DED" w:rsidRDefault="003A7DED" w:rsidP="003A7DED">
            <w:pPr>
              <w:rPr>
                <w:rFonts w:ascii="Garamond" w:hAnsi="Garamond"/>
                <w:sz w:val="24"/>
                <w:szCs w:val="24"/>
              </w:rPr>
            </w:pPr>
            <w:r w:rsidRPr="003A7DED">
              <w:rPr>
                <w:rFonts w:ascii="Garamond" w:hAnsi="Garamond"/>
                <w:sz w:val="24"/>
                <w:szCs w:val="24"/>
              </w:rPr>
              <w:t>EU012</w:t>
            </w:r>
          </w:p>
        </w:tc>
        <w:tc>
          <w:tcPr>
            <w:tcW w:w="5130" w:type="dxa"/>
          </w:tcPr>
          <w:p w14:paraId="251BCDC9"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RICE Generator Set</w:t>
            </w:r>
          </w:p>
        </w:tc>
        <w:tc>
          <w:tcPr>
            <w:tcW w:w="3240" w:type="dxa"/>
          </w:tcPr>
          <w:p w14:paraId="36B26D24" w14:textId="77777777" w:rsidR="003A7DED" w:rsidRPr="003A7DED" w:rsidRDefault="003A7DED" w:rsidP="003A7DED">
            <w:pPr>
              <w:rPr>
                <w:rFonts w:ascii="Garamond" w:hAnsi="Garamond"/>
                <w:sz w:val="24"/>
                <w:szCs w:val="24"/>
              </w:rPr>
            </w:pPr>
            <w:r w:rsidRPr="003A7DED">
              <w:rPr>
                <w:rFonts w:ascii="Garamond" w:hAnsi="Garamond"/>
                <w:sz w:val="24"/>
                <w:szCs w:val="24"/>
              </w:rPr>
              <w:t>SCR and Oxidation Catalyst</w:t>
            </w:r>
          </w:p>
        </w:tc>
      </w:tr>
      <w:tr w:rsidR="003A7DED" w:rsidRPr="003A7DED" w14:paraId="57174A5A" w14:textId="77777777" w:rsidTr="00094765">
        <w:tc>
          <w:tcPr>
            <w:tcW w:w="1458" w:type="dxa"/>
          </w:tcPr>
          <w:p w14:paraId="21CF4F80" w14:textId="77777777" w:rsidR="003A7DED" w:rsidRPr="003A7DED" w:rsidRDefault="003A7DED" w:rsidP="003A7DED">
            <w:pPr>
              <w:rPr>
                <w:rFonts w:ascii="Garamond" w:hAnsi="Garamond"/>
                <w:sz w:val="24"/>
                <w:szCs w:val="24"/>
              </w:rPr>
            </w:pPr>
            <w:r w:rsidRPr="003A7DED">
              <w:rPr>
                <w:rFonts w:ascii="Garamond" w:hAnsi="Garamond"/>
                <w:sz w:val="24"/>
                <w:szCs w:val="24"/>
              </w:rPr>
              <w:t>EU013</w:t>
            </w:r>
          </w:p>
        </w:tc>
        <w:tc>
          <w:tcPr>
            <w:tcW w:w="5130" w:type="dxa"/>
          </w:tcPr>
          <w:p w14:paraId="29299846"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RICE Generator Set</w:t>
            </w:r>
          </w:p>
        </w:tc>
        <w:tc>
          <w:tcPr>
            <w:tcW w:w="3240" w:type="dxa"/>
          </w:tcPr>
          <w:p w14:paraId="3BC386CD" w14:textId="77777777" w:rsidR="003A7DED" w:rsidRPr="003A7DED" w:rsidRDefault="003A7DED" w:rsidP="003A7DED">
            <w:pPr>
              <w:rPr>
                <w:rFonts w:ascii="Garamond" w:hAnsi="Garamond"/>
                <w:sz w:val="24"/>
                <w:szCs w:val="24"/>
              </w:rPr>
            </w:pPr>
            <w:r w:rsidRPr="003A7DED">
              <w:rPr>
                <w:rFonts w:ascii="Garamond" w:hAnsi="Garamond"/>
                <w:sz w:val="24"/>
                <w:szCs w:val="24"/>
              </w:rPr>
              <w:t>SCR and Oxidation Catalyst</w:t>
            </w:r>
          </w:p>
        </w:tc>
      </w:tr>
      <w:tr w:rsidR="003A7DED" w:rsidRPr="003A7DED" w14:paraId="3F60BB75" w14:textId="77777777" w:rsidTr="00094765">
        <w:tc>
          <w:tcPr>
            <w:tcW w:w="1458" w:type="dxa"/>
          </w:tcPr>
          <w:p w14:paraId="338C3D68" w14:textId="77777777" w:rsidR="003A7DED" w:rsidRPr="003A7DED" w:rsidRDefault="003A7DED" w:rsidP="003A7DED">
            <w:pPr>
              <w:rPr>
                <w:rFonts w:ascii="Garamond" w:hAnsi="Garamond"/>
                <w:sz w:val="24"/>
                <w:szCs w:val="24"/>
              </w:rPr>
            </w:pPr>
            <w:r w:rsidRPr="003A7DED">
              <w:rPr>
                <w:rFonts w:ascii="Garamond" w:hAnsi="Garamond"/>
                <w:sz w:val="24"/>
                <w:szCs w:val="24"/>
              </w:rPr>
              <w:t>EU014</w:t>
            </w:r>
          </w:p>
        </w:tc>
        <w:tc>
          <w:tcPr>
            <w:tcW w:w="5130" w:type="dxa"/>
          </w:tcPr>
          <w:p w14:paraId="261C8909"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RICE Generator Set</w:t>
            </w:r>
          </w:p>
        </w:tc>
        <w:tc>
          <w:tcPr>
            <w:tcW w:w="3240" w:type="dxa"/>
          </w:tcPr>
          <w:p w14:paraId="2FC1F856" w14:textId="77777777" w:rsidR="003A7DED" w:rsidRPr="003A7DED" w:rsidRDefault="003A7DED" w:rsidP="003A7DED">
            <w:pPr>
              <w:rPr>
                <w:rFonts w:ascii="Garamond" w:hAnsi="Garamond"/>
                <w:sz w:val="24"/>
                <w:szCs w:val="24"/>
              </w:rPr>
            </w:pPr>
            <w:r w:rsidRPr="003A7DED">
              <w:rPr>
                <w:rFonts w:ascii="Garamond" w:hAnsi="Garamond"/>
                <w:sz w:val="24"/>
                <w:szCs w:val="24"/>
              </w:rPr>
              <w:t>SCR and Oxidation Catalyst</w:t>
            </w:r>
          </w:p>
        </w:tc>
      </w:tr>
      <w:tr w:rsidR="003A7DED" w:rsidRPr="003A7DED" w14:paraId="1E60DF85" w14:textId="77777777" w:rsidTr="00094765">
        <w:tc>
          <w:tcPr>
            <w:tcW w:w="1458" w:type="dxa"/>
          </w:tcPr>
          <w:p w14:paraId="7D044487" w14:textId="77777777" w:rsidR="003A7DED" w:rsidRPr="003A7DED" w:rsidRDefault="003A7DED" w:rsidP="003A7DED">
            <w:pPr>
              <w:rPr>
                <w:rFonts w:ascii="Garamond" w:hAnsi="Garamond"/>
                <w:sz w:val="24"/>
                <w:szCs w:val="24"/>
              </w:rPr>
            </w:pPr>
            <w:r w:rsidRPr="003A7DED">
              <w:rPr>
                <w:rFonts w:ascii="Garamond" w:hAnsi="Garamond"/>
                <w:sz w:val="24"/>
                <w:szCs w:val="24"/>
              </w:rPr>
              <w:t>EU015</w:t>
            </w:r>
          </w:p>
        </w:tc>
        <w:tc>
          <w:tcPr>
            <w:tcW w:w="5130" w:type="dxa"/>
          </w:tcPr>
          <w:p w14:paraId="27C5E4C2"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RICE Generator Set</w:t>
            </w:r>
          </w:p>
        </w:tc>
        <w:tc>
          <w:tcPr>
            <w:tcW w:w="3240" w:type="dxa"/>
          </w:tcPr>
          <w:p w14:paraId="6DE5A7BD" w14:textId="77777777" w:rsidR="003A7DED" w:rsidRPr="003A7DED" w:rsidRDefault="003A7DED" w:rsidP="003A7DED">
            <w:pPr>
              <w:rPr>
                <w:rFonts w:ascii="Garamond" w:hAnsi="Garamond"/>
                <w:sz w:val="24"/>
                <w:szCs w:val="24"/>
              </w:rPr>
            </w:pPr>
            <w:r w:rsidRPr="003A7DED">
              <w:rPr>
                <w:rFonts w:ascii="Garamond" w:hAnsi="Garamond"/>
                <w:sz w:val="24"/>
                <w:szCs w:val="24"/>
              </w:rPr>
              <w:t>SCR and Oxidation Catalyst</w:t>
            </w:r>
          </w:p>
        </w:tc>
      </w:tr>
      <w:tr w:rsidR="003A7DED" w:rsidRPr="003A7DED" w14:paraId="5FEB6316" w14:textId="77777777" w:rsidTr="00094765">
        <w:tc>
          <w:tcPr>
            <w:tcW w:w="1458" w:type="dxa"/>
          </w:tcPr>
          <w:p w14:paraId="056BAD7D" w14:textId="77777777" w:rsidR="003A7DED" w:rsidRPr="003A7DED" w:rsidRDefault="003A7DED" w:rsidP="003A7DED">
            <w:pPr>
              <w:rPr>
                <w:rFonts w:ascii="Garamond" w:hAnsi="Garamond"/>
                <w:sz w:val="24"/>
                <w:szCs w:val="24"/>
              </w:rPr>
            </w:pPr>
            <w:r w:rsidRPr="003A7DED">
              <w:rPr>
                <w:rFonts w:ascii="Garamond" w:hAnsi="Garamond"/>
                <w:sz w:val="24"/>
                <w:szCs w:val="24"/>
              </w:rPr>
              <w:t>EU016</w:t>
            </w:r>
          </w:p>
        </w:tc>
        <w:tc>
          <w:tcPr>
            <w:tcW w:w="5130" w:type="dxa"/>
          </w:tcPr>
          <w:p w14:paraId="0EEB426B"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RICE Generator Set</w:t>
            </w:r>
          </w:p>
        </w:tc>
        <w:tc>
          <w:tcPr>
            <w:tcW w:w="3240" w:type="dxa"/>
          </w:tcPr>
          <w:p w14:paraId="725FCA93" w14:textId="77777777" w:rsidR="003A7DED" w:rsidRPr="003A7DED" w:rsidRDefault="003A7DED" w:rsidP="003A7DED">
            <w:pPr>
              <w:rPr>
                <w:rFonts w:ascii="Garamond" w:hAnsi="Garamond"/>
                <w:sz w:val="24"/>
                <w:szCs w:val="24"/>
              </w:rPr>
            </w:pPr>
            <w:r w:rsidRPr="003A7DED">
              <w:rPr>
                <w:rFonts w:ascii="Garamond" w:hAnsi="Garamond"/>
                <w:sz w:val="24"/>
                <w:szCs w:val="24"/>
              </w:rPr>
              <w:t>SCR and Oxidation Catalyst</w:t>
            </w:r>
          </w:p>
        </w:tc>
      </w:tr>
      <w:tr w:rsidR="003A7DED" w:rsidRPr="003A7DED" w14:paraId="6F39B223" w14:textId="77777777" w:rsidTr="00094765">
        <w:tc>
          <w:tcPr>
            <w:tcW w:w="1458" w:type="dxa"/>
          </w:tcPr>
          <w:p w14:paraId="64451C3B" w14:textId="77777777" w:rsidR="003A7DED" w:rsidRPr="003A7DED" w:rsidRDefault="003A7DED" w:rsidP="003A7DED">
            <w:pPr>
              <w:rPr>
                <w:rFonts w:ascii="Garamond" w:hAnsi="Garamond"/>
                <w:sz w:val="24"/>
                <w:szCs w:val="24"/>
              </w:rPr>
            </w:pPr>
            <w:r w:rsidRPr="003A7DED">
              <w:rPr>
                <w:rFonts w:ascii="Garamond" w:hAnsi="Garamond"/>
                <w:sz w:val="24"/>
                <w:szCs w:val="24"/>
              </w:rPr>
              <w:t>EU017</w:t>
            </w:r>
          </w:p>
        </w:tc>
        <w:tc>
          <w:tcPr>
            <w:tcW w:w="5130" w:type="dxa"/>
          </w:tcPr>
          <w:p w14:paraId="4A58EA16"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RICE Generator Set</w:t>
            </w:r>
          </w:p>
        </w:tc>
        <w:tc>
          <w:tcPr>
            <w:tcW w:w="3240" w:type="dxa"/>
          </w:tcPr>
          <w:p w14:paraId="501921FC" w14:textId="77777777" w:rsidR="003A7DED" w:rsidRPr="003A7DED" w:rsidRDefault="003A7DED" w:rsidP="003A7DED">
            <w:pPr>
              <w:rPr>
                <w:rFonts w:ascii="Garamond" w:hAnsi="Garamond"/>
                <w:sz w:val="24"/>
                <w:szCs w:val="24"/>
              </w:rPr>
            </w:pPr>
            <w:r w:rsidRPr="003A7DED">
              <w:rPr>
                <w:rFonts w:ascii="Garamond" w:hAnsi="Garamond"/>
                <w:sz w:val="24"/>
                <w:szCs w:val="24"/>
              </w:rPr>
              <w:t>SCR and Oxidation Catalyst</w:t>
            </w:r>
          </w:p>
        </w:tc>
      </w:tr>
      <w:tr w:rsidR="003A7DED" w:rsidRPr="003A7DED" w14:paraId="04CA4863" w14:textId="77777777" w:rsidTr="00094765">
        <w:tc>
          <w:tcPr>
            <w:tcW w:w="1458" w:type="dxa"/>
          </w:tcPr>
          <w:p w14:paraId="1373D0A5" w14:textId="77777777" w:rsidR="003A7DED" w:rsidRPr="003A7DED" w:rsidRDefault="003A7DED" w:rsidP="003A7DED">
            <w:pPr>
              <w:rPr>
                <w:rFonts w:ascii="Garamond" w:hAnsi="Garamond"/>
                <w:sz w:val="24"/>
                <w:szCs w:val="24"/>
              </w:rPr>
            </w:pPr>
            <w:r w:rsidRPr="003A7DED">
              <w:rPr>
                <w:rFonts w:ascii="Garamond" w:hAnsi="Garamond"/>
                <w:sz w:val="24"/>
                <w:szCs w:val="24"/>
              </w:rPr>
              <w:t>EU018</w:t>
            </w:r>
          </w:p>
        </w:tc>
        <w:tc>
          <w:tcPr>
            <w:tcW w:w="5130" w:type="dxa"/>
          </w:tcPr>
          <w:p w14:paraId="5D17FB05"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RICE Generator Set</w:t>
            </w:r>
          </w:p>
        </w:tc>
        <w:tc>
          <w:tcPr>
            <w:tcW w:w="3240" w:type="dxa"/>
          </w:tcPr>
          <w:p w14:paraId="7C05C7AE" w14:textId="77777777" w:rsidR="003A7DED" w:rsidRPr="003A7DED" w:rsidRDefault="003A7DED" w:rsidP="003A7DED">
            <w:pPr>
              <w:rPr>
                <w:rFonts w:ascii="Garamond" w:hAnsi="Garamond"/>
                <w:sz w:val="24"/>
                <w:szCs w:val="24"/>
              </w:rPr>
            </w:pPr>
            <w:r w:rsidRPr="003A7DED">
              <w:rPr>
                <w:rFonts w:ascii="Garamond" w:hAnsi="Garamond"/>
                <w:sz w:val="24"/>
                <w:szCs w:val="24"/>
              </w:rPr>
              <w:t>SCR and Oxidation Catalyst</w:t>
            </w:r>
          </w:p>
        </w:tc>
      </w:tr>
      <w:tr w:rsidR="003A7DED" w:rsidRPr="003A7DED" w14:paraId="4E5D02F4" w14:textId="77777777" w:rsidTr="00094765">
        <w:tc>
          <w:tcPr>
            <w:tcW w:w="1458" w:type="dxa"/>
          </w:tcPr>
          <w:p w14:paraId="5F47C046" w14:textId="77777777" w:rsidR="003A7DED" w:rsidRPr="003A7DED" w:rsidRDefault="003A7DED" w:rsidP="003A7DED">
            <w:pPr>
              <w:rPr>
                <w:rFonts w:ascii="Garamond" w:hAnsi="Garamond"/>
                <w:sz w:val="24"/>
                <w:szCs w:val="24"/>
              </w:rPr>
            </w:pPr>
            <w:r w:rsidRPr="003A7DED">
              <w:rPr>
                <w:rFonts w:ascii="Garamond" w:hAnsi="Garamond"/>
                <w:sz w:val="24"/>
                <w:szCs w:val="24"/>
              </w:rPr>
              <w:t>EU019</w:t>
            </w:r>
          </w:p>
        </w:tc>
        <w:tc>
          <w:tcPr>
            <w:tcW w:w="5130" w:type="dxa"/>
          </w:tcPr>
          <w:p w14:paraId="5EA8341D" w14:textId="7D3FA8AA" w:rsidR="003A7DED" w:rsidRPr="003A7DED" w:rsidRDefault="003A7DED" w:rsidP="003A7DED">
            <w:pPr>
              <w:rPr>
                <w:rFonts w:ascii="Garamond" w:hAnsi="Garamond"/>
                <w:sz w:val="24"/>
                <w:szCs w:val="24"/>
              </w:rPr>
            </w:pPr>
            <w:r w:rsidRPr="003A7DED">
              <w:rPr>
                <w:rFonts w:ascii="Garamond" w:hAnsi="Garamond"/>
                <w:sz w:val="24"/>
                <w:szCs w:val="24"/>
              </w:rPr>
              <w:t xml:space="preserve">Emergency Power Diesel Engine (Gen Set) Up to </w:t>
            </w:r>
            <w:r w:rsidR="00754E90">
              <w:rPr>
                <w:rFonts w:ascii="Garamond" w:hAnsi="Garamond"/>
                <w:sz w:val="24"/>
                <w:szCs w:val="24"/>
              </w:rPr>
              <w:t xml:space="preserve">a </w:t>
            </w:r>
            <w:r w:rsidRPr="003A7DED">
              <w:rPr>
                <w:rFonts w:ascii="Garamond" w:hAnsi="Garamond"/>
                <w:sz w:val="24"/>
                <w:szCs w:val="24"/>
              </w:rPr>
              <w:t>2, 682 brake horsepower (bhp)</w:t>
            </w:r>
            <w:r w:rsidR="00754E90">
              <w:rPr>
                <w:rFonts w:ascii="Garamond" w:hAnsi="Garamond"/>
                <w:sz w:val="24"/>
                <w:szCs w:val="24"/>
              </w:rPr>
              <w:t xml:space="preserve"> rating</w:t>
            </w:r>
          </w:p>
        </w:tc>
        <w:tc>
          <w:tcPr>
            <w:tcW w:w="3240" w:type="dxa"/>
          </w:tcPr>
          <w:p w14:paraId="75E431F2" w14:textId="77777777" w:rsidR="003A7DED" w:rsidRPr="003A7DED" w:rsidRDefault="003A7DED" w:rsidP="003A7DED">
            <w:pPr>
              <w:rPr>
                <w:rFonts w:ascii="Garamond" w:hAnsi="Garamond"/>
                <w:sz w:val="24"/>
                <w:szCs w:val="24"/>
              </w:rPr>
            </w:pPr>
            <w:r w:rsidRPr="003A7DED">
              <w:rPr>
                <w:rFonts w:ascii="Garamond" w:hAnsi="Garamond"/>
                <w:sz w:val="24"/>
                <w:szCs w:val="24"/>
              </w:rPr>
              <w:t>40 CFR 60 Subpart IIII and 40 CFR 63 Subpart ZZZZ</w:t>
            </w:r>
          </w:p>
        </w:tc>
      </w:tr>
      <w:tr w:rsidR="003A7DED" w:rsidRPr="003A7DED" w14:paraId="30CBF9DB" w14:textId="77777777" w:rsidTr="00094765">
        <w:tc>
          <w:tcPr>
            <w:tcW w:w="1458" w:type="dxa"/>
          </w:tcPr>
          <w:p w14:paraId="61473629" w14:textId="77777777" w:rsidR="003A7DED" w:rsidRPr="003A7DED" w:rsidRDefault="003A7DED" w:rsidP="003A7DED">
            <w:pPr>
              <w:rPr>
                <w:rFonts w:ascii="Garamond" w:hAnsi="Garamond"/>
                <w:sz w:val="24"/>
                <w:szCs w:val="24"/>
              </w:rPr>
            </w:pPr>
            <w:r w:rsidRPr="003A7DED">
              <w:rPr>
                <w:rFonts w:ascii="Garamond" w:hAnsi="Garamond"/>
                <w:sz w:val="24"/>
                <w:szCs w:val="24"/>
              </w:rPr>
              <w:t>EU020</w:t>
            </w:r>
          </w:p>
        </w:tc>
        <w:tc>
          <w:tcPr>
            <w:tcW w:w="5130" w:type="dxa"/>
          </w:tcPr>
          <w:p w14:paraId="03F5B5D7" w14:textId="6C852948" w:rsidR="003A7DED" w:rsidRPr="003A7DED" w:rsidRDefault="003A7DED" w:rsidP="003A7DED">
            <w:pPr>
              <w:rPr>
                <w:rFonts w:ascii="Garamond" w:hAnsi="Garamond"/>
                <w:sz w:val="24"/>
                <w:szCs w:val="24"/>
              </w:rPr>
            </w:pPr>
            <w:r w:rsidRPr="003A7DED">
              <w:rPr>
                <w:rFonts w:ascii="Garamond" w:hAnsi="Garamond"/>
                <w:sz w:val="24"/>
                <w:szCs w:val="24"/>
              </w:rPr>
              <w:t xml:space="preserve">Emergency Engine for Fire Pump (Gen Set) Up to </w:t>
            </w:r>
            <w:r w:rsidR="00754E90">
              <w:rPr>
                <w:rFonts w:ascii="Garamond" w:hAnsi="Garamond"/>
                <w:sz w:val="24"/>
                <w:szCs w:val="24"/>
              </w:rPr>
              <w:t xml:space="preserve">a </w:t>
            </w:r>
            <w:r w:rsidRPr="003A7DED">
              <w:rPr>
                <w:rFonts w:ascii="Garamond" w:hAnsi="Garamond"/>
                <w:sz w:val="24"/>
                <w:szCs w:val="24"/>
              </w:rPr>
              <w:t>315 bhp</w:t>
            </w:r>
            <w:r w:rsidR="00754E90">
              <w:rPr>
                <w:rFonts w:ascii="Garamond" w:hAnsi="Garamond"/>
                <w:sz w:val="24"/>
                <w:szCs w:val="24"/>
              </w:rPr>
              <w:t xml:space="preserve"> rating</w:t>
            </w:r>
          </w:p>
        </w:tc>
        <w:tc>
          <w:tcPr>
            <w:tcW w:w="3240" w:type="dxa"/>
          </w:tcPr>
          <w:p w14:paraId="044D9EA6" w14:textId="77777777" w:rsidR="003A7DED" w:rsidRPr="003A7DED" w:rsidRDefault="003A7DED" w:rsidP="003A7DED">
            <w:pPr>
              <w:rPr>
                <w:rFonts w:ascii="Garamond" w:hAnsi="Garamond"/>
                <w:sz w:val="24"/>
                <w:szCs w:val="24"/>
              </w:rPr>
            </w:pPr>
            <w:r w:rsidRPr="003A7DED">
              <w:rPr>
                <w:rFonts w:ascii="Garamond" w:hAnsi="Garamond"/>
                <w:sz w:val="24"/>
                <w:szCs w:val="24"/>
              </w:rPr>
              <w:t>40 CFR 60 Subpart IIII and 40 CFR 63 Subpart ZZZZ</w:t>
            </w:r>
          </w:p>
        </w:tc>
      </w:tr>
      <w:tr w:rsidR="003A7DED" w:rsidRPr="003A7DED" w14:paraId="6BFB8A6C" w14:textId="77777777" w:rsidTr="00094765">
        <w:tc>
          <w:tcPr>
            <w:tcW w:w="1458" w:type="dxa"/>
          </w:tcPr>
          <w:p w14:paraId="1C3D1F34" w14:textId="6EB89932" w:rsidR="003A7DED" w:rsidRPr="003A7DED" w:rsidRDefault="003A7DED" w:rsidP="003A7DED">
            <w:pPr>
              <w:rPr>
                <w:rFonts w:ascii="Garamond" w:hAnsi="Garamond"/>
                <w:sz w:val="24"/>
                <w:szCs w:val="24"/>
              </w:rPr>
            </w:pPr>
            <w:r w:rsidRPr="003A7DED">
              <w:rPr>
                <w:rFonts w:ascii="Garamond" w:hAnsi="Garamond"/>
                <w:sz w:val="24"/>
                <w:szCs w:val="24"/>
              </w:rPr>
              <w:t>EU0</w:t>
            </w:r>
            <w:r w:rsidR="006632E1">
              <w:rPr>
                <w:rFonts w:ascii="Garamond" w:hAnsi="Garamond"/>
                <w:sz w:val="24"/>
                <w:szCs w:val="24"/>
              </w:rPr>
              <w:t>21</w:t>
            </w:r>
          </w:p>
        </w:tc>
        <w:tc>
          <w:tcPr>
            <w:tcW w:w="5130" w:type="dxa"/>
          </w:tcPr>
          <w:p w14:paraId="6FE2BCCB" w14:textId="77777777" w:rsidR="003A7DED" w:rsidRPr="003A7DED" w:rsidRDefault="003A7DED" w:rsidP="003A7DED">
            <w:pPr>
              <w:rPr>
                <w:rFonts w:ascii="Garamond" w:hAnsi="Garamond"/>
                <w:sz w:val="24"/>
                <w:szCs w:val="24"/>
              </w:rPr>
            </w:pPr>
            <w:r w:rsidRPr="003A7DED">
              <w:rPr>
                <w:rFonts w:ascii="Garamond" w:hAnsi="Garamond"/>
                <w:sz w:val="24"/>
                <w:szCs w:val="24"/>
              </w:rPr>
              <w:t>Dew Point Heater up to 1.1 MMBtu/</w:t>
            </w:r>
            <w:proofErr w:type="spellStart"/>
            <w:r w:rsidRPr="003A7DED">
              <w:rPr>
                <w:rFonts w:ascii="Garamond" w:hAnsi="Garamond"/>
                <w:sz w:val="24"/>
                <w:szCs w:val="24"/>
              </w:rPr>
              <w:t>hr</w:t>
            </w:r>
            <w:proofErr w:type="spellEnd"/>
          </w:p>
        </w:tc>
        <w:tc>
          <w:tcPr>
            <w:tcW w:w="3240" w:type="dxa"/>
          </w:tcPr>
          <w:p w14:paraId="6871ACB5" w14:textId="77777777" w:rsidR="003A7DED" w:rsidRPr="003A7DED" w:rsidRDefault="003A7DED" w:rsidP="003A7DED">
            <w:pPr>
              <w:rPr>
                <w:rFonts w:ascii="Garamond" w:hAnsi="Garamond"/>
                <w:sz w:val="24"/>
                <w:szCs w:val="24"/>
              </w:rPr>
            </w:pPr>
            <w:r w:rsidRPr="003A7DED">
              <w:rPr>
                <w:rFonts w:ascii="Garamond" w:hAnsi="Garamond"/>
                <w:sz w:val="24"/>
                <w:szCs w:val="24"/>
              </w:rPr>
              <w:t>Good Combustion Practices and only Pipeline Quality Natural Gas</w:t>
            </w:r>
          </w:p>
        </w:tc>
      </w:tr>
    </w:tbl>
    <w:p w14:paraId="7E738D68" w14:textId="77777777" w:rsidR="003A7DED" w:rsidRPr="003A7DED" w:rsidRDefault="003A7DED" w:rsidP="003A7DED"/>
    <w:p w14:paraId="02E99386" w14:textId="77777777" w:rsidR="002F5D7E" w:rsidRPr="00F82CFD" w:rsidRDefault="002F5D7E">
      <w:pPr>
        <w:pStyle w:val="Heading2"/>
        <w:rPr>
          <w:rFonts w:ascii="Garamond" w:hAnsi="Garamond"/>
          <w:sz w:val="24"/>
          <w:szCs w:val="24"/>
        </w:rPr>
      </w:pPr>
      <w:bookmarkStart w:id="9" w:name="_Toc219189919"/>
      <w:r w:rsidRPr="00F82CFD">
        <w:rPr>
          <w:rFonts w:ascii="Garamond" w:hAnsi="Garamond"/>
          <w:sz w:val="24"/>
          <w:szCs w:val="24"/>
        </w:rPr>
        <w:t>Categorically Insignificant Sources/Activities</w:t>
      </w:r>
      <w:bookmarkEnd w:id="9"/>
    </w:p>
    <w:p w14:paraId="05D461DD" w14:textId="5B6E07E7" w:rsidR="003A7DED" w:rsidRDefault="00E13DDC" w:rsidP="003A7DED">
      <w:pPr>
        <w:rPr>
          <w:rFonts w:ascii="Garamond" w:hAnsi="Garamond"/>
          <w:szCs w:val="24"/>
        </w:rPr>
      </w:pPr>
      <w:r w:rsidRPr="006638D0">
        <w:rPr>
          <w:rFonts w:ascii="Garamond" w:hAnsi="Garamond"/>
          <w:sz w:val="24"/>
          <w:szCs w:val="24"/>
        </w:rPr>
        <w:t>The application identified the Line Heater as an insignificant emitting unit</w:t>
      </w:r>
      <w:r w:rsidR="006638D0" w:rsidRPr="006638D0">
        <w:rPr>
          <w:rFonts w:ascii="Garamond" w:hAnsi="Garamond"/>
          <w:sz w:val="24"/>
          <w:szCs w:val="24"/>
        </w:rPr>
        <w:t>. While the Line Heater has the potential to emit less than five tons per year of any regulated air pollutant and less than 500 pounds of potential lead and HAPs emissions, it does have an applicable BACT requirement for clean burning fuels. The Line Heater meets three of the four requirements for being considered an insignificant emitting unit; however, given the ARM 17.8.752 reference and associated applicable BACT requirement, it does not meet the final requirement for an insignificant emitting unit. Therefore, the applicable requirements for the Line Heater are included in Section III.D of this operating permit</w:t>
      </w:r>
      <w:r w:rsidR="006638D0">
        <w:rPr>
          <w:rFonts w:ascii="Garamond" w:hAnsi="Garamond"/>
          <w:szCs w:val="24"/>
        </w:rPr>
        <w:t>.</w:t>
      </w:r>
    </w:p>
    <w:p w14:paraId="75488B62" w14:textId="77777777" w:rsidR="006638D0" w:rsidRDefault="006638D0" w:rsidP="003A7DED">
      <w:pPr>
        <w:rPr>
          <w:rFonts w:ascii="Garamond" w:hAnsi="Garamond"/>
          <w:szCs w:val="24"/>
        </w:rPr>
      </w:pPr>
    </w:p>
    <w:p w14:paraId="78EAFCAF" w14:textId="5A0F9B93" w:rsidR="00E13DDC" w:rsidRDefault="006638D0" w:rsidP="006638D0">
      <w:pPr>
        <w:pStyle w:val="BodyTextIndent2"/>
        <w:ind w:left="0"/>
        <w:rPr>
          <w:rFonts w:ascii="Garamond" w:hAnsi="Garamond"/>
          <w:sz w:val="24"/>
          <w:szCs w:val="24"/>
        </w:rPr>
      </w:pPr>
      <w:r w:rsidRPr="006638D0">
        <w:rPr>
          <w:rFonts w:ascii="Garamond" w:hAnsi="Garamond"/>
          <w:sz w:val="24"/>
          <w:szCs w:val="24"/>
        </w:rPr>
        <w:t xml:space="preserve">No other insignificant emitting units were presented by </w:t>
      </w:r>
      <w:r>
        <w:rPr>
          <w:rFonts w:ascii="Garamond" w:hAnsi="Garamond"/>
          <w:sz w:val="24"/>
          <w:szCs w:val="24"/>
        </w:rPr>
        <w:t>N</w:t>
      </w:r>
      <w:r w:rsidR="00B140E0">
        <w:rPr>
          <w:rFonts w:ascii="Garamond" w:hAnsi="Garamond"/>
          <w:sz w:val="24"/>
          <w:szCs w:val="24"/>
        </w:rPr>
        <w:t>WE</w:t>
      </w:r>
      <w:r>
        <w:rPr>
          <w:rFonts w:ascii="Garamond" w:hAnsi="Garamond"/>
          <w:sz w:val="24"/>
          <w:szCs w:val="24"/>
        </w:rPr>
        <w:t>.</w:t>
      </w:r>
    </w:p>
    <w:p w14:paraId="3401E45A" w14:textId="77777777" w:rsidR="003A7DED" w:rsidRPr="00F82CFD" w:rsidRDefault="003A7DED" w:rsidP="003A7DED">
      <w:pPr>
        <w:rPr>
          <w:rFonts w:ascii="Garamond" w:hAnsi="Garamond"/>
          <w:sz w:val="24"/>
          <w:szCs w:val="24"/>
        </w:rPr>
      </w:pPr>
    </w:p>
    <w:p w14:paraId="3C885858" w14:textId="77777777" w:rsidR="002F5D7E" w:rsidRPr="00F82CFD" w:rsidRDefault="002F5D7E">
      <w:pPr>
        <w:rPr>
          <w:rFonts w:ascii="Garamond" w:hAnsi="Garamond"/>
          <w:sz w:val="21"/>
        </w:rPr>
      </w:pPr>
    </w:p>
    <w:p w14:paraId="55B1F119" w14:textId="77777777" w:rsidR="002F5D7E" w:rsidRPr="00F82CFD" w:rsidRDefault="002F5D7E">
      <w:pPr>
        <w:pStyle w:val="Heading1"/>
        <w:rPr>
          <w:rFonts w:ascii="Garamond" w:hAnsi="Garamond"/>
          <w:sz w:val="21"/>
        </w:rPr>
        <w:sectPr w:rsidR="002F5D7E" w:rsidRPr="00F82CFD" w:rsidSect="00EB78AF">
          <w:pgSz w:w="12240" w:h="15840"/>
          <w:pgMar w:top="1152" w:right="1440" w:bottom="1008" w:left="1440" w:header="720" w:footer="720" w:gutter="0"/>
          <w:cols w:space="720"/>
        </w:sectPr>
      </w:pPr>
    </w:p>
    <w:p w14:paraId="267B30B6" w14:textId="77777777" w:rsidR="002F5D7E" w:rsidRPr="00F82CFD" w:rsidRDefault="002F5D7E">
      <w:pPr>
        <w:pStyle w:val="Heading1"/>
        <w:rPr>
          <w:rFonts w:ascii="Garamond" w:hAnsi="Garamond"/>
          <w:sz w:val="24"/>
          <w:szCs w:val="24"/>
        </w:rPr>
      </w:pPr>
      <w:bookmarkStart w:id="10" w:name="_Toc219189920"/>
      <w:r w:rsidRPr="00F82CFD">
        <w:rPr>
          <w:rFonts w:ascii="Garamond" w:hAnsi="Garamond"/>
          <w:sz w:val="24"/>
          <w:szCs w:val="24"/>
        </w:rPr>
        <w:lastRenderedPageBreak/>
        <w:t>PERMIT CONDITIONS</w:t>
      </w:r>
      <w:bookmarkEnd w:id="10"/>
    </w:p>
    <w:p w14:paraId="5F088DC8" w14:textId="77777777" w:rsidR="002F5D7E" w:rsidRPr="00F82CFD" w:rsidRDefault="002F5D7E">
      <w:pPr>
        <w:rPr>
          <w:rFonts w:ascii="Garamond" w:hAnsi="Garamond"/>
          <w:sz w:val="24"/>
          <w:szCs w:val="24"/>
        </w:rPr>
      </w:pPr>
    </w:p>
    <w:p w14:paraId="66341F6D" w14:textId="77777777" w:rsidR="002F5D7E" w:rsidRDefault="002F5D7E" w:rsidP="00624EAE">
      <w:pPr>
        <w:pStyle w:val="Heading2"/>
        <w:numPr>
          <w:ilvl w:val="0"/>
          <w:numId w:val="22"/>
        </w:numPr>
        <w:spacing w:before="0" w:beforeAutospacing="0" w:after="0" w:afterAutospacing="0"/>
        <w:rPr>
          <w:rFonts w:ascii="Garamond" w:hAnsi="Garamond"/>
          <w:sz w:val="24"/>
          <w:szCs w:val="24"/>
        </w:rPr>
      </w:pPr>
      <w:bookmarkStart w:id="11" w:name="_Toc219189921"/>
      <w:r w:rsidRPr="00F82CFD">
        <w:rPr>
          <w:rFonts w:ascii="Garamond" w:hAnsi="Garamond"/>
          <w:sz w:val="24"/>
          <w:szCs w:val="24"/>
        </w:rPr>
        <w:t>Emission Limits and Standards</w:t>
      </w:r>
      <w:bookmarkEnd w:id="11"/>
    </w:p>
    <w:p w14:paraId="6F5F96A8" w14:textId="77777777" w:rsidR="00624EAE" w:rsidRPr="00624EAE" w:rsidRDefault="00624EAE" w:rsidP="00624EAE"/>
    <w:p w14:paraId="1C8A6245" w14:textId="7C9D05DD" w:rsidR="00A9424F" w:rsidRDefault="00A9424F" w:rsidP="00A9424F">
      <w:pPr>
        <w:rPr>
          <w:rFonts w:ascii="Garamond" w:hAnsi="Garamond"/>
          <w:sz w:val="24"/>
          <w:szCs w:val="24"/>
        </w:rPr>
      </w:pPr>
      <w:r w:rsidRPr="00A9424F">
        <w:rPr>
          <w:rFonts w:ascii="Garamond" w:hAnsi="Garamond"/>
          <w:sz w:val="24"/>
          <w:szCs w:val="24"/>
        </w:rPr>
        <w:t>Emission limits and standards in the Title V permit were established from the preconstruction permit MAQP #5261-00, the NSPS requirements and the MACT requirements.  These documents were supported by the Title V application materials submitted on December 20, 2024</w:t>
      </w:r>
      <w:r w:rsidR="00EB2757">
        <w:rPr>
          <w:rFonts w:ascii="Garamond" w:hAnsi="Garamond"/>
          <w:sz w:val="24"/>
          <w:szCs w:val="24"/>
        </w:rPr>
        <w:t>,</w:t>
      </w:r>
      <w:r w:rsidRPr="00A9424F">
        <w:rPr>
          <w:rFonts w:ascii="Garamond" w:hAnsi="Garamond"/>
          <w:sz w:val="24"/>
          <w:szCs w:val="24"/>
        </w:rPr>
        <w:t xml:space="preserve"> and March 5, 2025.</w:t>
      </w:r>
    </w:p>
    <w:p w14:paraId="78EE3F63" w14:textId="77777777" w:rsidR="00624EAE" w:rsidRPr="00A9424F" w:rsidRDefault="00624EAE" w:rsidP="00A9424F">
      <w:pPr>
        <w:rPr>
          <w:rFonts w:ascii="Garamond" w:hAnsi="Garamond"/>
          <w:sz w:val="24"/>
          <w:szCs w:val="24"/>
        </w:rPr>
      </w:pPr>
    </w:p>
    <w:p w14:paraId="78A67668" w14:textId="77777777" w:rsidR="002F5D7E" w:rsidRDefault="002F5D7E" w:rsidP="00624EAE">
      <w:pPr>
        <w:pStyle w:val="Heading2"/>
        <w:spacing w:before="0" w:beforeAutospacing="0" w:after="0" w:afterAutospacing="0"/>
        <w:rPr>
          <w:rFonts w:ascii="Garamond" w:hAnsi="Garamond"/>
          <w:sz w:val="24"/>
          <w:szCs w:val="24"/>
        </w:rPr>
      </w:pPr>
      <w:bookmarkStart w:id="12" w:name="_Toc219189922"/>
      <w:r w:rsidRPr="00F82CFD">
        <w:rPr>
          <w:rFonts w:ascii="Garamond" w:hAnsi="Garamond"/>
          <w:sz w:val="24"/>
          <w:szCs w:val="24"/>
        </w:rPr>
        <w:t>Monitoring Requirements</w:t>
      </w:r>
      <w:bookmarkEnd w:id="12"/>
    </w:p>
    <w:p w14:paraId="6BA69979" w14:textId="77777777" w:rsidR="00624EAE" w:rsidRPr="00624EAE" w:rsidRDefault="00624EAE" w:rsidP="00624EAE"/>
    <w:p w14:paraId="59250317" w14:textId="77777777" w:rsidR="002F5D7E" w:rsidRPr="00F82CFD" w:rsidRDefault="002F5D7E" w:rsidP="00A9424F">
      <w:pPr>
        <w:rPr>
          <w:rFonts w:ascii="Garamond" w:hAnsi="Garamond"/>
          <w:sz w:val="24"/>
          <w:szCs w:val="24"/>
        </w:rPr>
      </w:pPr>
      <w:r w:rsidRPr="00F82CFD">
        <w:rPr>
          <w:rFonts w:ascii="Garamond" w:hAnsi="Garamond"/>
          <w:sz w:val="24"/>
          <w:szCs w:val="24"/>
        </w:rPr>
        <w:t xml:space="preserve">ARM 17.8.1212(1) requires that all monitoring and analysis procedures or test methods required under applicable requirements are contained in operating permits.  In addition, when the applicable requirement does not require periodic testing or monitoring, periodic monitoring must be prescribed that is sufficient to yield reliable data from the relevant </w:t>
      </w:r>
      <w:proofErr w:type="gramStart"/>
      <w:r w:rsidRPr="00F82CFD">
        <w:rPr>
          <w:rFonts w:ascii="Garamond" w:hAnsi="Garamond"/>
          <w:sz w:val="24"/>
          <w:szCs w:val="24"/>
        </w:rPr>
        <w:t>time period</w:t>
      </w:r>
      <w:proofErr w:type="gramEnd"/>
      <w:r w:rsidRPr="00F82CFD">
        <w:rPr>
          <w:rFonts w:ascii="Garamond" w:hAnsi="Garamond"/>
          <w:sz w:val="24"/>
          <w:szCs w:val="24"/>
        </w:rPr>
        <w:t xml:space="preserve"> that is representative of the source's compliance with the permit.</w:t>
      </w:r>
    </w:p>
    <w:p w14:paraId="7BF47267" w14:textId="77777777" w:rsidR="002F5D7E" w:rsidRPr="00F82CFD" w:rsidRDefault="002F5D7E">
      <w:pPr>
        <w:rPr>
          <w:rFonts w:ascii="Garamond" w:hAnsi="Garamond"/>
          <w:sz w:val="24"/>
          <w:szCs w:val="24"/>
        </w:rPr>
      </w:pPr>
    </w:p>
    <w:p w14:paraId="6BD5CC95" w14:textId="77777777" w:rsidR="002F5D7E" w:rsidRPr="00F82CFD" w:rsidRDefault="002F5D7E" w:rsidP="00A9424F">
      <w:pPr>
        <w:rPr>
          <w:rFonts w:ascii="Garamond" w:hAnsi="Garamond"/>
          <w:sz w:val="24"/>
          <w:szCs w:val="24"/>
        </w:rPr>
      </w:pPr>
      <w:r w:rsidRPr="00F82CFD">
        <w:rPr>
          <w:rFonts w:ascii="Garamond" w:hAnsi="Garamond"/>
          <w:sz w:val="24"/>
          <w:szCs w:val="24"/>
        </w:rPr>
        <w:t xml:space="preserve">The requirements for testing, monitoring, recordkeeping, reporting, and compliance certification sufficient to assure compliance do not require the permit to impose the same level of rigor for all emissions units.  Furthermore, they do not require extensive testing or monitoring to assure compliance with the applicable requirements for emissions units that do not have significant potential to violate emission limitations or other requirements under normal operating conditions.  When compliance with the underlying applicable requirement for </w:t>
      </w:r>
      <w:proofErr w:type="spellStart"/>
      <w:proofErr w:type="gramStart"/>
      <w:r w:rsidRPr="00F82CFD">
        <w:rPr>
          <w:rFonts w:ascii="Garamond" w:hAnsi="Garamond"/>
          <w:sz w:val="24"/>
          <w:szCs w:val="24"/>
        </w:rPr>
        <w:t>a</w:t>
      </w:r>
      <w:proofErr w:type="spellEnd"/>
      <w:proofErr w:type="gramEnd"/>
      <w:r w:rsidRPr="00F82CFD">
        <w:rPr>
          <w:rFonts w:ascii="Garamond" w:hAnsi="Garamond"/>
          <w:sz w:val="24"/>
          <w:szCs w:val="24"/>
        </w:rPr>
        <w:t xml:space="preserve"> insignificant emissions unit is not threatened by lack of regular monitoring and when periodic testing or monitoring is not otherwise required by the applicable requirement, the status quo </w:t>
      </w:r>
      <w:r w:rsidRPr="00F82CFD">
        <w:rPr>
          <w:rFonts w:ascii="Garamond" w:hAnsi="Garamond"/>
          <w:b/>
          <w:sz w:val="24"/>
          <w:szCs w:val="24"/>
        </w:rPr>
        <w:t>(i.e., no monitoring)</w:t>
      </w:r>
      <w:r w:rsidRPr="00F82CFD">
        <w:rPr>
          <w:rFonts w:ascii="Garamond" w:hAnsi="Garamond"/>
          <w:sz w:val="24"/>
          <w:szCs w:val="24"/>
        </w:rPr>
        <w:t xml:space="preserve"> will meet the requirements of ARM 17.8.1212(1).  Therefore, the permit does not include monitoring for insignificant emissions units.</w:t>
      </w:r>
    </w:p>
    <w:p w14:paraId="04165104" w14:textId="77777777" w:rsidR="002F5D7E" w:rsidRPr="00F82CFD" w:rsidRDefault="002F5D7E">
      <w:pPr>
        <w:rPr>
          <w:rFonts w:ascii="Garamond" w:hAnsi="Garamond"/>
          <w:sz w:val="24"/>
          <w:szCs w:val="24"/>
        </w:rPr>
      </w:pPr>
    </w:p>
    <w:p w14:paraId="672EB4AF" w14:textId="5AD272B8" w:rsidR="002F5D7E" w:rsidRDefault="002F5D7E" w:rsidP="00A9424F">
      <w:pPr>
        <w:rPr>
          <w:rFonts w:ascii="Garamond" w:hAnsi="Garamond"/>
          <w:sz w:val="24"/>
          <w:szCs w:val="24"/>
        </w:rPr>
      </w:pPr>
      <w:r w:rsidRPr="00F82CFD">
        <w:rPr>
          <w:rFonts w:ascii="Garamond" w:hAnsi="Garamond"/>
          <w:sz w:val="24"/>
          <w:szCs w:val="24"/>
        </w:rPr>
        <w:t xml:space="preserve">The permit includes periodic monitoring or recordkeeping for each applicable requirement.  The information obtained from the monitoring and recordkeeping will be used by the permittee to periodically certify compliance with the emission limits and standards.  However, </w:t>
      </w:r>
      <w:r w:rsidR="00543213">
        <w:rPr>
          <w:rFonts w:ascii="Garamond" w:hAnsi="Garamond"/>
          <w:sz w:val="24"/>
          <w:szCs w:val="24"/>
        </w:rPr>
        <w:t>DEQ</w:t>
      </w:r>
      <w:r w:rsidRPr="00F82CFD">
        <w:rPr>
          <w:rFonts w:ascii="Garamond" w:hAnsi="Garamond"/>
          <w:sz w:val="24"/>
          <w:szCs w:val="24"/>
        </w:rPr>
        <w:t xml:space="preserve"> may request additional testing to determine compliance with the emission limits and standards.</w:t>
      </w:r>
    </w:p>
    <w:p w14:paraId="02EA5816" w14:textId="77777777" w:rsidR="00624EAE" w:rsidRPr="00F82CFD" w:rsidRDefault="00624EAE" w:rsidP="00A9424F">
      <w:pPr>
        <w:rPr>
          <w:rFonts w:ascii="Garamond" w:hAnsi="Garamond"/>
          <w:sz w:val="24"/>
          <w:szCs w:val="24"/>
        </w:rPr>
      </w:pPr>
    </w:p>
    <w:p w14:paraId="101A4A66" w14:textId="77777777" w:rsidR="002F5D7E" w:rsidRDefault="002F5D7E" w:rsidP="00624EAE">
      <w:pPr>
        <w:pStyle w:val="Heading2"/>
        <w:spacing w:before="0" w:beforeAutospacing="0" w:after="0" w:afterAutospacing="0"/>
        <w:rPr>
          <w:rFonts w:ascii="Garamond" w:hAnsi="Garamond"/>
          <w:sz w:val="24"/>
          <w:szCs w:val="24"/>
        </w:rPr>
      </w:pPr>
      <w:bookmarkStart w:id="13" w:name="_Toc219189923"/>
      <w:r w:rsidRPr="00F82CFD">
        <w:rPr>
          <w:rFonts w:ascii="Garamond" w:hAnsi="Garamond"/>
          <w:sz w:val="24"/>
          <w:szCs w:val="24"/>
        </w:rPr>
        <w:t>Test Methods and Procedures</w:t>
      </w:r>
      <w:bookmarkEnd w:id="13"/>
    </w:p>
    <w:p w14:paraId="46BF313F" w14:textId="77777777" w:rsidR="00624EAE" w:rsidRPr="00624EAE" w:rsidRDefault="00624EAE" w:rsidP="00624EAE"/>
    <w:p w14:paraId="5F0DF82C" w14:textId="5687E897" w:rsidR="002F5D7E" w:rsidRDefault="002F5D7E" w:rsidP="00A9424F">
      <w:pPr>
        <w:rPr>
          <w:rFonts w:ascii="Garamond" w:hAnsi="Garamond"/>
          <w:sz w:val="24"/>
          <w:szCs w:val="24"/>
        </w:rPr>
      </w:pPr>
      <w:r w:rsidRPr="00F82CFD">
        <w:rPr>
          <w:rFonts w:ascii="Garamond" w:hAnsi="Garamond"/>
          <w:sz w:val="24"/>
          <w:szCs w:val="24"/>
        </w:rPr>
        <w:t xml:space="preserve">The operating permit may not require testing for all sources if routine monitoring is used to determine compliance, but </w:t>
      </w:r>
      <w:r w:rsidR="00543213">
        <w:rPr>
          <w:rFonts w:ascii="Garamond" w:hAnsi="Garamond"/>
          <w:sz w:val="24"/>
          <w:szCs w:val="24"/>
        </w:rPr>
        <w:t>DEQ</w:t>
      </w:r>
      <w:r w:rsidRPr="00F82CFD">
        <w:rPr>
          <w:rFonts w:ascii="Garamond" w:hAnsi="Garamond"/>
          <w:sz w:val="24"/>
          <w:szCs w:val="24"/>
        </w:rPr>
        <w:t xml:space="preserve"> has the authority to require testing if deemed necessary to determine compliance with an emission limit or standard.  In addition, the permittee may elect to voluntarily conduct compliance testing to confirm its compliance status.</w:t>
      </w:r>
    </w:p>
    <w:p w14:paraId="087685A2" w14:textId="77777777" w:rsidR="00624EAE" w:rsidRPr="00F82CFD" w:rsidRDefault="00624EAE" w:rsidP="00A9424F">
      <w:pPr>
        <w:rPr>
          <w:rFonts w:ascii="Garamond" w:hAnsi="Garamond"/>
          <w:sz w:val="24"/>
          <w:szCs w:val="24"/>
        </w:rPr>
      </w:pPr>
    </w:p>
    <w:p w14:paraId="4F6E05AD" w14:textId="77777777" w:rsidR="002F5D7E" w:rsidRDefault="002F5D7E" w:rsidP="00624EAE">
      <w:pPr>
        <w:pStyle w:val="Heading2"/>
        <w:spacing w:before="0" w:beforeAutospacing="0" w:after="0" w:afterAutospacing="0"/>
        <w:rPr>
          <w:rFonts w:ascii="Garamond" w:hAnsi="Garamond"/>
          <w:sz w:val="24"/>
          <w:szCs w:val="24"/>
        </w:rPr>
      </w:pPr>
      <w:bookmarkStart w:id="14" w:name="_Toc219189924"/>
      <w:r w:rsidRPr="00F82CFD">
        <w:rPr>
          <w:rFonts w:ascii="Garamond" w:hAnsi="Garamond"/>
          <w:sz w:val="24"/>
          <w:szCs w:val="24"/>
        </w:rPr>
        <w:t>Recordkeeping Requirements</w:t>
      </w:r>
      <w:bookmarkEnd w:id="14"/>
    </w:p>
    <w:p w14:paraId="579B47E4" w14:textId="77777777" w:rsidR="00624EAE" w:rsidRPr="00624EAE" w:rsidRDefault="00624EAE" w:rsidP="00624EAE"/>
    <w:p w14:paraId="0BA5AD42" w14:textId="77777777" w:rsidR="002F5D7E" w:rsidRPr="00F82CFD" w:rsidRDefault="002F5D7E" w:rsidP="00A9424F">
      <w:pPr>
        <w:rPr>
          <w:rFonts w:ascii="Garamond" w:hAnsi="Garamond"/>
          <w:sz w:val="24"/>
          <w:szCs w:val="24"/>
        </w:rPr>
      </w:pPr>
      <w:r w:rsidRPr="00F82CFD">
        <w:rPr>
          <w:rFonts w:ascii="Garamond" w:hAnsi="Garamond"/>
          <w:sz w:val="24"/>
          <w:szCs w:val="24"/>
        </w:rPr>
        <w:t>The permittee is required to keep all records listed in the operating permit as a permanent business record for at least five years following the date of the generation of the record.</w:t>
      </w:r>
    </w:p>
    <w:p w14:paraId="6DF4849B" w14:textId="77777777" w:rsidR="002F5D7E" w:rsidRPr="00F82CFD" w:rsidRDefault="002F5D7E">
      <w:pPr>
        <w:rPr>
          <w:rFonts w:ascii="Garamond" w:hAnsi="Garamond"/>
          <w:sz w:val="24"/>
          <w:szCs w:val="24"/>
        </w:rPr>
      </w:pPr>
    </w:p>
    <w:p w14:paraId="58902106" w14:textId="77777777" w:rsidR="002F5D7E" w:rsidRDefault="002F5D7E" w:rsidP="00624EAE">
      <w:pPr>
        <w:pStyle w:val="Heading2"/>
        <w:spacing w:before="0" w:beforeAutospacing="0" w:after="0" w:afterAutospacing="0"/>
        <w:rPr>
          <w:rFonts w:ascii="Garamond" w:hAnsi="Garamond"/>
          <w:sz w:val="24"/>
          <w:szCs w:val="24"/>
        </w:rPr>
      </w:pPr>
      <w:bookmarkStart w:id="15" w:name="_Toc219189925"/>
      <w:r w:rsidRPr="00F82CFD">
        <w:rPr>
          <w:rFonts w:ascii="Garamond" w:hAnsi="Garamond"/>
          <w:sz w:val="24"/>
          <w:szCs w:val="24"/>
        </w:rPr>
        <w:t>Reporting Requirements</w:t>
      </w:r>
      <w:bookmarkEnd w:id="15"/>
    </w:p>
    <w:p w14:paraId="57CB6BD0" w14:textId="77777777" w:rsidR="00624EAE" w:rsidRPr="00624EAE" w:rsidRDefault="00624EAE" w:rsidP="00624EAE"/>
    <w:p w14:paraId="0A9D3449" w14:textId="1D3DAA16" w:rsidR="002F5D7E" w:rsidRDefault="002F5D7E" w:rsidP="00A9424F">
      <w:pPr>
        <w:rPr>
          <w:rFonts w:ascii="Garamond" w:hAnsi="Garamond"/>
          <w:sz w:val="24"/>
          <w:szCs w:val="24"/>
        </w:rPr>
      </w:pPr>
      <w:r w:rsidRPr="00F82CFD">
        <w:rPr>
          <w:rFonts w:ascii="Garamond" w:hAnsi="Garamond"/>
          <w:sz w:val="24"/>
          <w:szCs w:val="24"/>
        </w:rPr>
        <w:t xml:space="preserve">Reporting requirements are included in the permit for each emissions unit and Section V of the operating permit "General Conditions" explains the reporting requirements.  However, the permittee is required to submit semi-annual and annual monitoring reports to </w:t>
      </w:r>
      <w:r w:rsidR="00543213">
        <w:rPr>
          <w:rFonts w:ascii="Garamond" w:hAnsi="Garamond"/>
          <w:sz w:val="24"/>
          <w:szCs w:val="24"/>
        </w:rPr>
        <w:t>DEQ</w:t>
      </w:r>
      <w:r w:rsidRPr="00F82CFD">
        <w:rPr>
          <w:rFonts w:ascii="Garamond" w:hAnsi="Garamond"/>
          <w:sz w:val="24"/>
          <w:szCs w:val="24"/>
        </w:rPr>
        <w:t xml:space="preserve"> and to annually </w:t>
      </w:r>
      <w:r w:rsidRPr="00F82CFD">
        <w:rPr>
          <w:rFonts w:ascii="Garamond" w:hAnsi="Garamond"/>
          <w:sz w:val="24"/>
          <w:szCs w:val="24"/>
        </w:rPr>
        <w:lastRenderedPageBreak/>
        <w:t xml:space="preserve">certify compliance with the applicable requirements contained in the permit.  The reports must include a list of all emission limit and monitoring deviations, the reason for any deviation, and the corrective action taken </w:t>
      </w:r>
      <w:proofErr w:type="gramStart"/>
      <w:r w:rsidRPr="00F82CFD">
        <w:rPr>
          <w:rFonts w:ascii="Garamond" w:hAnsi="Garamond"/>
          <w:sz w:val="24"/>
          <w:szCs w:val="24"/>
        </w:rPr>
        <w:t>as a result of</w:t>
      </w:r>
      <w:proofErr w:type="gramEnd"/>
      <w:r w:rsidRPr="00F82CFD">
        <w:rPr>
          <w:rFonts w:ascii="Garamond" w:hAnsi="Garamond"/>
          <w:sz w:val="24"/>
          <w:szCs w:val="24"/>
        </w:rPr>
        <w:t xml:space="preserve"> any deviation.</w:t>
      </w:r>
    </w:p>
    <w:p w14:paraId="02152415" w14:textId="77777777" w:rsidR="00624EAE" w:rsidRPr="00F82CFD" w:rsidRDefault="00624EAE" w:rsidP="00A9424F">
      <w:pPr>
        <w:rPr>
          <w:rFonts w:ascii="Garamond" w:hAnsi="Garamond"/>
          <w:sz w:val="24"/>
          <w:szCs w:val="24"/>
        </w:rPr>
      </w:pPr>
    </w:p>
    <w:p w14:paraId="24D5DE6F" w14:textId="2B7F7BA2" w:rsidR="002F5D7E" w:rsidRDefault="002F5D7E" w:rsidP="00624EAE">
      <w:pPr>
        <w:pStyle w:val="Heading2"/>
        <w:spacing w:before="0" w:beforeAutospacing="0" w:after="0" w:afterAutospacing="0"/>
        <w:rPr>
          <w:rFonts w:ascii="Garamond" w:hAnsi="Garamond"/>
          <w:sz w:val="24"/>
          <w:szCs w:val="24"/>
        </w:rPr>
      </w:pPr>
      <w:bookmarkStart w:id="16" w:name="_Toc219189926"/>
      <w:r w:rsidRPr="00F82CFD">
        <w:rPr>
          <w:rFonts w:ascii="Garamond" w:hAnsi="Garamond"/>
          <w:sz w:val="24"/>
          <w:szCs w:val="24"/>
        </w:rPr>
        <w:t>Public Notice</w:t>
      </w:r>
      <w:bookmarkEnd w:id="16"/>
      <w:r w:rsidRPr="00F82CFD">
        <w:rPr>
          <w:rFonts w:ascii="Garamond" w:hAnsi="Garamond"/>
          <w:sz w:val="24"/>
          <w:szCs w:val="24"/>
        </w:rPr>
        <w:t xml:space="preserve"> </w:t>
      </w:r>
    </w:p>
    <w:p w14:paraId="643E9618" w14:textId="77777777" w:rsidR="00624EAE" w:rsidRPr="00624EAE" w:rsidRDefault="00624EAE" w:rsidP="00624EAE"/>
    <w:p w14:paraId="76D4F2DD" w14:textId="74684022" w:rsidR="002F5D7E" w:rsidRDefault="002F5D7E">
      <w:pPr>
        <w:rPr>
          <w:rFonts w:ascii="Garamond" w:hAnsi="Garamond"/>
          <w:sz w:val="24"/>
          <w:szCs w:val="24"/>
        </w:rPr>
      </w:pPr>
      <w:r w:rsidRPr="00F82CFD">
        <w:rPr>
          <w:rFonts w:ascii="Garamond" w:hAnsi="Garamond"/>
          <w:sz w:val="24"/>
          <w:szCs w:val="24"/>
        </w:rPr>
        <w:t xml:space="preserve">In accordance with ARM 17.8.1232, a public notice was published in the </w:t>
      </w:r>
      <w:r w:rsidR="00991091">
        <w:rPr>
          <w:rFonts w:ascii="Garamond" w:hAnsi="Garamond"/>
          <w:i/>
          <w:sz w:val="24"/>
          <w:szCs w:val="24"/>
        </w:rPr>
        <w:t xml:space="preserve">Billings Gazette </w:t>
      </w:r>
      <w:r w:rsidRPr="00F82CFD">
        <w:rPr>
          <w:rFonts w:ascii="Garamond" w:hAnsi="Garamond"/>
          <w:sz w:val="24"/>
          <w:szCs w:val="24"/>
        </w:rPr>
        <w:t xml:space="preserve">newspaper on or before </w:t>
      </w:r>
      <w:r w:rsidR="008C1DD4">
        <w:rPr>
          <w:rFonts w:ascii="Garamond" w:hAnsi="Garamond"/>
          <w:sz w:val="24"/>
          <w:szCs w:val="24"/>
        </w:rPr>
        <w:t>December 15, 2025</w:t>
      </w:r>
      <w:r w:rsidRPr="00F82CFD">
        <w:rPr>
          <w:rFonts w:ascii="Garamond" w:hAnsi="Garamond"/>
          <w:sz w:val="24"/>
          <w:szCs w:val="24"/>
        </w:rPr>
        <w:t xml:space="preserve">.  </w:t>
      </w:r>
      <w:r w:rsidR="00543213">
        <w:rPr>
          <w:rFonts w:ascii="Garamond" w:hAnsi="Garamond"/>
          <w:sz w:val="24"/>
          <w:szCs w:val="24"/>
        </w:rPr>
        <w:t>DEQ</w:t>
      </w:r>
      <w:r w:rsidRPr="00F82CFD">
        <w:rPr>
          <w:rFonts w:ascii="Garamond" w:hAnsi="Garamond"/>
          <w:sz w:val="24"/>
          <w:szCs w:val="24"/>
        </w:rPr>
        <w:t xml:space="preserve"> provided a 30-day public comment period on the draft operating permit </w:t>
      </w:r>
      <w:r w:rsidRPr="008C1DD4">
        <w:rPr>
          <w:rFonts w:ascii="Garamond" w:hAnsi="Garamond"/>
          <w:sz w:val="24"/>
          <w:szCs w:val="24"/>
        </w:rPr>
        <w:t xml:space="preserve">from </w:t>
      </w:r>
      <w:r w:rsidR="008C1DD4" w:rsidRPr="008C1DD4">
        <w:rPr>
          <w:rFonts w:ascii="Garamond" w:hAnsi="Garamond"/>
          <w:sz w:val="24"/>
          <w:szCs w:val="24"/>
        </w:rPr>
        <w:t xml:space="preserve">December 15, 2025, </w:t>
      </w:r>
      <w:r w:rsidR="002A1B48">
        <w:rPr>
          <w:rFonts w:ascii="Garamond" w:hAnsi="Garamond"/>
          <w:sz w:val="24"/>
          <w:szCs w:val="24"/>
        </w:rPr>
        <w:t>thru</w:t>
      </w:r>
      <w:r w:rsidRPr="008C1DD4">
        <w:rPr>
          <w:rFonts w:ascii="Garamond" w:hAnsi="Garamond"/>
          <w:sz w:val="24"/>
          <w:szCs w:val="24"/>
        </w:rPr>
        <w:t xml:space="preserve"> </w:t>
      </w:r>
      <w:r w:rsidR="008C1DD4" w:rsidRPr="008C1DD4">
        <w:rPr>
          <w:rFonts w:ascii="Garamond" w:hAnsi="Garamond"/>
          <w:sz w:val="24"/>
          <w:szCs w:val="24"/>
        </w:rPr>
        <w:t>January</w:t>
      </w:r>
      <w:r w:rsidR="008C1DD4">
        <w:rPr>
          <w:rFonts w:ascii="Garamond" w:hAnsi="Garamond"/>
          <w:sz w:val="24"/>
          <w:szCs w:val="24"/>
        </w:rPr>
        <w:t xml:space="preserve"> 14, 2026</w:t>
      </w:r>
      <w:r w:rsidRPr="00F82CFD">
        <w:rPr>
          <w:rFonts w:ascii="Garamond" w:hAnsi="Garamond"/>
          <w:sz w:val="24"/>
          <w:szCs w:val="24"/>
        </w:rPr>
        <w:t xml:space="preserve">.  ARM 17.8.1232 requires </w:t>
      </w:r>
      <w:r w:rsidR="00543213">
        <w:rPr>
          <w:rFonts w:ascii="Garamond" w:hAnsi="Garamond"/>
          <w:sz w:val="24"/>
          <w:szCs w:val="24"/>
        </w:rPr>
        <w:t>DEQ</w:t>
      </w:r>
      <w:r w:rsidRPr="00F82CFD">
        <w:rPr>
          <w:rFonts w:ascii="Garamond" w:hAnsi="Garamond"/>
          <w:sz w:val="24"/>
          <w:szCs w:val="24"/>
        </w:rPr>
        <w:t xml:space="preserve"> to keep a record of both comments and issues raised during the public participation process.  The comments and issues received by </w:t>
      </w:r>
      <w:r w:rsidR="008C1DD4">
        <w:rPr>
          <w:rFonts w:ascii="Garamond" w:hAnsi="Garamond"/>
          <w:sz w:val="24"/>
          <w:szCs w:val="24"/>
        </w:rPr>
        <w:t>January 14, 2026,</w:t>
      </w:r>
      <w:r w:rsidRPr="00F82CFD">
        <w:rPr>
          <w:rFonts w:ascii="Garamond" w:hAnsi="Garamond"/>
          <w:sz w:val="24"/>
          <w:szCs w:val="24"/>
        </w:rPr>
        <w:t xml:space="preserve"> </w:t>
      </w:r>
      <w:r w:rsidR="002A1B48">
        <w:rPr>
          <w:rFonts w:ascii="Garamond" w:hAnsi="Garamond"/>
          <w:sz w:val="24"/>
          <w:szCs w:val="24"/>
        </w:rPr>
        <w:t>are summarized below</w:t>
      </w:r>
      <w:r w:rsidRPr="00F82CFD">
        <w:rPr>
          <w:rFonts w:ascii="Garamond" w:hAnsi="Garamond"/>
          <w:sz w:val="24"/>
          <w:szCs w:val="24"/>
        </w:rPr>
        <w:t xml:space="preserve">, along with </w:t>
      </w:r>
      <w:r w:rsidR="00543213">
        <w:rPr>
          <w:rFonts w:ascii="Garamond" w:hAnsi="Garamond"/>
          <w:sz w:val="24"/>
          <w:szCs w:val="24"/>
        </w:rPr>
        <w:t>DEQ</w:t>
      </w:r>
      <w:r w:rsidRPr="00F82CFD">
        <w:rPr>
          <w:rFonts w:ascii="Garamond" w:hAnsi="Garamond"/>
          <w:sz w:val="24"/>
          <w:szCs w:val="24"/>
        </w:rPr>
        <w:t>'s responses, in the following table</w:t>
      </w:r>
      <w:r w:rsidR="002A1B48">
        <w:rPr>
          <w:rFonts w:ascii="Garamond" w:hAnsi="Garamond"/>
          <w:sz w:val="24"/>
          <w:szCs w:val="24"/>
        </w:rPr>
        <w:t>s</w:t>
      </w:r>
      <w:r w:rsidRPr="00F82CFD">
        <w:rPr>
          <w:rFonts w:ascii="Garamond" w:hAnsi="Garamond"/>
          <w:sz w:val="24"/>
          <w:szCs w:val="24"/>
        </w:rPr>
        <w:t xml:space="preserve">.  </w:t>
      </w:r>
      <w:bookmarkStart w:id="17" w:name="_Hlk219189718"/>
    </w:p>
    <w:p w14:paraId="42B15B8B" w14:textId="77777777" w:rsidR="00624EAE" w:rsidRPr="00985598" w:rsidRDefault="00624EAE">
      <w:pPr>
        <w:rPr>
          <w:rFonts w:ascii="Garamond" w:hAnsi="Garamond"/>
          <w:sz w:val="24"/>
          <w:szCs w:val="24"/>
        </w:rPr>
      </w:pPr>
    </w:p>
    <w:p w14:paraId="5F5B05DE" w14:textId="0713003A" w:rsidR="002F5D7E" w:rsidRDefault="002F5D7E" w:rsidP="00624EAE">
      <w:pPr>
        <w:pStyle w:val="Heading2"/>
        <w:spacing w:before="0" w:beforeAutospacing="0" w:after="0" w:afterAutospacing="0"/>
        <w:rPr>
          <w:rFonts w:ascii="Garamond" w:hAnsi="Garamond"/>
          <w:sz w:val="24"/>
          <w:szCs w:val="24"/>
        </w:rPr>
      </w:pPr>
      <w:bookmarkStart w:id="18" w:name="_Toc219189927"/>
      <w:bookmarkEnd w:id="17"/>
      <w:r w:rsidRPr="001F37D1">
        <w:rPr>
          <w:rFonts w:ascii="Garamond" w:hAnsi="Garamond"/>
          <w:sz w:val="24"/>
          <w:szCs w:val="24"/>
        </w:rPr>
        <w:t>Draft Permit Comments</w:t>
      </w:r>
      <w:bookmarkEnd w:id="18"/>
      <w:r w:rsidRPr="001F37D1">
        <w:rPr>
          <w:rFonts w:ascii="Garamond" w:hAnsi="Garamond"/>
          <w:sz w:val="24"/>
          <w:szCs w:val="24"/>
        </w:rPr>
        <w:t xml:space="preserve"> </w:t>
      </w:r>
    </w:p>
    <w:p w14:paraId="215F641F" w14:textId="77777777" w:rsidR="00624EAE" w:rsidRPr="00624EAE" w:rsidRDefault="00624EAE" w:rsidP="00624EAE"/>
    <w:p w14:paraId="73C2F836" w14:textId="08BAB4B3" w:rsidR="001F37D1" w:rsidRPr="001F37D1" w:rsidRDefault="001F37D1" w:rsidP="001F37D1">
      <w:pPr>
        <w:jc w:val="center"/>
        <w:rPr>
          <w:rFonts w:ascii="Garamond" w:hAnsi="Garamond"/>
          <w:b/>
          <w:bCs/>
          <w:sz w:val="24"/>
          <w:szCs w:val="24"/>
        </w:rPr>
      </w:pPr>
      <w:r w:rsidRPr="001F37D1">
        <w:rPr>
          <w:rFonts w:ascii="Garamond" w:hAnsi="Garamond"/>
          <w:b/>
          <w:bCs/>
          <w:sz w:val="24"/>
          <w:szCs w:val="24"/>
        </w:rPr>
        <w:t>Summary of Public Comments</w:t>
      </w:r>
    </w:p>
    <w:p w14:paraId="19B919B8" w14:textId="77777777" w:rsidR="001F37D1" w:rsidRPr="001F37D1" w:rsidRDefault="001F37D1" w:rsidP="001F37D1"/>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510"/>
        <w:gridCol w:w="3240"/>
      </w:tblGrid>
      <w:tr w:rsidR="001F37D1" w:rsidRPr="00991091" w14:paraId="12AF691C" w14:textId="77777777" w:rsidTr="008D19BA">
        <w:trPr>
          <w:tblHeader/>
        </w:trPr>
        <w:tc>
          <w:tcPr>
            <w:tcW w:w="1980" w:type="dxa"/>
            <w:tcBorders>
              <w:top w:val="double" w:sz="4" w:space="0" w:color="auto"/>
              <w:left w:val="double" w:sz="4" w:space="0" w:color="auto"/>
            </w:tcBorders>
          </w:tcPr>
          <w:p w14:paraId="6D1C631C" w14:textId="77777777" w:rsidR="001F37D1" w:rsidRPr="00991091" w:rsidRDefault="001F37D1" w:rsidP="007B651F">
            <w:pPr>
              <w:jc w:val="center"/>
              <w:rPr>
                <w:rFonts w:ascii="Garamond" w:hAnsi="Garamond"/>
                <w:sz w:val="22"/>
                <w:szCs w:val="22"/>
              </w:rPr>
            </w:pPr>
            <w:r w:rsidRPr="00991091">
              <w:rPr>
                <w:rFonts w:ascii="Garamond" w:hAnsi="Garamond"/>
                <w:sz w:val="22"/>
                <w:szCs w:val="22"/>
              </w:rPr>
              <w:t>Person/Group Commenting</w:t>
            </w:r>
          </w:p>
        </w:tc>
        <w:tc>
          <w:tcPr>
            <w:tcW w:w="3510" w:type="dxa"/>
            <w:tcBorders>
              <w:top w:val="double" w:sz="4" w:space="0" w:color="auto"/>
            </w:tcBorders>
          </w:tcPr>
          <w:p w14:paraId="75131D02" w14:textId="77777777" w:rsidR="001F37D1" w:rsidRPr="00991091" w:rsidRDefault="001F37D1" w:rsidP="007B651F">
            <w:pPr>
              <w:jc w:val="center"/>
              <w:rPr>
                <w:rFonts w:ascii="Garamond" w:hAnsi="Garamond"/>
                <w:sz w:val="22"/>
                <w:szCs w:val="22"/>
              </w:rPr>
            </w:pPr>
            <w:r w:rsidRPr="00991091">
              <w:rPr>
                <w:rFonts w:ascii="Garamond" w:hAnsi="Garamond"/>
                <w:sz w:val="22"/>
                <w:szCs w:val="22"/>
              </w:rPr>
              <w:t>Comment</w:t>
            </w:r>
          </w:p>
        </w:tc>
        <w:tc>
          <w:tcPr>
            <w:tcW w:w="3240" w:type="dxa"/>
            <w:tcBorders>
              <w:top w:val="double" w:sz="4" w:space="0" w:color="auto"/>
              <w:right w:val="double" w:sz="4" w:space="0" w:color="auto"/>
            </w:tcBorders>
          </w:tcPr>
          <w:p w14:paraId="794CCF08" w14:textId="77777777" w:rsidR="001F37D1" w:rsidRPr="00991091" w:rsidRDefault="001F37D1" w:rsidP="007B651F">
            <w:pPr>
              <w:jc w:val="center"/>
              <w:rPr>
                <w:rFonts w:ascii="Garamond" w:hAnsi="Garamond"/>
                <w:sz w:val="22"/>
                <w:szCs w:val="22"/>
              </w:rPr>
            </w:pPr>
            <w:r w:rsidRPr="00991091">
              <w:rPr>
                <w:rFonts w:ascii="Garamond" w:hAnsi="Garamond"/>
                <w:sz w:val="22"/>
                <w:szCs w:val="22"/>
              </w:rPr>
              <w:t>DEQ Response</w:t>
            </w:r>
          </w:p>
        </w:tc>
      </w:tr>
      <w:tr w:rsidR="001F37D1" w:rsidRPr="00991091" w14:paraId="2EED0C35" w14:textId="77777777" w:rsidTr="009B513F">
        <w:tc>
          <w:tcPr>
            <w:tcW w:w="1980" w:type="dxa"/>
            <w:tcBorders>
              <w:left w:val="double" w:sz="4" w:space="0" w:color="auto"/>
            </w:tcBorders>
          </w:tcPr>
          <w:p w14:paraId="6E600CBE" w14:textId="77777777" w:rsidR="001F37D1" w:rsidRPr="00BC628C" w:rsidRDefault="001F37D1" w:rsidP="007B651F">
            <w:pPr>
              <w:rPr>
                <w:rFonts w:ascii="Garamond" w:hAnsi="Garamond"/>
                <w:bCs/>
                <w:sz w:val="22"/>
                <w:szCs w:val="22"/>
              </w:rPr>
            </w:pPr>
            <w:r w:rsidRPr="00BC628C">
              <w:rPr>
                <w:rFonts w:ascii="Garamond" w:hAnsi="Garamond"/>
                <w:bCs/>
                <w:sz w:val="22"/>
                <w:szCs w:val="22"/>
              </w:rPr>
              <w:t>M. Rutherford</w:t>
            </w:r>
          </w:p>
        </w:tc>
        <w:tc>
          <w:tcPr>
            <w:tcW w:w="3510" w:type="dxa"/>
          </w:tcPr>
          <w:p w14:paraId="75D5D05A" w14:textId="77777777" w:rsidR="001F37D1" w:rsidRPr="00BC628C" w:rsidRDefault="001F37D1" w:rsidP="007B651F">
            <w:pPr>
              <w:rPr>
                <w:rFonts w:ascii="Garamond" w:hAnsi="Garamond"/>
                <w:bCs/>
                <w:sz w:val="22"/>
                <w:szCs w:val="22"/>
              </w:rPr>
            </w:pPr>
            <w:r w:rsidRPr="00BC628C">
              <w:rPr>
                <w:rFonts w:ascii="Garamond" w:hAnsi="Garamond"/>
                <w:bCs/>
                <w:sz w:val="22"/>
                <w:szCs w:val="22"/>
              </w:rPr>
              <w:t xml:space="preserve">I have grave concerns about </w:t>
            </w:r>
            <w:proofErr w:type="spellStart"/>
            <w:r w:rsidRPr="00BC628C">
              <w:rPr>
                <w:rFonts w:ascii="Garamond" w:hAnsi="Garamond"/>
                <w:bCs/>
                <w:sz w:val="22"/>
                <w:szCs w:val="22"/>
              </w:rPr>
              <w:t>NorthWestern's</w:t>
            </w:r>
            <w:proofErr w:type="spellEnd"/>
            <w:r w:rsidRPr="00BC628C">
              <w:rPr>
                <w:rFonts w:ascii="Garamond" w:hAnsi="Garamond"/>
                <w:bCs/>
                <w:sz w:val="22"/>
                <w:szCs w:val="22"/>
              </w:rPr>
              <w:t xml:space="preserve"> disregard for the health, safety, and longevity of the residents of Yellowstone County. If</w:t>
            </w:r>
          </w:p>
          <w:p w14:paraId="26A70C4D" w14:textId="77777777" w:rsidR="001F37D1" w:rsidRPr="00BC628C" w:rsidRDefault="001F37D1" w:rsidP="007B651F">
            <w:pPr>
              <w:rPr>
                <w:rFonts w:ascii="Garamond" w:hAnsi="Garamond"/>
                <w:bCs/>
                <w:sz w:val="22"/>
                <w:szCs w:val="22"/>
              </w:rPr>
            </w:pPr>
            <w:r w:rsidRPr="00BC628C">
              <w:rPr>
                <w:rFonts w:ascii="Garamond" w:hAnsi="Garamond"/>
                <w:bCs/>
                <w:sz w:val="22"/>
                <w:szCs w:val="22"/>
              </w:rPr>
              <w:t xml:space="preserve">completed, </w:t>
            </w:r>
            <w:proofErr w:type="spellStart"/>
            <w:r w:rsidRPr="00BC628C">
              <w:rPr>
                <w:rFonts w:ascii="Garamond" w:hAnsi="Garamond"/>
                <w:bCs/>
                <w:sz w:val="22"/>
                <w:szCs w:val="22"/>
              </w:rPr>
              <w:t>NorthWestern</w:t>
            </w:r>
            <w:proofErr w:type="spellEnd"/>
            <w:r w:rsidRPr="00BC628C">
              <w:rPr>
                <w:rFonts w:ascii="Garamond" w:hAnsi="Garamond"/>
                <w:bCs/>
                <w:sz w:val="22"/>
                <w:szCs w:val="22"/>
              </w:rPr>
              <w:t xml:space="preserve"> Energy’s methane-fired power plant will be designated a Major Source of Hazardous Air Pollutants (HAPs). The direct neighbors of this plant will see the most direct health impacts of noise and light pollution.</w:t>
            </w:r>
          </w:p>
        </w:tc>
        <w:tc>
          <w:tcPr>
            <w:tcW w:w="3240" w:type="dxa"/>
            <w:tcBorders>
              <w:right w:val="double" w:sz="4" w:space="0" w:color="auto"/>
            </w:tcBorders>
          </w:tcPr>
          <w:p w14:paraId="718FA655" w14:textId="3A8332C5" w:rsidR="001F37D1" w:rsidRPr="00BC628C" w:rsidRDefault="001F37D1" w:rsidP="007B651F">
            <w:pPr>
              <w:rPr>
                <w:rFonts w:ascii="Garamond" w:hAnsi="Garamond"/>
                <w:bCs/>
                <w:sz w:val="22"/>
                <w:szCs w:val="22"/>
              </w:rPr>
            </w:pPr>
            <w:r>
              <w:rPr>
                <w:rFonts w:ascii="Garamond" w:hAnsi="Garamond"/>
                <w:bCs/>
                <w:sz w:val="22"/>
                <w:szCs w:val="22"/>
              </w:rPr>
              <w:t xml:space="preserve">The issuance of a Draft Title V Operating Permit does not add any additional applicable requirements for the facility, nor does it authorize any new activities for the </w:t>
            </w:r>
            <w:r w:rsidR="008E7321">
              <w:rPr>
                <w:rFonts w:ascii="Garamond" w:hAnsi="Garamond"/>
                <w:bCs/>
                <w:sz w:val="22"/>
                <w:szCs w:val="22"/>
              </w:rPr>
              <w:t xml:space="preserve">existing operating </w:t>
            </w:r>
            <w:r>
              <w:rPr>
                <w:rFonts w:ascii="Garamond" w:hAnsi="Garamond"/>
                <w:bCs/>
                <w:sz w:val="22"/>
                <w:szCs w:val="22"/>
              </w:rPr>
              <w:t xml:space="preserve">Yellowstone County Generating Station.  </w:t>
            </w:r>
            <w:r w:rsidR="008A75B3">
              <w:rPr>
                <w:rFonts w:ascii="Garamond" w:hAnsi="Garamond"/>
                <w:bCs/>
                <w:sz w:val="22"/>
                <w:szCs w:val="22"/>
              </w:rPr>
              <w:t>Instead,</w:t>
            </w:r>
            <w:r>
              <w:rPr>
                <w:rFonts w:ascii="Garamond" w:hAnsi="Garamond"/>
                <w:bCs/>
                <w:sz w:val="22"/>
                <w:szCs w:val="22"/>
              </w:rPr>
              <w:t xml:space="preserve"> the issuance of a Title V Permit identifies in one document, </w:t>
            </w:r>
            <w:r w:rsidR="008A75B3">
              <w:rPr>
                <w:rFonts w:ascii="Garamond" w:hAnsi="Garamond"/>
                <w:bCs/>
                <w:sz w:val="22"/>
                <w:szCs w:val="22"/>
              </w:rPr>
              <w:t>all</w:t>
            </w:r>
            <w:r>
              <w:rPr>
                <w:rFonts w:ascii="Garamond" w:hAnsi="Garamond"/>
                <w:bCs/>
                <w:sz w:val="22"/>
                <w:szCs w:val="22"/>
              </w:rPr>
              <w:t xml:space="preserve"> the applicable requirements for the facility.  The facility was previously authorized to </w:t>
            </w:r>
            <w:r w:rsidR="008E7321">
              <w:rPr>
                <w:rFonts w:ascii="Garamond" w:hAnsi="Garamond"/>
                <w:bCs/>
                <w:sz w:val="22"/>
                <w:szCs w:val="22"/>
              </w:rPr>
              <w:t xml:space="preserve">construct </w:t>
            </w:r>
            <w:r w:rsidR="008A75B3">
              <w:rPr>
                <w:rFonts w:ascii="Garamond" w:hAnsi="Garamond"/>
                <w:bCs/>
                <w:sz w:val="22"/>
                <w:szCs w:val="22"/>
              </w:rPr>
              <w:t xml:space="preserve">and </w:t>
            </w:r>
            <w:r>
              <w:rPr>
                <w:rFonts w:ascii="Garamond" w:hAnsi="Garamond"/>
                <w:bCs/>
                <w:sz w:val="22"/>
                <w:szCs w:val="22"/>
              </w:rPr>
              <w:t>operate under Montana Air Quality Permit (MAQP) #5261-00.</w:t>
            </w:r>
            <w:r w:rsidR="008E7321">
              <w:rPr>
                <w:rFonts w:ascii="Garamond" w:hAnsi="Garamond"/>
                <w:bCs/>
                <w:sz w:val="22"/>
                <w:szCs w:val="22"/>
              </w:rPr>
              <w:t xml:space="preserve"> The MAQP went final on September 8, 2021. Litigation resulted in challenges that resulted in a final Environmental Assessment issued on August 1, 2025.</w:t>
            </w:r>
            <w:r>
              <w:rPr>
                <w:rFonts w:ascii="Garamond" w:hAnsi="Garamond"/>
                <w:bCs/>
                <w:sz w:val="22"/>
                <w:szCs w:val="22"/>
              </w:rPr>
              <w:t xml:space="preserve">  The project was reviewed for both noise and light pollution as part of the Environmental Assessment conducted for the project.  These documents remain available on the DEQ website</w:t>
            </w:r>
            <w:r w:rsidR="008E7321">
              <w:rPr>
                <w:rFonts w:ascii="Garamond" w:hAnsi="Garamond"/>
                <w:bCs/>
                <w:sz w:val="22"/>
                <w:szCs w:val="22"/>
              </w:rPr>
              <w:t xml:space="preserve"> or can be requested via a Records Request.</w:t>
            </w:r>
            <w:r w:rsidR="00863D0B">
              <w:rPr>
                <w:rFonts w:ascii="Garamond" w:hAnsi="Garamond"/>
                <w:bCs/>
                <w:sz w:val="22"/>
                <w:szCs w:val="22"/>
              </w:rPr>
              <w:t xml:space="preserve"> Links are: </w:t>
            </w:r>
            <w:hyperlink r:id="rId9" w:history="1">
              <w:r w:rsidR="00863D0B">
                <w:rPr>
                  <w:rStyle w:val="Hyperlink"/>
                  <w:rFonts w:eastAsiaTheme="majorEastAsia"/>
                </w:rPr>
                <w:t>Air Permitting and Operator Assistance | Montana DEQ</w:t>
              </w:r>
            </w:hyperlink>
            <w:r w:rsidR="00863D0B">
              <w:t xml:space="preserve"> and </w:t>
            </w:r>
            <w:hyperlink r:id="rId10" w:history="1">
              <w:r w:rsidR="00863D0B">
                <w:rPr>
                  <w:rStyle w:val="Hyperlink"/>
                  <w:rFonts w:eastAsiaTheme="majorEastAsia"/>
                </w:rPr>
                <w:t>Public Records | Montana DEQ</w:t>
              </w:r>
            </w:hyperlink>
          </w:p>
        </w:tc>
      </w:tr>
      <w:tr w:rsidR="001F37D1" w:rsidRPr="00991091" w14:paraId="0B783DC9" w14:textId="77777777" w:rsidTr="009B513F">
        <w:tc>
          <w:tcPr>
            <w:tcW w:w="1980" w:type="dxa"/>
            <w:tcBorders>
              <w:left w:val="double" w:sz="4" w:space="0" w:color="auto"/>
            </w:tcBorders>
          </w:tcPr>
          <w:p w14:paraId="56FA1482" w14:textId="77777777" w:rsidR="001F37D1" w:rsidRPr="00BC628C" w:rsidRDefault="001F37D1" w:rsidP="007B651F">
            <w:pPr>
              <w:rPr>
                <w:rFonts w:ascii="Garamond" w:hAnsi="Garamond"/>
                <w:bCs/>
                <w:sz w:val="22"/>
                <w:szCs w:val="22"/>
              </w:rPr>
            </w:pPr>
            <w:r w:rsidRPr="00BC628C">
              <w:rPr>
                <w:rFonts w:ascii="Garamond" w:hAnsi="Garamond"/>
                <w:bCs/>
                <w:sz w:val="22"/>
                <w:szCs w:val="22"/>
              </w:rPr>
              <w:t>M. Rutherford</w:t>
            </w:r>
          </w:p>
        </w:tc>
        <w:tc>
          <w:tcPr>
            <w:tcW w:w="3510" w:type="dxa"/>
          </w:tcPr>
          <w:p w14:paraId="52F1B576" w14:textId="77777777" w:rsidR="001F37D1" w:rsidRPr="00BC628C" w:rsidRDefault="001F37D1" w:rsidP="007B651F">
            <w:pPr>
              <w:rPr>
                <w:rFonts w:ascii="Garamond" w:hAnsi="Garamond"/>
                <w:bCs/>
                <w:sz w:val="22"/>
                <w:szCs w:val="22"/>
              </w:rPr>
            </w:pPr>
            <w:r w:rsidRPr="00BC628C">
              <w:rPr>
                <w:rFonts w:ascii="Garamond" w:hAnsi="Garamond"/>
                <w:bCs/>
                <w:sz w:val="22"/>
                <w:szCs w:val="22"/>
              </w:rPr>
              <w:t xml:space="preserve">The entire county and ecological area will be impacted by the pollutants released by the plant for generations. The local government should be </w:t>
            </w:r>
            <w:r w:rsidRPr="00BC628C">
              <w:rPr>
                <w:rFonts w:ascii="Garamond" w:hAnsi="Garamond"/>
                <w:bCs/>
                <w:sz w:val="22"/>
                <w:szCs w:val="22"/>
              </w:rPr>
              <w:lastRenderedPageBreak/>
              <w:t>holding this company accountable to all rules and regulations in place that would prevent misuse of land and</w:t>
            </w:r>
          </w:p>
          <w:p w14:paraId="1DCB61D6" w14:textId="77777777" w:rsidR="001F37D1" w:rsidRPr="00BC628C" w:rsidRDefault="001F37D1" w:rsidP="007B651F">
            <w:pPr>
              <w:rPr>
                <w:rFonts w:ascii="Garamond" w:hAnsi="Garamond"/>
                <w:bCs/>
                <w:sz w:val="22"/>
                <w:szCs w:val="22"/>
              </w:rPr>
            </w:pPr>
            <w:r w:rsidRPr="00BC628C">
              <w:rPr>
                <w:rFonts w:ascii="Garamond" w:hAnsi="Garamond"/>
                <w:bCs/>
                <w:sz w:val="22"/>
                <w:szCs w:val="22"/>
              </w:rPr>
              <w:t>disregard for the approval process.</w:t>
            </w:r>
          </w:p>
        </w:tc>
        <w:tc>
          <w:tcPr>
            <w:tcW w:w="3240" w:type="dxa"/>
            <w:tcBorders>
              <w:right w:val="double" w:sz="4" w:space="0" w:color="auto"/>
            </w:tcBorders>
          </w:tcPr>
          <w:p w14:paraId="1E750CC9" w14:textId="3AD8022A" w:rsidR="001F37D1" w:rsidRPr="002755A9" w:rsidRDefault="001F37D1" w:rsidP="007B651F">
            <w:pPr>
              <w:rPr>
                <w:rFonts w:ascii="Garamond" w:hAnsi="Garamond"/>
                <w:bCs/>
                <w:sz w:val="22"/>
                <w:szCs w:val="22"/>
              </w:rPr>
            </w:pPr>
            <w:r w:rsidRPr="002755A9">
              <w:rPr>
                <w:rFonts w:ascii="Garamond" w:hAnsi="Garamond"/>
                <w:bCs/>
                <w:sz w:val="22"/>
                <w:szCs w:val="22"/>
              </w:rPr>
              <w:lastRenderedPageBreak/>
              <w:t xml:space="preserve">The project </w:t>
            </w:r>
            <w:r w:rsidR="008A75B3">
              <w:rPr>
                <w:rFonts w:ascii="Garamond" w:hAnsi="Garamond"/>
                <w:bCs/>
                <w:sz w:val="22"/>
                <w:szCs w:val="22"/>
              </w:rPr>
              <w:t xml:space="preserve">complies with and </w:t>
            </w:r>
            <w:r w:rsidRPr="002755A9">
              <w:rPr>
                <w:rFonts w:ascii="Garamond" w:hAnsi="Garamond"/>
                <w:bCs/>
                <w:sz w:val="22"/>
                <w:szCs w:val="22"/>
              </w:rPr>
              <w:t>was approved under the Administrative Rules of Montana (ARM) and the Clean Air Act of Montana</w:t>
            </w:r>
            <w:r w:rsidR="009731E9" w:rsidRPr="009731E9">
              <w:rPr>
                <w:rFonts w:ascii="Garamond" w:hAnsi="Garamond"/>
                <w:bCs/>
                <w:sz w:val="22"/>
                <w:szCs w:val="22"/>
              </w:rPr>
              <w:t>, §§ 75-2-</w:t>
            </w:r>
            <w:r w:rsidR="009731E9" w:rsidRPr="009731E9">
              <w:rPr>
                <w:rFonts w:ascii="Garamond" w:hAnsi="Garamond"/>
                <w:bCs/>
                <w:sz w:val="22"/>
                <w:szCs w:val="22"/>
              </w:rPr>
              <w:lastRenderedPageBreak/>
              <w:t xml:space="preserve">101, et seq., Montana Code Annotated (MCA). </w:t>
            </w:r>
            <w:r w:rsidR="008A75B3">
              <w:rPr>
                <w:rFonts w:ascii="Garamond" w:hAnsi="Garamond"/>
                <w:bCs/>
                <w:sz w:val="22"/>
                <w:szCs w:val="22"/>
              </w:rPr>
              <w:t>These regulations</w:t>
            </w:r>
            <w:r w:rsidRPr="002755A9">
              <w:rPr>
                <w:rFonts w:ascii="Garamond" w:hAnsi="Garamond"/>
                <w:bCs/>
                <w:sz w:val="22"/>
                <w:szCs w:val="22"/>
              </w:rPr>
              <w:t xml:space="preserve"> are </w:t>
            </w:r>
            <w:r w:rsidR="008A75B3">
              <w:rPr>
                <w:rFonts w:ascii="Garamond" w:hAnsi="Garamond"/>
                <w:bCs/>
                <w:sz w:val="22"/>
                <w:szCs w:val="22"/>
              </w:rPr>
              <w:t xml:space="preserve">implemented </w:t>
            </w:r>
            <w:r w:rsidRPr="002755A9">
              <w:rPr>
                <w:rFonts w:ascii="Garamond" w:hAnsi="Garamond"/>
                <w:bCs/>
                <w:sz w:val="22"/>
                <w:szCs w:val="22"/>
              </w:rPr>
              <w:t>by the Montana Department of Environmental Quality</w:t>
            </w:r>
            <w:r w:rsidR="008A75B3">
              <w:rPr>
                <w:rFonts w:ascii="Garamond" w:hAnsi="Garamond"/>
                <w:bCs/>
                <w:sz w:val="22"/>
                <w:szCs w:val="22"/>
              </w:rPr>
              <w:t xml:space="preserve"> for the protection and maintenance of air quality</w:t>
            </w:r>
            <w:r w:rsidRPr="002755A9">
              <w:rPr>
                <w:rFonts w:ascii="Garamond" w:hAnsi="Garamond"/>
                <w:bCs/>
                <w:sz w:val="22"/>
                <w:szCs w:val="22"/>
              </w:rPr>
              <w:t xml:space="preserve">.  The facility is required to comply with the conditions of MAQP #5261-00 and </w:t>
            </w:r>
            <w:r w:rsidR="00863D0B">
              <w:rPr>
                <w:rFonts w:ascii="Garamond" w:hAnsi="Garamond"/>
                <w:bCs/>
                <w:sz w:val="22"/>
                <w:szCs w:val="22"/>
              </w:rPr>
              <w:t>now Operating Permit OP #5261</w:t>
            </w:r>
            <w:r w:rsidR="00985598">
              <w:rPr>
                <w:rFonts w:ascii="Garamond" w:hAnsi="Garamond"/>
                <w:bCs/>
                <w:sz w:val="22"/>
                <w:szCs w:val="22"/>
              </w:rPr>
              <w:t>-00</w:t>
            </w:r>
            <w:r w:rsidR="008A75B3">
              <w:rPr>
                <w:rFonts w:ascii="Garamond" w:hAnsi="Garamond"/>
                <w:bCs/>
                <w:sz w:val="22"/>
                <w:szCs w:val="22"/>
              </w:rPr>
              <w:t>,</w:t>
            </w:r>
            <w:r w:rsidR="009731E9">
              <w:rPr>
                <w:rFonts w:ascii="Garamond" w:hAnsi="Garamond"/>
                <w:bCs/>
                <w:sz w:val="22"/>
                <w:szCs w:val="22"/>
              </w:rPr>
              <w:t xml:space="preserve"> </w:t>
            </w:r>
            <w:r w:rsidR="00863D0B">
              <w:rPr>
                <w:rFonts w:ascii="Garamond" w:hAnsi="Garamond"/>
                <w:bCs/>
                <w:sz w:val="22"/>
                <w:szCs w:val="22"/>
              </w:rPr>
              <w:t xml:space="preserve">which incorporated all </w:t>
            </w:r>
            <w:r w:rsidR="008A75B3">
              <w:rPr>
                <w:rFonts w:ascii="Garamond" w:hAnsi="Garamond"/>
                <w:bCs/>
                <w:sz w:val="22"/>
                <w:szCs w:val="22"/>
              </w:rPr>
              <w:t xml:space="preserve">applicable requirements including all applicable </w:t>
            </w:r>
            <w:r w:rsidR="00863D0B">
              <w:rPr>
                <w:rFonts w:ascii="Garamond" w:hAnsi="Garamond"/>
                <w:bCs/>
                <w:sz w:val="22"/>
                <w:szCs w:val="22"/>
              </w:rPr>
              <w:t>MAQP conditions</w:t>
            </w:r>
            <w:r w:rsidR="008A75B3">
              <w:rPr>
                <w:rFonts w:ascii="Garamond" w:hAnsi="Garamond"/>
                <w:bCs/>
                <w:sz w:val="22"/>
                <w:szCs w:val="22"/>
              </w:rPr>
              <w:t xml:space="preserve"> and limits. The Operating Permit</w:t>
            </w:r>
            <w:r w:rsidR="00863D0B">
              <w:rPr>
                <w:rFonts w:ascii="Garamond" w:hAnsi="Garamond"/>
                <w:bCs/>
                <w:sz w:val="22"/>
                <w:szCs w:val="22"/>
              </w:rPr>
              <w:t xml:space="preserve"> </w:t>
            </w:r>
            <w:r w:rsidR="009731E9">
              <w:rPr>
                <w:rFonts w:ascii="Garamond" w:hAnsi="Garamond"/>
                <w:bCs/>
                <w:sz w:val="22"/>
                <w:szCs w:val="22"/>
              </w:rPr>
              <w:t xml:space="preserve">also </w:t>
            </w:r>
            <w:r w:rsidR="008A75B3">
              <w:rPr>
                <w:rFonts w:ascii="Garamond" w:hAnsi="Garamond"/>
                <w:bCs/>
                <w:sz w:val="22"/>
                <w:szCs w:val="22"/>
              </w:rPr>
              <w:t xml:space="preserve">incorporates monitoring recordkeeping, and </w:t>
            </w:r>
            <w:r w:rsidRPr="002755A9">
              <w:rPr>
                <w:rFonts w:ascii="Garamond" w:hAnsi="Garamond"/>
                <w:bCs/>
                <w:sz w:val="22"/>
                <w:szCs w:val="22"/>
              </w:rPr>
              <w:t>reporting</w:t>
            </w:r>
            <w:r w:rsidR="008A75B3">
              <w:rPr>
                <w:rFonts w:ascii="Garamond" w:hAnsi="Garamond"/>
                <w:bCs/>
                <w:sz w:val="22"/>
                <w:szCs w:val="22"/>
              </w:rPr>
              <w:t xml:space="preserve"> requirements, as required pursuant to the Title V operating permit program.</w:t>
            </w:r>
          </w:p>
        </w:tc>
      </w:tr>
      <w:tr w:rsidR="001F37D1" w:rsidRPr="00991091" w14:paraId="4822FB23" w14:textId="77777777" w:rsidTr="009B513F">
        <w:tc>
          <w:tcPr>
            <w:tcW w:w="1980" w:type="dxa"/>
            <w:tcBorders>
              <w:left w:val="double" w:sz="4" w:space="0" w:color="auto"/>
            </w:tcBorders>
          </w:tcPr>
          <w:p w14:paraId="1EE6F56E" w14:textId="77777777" w:rsidR="001F37D1" w:rsidRPr="00BC628C" w:rsidRDefault="001F37D1" w:rsidP="007B651F">
            <w:pPr>
              <w:rPr>
                <w:rFonts w:ascii="Garamond" w:hAnsi="Garamond"/>
                <w:bCs/>
                <w:sz w:val="22"/>
                <w:szCs w:val="22"/>
              </w:rPr>
            </w:pPr>
            <w:r w:rsidRPr="00BC628C">
              <w:rPr>
                <w:rFonts w:ascii="Garamond" w:hAnsi="Garamond"/>
                <w:bCs/>
                <w:sz w:val="22"/>
                <w:szCs w:val="22"/>
              </w:rPr>
              <w:lastRenderedPageBreak/>
              <w:t>M. Rutherford</w:t>
            </w:r>
          </w:p>
        </w:tc>
        <w:tc>
          <w:tcPr>
            <w:tcW w:w="3510" w:type="dxa"/>
          </w:tcPr>
          <w:p w14:paraId="1D623349" w14:textId="77777777" w:rsidR="001F37D1" w:rsidRPr="00BC628C" w:rsidRDefault="001F37D1" w:rsidP="007B651F">
            <w:pPr>
              <w:rPr>
                <w:rFonts w:ascii="Garamond" w:hAnsi="Garamond"/>
                <w:bCs/>
                <w:sz w:val="22"/>
                <w:szCs w:val="22"/>
              </w:rPr>
            </w:pPr>
            <w:r w:rsidRPr="00BC628C">
              <w:rPr>
                <w:rFonts w:ascii="Garamond" w:hAnsi="Garamond"/>
                <w:bCs/>
                <w:sz w:val="22"/>
                <w:szCs w:val="22"/>
              </w:rPr>
              <w:t>My second concern relates to the</w:t>
            </w:r>
          </w:p>
          <w:p w14:paraId="5B564572" w14:textId="77777777" w:rsidR="001F37D1" w:rsidRPr="00BC628C" w:rsidRDefault="001F37D1" w:rsidP="007B651F">
            <w:pPr>
              <w:rPr>
                <w:rFonts w:ascii="Garamond" w:hAnsi="Garamond"/>
                <w:bCs/>
                <w:sz w:val="22"/>
                <w:szCs w:val="22"/>
              </w:rPr>
            </w:pPr>
            <w:r w:rsidRPr="00BC628C">
              <w:rPr>
                <w:rFonts w:ascii="Garamond" w:hAnsi="Garamond"/>
                <w:bCs/>
                <w:sz w:val="22"/>
                <w:szCs w:val="22"/>
              </w:rPr>
              <w:t xml:space="preserve">financial burden </w:t>
            </w:r>
            <w:proofErr w:type="spellStart"/>
            <w:r w:rsidRPr="00BC628C">
              <w:rPr>
                <w:rFonts w:ascii="Garamond" w:hAnsi="Garamond"/>
                <w:bCs/>
                <w:sz w:val="22"/>
                <w:szCs w:val="22"/>
              </w:rPr>
              <w:t>NorthWestern</w:t>
            </w:r>
            <w:proofErr w:type="spellEnd"/>
            <w:r w:rsidRPr="00BC628C">
              <w:rPr>
                <w:rFonts w:ascii="Garamond" w:hAnsi="Garamond"/>
                <w:bCs/>
                <w:sz w:val="22"/>
                <w:szCs w:val="22"/>
              </w:rPr>
              <w:t xml:space="preserve"> Energy continues to place on the</w:t>
            </w:r>
          </w:p>
          <w:p w14:paraId="17B2FCA9" w14:textId="77777777" w:rsidR="001F37D1" w:rsidRPr="00BC628C" w:rsidRDefault="001F37D1" w:rsidP="007B651F">
            <w:pPr>
              <w:rPr>
                <w:rFonts w:ascii="Garamond" w:hAnsi="Garamond"/>
                <w:bCs/>
                <w:sz w:val="22"/>
                <w:szCs w:val="22"/>
              </w:rPr>
            </w:pPr>
            <w:r w:rsidRPr="00BC628C">
              <w:rPr>
                <w:rFonts w:ascii="Garamond" w:hAnsi="Garamond"/>
                <w:bCs/>
                <w:sz w:val="22"/>
                <w:szCs w:val="22"/>
              </w:rPr>
              <w:t xml:space="preserve">residents of Montana. </w:t>
            </w:r>
            <w:proofErr w:type="spellStart"/>
            <w:r w:rsidRPr="00BC628C">
              <w:rPr>
                <w:rFonts w:ascii="Garamond" w:hAnsi="Garamond"/>
                <w:bCs/>
                <w:sz w:val="22"/>
                <w:szCs w:val="22"/>
              </w:rPr>
              <w:t>NorthWestern</w:t>
            </w:r>
            <w:proofErr w:type="spellEnd"/>
            <w:r w:rsidRPr="00BC628C">
              <w:rPr>
                <w:rFonts w:ascii="Garamond" w:hAnsi="Garamond"/>
                <w:bCs/>
                <w:sz w:val="22"/>
                <w:szCs w:val="22"/>
              </w:rPr>
              <w:t xml:space="preserve"> Energy is already trying to raise rates for residential customers by almost 30%, and that doesn’t even include the estimated $310 million this plant will cost. How much more will our power bills increase when </w:t>
            </w:r>
            <w:proofErr w:type="spellStart"/>
            <w:r w:rsidRPr="00BC628C">
              <w:rPr>
                <w:rFonts w:ascii="Garamond" w:hAnsi="Garamond"/>
                <w:bCs/>
                <w:sz w:val="22"/>
                <w:szCs w:val="22"/>
              </w:rPr>
              <w:t>NorthWestern</w:t>
            </w:r>
            <w:proofErr w:type="spellEnd"/>
            <w:r w:rsidRPr="00BC628C">
              <w:rPr>
                <w:rFonts w:ascii="Garamond" w:hAnsi="Garamond"/>
                <w:bCs/>
                <w:sz w:val="22"/>
                <w:szCs w:val="22"/>
              </w:rPr>
              <w:t xml:space="preserve"> tries to pass along the cost of this plant to us? Please review and prevent </w:t>
            </w:r>
            <w:proofErr w:type="spellStart"/>
            <w:r w:rsidRPr="00BC628C">
              <w:rPr>
                <w:rFonts w:ascii="Garamond" w:hAnsi="Garamond"/>
                <w:bCs/>
                <w:sz w:val="22"/>
                <w:szCs w:val="22"/>
              </w:rPr>
              <w:t>NorthWestern</w:t>
            </w:r>
            <w:proofErr w:type="spellEnd"/>
            <w:r w:rsidRPr="00BC628C">
              <w:rPr>
                <w:rFonts w:ascii="Garamond" w:hAnsi="Garamond"/>
                <w:bCs/>
                <w:sz w:val="22"/>
                <w:szCs w:val="22"/>
              </w:rPr>
              <w:t xml:space="preserve"> from</w:t>
            </w:r>
          </w:p>
          <w:p w14:paraId="4893957E" w14:textId="77777777" w:rsidR="001F37D1" w:rsidRPr="00BC628C" w:rsidRDefault="001F37D1" w:rsidP="007B651F">
            <w:pPr>
              <w:rPr>
                <w:rFonts w:ascii="Garamond" w:hAnsi="Garamond"/>
                <w:bCs/>
                <w:sz w:val="22"/>
                <w:szCs w:val="22"/>
              </w:rPr>
            </w:pPr>
            <w:r w:rsidRPr="00BC628C">
              <w:rPr>
                <w:rFonts w:ascii="Garamond" w:hAnsi="Garamond"/>
                <w:bCs/>
                <w:sz w:val="22"/>
                <w:szCs w:val="22"/>
              </w:rPr>
              <w:t>continuing to harm our community members.</w:t>
            </w:r>
          </w:p>
        </w:tc>
        <w:tc>
          <w:tcPr>
            <w:tcW w:w="3240" w:type="dxa"/>
            <w:tcBorders>
              <w:right w:val="double" w:sz="4" w:space="0" w:color="auto"/>
            </w:tcBorders>
          </w:tcPr>
          <w:p w14:paraId="60DAE228" w14:textId="08B08A1D" w:rsidR="001F37D1" w:rsidRPr="002755A9" w:rsidRDefault="001F37D1" w:rsidP="007B651F">
            <w:pPr>
              <w:rPr>
                <w:rFonts w:ascii="Garamond" w:hAnsi="Garamond"/>
                <w:bCs/>
                <w:sz w:val="22"/>
                <w:szCs w:val="22"/>
              </w:rPr>
            </w:pPr>
            <w:r w:rsidRPr="002755A9">
              <w:rPr>
                <w:rFonts w:ascii="Garamond" w:hAnsi="Garamond"/>
                <w:bCs/>
                <w:sz w:val="22"/>
                <w:szCs w:val="22"/>
              </w:rPr>
              <w:t xml:space="preserve">DEQ is not involved in the business decisions undertaken by </w:t>
            </w:r>
            <w:r w:rsidR="008A75B3" w:rsidRPr="002755A9">
              <w:rPr>
                <w:rFonts w:ascii="Garamond" w:hAnsi="Garamond"/>
                <w:bCs/>
                <w:sz w:val="22"/>
                <w:szCs w:val="22"/>
              </w:rPr>
              <w:t>industry and</w:t>
            </w:r>
            <w:r w:rsidRPr="002755A9">
              <w:rPr>
                <w:rFonts w:ascii="Garamond" w:hAnsi="Garamond"/>
                <w:bCs/>
                <w:sz w:val="22"/>
                <w:szCs w:val="22"/>
              </w:rPr>
              <w:t xml:space="preserve"> has no authority </w:t>
            </w:r>
            <w:r w:rsidR="009731E9">
              <w:rPr>
                <w:rFonts w:ascii="Garamond" w:hAnsi="Garamond"/>
                <w:bCs/>
                <w:sz w:val="22"/>
                <w:szCs w:val="22"/>
              </w:rPr>
              <w:t>to do so</w:t>
            </w:r>
            <w:r w:rsidRPr="002755A9">
              <w:rPr>
                <w:rFonts w:ascii="Garamond" w:hAnsi="Garamond"/>
                <w:bCs/>
                <w:sz w:val="22"/>
                <w:szCs w:val="22"/>
              </w:rPr>
              <w:t>.</w:t>
            </w:r>
            <w:r>
              <w:rPr>
                <w:rFonts w:ascii="Garamond" w:hAnsi="Garamond"/>
                <w:bCs/>
                <w:sz w:val="22"/>
                <w:szCs w:val="22"/>
              </w:rPr>
              <w:t xml:space="preserve"> DEQ is required to follow the statutory requirements of the Clean Air Act of Montana.</w:t>
            </w:r>
            <w:r w:rsidR="00D0694F">
              <w:t xml:space="preserve"> </w:t>
            </w:r>
            <w:r w:rsidR="00D0694F" w:rsidRPr="00D0694F">
              <w:rPr>
                <w:rFonts w:ascii="Garamond" w:hAnsi="Garamond"/>
                <w:bCs/>
                <w:sz w:val="22"/>
                <w:szCs w:val="22"/>
              </w:rPr>
              <w:t>The state law that regulates air quality permitting in Montana is the Clean Air Act of Montana, §§ 75-2-101, et seq., Montana Code Annotated (MCA). DEQ may not approve a proposed project contained in an application for an air quality permit unless the project complies with the requirements set forth in the Clean Air Act of Montana and the administrative rules adopted thereunder, ARM 17.8.101</w:t>
            </w:r>
            <w:r w:rsidR="00497B4C">
              <w:rPr>
                <w:rFonts w:ascii="Garamond" w:hAnsi="Garamond"/>
                <w:bCs/>
                <w:sz w:val="22"/>
                <w:szCs w:val="22"/>
              </w:rPr>
              <w:t>,</w:t>
            </w:r>
            <w:r w:rsidR="00D0694F" w:rsidRPr="00D0694F">
              <w:rPr>
                <w:rFonts w:ascii="Garamond" w:hAnsi="Garamond"/>
                <w:bCs/>
                <w:sz w:val="22"/>
                <w:szCs w:val="22"/>
              </w:rPr>
              <w:t xml:space="preserve"> et. seq.</w:t>
            </w:r>
            <w:r w:rsidR="00D0694F">
              <w:rPr>
                <w:rFonts w:ascii="Garamond" w:hAnsi="Garamond"/>
                <w:bCs/>
                <w:sz w:val="22"/>
                <w:szCs w:val="22"/>
              </w:rPr>
              <w:t xml:space="preserve"> </w:t>
            </w:r>
          </w:p>
        </w:tc>
      </w:tr>
      <w:tr w:rsidR="00136935" w:rsidRPr="00991091" w14:paraId="7705EE62" w14:textId="77777777" w:rsidTr="009B513F">
        <w:tc>
          <w:tcPr>
            <w:tcW w:w="1980" w:type="dxa"/>
            <w:tcBorders>
              <w:left w:val="double" w:sz="4" w:space="0" w:color="auto"/>
            </w:tcBorders>
          </w:tcPr>
          <w:p w14:paraId="48F4F526" w14:textId="7205BEFA" w:rsidR="00136935" w:rsidRDefault="00136935" w:rsidP="007B651F">
            <w:pPr>
              <w:rPr>
                <w:rFonts w:ascii="Garamond" w:hAnsi="Garamond"/>
                <w:bCs/>
                <w:sz w:val="22"/>
                <w:szCs w:val="22"/>
              </w:rPr>
            </w:pPr>
            <w:r>
              <w:rPr>
                <w:rFonts w:ascii="Garamond" w:hAnsi="Garamond"/>
                <w:bCs/>
                <w:sz w:val="22"/>
                <w:szCs w:val="22"/>
              </w:rPr>
              <w:t>Our Children’s Trust</w:t>
            </w:r>
          </w:p>
        </w:tc>
        <w:tc>
          <w:tcPr>
            <w:tcW w:w="3510" w:type="dxa"/>
          </w:tcPr>
          <w:p w14:paraId="611C2A61" w14:textId="77777777" w:rsidR="00136935" w:rsidRPr="00136935" w:rsidRDefault="00136935" w:rsidP="00136935">
            <w:pPr>
              <w:rPr>
                <w:rFonts w:ascii="Garamond" w:hAnsi="Garamond"/>
                <w:bCs/>
                <w:sz w:val="22"/>
                <w:szCs w:val="22"/>
              </w:rPr>
            </w:pPr>
            <w:r w:rsidRPr="00136935">
              <w:rPr>
                <w:rFonts w:ascii="Garamond" w:hAnsi="Garamond"/>
                <w:bCs/>
                <w:sz w:val="22"/>
                <w:szCs w:val="22"/>
              </w:rPr>
              <w:t xml:space="preserve">While the federal Clean Air Act provides a floor for air pollution standards that Montana must meet, Montana retains its sovereign authority, and obligation, to regulate air pollution more stringent that federal standards when necessary to protect Montanans’ rights under state law, including Montana’s Constitution. As the Montana Supreme Court has noted, federal air pollution standards tell Montana’s agencies little to nothing about the impacts of greenhouse gases (“GHGs”) on Montana’s environment and natural </w:t>
            </w:r>
            <w:r w:rsidRPr="00136935">
              <w:rPr>
                <w:rFonts w:ascii="Garamond" w:hAnsi="Garamond"/>
                <w:bCs/>
                <w:sz w:val="22"/>
                <w:szCs w:val="22"/>
              </w:rPr>
              <w:lastRenderedPageBreak/>
              <w:t xml:space="preserve">resources and do not satisfy the State’s obligations under Montana’s Constitution. Montana Env’t Info. Ctr. v. </w:t>
            </w:r>
            <w:proofErr w:type="spellStart"/>
            <w:r w:rsidRPr="00136935">
              <w:rPr>
                <w:rFonts w:ascii="Garamond" w:hAnsi="Garamond"/>
                <w:bCs/>
                <w:sz w:val="22"/>
                <w:szCs w:val="22"/>
              </w:rPr>
              <w:t>Dep’t</w:t>
            </w:r>
            <w:proofErr w:type="spellEnd"/>
            <w:r w:rsidRPr="00136935">
              <w:rPr>
                <w:rFonts w:ascii="Garamond" w:hAnsi="Garamond"/>
                <w:bCs/>
                <w:sz w:val="22"/>
                <w:szCs w:val="22"/>
              </w:rPr>
              <w:t xml:space="preserve"> of Env’t Quality,</w:t>
            </w:r>
          </w:p>
          <w:p w14:paraId="1092B8F0" w14:textId="77777777" w:rsidR="00136935" w:rsidRPr="00136935" w:rsidRDefault="00136935" w:rsidP="00136935">
            <w:pPr>
              <w:rPr>
                <w:rFonts w:ascii="Garamond" w:hAnsi="Garamond"/>
                <w:bCs/>
                <w:sz w:val="22"/>
                <w:szCs w:val="22"/>
              </w:rPr>
            </w:pPr>
            <w:r w:rsidRPr="00136935">
              <w:rPr>
                <w:rFonts w:ascii="Garamond" w:hAnsi="Garamond"/>
                <w:bCs/>
                <w:sz w:val="22"/>
                <w:szCs w:val="22"/>
              </w:rPr>
              <w:t>2025 MT 3, ¶ 60.</w:t>
            </w:r>
          </w:p>
          <w:p w14:paraId="67CD7FAA" w14:textId="77777777" w:rsidR="00136935" w:rsidRPr="00136935" w:rsidRDefault="00136935" w:rsidP="00136935">
            <w:pPr>
              <w:rPr>
                <w:rFonts w:ascii="Garamond" w:hAnsi="Garamond"/>
                <w:bCs/>
                <w:sz w:val="22"/>
                <w:szCs w:val="22"/>
              </w:rPr>
            </w:pPr>
            <w:r w:rsidRPr="00136935">
              <w:rPr>
                <w:rFonts w:ascii="Garamond" w:hAnsi="Garamond"/>
                <w:bCs/>
                <w:sz w:val="22"/>
                <w:szCs w:val="22"/>
              </w:rPr>
              <w:t>Accordingly, the Draft Operating Permit is legally deficient because it does not consider DEQ’s independent state constitutional obligations to account for the unconstitutional degradation of Montana’s natural resources and environment from the current atmospheric concentration of GHGs, nor the ongoing violations of Montana youths’ constitutional rights, including their rights to a clean and healthful environment, including a stable climate system. Moreover, the Draft Operating Permit fails to demonstrate a need for the gas-fired generation station, fails to establish that a gas-fired power station is the best way to meet Montanans energy needs, and fails to adequately consider alternatives means, such as renewable energy, to meet Montanans current and future energy needs.</w:t>
            </w:r>
          </w:p>
          <w:p w14:paraId="1FCCBABB" w14:textId="3F821EAB" w:rsidR="00136935" w:rsidRPr="00136935" w:rsidRDefault="00136935" w:rsidP="00136935">
            <w:pPr>
              <w:rPr>
                <w:rFonts w:ascii="Garamond" w:hAnsi="Garamond"/>
                <w:bCs/>
                <w:sz w:val="22"/>
                <w:szCs w:val="22"/>
              </w:rPr>
            </w:pPr>
            <w:r w:rsidRPr="00136935">
              <w:rPr>
                <w:rFonts w:ascii="Garamond" w:hAnsi="Garamond"/>
                <w:bCs/>
                <w:sz w:val="22"/>
                <w:szCs w:val="22"/>
              </w:rPr>
              <w:t>Accordingly, for the reasons outlined herein, DEQ must detail how the Draft Operating Permit is consistent with DEQ’s independent obligations under Montana law, especially when considering the significant and cumulative harms to Montana’s environment, natural resources, and citizens (and especially children) from the GHG emissions and climate harms that will result from the Laurel Generating Station. Pending that review and demonstration of a compelling</w:t>
            </w:r>
            <w:r>
              <w:rPr>
                <w:rFonts w:ascii="Garamond" w:hAnsi="Garamond"/>
                <w:bCs/>
                <w:sz w:val="22"/>
                <w:szCs w:val="22"/>
              </w:rPr>
              <w:t xml:space="preserve"> </w:t>
            </w:r>
            <w:r w:rsidRPr="00136935">
              <w:rPr>
                <w:rFonts w:ascii="Garamond" w:hAnsi="Garamond"/>
                <w:bCs/>
                <w:sz w:val="22"/>
                <w:szCs w:val="22"/>
              </w:rPr>
              <w:t>government interest in the project, and because there is already an unconstitutional level of GHG</w:t>
            </w:r>
          </w:p>
          <w:p w14:paraId="786D7CE8" w14:textId="0C245022" w:rsidR="00136935" w:rsidRPr="00B86B35" w:rsidRDefault="00136935" w:rsidP="00136935">
            <w:pPr>
              <w:rPr>
                <w:rFonts w:ascii="Garamond" w:hAnsi="Garamond"/>
                <w:bCs/>
                <w:sz w:val="22"/>
                <w:szCs w:val="22"/>
              </w:rPr>
            </w:pPr>
            <w:r w:rsidRPr="00136935">
              <w:rPr>
                <w:rFonts w:ascii="Garamond" w:hAnsi="Garamond"/>
                <w:bCs/>
                <w:sz w:val="22"/>
                <w:szCs w:val="22"/>
              </w:rPr>
              <w:t>emissions in the atmosphere, DEQ should deny Draft Operating Permit #OP5261-00.</w:t>
            </w:r>
          </w:p>
        </w:tc>
        <w:tc>
          <w:tcPr>
            <w:tcW w:w="3240" w:type="dxa"/>
            <w:tcBorders>
              <w:right w:val="double" w:sz="4" w:space="0" w:color="auto"/>
            </w:tcBorders>
          </w:tcPr>
          <w:p w14:paraId="08C80979" w14:textId="37EAE1F2" w:rsidR="00136935" w:rsidRDefault="0072115E" w:rsidP="007B651F">
            <w:r>
              <w:rPr>
                <w:rFonts w:ascii="Garamond" w:hAnsi="Garamond"/>
                <w:bCs/>
                <w:sz w:val="22"/>
                <w:szCs w:val="22"/>
              </w:rPr>
              <w:lastRenderedPageBreak/>
              <w:t xml:space="preserve">Implementation of the Title V Operating Permit program incorporates existing applicable requirements from the Montana Air Quality Permitting Program.  Montana is </w:t>
            </w:r>
            <w:r w:rsidR="00497B4C">
              <w:rPr>
                <w:rFonts w:ascii="Garamond" w:hAnsi="Garamond"/>
                <w:bCs/>
                <w:sz w:val="22"/>
                <w:szCs w:val="22"/>
              </w:rPr>
              <w:t xml:space="preserve">an EPA </w:t>
            </w:r>
            <w:r>
              <w:rPr>
                <w:rFonts w:ascii="Garamond" w:hAnsi="Garamond"/>
                <w:bCs/>
                <w:sz w:val="22"/>
                <w:szCs w:val="22"/>
              </w:rPr>
              <w:t xml:space="preserve">approved state </w:t>
            </w:r>
            <w:r w:rsidR="00497B4C">
              <w:rPr>
                <w:rFonts w:ascii="Garamond" w:hAnsi="Garamond"/>
                <w:bCs/>
                <w:sz w:val="22"/>
                <w:szCs w:val="22"/>
              </w:rPr>
              <w:t>for implementation of the</w:t>
            </w:r>
            <w:r>
              <w:rPr>
                <w:rFonts w:ascii="Garamond" w:hAnsi="Garamond"/>
                <w:bCs/>
                <w:sz w:val="22"/>
                <w:szCs w:val="22"/>
              </w:rPr>
              <w:t xml:space="preserve"> Title V Permit Program.  This effectively means that EPA has determined the Montana Title V Program has the necessary elements to effectively manage the Federal Title V Operating Permit Program.  Previous comments and litigation related to issuance of Montana Air </w:t>
            </w:r>
            <w:r>
              <w:rPr>
                <w:rFonts w:ascii="Garamond" w:hAnsi="Garamond"/>
                <w:bCs/>
                <w:sz w:val="22"/>
                <w:szCs w:val="22"/>
              </w:rPr>
              <w:lastRenderedPageBreak/>
              <w:t>Quality Permit #5261-0</w:t>
            </w:r>
            <w:r w:rsidR="003C623B">
              <w:rPr>
                <w:rFonts w:ascii="Garamond" w:hAnsi="Garamond"/>
                <w:bCs/>
                <w:sz w:val="22"/>
                <w:szCs w:val="22"/>
              </w:rPr>
              <w:t>0</w:t>
            </w:r>
            <w:r>
              <w:rPr>
                <w:rFonts w:ascii="Garamond" w:hAnsi="Garamond"/>
                <w:bCs/>
                <w:sz w:val="22"/>
                <w:szCs w:val="22"/>
              </w:rPr>
              <w:t>, and the associated Environmental Assessment (EA)</w:t>
            </w:r>
            <w:r w:rsidR="00497B4C">
              <w:rPr>
                <w:rFonts w:ascii="Garamond" w:hAnsi="Garamond"/>
                <w:bCs/>
                <w:sz w:val="22"/>
                <w:szCs w:val="22"/>
              </w:rPr>
              <w:t>,</w:t>
            </w:r>
            <w:r>
              <w:rPr>
                <w:rFonts w:ascii="Garamond" w:hAnsi="Garamond"/>
                <w:bCs/>
                <w:sz w:val="22"/>
                <w:szCs w:val="22"/>
              </w:rPr>
              <w:t xml:space="preserve"> have addressed potential impacts to resource areas covered in the EA. DEQ has met its statutory </w:t>
            </w:r>
            <w:r w:rsidR="00497B4C">
              <w:rPr>
                <w:rFonts w:ascii="Garamond" w:hAnsi="Garamond"/>
                <w:bCs/>
                <w:sz w:val="22"/>
                <w:szCs w:val="22"/>
              </w:rPr>
              <w:t xml:space="preserve">obligations </w:t>
            </w:r>
            <w:r>
              <w:rPr>
                <w:rFonts w:ascii="Garamond" w:hAnsi="Garamond"/>
                <w:bCs/>
                <w:sz w:val="22"/>
                <w:szCs w:val="22"/>
              </w:rPr>
              <w:t xml:space="preserve">relative to the Yellowstone County Generating Station, and </w:t>
            </w:r>
            <w:r w:rsidR="00CB1B6D">
              <w:rPr>
                <w:rFonts w:ascii="Garamond" w:hAnsi="Garamond"/>
                <w:bCs/>
                <w:sz w:val="22"/>
                <w:szCs w:val="22"/>
              </w:rPr>
              <w:t>further</w:t>
            </w:r>
            <w:r w:rsidR="009731E9">
              <w:rPr>
                <w:rFonts w:ascii="Garamond" w:hAnsi="Garamond"/>
                <w:bCs/>
                <w:sz w:val="22"/>
                <w:szCs w:val="22"/>
              </w:rPr>
              <w:t xml:space="preserve">, </w:t>
            </w:r>
            <w:r w:rsidR="00CB1B6D">
              <w:rPr>
                <w:rFonts w:ascii="Garamond" w:hAnsi="Garamond"/>
                <w:bCs/>
                <w:sz w:val="22"/>
                <w:szCs w:val="22"/>
              </w:rPr>
              <w:t xml:space="preserve">Montana DEQ does not have authority to limit the scope of a project based on whether the energy </w:t>
            </w:r>
            <w:r w:rsidR="009731E9">
              <w:rPr>
                <w:rFonts w:ascii="Garamond" w:hAnsi="Garamond"/>
                <w:bCs/>
                <w:sz w:val="22"/>
                <w:szCs w:val="22"/>
              </w:rPr>
              <w:t>infrastructure is needed</w:t>
            </w:r>
            <w:r w:rsidR="00CB1B6D">
              <w:rPr>
                <w:rFonts w:ascii="Garamond" w:hAnsi="Garamond"/>
                <w:bCs/>
                <w:sz w:val="22"/>
                <w:szCs w:val="22"/>
              </w:rPr>
              <w:t xml:space="preserve"> or not. Lastly, the State of Montana has recently finalized Greenhouse Gas Guidance for future project development.  However, the use of the new final guidance will occur at the initiation of evaluating proposed projects</w:t>
            </w:r>
            <w:r w:rsidR="009731E9">
              <w:rPr>
                <w:rFonts w:ascii="Garamond" w:hAnsi="Garamond"/>
                <w:bCs/>
                <w:sz w:val="22"/>
                <w:szCs w:val="22"/>
              </w:rPr>
              <w:t xml:space="preserve"> under the Clean Air Act of Montana</w:t>
            </w:r>
            <w:r w:rsidR="00CB1B6D">
              <w:rPr>
                <w:rFonts w:ascii="Garamond" w:hAnsi="Garamond"/>
                <w:bCs/>
                <w:sz w:val="22"/>
                <w:szCs w:val="22"/>
              </w:rPr>
              <w:t>, not after they have been approved and constructed</w:t>
            </w:r>
            <w:r w:rsidR="009731E9">
              <w:rPr>
                <w:rFonts w:ascii="Garamond" w:hAnsi="Garamond"/>
                <w:bCs/>
                <w:sz w:val="22"/>
                <w:szCs w:val="22"/>
              </w:rPr>
              <w:t>, as is the case where the Yellowstone County Generating Station has been operating for several years.</w:t>
            </w:r>
            <w:r w:rsidR="00CB23A4">
              <w:rPr>
                <w:rFonts w:ascii="Garamond" w:hAnsi="Garamond"/>
                <w:bCs/>
                <w:sz w:val="22"/>
                <w:szCs w:val="22"/>
              </w:rPr>
              <w:t xml:space="preserve"> The GHG guidance document can be found at: </w:t>
            </w:r>
            <w:hyperlink r:id="rId11" w:history="1">
              <w:r w:rsidR="00CB23A4">
                <w:rPr>
                  <w:rStyle w:val="Hyperlink"/>
                  <w:rFonts w:eastAsiaTheme="majorEastAsia"/>
                </w:rPr>
                <w:t>MEPA | Final Greenhouse Gas (GHG) Guidance | Public Notice | Montana DEQ</w:t>
              </w:r>
            </w:hyperlink>
            <w:r w:rsidR="00CB23A4">
              <w:t>.</w:t>
            </w:r>
          </w:p>
          <w:p w14:paraId="54779C6D" w14:textId="77777777" w:rsidR="00924567" w:rsidRDefault="00924567" w:rsidP="007B651F"/>
          <w:p w14:paraId="1B5DC2C6" w14:textId="258D2733" w:rsidR="00924567" w:rsidRPr="002755A9" w:rsidRDefault="00924567" w:rsidP="007B651F">
            <w:pPr>
              <w:rPr>
                <w:rFonts w:ascii="Garamond" w:hAnsi="Garamond"/>
                <w:bCs/>
                <w:sz w:val="22"/>
                <w:szCs w:val="22"/>
              </w:rPr>
            </w:pPr>
            <w:r w:rsidRPr="00924567">
              <w:rPr>
                <w:rFonts w:ascii="Garamond" w:hAnsi="Garamond"/>
                <w:bCs/>
                <w:sz w:val="22"/>
                <w:szCs w:val="22"/>
              </w:rPr>
              <w:t>These comments seek constitutional review of substantive permitting authority under the federal Clean Air Act that Held v. State, 2024 MT 312, ¶47, expressly declined to address, stating “Substantive permitting statutes are not at issue here and we reject the parties’ attempts to insert advisory opinions on their constitutionality into this litigation.” This Title V operating permit consolidates existing applicable requirements for an operating facility</w:t>
            </w:r>
            <w:r w:rsidR="00497B4C">
              <w:rPr>
                <w:rFonts w:ascii="Garamond" w:hAnsi="Garamond"/>
                <w:bCs/>
                <w:sz w:val="22"/>
                <w:szCs w:val="22"/>
              </w:rPr>
              <w:t>, as</w:t>
            </w:r>
            <w:r w:rsidRPr="00924567">
              <w:rPr>
                <w:rFonts w:ascii="Garamond" w:hAnsi="Garamond"/>
                <w:bCs/>
                <w:sz w:val="22"/>
                <w:szCs w:val="22"/>
              </w:rPr>
              <w:t xml:space="preserve"> authorized under MAQP #5261-00</w:t>
            </w:r>
            <w:r w:rsidR="00497B4C">
              <w:rPr>
                <w:rFonts w:ascii="Garamond" w:hAnsi="Garamond"/>
                <w:bCs/>
                <w:sz w:val="22"/>
                <w:szCs w:val="22"/>
              </w:rPr>
              <w:t>,</w:t>
            </w:r>
            <w:r w:rsidRPr="00924567">
              <w:rPr>
                <w:rFonts w:ascii="Garamond" w:hAnsi="Garamond"/>
                <w:bCs/>
                <w:sz w:val="22"/>
                <w:szCs w:val="22"/>
              </w:rPr>
              <w:t xml:space="preserve"> and does not create new substantive permitting obligations, authorize additional construction, or provide a forum for constitutional challenges to Montana's implementation of federal Clean </w:t>
            </w:r>
            <w:r w:rsidRPr="00924567">
              <w:rPr>
                <w:rFonts w:ascii="Garamond" w:hAnsi="Garamond"/>
                <w:bCs/>
                <w:sz w:val="22"/>
                <w:szCs w:val="22"/>
              </w:rPr>
              <w:lastRenderedPageBreak/>
              <w:t xml:space="preserve">Air Act standards. As confirmed in MEIC v. DEQ, 2025 MT 3, ¶47, “the absence of substantive permitting standards for GHGs may affect the agency's ability to disapprove a permit, but it does not alter MEPA's procedural requirements,” distinguishing between the procedural disclosure obligations addressed in Held and the substantive Clean Air Act permitting authority that governs this Title V </w:t>
            </w:r>
            <w:r w:rsidR="00497B4C">
              <w:rPr>
                <w:rFonts w:ascii="Garamond" w:hAnsi="Garamond"/>
                <w:bCs/>
                <w:sz w:val="22"/>
                <w:szCs w:val="22"/>
              </w:rPr>
              <w:t xml:space="preserve">operating </w:t>
            </w:r>
            <w:r w:rsidRPr="00924567">
              <w:rPr>
                <w:rFonts w:ascii="Garamond" w:hAnsi="Garamond"/>
                <w:bCs/>
                <w:sz w:val="22"/>
                <w:szCs w:val="22"/>
              </w:rPr>
              <w:t>permit.</w:t>
            </w:r>
          </w:p>
        </w:tc>
      </w:tr>
      <w:tr w:rsidR="009D50B7" w:rsidRPr="00991091" w14:paraId="5B6D15D3" w14:textId="77777777" w:rsidTr="009B513F">
        <w:tc>
          <w:tcPr>
            <w:tcW w:w="1980" w:type="dxa"/>
            <w:tcBorders>
              <w:left w:val="double" w:sz="4" w:space="0" w:color="auto"/>
            </w:tcBorders>
          </w:tcPr>
          <w:p w14:paraId="43917A75" w14:textId="14041DAF" w:rsidR="009D50B7" w:rsidRPr="00BC628C" w:rsidRDefault="00B86B35" w:rsidP="007B651F">
            <w:pPr>
              <w:rPr>
                <w:rFonts w:ascii="Garamond" w:hAnsi="Garamond"/>
                <w:bCs/>
                <w:sz w:val="22"/>
                <w:szCs w:val="22"/>
              </w:rPr>
            </w:pPr>
            <w:r>
              <w:rPr>
                <w:rFonts w:ascii="Garamond" w:hAnsi="Garamond"/>
                <w:bCs/>
                <w:sz w:val="22"/>
                <w:szCs w:val="22"/>
              </w:rPr>
              <w:lastRenderedPageBreak/>
              <w:t>Our Children’s Trust</w:t>
            </w:r>
          </w:p>
        </w:tc>
        <w:tc>
          <w:tcPr>
            <w:tcW w:w="3510" w:type="dxa"/>
          </w:tcPr>
          <w:p w14:paraId="3F13B312" w14:textId="7CF378F8" w:rsidR="009D50B7" w:rsidRPr="00BC628C" w:rsidRDefault="00B86B35" w:rsidP="007B651F">
            <w:pPr>
              <w:rPr>
                <w:rFonts w:ascii="Garamond" w:hAnsi="Garamond"/>
                <w:bCs/>
                <w:sz w:val="22"/>
                <w:szCs w:val="22"/>
              </w:rPr>
            </w:pPr>
            <w:r w:rsidRPr="00B86B35">
              <w:rPr>
                <w:rFonts w:ascii="Garamond" w:hAnsi="Garamond"/>
                <w:bCs/>
                <w:sz w:val="22"/>
                <w:szCs w:val="22"/>
              </w:rPr>
              <w:t>DEQ Knows that the Laurel Generating Station Will Allow for the Burning of Fossil Fuels and Release GHG Emissions, but Completely Ignores the Harms from the Project’s Fossil Fuel Pollution and Contribution to Climate Change.</w:t>
            </w:r>
          </w:p>
        </w:tc>
        <w:tc>
          <w:tcPr>
            <w:tcW w:w="3240" w:type="dxa"/>
            <w:tcBorders>
              <w:right w:val="double" w:sz="4" w:space="0" w:color="auto"/>
            </w:tcBorders>
          </w:tcPr>
          <w:p w14:paraId="71C987D6" w14:textId="072E1B53" w:rsidR="009D50B7" w:rsidRPr="002755A9" w:rsidRDefault="00F54E43" w:rsidP="007B651F">
            <w:pPr>
              <w:rPr>
                <w:rFonts w:ascii="Garamond" w:hAnsi="Garamond"/>
                <w:bCs/>
                <w:sz w:val="22"/>
                <w:szCs w:val="22"/>
              </w:rPr>
            </w:pPr>
            <w:r>
              <w:rPr>
                <w:rFonts w:ascii="Garamond" w:hAnsi="Garamond"/>
                <w:bCs/>
                <w:sz w:val="22"/>
                <w:szCs w:val="22"/>
              </w:rPr>
              <w:t>The Clean Air Act of Montana lawfully provides for the permitting of projects within the State of Montana</w:t>
            </w:r>
            <w:r w:rsidR="009731E9">
              <w:rPr>
                <w:rFonts w:ascii="Garamond" w:hAnsi="Garamond"/>
                <w:bCs/>
                <w:sz w:val="22"/>
                <w:szCs w:val="22"/>
              </w:rPr>
              <w:t xml:space="preserve"> including those that emit pollutants formed by fossil fuel combustion.</w:t>
            </w:r>
            <w:r>
              <w:rPr>
                <w:rFonts w:ascii="Garamond" w:hAnsi="Garamond"/>
                <w:bCs/>
                <w:sz w:val="22"/>
                <w:szCs w:val="22"/>
              </w:rPr>
              <w:t xml:space="preserve">  This includes </w:t>
            </w:r>
            <w:r w:rsidR="00497B4C">
              <w:rPr>
                <w:rFonts w:ascii="Garamond" w:hAnsi="Garamond"/>
                <w:bCs/>
                <w:sz w:val="22"/>
                <w:szCs w:val="22"/>
              </w:rPr>
              <w:t xml:space="preserve">all </w:t>
            </w:r>
            <w:r>
              <w:rPr>
                <w:rFonts w:ascii="Garamond" w:hAnsi="Garamond"/>
                <w:bCs/>
                <w:sz w:val="22"/>
                <w:szCs w:val="22"/>
              </w:rPr>
              <w:t xml:space="preserve">pollutants </w:t>
            </w:r>
            <w:r w:rsidR="00497B4C">
              <w:rPr>
                <w:rFonts w:ascii="Garamond" w:hAnsi="Garamond"/>
                <w:bCs/>
                <w:sz w:val="22"/>
                <w:szCs w:val="22"/>
              </w:rPr>
              <w:t xml:space="preserve">with an established, health and welfare-based </w:t>
            </w:r>
            <w:r>
              <w:rPr>
                <w:rFonts w:ascii="Garamond" w:hAnsi="Garamond"/>
                <w:bCs/>
                <w:sz w:val="22"/>
                <w:szCs w:val="22"/>
              </w:rPr>
              <w:t xml:space="preserve">National Ambient Air Quality Standard (NAAQS).  As mentioned directly above, Montana has finalized guidance for review of Greenhouse Gases.  That guidance document, however, is for review </w:t>
            </w:r>
            <w:r w:rsidR="00497B4C">
              <w:rPr>
                <w:rFonts w:ascii="Garamond" w:hAnsi="Garamond"/>
                <w:bCs/>
                <w:sz w:val="22"/>
                <w:szCs w:val="22"/>
              </w:rPr>
              <w:t>of proposed projects/actions</w:t>
            </w:r>
            <w:r>
              <w:rPr>
                <w:rFonts w:ascii="Garamond" w:hAnsi="Garamond"/>
                <w:bCs/>
                <w:sz w:val="22"/>
                <w:szCs w:val="22"/>
              </w:rPr>
              <w:t xml:space="preserve">, and the Yellowstone County Generating Station is </w:t>
            </w:r>
            <w:r w:rsidR="00497B4C">
              <w:rPr>
                <w:rFonts w:ascii="Garamond" w:hAnsi="Garamond"/>
                <w:bCs/>
                <w:sz w:val="22"/>
                <w:szCs w:val="22"/>
              </w:rPr>
              <w:t xml:space="preserve">well </w:t>
            </w:r>
            <w:r>
              <w:rPr>
                <w:rFonts w:ascii="Garamond" w:hAnsi="Garamond"/>
                <w:bCs/>
                <w:sz w:val="22"/>
                <w:szCs w:val="22"/>
              </w:rPr>
              <w:t>beyond that stage</w:t>
            </w:r>
            <w:r w:rsidR="00082EB9">
              <w:rPr>
                <w:rFonts w:ascii="Garamond" w:hAnsi="Garamond"/>
                <w:bCs/>
                <w:sz w:val="22"/>
                <w:szCs w:val="22"/>
              </w:rPr>
              <w:t>,</w:t>
            </w:r>
            <w:r w:rsidR="00497B4C">
              <w:rPr>
                <w:rFonts w:ascii="Garamond" w:hAnsi="Garamond"/>
                <w:bCs/>
                <w:sz w:val="22"/>
                <w:szCs w:val="22"/>
              </w:rPr>
              <w:t xml:space="preserve"> as it has been approved for construction and operation since 20</w:t>
            </w:r>
            <w:r w:rsidR="00082EB9">
              <w:rPr>
                <w:rFonts w:ascii="Garamond" w:hAnsi="Garamond"/>
                <w:bCs/>
                <w:sz w:val="22"/>
                <w:szCs w:val="22"/>
              </w:rPr>
              <w:t>2</w:t>
            </w:r>
            <w:r w:rsidR="00497B4C">
              <w:rPr>
                <w:rFonts w:ascii="Garamond" w:hAnsi="Garamond"/>
                <w:bCs/>
                <w:sz w:val="22"/>
                <w:szCs w:val="22"/>
              </w:rPr>
              <w:t>1 according to the requirements contained in the MAQP</w:t>
            </w:r>
            <w:r>
              <w:rPr>
                <w:rFonts w:ascii="Garamond" w:hAnsi="Garamond"/>
                <w:bCs/>
                <w:sz w:val="22"/>
                <w:szCs w:val="22"/>
              </w:rPr>
              <w:t>.</w:t>
            </w:r>
            <w:r w:rsidR="009B513F">
              <w:rPr>
                <w:rFonts w:ascii="Garamond" w:hAnsi="Garamond"/>
                <w:bCs/>
                <w:sz w:val="22"/>
                <w:szCs w:val="22"/>
              </w:rPr>
              <w:t xml:space="preserve"> The Title V Operating Permit Program incorporates existing applicable requirements</w:t>
            </w:r>
            <w:r w:rsidR="00497B4C">
              <w:rPr>
                <w:rFonts w:ascii="Garamond" w:hAnsi="Garamond"/>
                <w:bCs/>
                <w:sz w:val="22"/>
                <w:szCs w:val="22"/>
              </w:rPr>
              <w:t>, such as those established by the MAQP</w:t>
            </w:r>
            <w:r w:rsidR="00082EB9">
              <w:rPr>
                <w:rFonts w:ascii="Garamond" w:hAnsi="Garamond"/>
                <w:bCs/>
                <w:sz w:val="22"/>
                <w:szCs w:val="22"/>
              </w:rPr>
              <w:t xml:space="preserve">. The Title V operating permit does not establish any </w:t>
            </w:r>
            <w:r w:rsidR="009B513F">
              <w:rPr>
                <w:rFonts w:ascii="Garamond" w:hAnsi="Garamond"/>
                <w:bCs/>
                <w:sz w:val="22"/>
                <w:szCs w:val="22"/>
              </w:rPr>
              <w:t xml:space="preserve">new applicable </w:t>
            </w:r>
            <w:r w:rsidR="00082EB9">
              <w:rPr>
                <w:rFonts w:ascii="Garamond" w:hAnsi="Garamond"/>
                <w:bCs/>
                <w:sz w:val="22"/>
                <w:szCs w:val="22"/>
              </w:rPr>
              <w:t>requirements</w:t>
            </w:r>
            <w:r w:rsidR="009B513F">
              <w:rPr>
                <w:rFonts w:ascii="Garamond" w:hAnsi="Garamond"/>
                <w:bCs/>
                <w:sz w:val="22"/>
                <w:szCs w:val="22"/>
              </w:rPr>
              <w:t>.</w:t>
            </w:r>
          </w:p>
        </w:tc>
      </w:tr>
      <w:tr w:rsidR="009D50B7" w:rsidRPr="00991091" w14:paraId="5A8AFD8D" w14:textId="77777777" w:rsidTr="009B513F">
        <w:tc>
          <w:tcPr>
            <w:tcW w:w="1980" w:type="dxa"/>
            <w:tcBorders>
              <w:left w:val="double" w:sz="4" w:space="0" w:color="auto"/>
            </w:tcBorders>
          </w:tcPr>
          <w:p w14:paraId="7C9E7937" w14:textId="165B370A" w:rsidR="009D50B7" w:rsidRPr="00BC628C" w:rsidRDefault="00B86B35" w:rsidP="007B651F">
            <w:pPr>
              <w:rPr>
                <w:rFonts w:ascii="Garamond" w:hAnsi="Garamond"/>
                <w:bCs/>
                <w:sz w:val="22"/>
                <w:szCs w:val="22"/>
              </w:rPr>
            </w:pPr>
            <w:r>
              <w:rPr>
                <w:rFonts w:ascii="Garamond" w:hAnsi="Garamond"/>
                <w:bCs/>
                <w:sz w:val="22"/>
                <w:szCs w:val="22"/>
              </w:rPr>
              <w:t>Our Children’s Trust</w:t>
            </w:r>
          </w:p>
        </w:tc>
        <w:tc>
          <w:tcPr>
            <w:tcW w:w="3510" w:type="dxa"/>
          </w:tcPr>
          <w:p w14:paraId="7BD8C0EE" w14:textId="77777777" w:rsidR="00B86B35" w:rsidRPr="00B86B35" w:rsidRDefault="00B86B35" w:rsidP="00B86B35">
            <w:pPr>
              <w:rPr>
                <w:rFonts w:ascii="Garamond" w:hAnsi="Garamond"/>
                <w:bCs/>
                <w:sz w:val="22"/>
                <w:szCs w:val="22"/>
              </w:rPr>
            </w:pPr>
            <w:r w:rsidRPr="00B86B35">
              <w:rPr>
                <w:rFonts w:ascii="Garamond" w:hAnsi="Garamond"/>
                <w:bCs/>
                <w:sz w:val="22"/>
                <w:szCs w:val="22"/>
              </w:rPr>
              <w:t>The Supplemental Draft EA Fails to Present Evidence of a Compelling</w:t>
            </w:r>
          </w:p>
          <w:p w14:paraId="69FD1DCD" w14:textId="77777777" w:rsidR="00136935" w:rsidRPr="00136935" w:rsidRDefault="00B86B35" w:rsidP="00136935">
            <w:pPr>
              <w:rPr>
                <w:rFonts w:ascii="Garamond" w:hAnsi="Garamond"/>
                <w:bCs/>
                <w:sz w:val="22"/>
                <w:szCs w:val="22"/>
              </w:rPr>
            </w:pPr>
            <w:r w:rsidRPr="00B86B35">
              <w:rPr>
                <w:rFonts w:ascii="Garamond" w:hAnsi="Garamond"/>
                <w:bCs/>
                <w:sz w:val="22"/>
                <w:szCs w:val="22"/>
              </w:rPr>
              <w:t>Government Need for the Laurel Generating Station</w:t>
            </w:r>
            <w:r w:rsidR="00136935">
              <w:rPr>
                <w:rFonts w:ascii="Garamond" w:hAnsi="Garamond"/>
                <w:bCs/>
                <w:sz w:val="22"/>
                <w:szCs w:val="22"/>
              </w:rPr>
              <w:t xml:space="preserve"> </w:t>
            </w:r>
            <w:proofErr w:type="gramStart"/>
            <w:r w:rsidR="00136935" w:rsidRPr="00136935">
              <w:rPr>
                <w:rFonts w:ascii="Garamond" w:hAnsi="Garamond"/>
                <w:bCs/>
                <w:sz w:val="22"/>
                <w:szCs w:val="22"/>
              </w:rPr>
              <w:t>The</w:t>
            </w:r>
            <w:proofErr w:type="gramEnd"/>
            <w:r w:rsidR="00136935" w:rsidRPr="00136935">
              <w:rPr>
                <w:rFonts w:ascii="Garamond" w:hAnsi="Garamond"/>
                <w:bCs/>
                <w:sz w:val="22"/>
                <w:szCs w:val="22"/>
              </w:rPr>
              <w:t xml:space="preserve"> Held rulings made clear that Plaintiffs’ fundamental constitutional rights are being violated due to the current atmospheric concentration of GHGs and the resulting climate </w:t>
            </w:r>
            <w:proofErr w:type="gramStart"/>
            <w:r w:rsidR="00136935" w:rsidRPr="00136935">
              <w:rPr>
                <w:rFonts w:ascii="Garamond" w:hAnsi="Garamond"/>
                <w:bCs/>
                <w:sz w:val="22"/>
                <w:szCs w:val="22"/>
              </w:rPr>
              <w:t>harms</w:t>
            </w:r>
            <w:proofErr w:type="gramEnd"/>
            <w:r w:rsidR="00136935" w:rsidRPr="00136935">
              <w:rPr>
                <w:rFonts w:ascii="Garamond" w:hAnsi="Garamond"/>
                <w:bCs/>
                <w:sz w:val="22"/>
                <w:szCs w:val="22"/>
              </w:rPr>
              <w:t xml:space="preserve">. Therefore, it is incumbent upon DEQ before issuing permits that will result in </w:t>
            </w:r>
            <w:r w:rsidR="00136935" w:rsidRPr="00136935">
              <w:rPr>
                <w:rFonts w:ascii="Garamond" w:hAnsi="Garamond"/>
                <w:bCs/>
                <w:sz w:val="22"/>
                <w:szCs w:val="22"/>
              </w:rPr>
              <w:lastRenderedPageBreak/>
              <w:t>additional GHG emissions, to establish that the project will not further violate Plaintiffs’ constitutional rights and will lead to the reduction in GHG emissions necessary to restore a clean and healthful environment. For projects that will increase Montana’s GHG emissions, such as the Laurel Generating Station, the DEQ must: first, demonstrate a compelling government need for the project, and second, prove the project is the least burdensome means of meeting the demonstrated government need. Only then can a project that increases Montana’s GHG emissions be approved and deemed constitutionally compliant. This is true regardless of whether the permit complies with the federal Clean Air Act, which does not satisfy DEQ’s obligations under Montana’s Constitution. MEIC 2025, ¶ 60.</w:t>
            </w:r>
          </w:p>
          <w:p w14:paraId="669D1D3A" w14:textId="2E6D1E29" w:rsidR="009D50B7" w:rsidRPr="00BC628C" w:rsidRDefault="00136935" w:rsidP="00136935">
            <w:pPr>
              <w:rPr>
                <w:rFonts w:ascii="Garamond" w:hAnsi="Garamond"/>
                <w:bCs/>
                <w:sz w:val="22"/>
                <w:szCs w:val="22"/>
              </w:rPr>
            </w:pPr>
            <w:r w:rsidRPr="00136935">
              <w:rPr>
                <w:rFonts w:ascii="Garamond" w:hAnsi="Garamond"/>
                <w:bCs/>
                <w:sz w:val="22"/>
                <w:szCs w:val="22"/>
              </w:rPr>
              <w:t>Here, DEQ has failed to present evidence of any need for the Laurel Generating Station. In addition to not demonstrating any need for the Laurel Generating Station, DEQ has not demonstrated that a gas-fired power plant is the least burdensome means of meeting any purported energy needs. This is especially true considering that renewable energy is cheaper, safer, reliable, readily available, and will not exacerbate extreme climate events in Montana. The Draft Operating Permit fails to consider alternative means, such as renewable energy, to meet Montanans’ current and future energy needs.</w:t>
            </w:r>
          </w:p>
        </w:tc>
        <w:tc>
          <w:tcPr>
            <w:tcW w:w="3240" w:type="dxa"/>
            <w:tcBorders>
              <w:right w:val="double" w:sz="4" w:space="0" w:color="auto"/>
            </w:tcBorders>
          </w:tcPr>
          <w:p w14:paraId="0B6C1A7E" w14:textId="72523514" w:rsidR="009D50B7" w:rsidRDefault="009B513F" w:rsidP="007B651F">
            <w:pPr>
              <w:rPr>
                <w:rFonts w:ascii="Garamond" w:hAnsi="Garamond"/>
                <w:bCs/>
                <w:sz w:val="22"/>
                <w:szCs w:val="22"/>
              </w:rPr>
            </w:pPr>
            <w:r>
              <w:rPr>
                <w:rFonts w:ascii="Garamond" w:hAnsi="Garamond"/>
                <w:bCs/>
                <w:sz w:val="22"/>
                <w:szCs w:val="22"/>
              </w:rPr>
              <w:lastRenderedPageBreak/>
              <w:t xml:space="preserve">DEQ does not have authority to review the economic or energy needs of a particular project.  Rather DEQ reviews projects under the authorities </w:t>
            </w:r>
            <w:r w:rsidR="00CB23A4">
              <w:rPr>
                <w:rFonts w:ascii="Garamond" w:hAnsi="Garamond"/>
                <w:bCs/>
                <w:sz w:val="22"/>
                <w:szCs w:val="22"/>
              </w:rPr>
              <w:t xml:space="preserve">it </w:t>
            </w:r>
            <w:r>
              <w:rPr>
                <w:rFonts w:ascii="Garamond" w:hAnsi="Garamond"/>
                <w:bCs/>
                <w:sz w:val="22"/>
                <w:szCs w:val="22"/>
              </w:rPr>
              <w:t>is granted by the Legislature thru the Clean Air Act of Monta</w:t>
            </w:r>
            <w:r w:rsidR="000854B9">
              <w:rPr>
                <w:rFonts w:ascii="Garamond" w:hAnsi="Garamond"/>
                <w:bCs/>
                <w:sz w:val="22"/>
                <w:szCs w:val="22"/>
              </w:rPr>
              <w:t xml:space="preserve">na, and the </w:t>
            </w:r>
            <w:r w:rsidR="00082EB9">
              <w:rPr>
                <w:rFonts w:ascii="Garamond" w:hAnsi="Garamond"/>
                <w:bCs/>
                <w:sz w:val="22"/>
                <w:szCs w:val="22"/>
              </w:rPr>
              <w:t>EPA</w:t>
            </w:r>
            <w:r w:rsidR="000854B9">
              <w:rPr>
                <w:rFonts w:ascii="Garamond" w:hAnsi="Garamond"/>
                <w:bCs/>
                <w:sz w:val="22"/>
                <w:szCs w:val="22"/>
              </w:rPr>
              <w:t xml:space="preserve">-approved Title V </w:t>
            </w:r>
            <w:r w:rsidR="00082EB9">
              <w:rPr>
                <w:rFonts w:ascii="Garamond" w:hAnsi="Garamond"/>
                <w:bCs/>
                <w:sz w:val="22"/>
                <w:szCs w:val="22"/>
              </w:rPr>
              <w:t xml:space="preserve">Operating Permit </w:t>
            </w:r>
            <w:r w:rsidR="000854B9">
              <w:rPr>
                <w:rFonts w:ascii="Garamond" w:hAnsi="Garamond"/>
                <w:bCs/>
                <w:sz w:val="22"/>
                <w:szCs w:val="22"/>
              </w:rPr>
              <w:t xml:space="preserve">Program. There are no provisions </w:t>
            </w:r>
            <w:r w:rsidR="00082EB9">
              <w:rPr>
                <w:rFonts w:ascii="Garamond" w:hAnsi="Garamond"/>
                <w:bCs/>
                <w:sz w:val="22"/>
                <w:szCs w:val="22"/>
              </w:rPr>
              <w:t xml:space="preserve">to adopt new applicable requirements that might be related </w:t>
            </w:r>
            <w:r w:rsidR="00082EB9">
              <w:rPr>
                <w:rFonts w:ascii="Garamond" w:hAnsi="Garamond"/>
                <w:bCs/>
                <w:sz w:val="22"/>
                <w:szCs w:val="22"/>
              </w:rPr>
              <w:lastRenderedPageBreak/>
              <w:t>to the Montana Constitution with</w:t>
            </w:r>
            <w:r w:rsidR="000854B9">
              <w:rPr>
                <w:rFonts w:ascii="Garamond" w:hAnsi="Garamond"/>
                <w:bCs/>
                <w:sz w:val="22"/>
                <w:szCs w:val="22"/>
              </w:rPr>
              <w:t>in Montana</w:t>
            </w:r>
            <w:r w:rsidR="00082EB9">
              <w:rPr>
                <w:rFonts w:ascii="Garamond" w:hAnsi="Garamond"/>
                <w:bCs/>
                <w:sz w:val="22"/>
                <w:szCs w:val="22"/>
              </w:rPr>
              <w:t>’s EPA-approved</w:t>
            </w:r>
            <w:r w:rsidR="000854B9">
              <w:rPr>
                <w:rFonts w:ascii="Garamond" w:hAnsi="Garamond"/>
                <w:bCs/>
                <w:sz w:val="22"/>
                <w:szCs w:val="22"/>
              </w:rPr>
              <w:t xml:space="preserve"> Title V program. </w:t>
            </w:r>
          </w:p>
          <w:p w14:paraId="53A5E993" w14:textId="77777777" w:rsidR="00924567" w:rsidRDefault="00924567" w:rsidP="007B651F">
            <w:pPr>
              <w:rPr>
                <w:rFonts w:ascii="Garamond" w:hAnsi="Garamond"/>
                <w:bCs/>
                <w:sz w:val="22"/>
                <w:szCs w:val="22"/>
              </w:rPr>
            </w:pPr>
          </w:p>
          <w:p w14:paraId="347729CA" w14:textId="025002E9" w:rsidR="00924567" w:rsidRPr="002755A9" w:rsidRDefault="00924567" w:rsidP="00924567">
            <w:pPr>
              <w:rPr>
                <w:rFonts w:ascii="Garamond" w:hAnsi="Garamond"/>
                <w:bCs/>
                <w:sz w:val="22"/>
                <w:szCs w:val="22"/>
              </w:rPr>
            </w:pPr>
            <w:r w:rsidRPr="00924567">
              <w:rPr>
                <w:rFonts w:ascii="Garamond" w:hAnsi="Garamond"/>
                <w:bCs/>
                <w:sz w:val="22"/>
                <w:szCs w:val="22"/>
              </w:rPr>
              <w:t xml:space="preserve">The strict scrutiny framework discussed in Held </w:t>
            </w:r>
            <w:r w:rsidR="00082EB9">
              <w:rPr>
                <w:rFonts w:ascii="Garamond" w:hAnsi="Garamond"/>
                <w:bCs/>
                <w:sz w:val="22"/>
                <w:szCs w:val="22"/>
              </w:rPr>
              <w:t xml:space="preserve">v. Montana </w:t>
            </w:r>
            <w:r w:rsidRPr="00924567">
              <w:rPr>
                <w:rFonts w:ascii="Garamond" w:hAnsi="Garamond"/>
                <w:bCs/>
                <w:sz w:val="22"/>
                <w:szCs w:val="22"/>
              </w:rPr>
              <w:t xml:space="preserve">applies to legislative prohibitions on procedural environmental review, not to ministerial issuance of operating permits documenting existing requirements for lawfully operating facilities. DEQ does not have the ability to nullify statutory requirements set forth under substantive laws like the federal Clean Air Act. Merlin Myers Revocable Trust v. Yellowstone County, 2002 MT 201, ¶ 22. Moreover, Montana's Title V program operates under EPA delegation pursuant to 42 U.S.C. § 7661a and must comply with </w:t>
            </w:r>
            <w:proofErr w:type="gramStart"/>
            <w:r w:rsidRPr="00924567">
              <w:rPr>
                <w:rFonts w:ascii="Garamond" w:hAnsi="Garamond"/>
                <w:bCs/>
                <w:sz w:val="22"/>
                <w:szCs w:val="22"/>
              </w:rPr>
              <w:t>federally-approved</w:t>
            </w:r>
            <w:proofErr w:type="gramEnd"/>
            <w:r w:rsidRPr="00924567">
              <w:rPr>
                <w:rFonts w:ascii="Garamond" w:hAnsi="Garamond"/>
                <w:bCs/>
                <w:sz w:val="22"/>
                <w:szCs w:val="22"/>
              </w:rPr>
              <w:t xml:space="preserve"> State Implementation Plan requirements, which are subject to the Supremacy Clause.</w:t>
            </w:r>
          </w:p>
        </w:tc>
      </w:tr>
      <w:tr w:rsidR="009D50B7" w:rsidRPr="00991091" w14:paraId="55FE4F34" w14:textId="77777777" w:rsidTr="009B513F">
        <w:tc>
          <w:tcPr>
            <w:tcW w:w="1980" w:type="dxa"/>
            <w:tcBorders>
              <w:left w:val="double" w:sz="4" w:space="0" w:color="auto"/>
            </w:tcBorders>
          </w:tcPr>
          <w:p w14:paraId="283AD078" w14:textId="4787123A" w:rsidR="009D50B7" w:rsidRPr="00BC628C" w:rsidRDefault="00B86B35" w:rsidP="007B651F">
            <w:pPr>
              <w:rPr>
                <w:rFonts w:ascii="Garamond" w:hAnsi="Garamond"/>
                <w:bCs/>
                <w:sz w:val="22"/>
                <w:szCs w:val="22"/>
              </w:rPr>
            </w:pPr>
            <w:r>
              <w:rPr>
                <w:rFonts w:ascii="Garamond" w:hAnsi="Garamond"/>
                <w:bCs/>
                <w:sz w:val="22"/>
                <w:szCs w:val="22"/>
              </w:rPr>
              <w:lastRenderedPageBreak/>
              <w:t>Our Children’s Trust</w:t>
            </w:r>
          </w:p>
        </w:tc>
        <w:tc>
          <w:tcPr>
            <w:tcW w:w="3510" w:type="dxa"/>
          </w:tcPr>
          <w:p w14:paraId="735C56F8" w14:textId="441AB97B" w:rsidR="009D50B7" w:rsidRPr="00BC628C" w:rsidRDefault="00B86B35" w:rsidP="00B86B35">
            <w:pPr>
              <w:rPr>
                <w:rFonts w:ascii="Garamond" w:hAnsi="Garamond"/>
                <w:bCs/>
                <w:sz w:val="22"/>
                <w:szCs w:val="22"/>
              </w:rPr>
            </w:pPr>
            <w:r w:rsidRPr="00B86B35">
              <w:rPr>
                <w:rFonts w:ascii="Garamond" w:hAnsi="Garamond"/>
                <w:bCs/>
                <w:sz w:val="22"/>
                <w:szCs w:val="22"/>
              </w:rPr>
              <w:t>Conclusion</w:t>
            </w:r>
            <w:r>
              <w:rPr>
                <w:rFonts w:ascii="Garamond" w:hAnsi="Garamond"/>
                <w:bCs/>
                <w:sz w:val="22"/>
                <w:szCs w:val="22"/>
              </w:rPr>
              <w:t xml:space="preserve">: </w:t>
            </w:r>
            <w:r w:rsidRPr="00B86B35">
              <w:rPr>
                <w:rFonts w:ascii="Garamond" w:hAnsi="Garamond"/>
                <w:bCs/>
                <w:sz w:val="22"/>
                <w:szCs w:val="22"/>
              </w:rPr>
              <w:t xml:space="preserve">For the reasons outlined herein, DEQ must substantially revise its Draft Operating Permit to comply with its independent state obligations to maintain and improve a clean and healthful environment for present and future generations of Montanans, as well as the District Court and Supreme Court Orders in Held v. State of Montana. In the meantime, DEQ should deny the Draft Operating Permit #OP5261-00 for </w:t>
            </w:r>
            <w:proofErr w:type="spellStart"/>
            <w:r w:rsidRPr="00B86B35">
              <w:rPr>
                <w:rFonts w:ascii="Garamond" w:hAnsi="Garamond"/>
                <w:bCs/>
                <w:sz w:val="22"/>
                <w:szCs w:val="22"/>
              </w:rPr>
              <w:lastRenderedPageBreak/>
              <w:t>NorthWestern</w:t>
            </w:r>
            <w:proofErr w:type="spellEnd"/>
            <w:r w:rsidRPr="00B86B35">
              <w:rPr>
                <w:rFonts w:ascii="Garamond" w:hAnsi="Garamond"/>
                <w:bCs/>
                <w:sz w:val="22"/>
                <w:szCs w:val="22"/>
              </w:rPr>
              <w:t xml:space="preserve"> Energy’s Laurel Generating Station.</w:t>
            </w:r>
          </w:p>
        </w:tc>
        <w:tc>
          <w:tcPr>
            <w:tcW w:w="3240" w:type="dxa"/>
            <w:tcBorders>
              <w:right w:val="double" w:sz="4" w:space="0" w:color="auto"/>
            </w:tcBorders>
          </w:tcPr>
          <w:p w14:paraId="38815DF5" w14:textId="3A6B5929" w:rsidR="009D50B7" w:rsidRPr="002755A9" w:rsidRDefault="00A759BD" w:rsidP="007B651F">
            <w:pPr>
              <w:rPr>
                <w:rFonts w:ascii="Garamond" w:hAnsi="Garamond"/>
                <w:bCs/>
                <w:sz w:val="22"/>
                <w:szCs w:val="22"/>
              </w:rPr>
            </w:pPr>
            <w:r>
              <w:rPr>
                <w:rFonts w:ascii="Garamond" w:hAnsi="Garamond"/>
                <w:bCs/>
                <w:sz w:val="22"/>
                <w:szCs w:val="22"/>
              </w:rPr>
              <w:lastRenderedPageBreak/>
              <w:t xml:space="preserve">DEQ incorporates all applicable requirements, </w:t>
            </w:r>
            <w:r w:rsidR="00082EB9">
              <w:rPr>
                <w:rFonts w:ascii="Garamond" w:hAnsi="Garamond"/>
                <w:bCs/>
                <w:sz w:val="22"/>
                <w:szCs w:val="22"/>
              </w:rPr>
              <w:t>typically established by the MAQP</w:t>
            </w:r>
            <w:r>
              <w:rPr>
                <w:rFonts w:ascii="Garamond" w:hAnsi="Garamond"/>
                <w:bCs/>
                <w:sz w:val="22"/>
                <w:szCs w:val="22"/>
              </w:rPr>
              <w:t>.  In this case</w:t>
            </w:r>
            <w:r w:rsidR="00082EB9">
              <w:rPr>
                <w:rFonts w:ascii="Garamond" w:hAnsi="Garamond"/>
                <w:bCs/>
                <w:sz w:val="22"/>
                <w:szCs w:val="22"/>
              </w:rPr>
              <w:t>,</w:t>
            </w:r>
            <w:r>
              <w:rPr>
                <w:rFonts w:ascii="Garamond" w:hAnsi="Garamond"/>
                <w:bCs/>
                <w:sz w:val="22"/>
                <w:szCs w:val="22"/>
              </w:rPr>
              <w:t xml:space="preserve"> existing MAQP #526</w:t>
            </w:r>
            <w:r w:rsidR="003C623B">
              <w:rPr>
                <w:rFonts w:ascii="Garamond" w:hAnsi="Garamond"/>
                <w:bCs/>
                <w:sz w:val="22"/>
                <w:szCs w:val="22"/>
              </w:rPr>
              <w:t>1</w:t>
            </w:r>
            <w:r>
              <w:rPr>
                <w:rFonts w:ascii="Garamond" w:hAnsi="Garamond"/>
                <w:bCs/>
                <w:sz w:val="22"/>
                <w:szCs w:val="22"/>
              </w:rPr>
              <w:t>-00.</w:t>
            </w:r>
            <w:r w:rsidR="003C623B">
              <w:rPr>
                <w:rFonts w:ascii="Garamond" w:hAnsi="Garamond"/>
                <w:bCs/>
                <w:sz w:val="22"/>
                <w:szCs w:val="22"/>
              </w:rPr>
              <w:t xml:space="preserve"> </w:t>
            </w:r>
            <w:r w:rsidR="00082EB9">
              <w:rPr>
                <w:rFonts w:ascii="Garamond" w:hAnsi="Garamond"/>
                <w:bCs/>
                <w:sz w:val="22"/>
                <w:szCs w:val="22"/>
              </w:rPr>
              <w:t>All</w:t>
            </w:r>
            <w:r w:rsidR="003C623B">
              <w:rPr>
                <w:rFonts w:ascii="Garamond" w:hAnsi="Garamond"/>
                <w:bCs/>
                <w:sz w:val="22"/>
                <w:szCs w:val="22"/>
              </w:rPr>
              <w:t xml:space="preserve"> the </w:t>
            </w:r>
            <w:r w:rsidR="00082EB9">
              <w:rPr>
                <w:rFonts w:ascii="Garamond" w:hAnsi="Garamond"/>
                <w:bCs/>
                <w:sz w:val="22"/>
                <w:szCs w:val="22"/>
              </w:rPr>
              <w:t>established,</w:t>
            </w:r>
            <w:r w:rsidR="003C623B">
              <w:rPr>
                <w:rFonts w:ascii="Garamond" w:hAnsi="Garamond"/>
                <w:bCs/>
                <w:sz w:val="22"/>
                <w:szCs w:val="22"/>
              </w:rPr>
              <w:t xml:space="preserve"> applicable requirements </w:t>
            </w:r>
            <w:r w:rsidR="00082EB9">
              <w:rPr>
                <w:rFonts w:ascii="Garamond" w:hAnsi="Garamond"/>
                <w:bCs/>
                <w:sz w:val="22"/>
                <w:szCs w:val="22"/>
              </w:rPr>
              <w:t xml:space="preserve">contained in MAQP #5261-00 </w:t>
            </w:r>
            <w:r w:rsidR="003C623B">
              <w:rPr>
                <w:rFonts w:ascii="Garamond" w:hAnsi="Garamond"/>
                <w:bCs/>
                <w:sz w:val="22"/>
                <w:szCs w:val="22"/>
              </w:rPr>
              <w:t xml:space="preserve">have been </w:t>
            </w:r>
            <w:r w:rsidR="00082EB9">
              <w:rPr>
                <w:rFonts w:ascii="Garamond" w:hAnsi="Garamond"/>
                <w:bCs/>
                <w:sz w:val="22"/>
                <w:szCs w:val="22"/>
              </w:rPr>
              <w:t>included</w:t>
            </w:r>
            <w:r w:rsidR="003C623B">
              <w:rPr>
                <w:rFonts w:ascii="Garamond" w:hAnsi="Garamond"/>
                <w:bCs/>
                <w:sz w:val="22"/>
                <w:szCs w:val="22"/>
              </w:rPr>
              <w:t xml:space="preserve"> within the Draft </w:t>
            </w:r>
            <w:r w:rsidR="00B418FE">
              <w:rPr>
                <w:rFonts w:ascii="Garamond" w:hAnsi="Garamond"/>
                <w:bCs/>
                <w:sz w:val="22"/>
                <w:szCs w:val="22"/>
              </w:rPr>
              <w:t>Title V Permit</w:t>
            </w:r>
            <w:r w:rsidR="00082EB9">
              <w:rPr>
                <w:rFonts w:ascii="Garamond" w:hAnsi="Garamond"/>
                <w:bCs/>
                <w:sz w:val="22"/>
                <w:szCs w:val="22"/>
              </w:rPr>
              <w:t xml:space="preserve"> #OP5261-00</w:t>
            </w:r>
            <w:r w:rsidR="00B418FE">
              <w:rPr>
                <w:rFonts w:ascii="Garamond" w:hAnsi="Garamond"/>
                <w:bCs/>
                <w:sz w:val="22"/>
                <w:szCs w:val="22"/>
              </w:rPr>
              <w:t xml:space="preserve">.  Any deficiencies identified </w:t>
            </w:r>
            <w:r w:rsidR="00082EB9">
              <w:rPr>
                <w:rFonts w:ascii="Garamond" w:hAnsi="Garamond"/>
                <w:bCs/>
                <w:sz w:val="22"/>
                <w:szCs w:val="22"/>
              </w:rPr>
              <w:t xml:space="preserve">through issuance and processing of the draft operating permit </w:t>
            </w:r>
            <w:r w:rsidR="00B418FE">
              <w:rPr>
                <w:rFonts w:ascii="Garamond" w:hAnsi="Garamond"/>
                <w:bCs/>
                <w:sz w:val="22"/>
                <w:szCs w:val="22"/>
              </w:rPr>
              <w:t xml:space="preserve">will be addressed prior to </w:t>
            </w:r>
            <w:r w:rsidR="00B418FE">
              <w:rPr>
                <w:rFonts w:ascii="Garamond" w:hAnsi="Garamond"/>
                <w:bCs/>
                <w:sz w:val="22"/>
                <w:szCs w:val="22"/>
              </w:rPr>
              <w:lastRenderedPageBreak/>
              <w:t xml:space="preserve">issuance of the Proposed version of the Title </w:t>
            </w:r>
            <w:r w:rsidR="00CB23A4">
              <w:rPr>
                <w:rFonts w:ascii="Garamond" w:hAnsi="Garamond"/>
                <w:bCs/>
                <w:sz w:val="22"/>
                <w:szCs w:val="22"/>
              </w:rPr>
              <w:t>V</w:t>
            </w:r>
            <w:r w:rsidR="00B418FE">
              <w:rPr>
                <w:rFonts w:ascii="Garamond" w:hAnsi="Garamond"/>
                <w:bCs/>
                <w:sz w:val="22"/>
                <w:szCs w:val="22"/>
              </w:rPr>
              <w:t xml:space="preserve"> </w:t>
            </w:r>
            <w:r w:rsidR="00082EB9">
              <w:rPr>
                <w:rFonts w:ascii="Garamond" w:hAnsi="Garamond"/>
                <w:bCs/>
                <w:sz w:val="22"/>
                <w:szCs w:val="22"/>
              </w:rPr>
              <w:t xml:space="preserve">Operating </w:t>
            </w:r>
            <w:r w:rsidR="00B418FE">
              <w:rPr>
                <w:rFonts w:ascii="Garamond" w:hAnsi="Garamond"/>
                <w:bCs/>
                <w:sz w:val="22"/>
                <w:szCs w:val="22"/>
              </w:rPr>
              <w:t xml:space="preserve">Permit.  The Proposed version </w:t>
            </w:r>
            <w:r w:rsidR="00082EB9">
              <w:rPr>
                <w:rFonts w:ascii="Garamond" w:hAnsi="Garamond"/>
                <w:bCs/>
                <w:sz w:val="22"/>
                <w:szCs w:val="22"/>
              </w:rPr>
              <w:t>of the operating permit will be</w:t>
            </w:r>
            <w:r w:rsidR="00B418FE">
              <w:rPr>
                <w:rFonts w:ascii="Garamond" w:hAnsi="Garamond"/>
                <w:bCs/>
                <w:sz w:val="22"/>
                <w:szCs w:val="22"/>
              </w:rPr>
              <w:t xml:space="preserve"> subject to a 45-day review by EPA.  After which, DEQ will issue a Decision </w:t>
            </w:r>
            <w:r w:rsidR="00082EB9">
              <w:rPr>
                <w:rFonts w:ascii="Garamond" w:hAnsi="Garamond"/>
                <w:bCs/>
                <w:sz w:val="22"/>
                <w:szCs w:val="22"/>
              </w:rPr>
              <w:t>on</w:t>
            </w:r>
            <w:r w:rsidR="00B418FE">
              <w:rPr>
                <w:rFonts w:ascii="Garamond" w:hAnsi="Garamond"/>
                <w:bCs/>
                <w:sz w:val="22"/>
                <w:szCs w:val="22"/>
              </w:rPr>
              <w:t xml:space="preserve"> the Title V </w:t>
            </w:r>
            <w:r w:rsidR="00082EB9">
              <w:rPr>
                <w:rFonts w:ascii="Garamond" w:hAnsi="Garamond"/>
                <w:bCs/>
                <w:sz w:val="22"/>
                <w:szCs w:val="22"/>
              </w:rPr>
              <w:t xml:space="preserve">Operating </w:t>
            </w:r>
            <w:r w:rsidR="00B418FE">
              <w:rPr>
                <w:rFonts w:ascii="Garamond" w:hAnsi="Garamond"/>
                <w:bCs/>
                <w:sz w:val="22"/>
                <w:szCs w:val="22"/>
              </w:rPr>
              <w:t>Permit and the permit will become final after 30 days</w:t>
            </w:r>
            <w:r w:rsidR="00082EB9">
              <w:rPr>
                <w:rFonts w:ascii="Garamond" w:hAnsi="Garamond"/>
                <w:bCs/>
                <w:sz w:val="22"/>
                <w:szCs w:val="22"/>
              </w:rPr>
              <w:t>, pending appeal</w:t>
            </w:r>
            <w:r w:rsidR="00B418FE">
              <w:rPr>
                <w:rFonts w:ascii="Garamond" w:hAnsi="Garamond"/>
                <w:bCs/>
                <w:sz w:val="22"/>
                <w:szCs w:val="22"/>
              </w:rPr>
              <w:t>.</w:t>
            </w:r>
          </w:p>
        </w:tc>
      </w:tr>
    </w:tbl>
    <w:p w14:paraId="714E8C93" w14:textId="77777777" w:rsidR="008F2F38" w:rsidRPr="00991091" w:rsidRDefault="008F2F38" w:rsidP="008F2F38">
      <w:pPr>
        <w:ind w:left="360"/>
        <w:rPr>
          <w:rFonts w:ascii="Garamond" w:hAnsi="Garamond"/>
          <w:b/>
          <w:sz w:val="24"/>
          <w:szCs w:val="24"/>
        </w:rPr>
      </w:pPr>
    </w:p>
    <w:p w14:paraId="227EBD6D" w14:textId="77777777" w:rsidR="002F5D7E" w:rsidRPr="00991091" w:rsidRDefault="002F5D7E">
      <w:pPr>
        <w:pStyle w:val="Heading3"/>
        <w:jc w:val="center"/>
        <w:rPr>
          <w:rFonts w:ascii="Garamond" w:hAnsi="Garamond"/>
          <w:sz w:val="24"/>
          <w:szCs w:val="24"/>
        </w:rPr>
      </w:pPr>
      <w:r w:rsidRPr="00991091">
        <w:rPr>
          <w:rFonts w:ascii="Garamond" w:hAnsi="Garamond"/>
          <w:sz w:val="24"/>
          <w:szCs w:val="24"/>
        </w:rPr>
        <w:t>Summary of Permittee Comments</w:t>
      </w:r>
    </w:p>
    <w:p w14:paraId="7335B9B7" w14:textId="77777777" w:rsidR="002F5D7E" w:rsidRPr="00991091" w:rsidRDefault="002F5D7E">
      <w:pPr>
        <w:rPr>
          <w:rFonts w:ascii="Garamond" w:hAnsi="Garamond"/>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330"/>
      </w:tblGrid>
      <w:tr w:rsidR="002F5D7E" w:rsidRPr="00F82CFD" w14:paraId="01C904B9" w14:textId="77777777">
        <w:tc>
          <w:tcPr>
            <w:tcW w:w="1980" w:type="dxa"/>
            <w:tcBorders>
              <w:top w:val="double" w:sz="4" w:space="0" w:color="auto"/>
              <w:left w:val="double" w:sz="4" w:space="0" w:color="auto"/>
            </w:tcBorders>
          </w:tcPr>
          <w:p w14:paraId="6F228761" w14:textId="77777777" w:rsidR="002F5D7E" w:rsidRPr="00991091" w:rsidRDefault="002F5D7E">
            <w:pPr>
              <w:jc w:val="center"/>
              <w:rPr>
                <w:rFonts w:ascii="Garamond" w:hAnsi="Garamond"/>
                <w:sz w:val="22"/>
                <w:szCs w:val="22"/>
              </w:rPr>
            </w:pPr>
            <w:r w:rsidRPr="00991091">
              <w:rPr>
                <w:rFonts w:ascii="Garamond" w:hAnsi="Garamond"/>
                <w:sz w:val="22"/>
                <w:szCs w:val="22"/>
              </w:rPr>
              <w:t>Permit Reference</w:t>
            </w:r>
          </w:p>
        </w:tc>
        <w:tc>
          <w:tcPr>
            <w:tcW w:w="3420" w:type="dxa"/>
            <w:tcBorders>
              <w:top w:val="double" w:sz="4" w:space="0" w:color="auto"/>
            </w:tcBorders>
          </w:tcPr>
          <w:p w14:paraId="1AB095A4" w14:textId="77777777" w:rsidR="002F5D7E" w:rsidRPr="00991091" w:rsidRDefault="002F5D7E">
            <w:pPr>
              <w:jc w:val="center"/>
              <w:rPr>
                <w:rFonts w:ascii="Garamond" w:hAnsi="Garamond"/>
                <w:sz w:val="22"/>
                <w:szCs w:val="22"/>
              </w:rPr>
            </w:pPr>
            <w:r w:rsidRPr="00991091">
              <w:rPr>
                <w:rFonts w:ascii="Garamond" w:hAnsi="Garamond"/>
                <w:sz w:val="22"/>
                <w:szCs w:val="22"/>
              </w:rPr>
              <w:t>Permittee Comment</w:t>
            </w:r>
          </w:p>
        </w:tc>
        <w:tc>
          <w:tcPr>
            <w:tcW w:w="3330" w:type="dxa"/>
            <w:tcBorders>
              <w:top w:val="double" w:sz="4" w:space="0" w:color="auto"/>
              <w:right w:val="double" w:sz="4" w:space="0" w:color="auto"/>
            </w:tcBorders>
          </w:tcPr>
          <w:p w14:paraId="036982BB" w14:textId="0F011C00" w:rsidR="002F5D7E" w:rsidRPr="00F82CFD" w:rsidRDefault="00543213">
            <w:pPr>
              <w:jc w:val="center"/>
              <w:rPr>
                <w:rFonts w:ascii="Garamond" w:hAnsi="Garamond"/>
                <w:sz w:val="22"/>
                <w:szCs w:val="22"/>
              </w:rPr>
            </w:pPr>
            <w:r w:rsidRPr="00991091">
              <w:rPr>
                <w:rFonts w:ascii="Garamond" w:hAnsi="Garamond"/>
                <w:sz w:val="22"/>
                <w:szCs w:val="22"/>
              </w:rPr>
              <w:t>DEQ</w:t>
            </w:r>
            <w:r w:rsidR="002F5D7E" w:rsidRPr="00991091">
              <w:rPr>
                <w:rFonts w:ascii="Garamond" w:hAnsi="Garamond"/>
                <w:sz w:val="22"/>
                <w:szCs w:val="22"/>
              </w:rPr>
              <w:t xml:space="preserve"> Response</w:t>
            </w:r>
          </w:p>
        </w:tc>
      </w:tr>
      <w:tr w:rsidR="002F5D7E" w:rsidRPr="00F82CFD" w14:paraId="678714F4" w14:textId="77777777">
        <w:tc>
          <w:tcPr>
            <w:tcW w:w="1980" w:type="dxa"/>
            <w:tcBorders>
              <w:left w:val="double" w:sz="4" w:space="0" w:color="auto"/>
              <w:bottom w:val="double" w:sz="4" w:space="0" w:color="auto"/>
            </w:tcBorders>
          </w:tcPr>
          <w:p w14:paraId="17C6D6F2" w14:textId="4EBFE7FB" w:rsidR="002F5D7E" w:rsidRPr="00F82CFD" w:rsidRDefault="008502A7">
            <w:pPr>
              <w:rPr>
                <w:rFonts w:ascii="Garamond" w:hAnsi="Garamond"/>
                <w:sz w:val="22"/>
                <w:szCs w:val="22"/>
              </w:rPr>
            </w:pPr>
            <w:r>
              <w:rPr>
                <w:rFonts w:ascii="Garamond" w:hAnsi="Garamond"/>
                <w:sz w:val="22"/>
                <w:szCs w:val="22"/>
              </w:rPr>
              <w:t>Technical Review Document</w:t>
            </w:r>
          </w:p>
        </w:tc>
        <w:tc>
          <w:tcPr>
            <w:tcW w:w="3420" w:type="dxa"/>
            <w:tcBorders>
              <w:bottom w:val="double" w:sz="4" w:space="0" w:color="auto"/>
            </w:tcBorders>
          </w:tcPr>
          <w:p w14:paraId="4230BC10" w14:textId="68635E49" w:rsidR="002F5D7E" w:rsidRPr="00F82CFD" w:rsidRDefault="008502A7">
            <w:pPr>
              <w:rPr>
                <w:rFonts w:ascii="Garamond" w:hAnsi="Garamond"/>
                <w:sz w:val="22"/>
                <w:szCs w:val="22"/>
              </w:rPr>
            </w:pPr>
            <w:r>
              <w:rPr>
                <w:rFonts w:ascii="Garamond" w:hAnsi="Garamond"/>
                <w:sz w:val="22"/>
                <w:szCs w:val="22"/>
              </w:rPr>
              <w:t>Review Takings and Damaging Table</w:t>
            </w:r>
          </w:p>
        </w:tc>
        <w:tc>
          <w:tcPr>
            <w:tcW w:w="3330" w:type="dxa"/>
            <w:tcBorders>
              <w:bottom w:val="double" w:sz="4" w:space="0" w:color="auto"/>
              <w:right w:val="double" w:sz="4" w:space="0" w:color="auto"/>
            </w:tcBorders>
          </w:tcPr>
          <w:p w14:paraId="62AB7A7E" w14:textId="22DE8C7A" w:rsidR="002F5D7E" w:rsidRPr="00F82CFD" w:rsidRDefault="008502A7">
            <w:pPr>
              <w:rPr>
                <w:rFonts w:ascii="Garamond" w:hAnsi="Garamond"/>
                <w:sz w:val="22"/>
                <w:szCs w:val="22"/>
              </w:rPr>
            </w:pPr>
            <w:r>
              <w:rPr>
                <w:rFonts w:ascii="Garamond" w:hAnsi="Garamond"/>
                <w:sz w:val="22"/>
                <w:szCs w:val="22"/>
              </w:rPr>
              <w:t>Completed</w:t>
            </w:r>
          </w:p>
        </w:tc>
      </w:tr>
    </w:tbl>
    <w:p w14:paraId="443BC508" w14:textId="77777777" w:rsidR="002F5D7E" w:rsidRPr="00F82CFD" w:rsidRDefault="002F5D7E">
      <w:pPr>
        <w:rPr>
          <w:rFonts w:ascii="Garamond" w:hAnsi="Garamond"/>
          <w:sz w:val="24"/>
          <w:szCs w:val="24"/>
        </w:rPr>
      </w:pPr>
    </w:p>
    <w:p w14:paraId="4402AF6E" w14:textId="77777777" w:rsidR="002F5D7E" w:rsidRPr="00F82CFD" w:rsidRDefault="002F5D7E">
      <w:pPr>
        <w:rPr>
          <w:rFonts w:ascii="Garamond" w:hAnsi="Garamond"/>
          <w:b/>
          <w:sz w:val="24"/>
          <w:szCs w:val="24"/>
        </w:rPr>
      </w:pPr>
    </w:p>
    <w:p w14:paraId="3610DB8A" w14:textId="77777777" w:rsidR="002F5D7E" w:rsidRPr="00F82CFD" w:rsidRDefault="002F5D7E">
      <w:pPr>
        <w:pStyle w:val="Heading3"/>
        <w:jc w:val="center"/>
        <w:rPr>
          <w:rFonts w:ascii="Garamond" w:hAnsi="Garamond"/>
          <w:sz w:val="24"/>
          <w:szCs w:val="24"/>
        </w:rPr>
      </w:pPr>
      <w:r w:rsidRPr="00F82CFD">
        <w:rPr>
          <w:rFonts w:ascii="Garamond" w:hAnsi="Garamond"/>
          <w:sz w:val="24"/>
          <w:szCs w:val="24"/>
        </w:rPr>
        <w:t>Summary of EPA Comments</w:t>
      </w:r>
    </w:p>
    <w:p w14:paraId="3FC30909" w14:textId="77777777" w:rsidR="002F5D7E" w:rsidRPr="00F82CFD" w:rsidRDefault="002F5D7E">
      <w:pPr>
        <w:rPr>
          <w:rFonts w:ascii="Garamond" w:hAnsi="Garamond"/>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330"/>
      </w:tblGrid>
      <w:tr w:rsidR="002F5D7E" w:rsidRPr="00F82CFD" w14:paraId="0F9BC45A" w14:textId="77777777">
        <w:tc>
          <w:tcPr>
            <w:tcW w:w="1980" w:type="dxa"/>
            <w:tcBorders>
              <w:top w:val="double" w:sz="4" w:space="0" w:color="auto"/>
              <w:left w:val="double" w:sz="4" w:space="0" w:color="auto"/>
            </w:tcBorders>
          </w:tcPr>
          <w:p w14:paraId="383E782F" w14:textId="77777777" w:rsidR="002F5D7E" w:rsidRPr="00F82CFD" w:rsidRDefault="002F5D7E">
            <w:pPr>
              <w:jc w:val="center"/>
              <w:rPr>
                <w:rFonts w:ascii="Garamond" w:hAnsi="Garamond"/>
                <w:sz w:val="22"/>
                <w:szCs w:val="22"/>
              </w:rPr>
            </w:pPr>
            <w:r w:rsidRPr="00F82CFD">
              <w:rPr>
                <w:rFonts w:ascii="Garamond" w:hAnsi="Garamond"/>
                <w:sz w:val="22"/>
                <w:szCs w:val="22"/>
              </w:rPr>
              <w:t>Permit Reference</w:t>
            </w:r>
          </w:p>
        </w:tc>
        <w:tc>
          <w:tcPr>
            <w:tcW w:w="3420" w:type="dxa"/>
            <w:tcBorders>
              <w:top w:val="double" w:sz="4" w:space="0" w:color="auto"/>
            </w:tcBorders>
          </w:tcPr>
          <w:p w14:paraId="4F957BB7" w14:textId="77777777" w:rsidR="002F5D7E" w:rsidRPr="00F82CFD" w:rsidRDefault="002F5D7E">
            <w:pPr>
              <w:jc w:val="center"/>
              <w:rPr>
                <w:rFonts w:ascii="Garamond" w:hAnsi="Garamond"/>
                <w:sz w:val="22"/>
                <w:szCs w:val="22"/>
              </w:rPr>
            </w:pPr>
            <w:r w:rsidRPr="00F82CFD">
              <w:rPr>
                <w:rFonts w:ascii="Garamond" w:hAnsi="Garamond"/>
                <w:sz w:val="22"/>
                <w:szCs w:val="22"/>
              </w:rPr>
              <w:t>EPA Comment</w:t>
            </w:r>
          </w:p>
        </w:tc>
        <w:tc>
          <w:tcPr>
            <w:tcW w:w="3330" w:type="dxa"/>
            <w:tcBorders>
              <w:top w:val="double" w:sz="4" w:space="0" w:color="auto"/>
              <w:right w:val="double" w:sz="4" w:space="0" w:color="auto"/>
            </w:tcBorders>
          </w:tcPr>
          <w:p w14:paraId="34B7F0C0" w14:textId="4DCDC905" w:rsidR="002F5D7E" w:rsidRPr="00F82CFD" w:rsidRDefault="00543213">
            <w:pPr>
              <w:jc w:val="center"/>
              <w:rPr>
                <w:rFonts w:ascii="Garamond" w:hAnsi="Garamond"/>
                <w:sz w:val="22"/>
                <w:szCs w:val="22"/>
              </w:rPr>
            </w:pPr>
            <w:r>
              <w:rPr>
                <w:rFonts w:ascii="Garamond" w:hAnsi="Garamond"/>
                <w:sz w:val="22"/>
                <w:szCs w:val="22"/>
              </w:rPr>
              <w:t>DEQ</w:t>
            </w:r>
            <w:r w:rsidR="002F5D7E" w:rsidRPr="00F82CFD">
              <w:rPr>
                <w:rFonts w:ascii="Garamond" w:hAnsi="Garamond"/>
                <w:sz w:val="22"/>
                <w:szCs w:val="22"/>
              </w:rPr>
              <w:t xml:space="preserve"> Response</w:t>
            </w:r>
          </w:p>
        </w:tc>
      </w:tr>
      <w:tr w:rsidR="002F5D7E" w:rsidRPr="00F82CFD" w14:paraId="133058A1" w14:textId="77777777">
        <w:tc>
          <w:tcPr>
            <w:tcW w:w="1980" w:type="dxa"/>
            <w:tcBorders>
              <w:left w:val="double" w:sz="4" w:space="0" w:color="auto"/>
              <w:bottom w:val="double" w:sz="4" w:space="0" w:color="auto"/>
            </w:tcBorders>
          </w:tcPr>
          <w:p w14:paraId="65C878ED" w14:textId="77777777" w:rsidR="002F5D7E" w:rsidRPr="00F82CFD" w:rsidRDefault="002F5D7E">
            <w:pPr>
              <w:rPr>
                <w:rFonts w:ascii="Garamond" w:hAnsi="Garamond"/>
                <w:sz w:val="22"/>
                <w:szCs w:val="22"/>
              </w:rPr>
            </w:pPr>
          </w:p>
        </w:tc>
        <w:tc>
          <w:tcPr>
            <w:tcW w:w="3420" w:type="dxa"/>
            <w:tcBorders>
              <w:bottom w:val="double" w:sz="4" w:space="0" w:color="auto"/>
            </w:tcBorders>
          </w:tcPr>
          <w:p w14:paraId="56D3F9D5" w14:textId="6FD93896" w:rsidR="002F5D7E" w:rsidRPr="00F82CFD" w:rsidRDefault="00EE6FD6">
            <w:pPr>
              <w:rPr>
                <w:rFonts w:ascii="Garamond" w:hAnsi="Garamond"/>
                <w:sz w:val="22"/>
                <w:szCs w:val="22"/>
              </w:rPr>
            </w:pPr>
            <w:r>
              <w:rPr>
                <w:rFonts w:ascii="Garamond" w:hAnsi="Garamond"/>
                <w:sz w:val="22"/>
                <w:szCs w:val="22"/>
              </w:rPr>
              <w:t>None received</w:t>
            </w:r>
          </w:p>
        </w:tc>
        <w:tc>
          <w:tcPr>
            <w:tcW w:w="3330" w:type="dxa"/>
            <w:tcBorders>
              <w:bottom w:val="double" w:sz="4" w:space="0" w:color="auto"/>
              <w:right w:val="double" w:sz="4" w:space="0" w:color="auto"/>
            </w:tcBorders>
          </w:tcPr>
          <w:p w14:paraId="1D244323" w14:textId="77777777" w:rsidR="002F5D7E" w:rsidRPr="00F82CFD" w:rsidRDefault="002F5D7E">
            <w:pPr>
              <w:rPr>
                <w:rFonts w:ascii="Garamond" w:hAnsi="Garamond"/>
                <w:sz w:val="22"/>
                <w:szCs w:val="22"/>
              </w:rPr>
            </w:pPr>
          </w:p>
        </w:tc>
      </w:tr>
    </w:tbl>
    <w:p w14:paraId="40C4D3D5" w14:textId="77777777" w:rsidR="002F5D7E" w:rsidRPr="00F82CFD" w:rsidRDefault="002F5D7E">
      <w:pPr>
        <w:rPr>
          <w:rFonts w:ascii="Garamond" w:hAnsi="Garamond"/>
        </w:rPr>
      </w:pPr>
    </w:p>
    <w:p w14:paraId="59FF66D2" w14:textId="77777777" w:rsidR="002F5D7E" w:rsidRPr="00F82CFD" w:rsidRDefault="002F5D7E">
      <w:pPr>
        <w:rPr>
          <w:rFonts w:ascii="Garamond" w:hAnsi="Garamond"/>
        </w:rPr>
      </w:pPr>
    </w:p>
    <w:p w14:paraId="36187B54" w14:textId="77777777" w:rsidR="002F5D7E" w:rsidRPr="00F82CFD" w:rsidRDefault="002F5D7E">
      <w:pPr>
        <w:rPr>
          <w:rFonts w:ascii="Garamond" w:hAnsi="Garamond"/>
        </w:rPr>
        <w:sectPr w:rsidR="002F5D7E" w:rsidRPr="00F82CFD" w:rsidSect="00EB78AF">
          <w:pgSz w:w="12240" w:h="15840"/>
          <w:pgMar w:top="1152" w:right="1440" w:bottom="1008" w:left="1440" w:header="720" w:footer="720" w:gutter="0"/>
          <w:cols w:space="720"/>
        </w:sectPr>
      </w:pPr>
    </w:p>
    <w:p w14:paraId="644014B7" w14:textId="77777777" w:rsidR="002F5D7E" w:rsidRPr="00F82CFD" w:rsidRDefault="002F5D7E">
      <w:pPr>
        <w:rPr>
          <w:rFonts w:ascii="Garamond" w:hAnsi="Garamond"/>
        </w:rPr>
      </w:pPr>
    </w:p>
    <w:p w14:paraId="09678A19" w14:textId="77777777" w:rsidR="002F5D7E" w:rsidRPr="00F82CFD" w:rsidRDefault="002F5D7E">
      <w:pPr>
        <w:pStyle w:val="Heading1"/>
        <w:rPr>
          <w:rFonts w:ascii="Garamond" w:hAnsi="Garamond"/>
          <w:sz w:val="24"/>
          <w:szCs w:val="24"/>
        </w:rPr>
      </w:pPr>
      <w:bookmarkStart w:id="19" w:name="_Toc219189928"/>
      <w:r w:rsidRPr="00F82CFD">
        <w:rPr>
          <w:rFonts w:ascii="Garamond" w:hAnsi="Garamond"/>
          <w:sz w:val="24"/>
          <w:szCs w:val="24"/>
        </w:rPr>
        <w:t>NON-APPLICABLE REQUIREMENT ANALYSIS</w:t>
      </w:r>
      <w:bookmarkEnd w:id="19"/>
    </w:p>
    <w:p w14:paraId="64299DD9" w14:textId="77777777" w:rsidR="002F5D7E" w:rsidRPr="00F82CFD" w:rsidRDefault="002F5D7E">
      <w:pPr>
        <w:rPr>
          <w:rFonts w:ascii="Garamond" w:hAnsi="Garamond"/>
        </w:rPr>
      </w:pPr>
    </w:p>
    <w:p w14:paraId="3C72EFFF" w14:textId="77777777" w:rsidR="006632E1" w:rsidRPr="006632E1" w:rsidRDefault="006632E1" w:rsidP="006632E1">
      <w:pPr>
        <w:rPr>
          <w:rFonts w:ascii="Garamond" w:hAnsi="Garamond"/>
          <w:sz w:val="24"/>
          <w:szCs w:val="24"/>
        </w:rPr>
      </w:pPr>
      <w:bookmarkStart w:id="20" w:name="_Hlk214261036"/>
      <w:r w:rsidRPr="006632E1">
        <w:rPr>
          <w:rFonts w:ascii="Garamond" w:hAnsi="Garamond"/>
          <w:sz w:val="24"/>
          <w:szCs w:val="24"/>
        </w:rPr>
        <w:t>Air Quality Administrative Rules of Montana (ARM) and Federal Regulations identified as not applicable to the facility or to a specific emissions unit at the time of the permit issuance are listed below (ARM 17.8.1214).  The following list does not preclude the need to comply with any new requirements that may become applicable during the permit term.</w:t>
      </w:r>
    </w:p>
    <w:p w14:paraId="206DE580" w14:textId="77777777" w:rsidR="006632E1" w:rsidRPr="006632E1" w:rsidRDefault="006632E1" w:rsidP="006632E1">
      <w:pPr>
        <w:rPr>
          <w:rFonts w:ascii="Garamond" w:hAnsi="Garamond"/>
          <w:sz w:val="24"/>
          <w:szCs w:val="24"/>
        </w:rPr>
      </w:pPr>
    </w:p>
    <w:p w14:paraId="330A2D80" w14:textId="77777777" w:rsidR="006632E1" w:rsidRPr="006632E1" w:rsidRDefault="006632E1" w:rsidP="006632E1">
      <w:pPr>
        <w:rPr>
          <w:rFonts w:ascii="Garamond" w:hAnsi="Garamond"/>
          <w:sz w:val="24"/>
          <w:szCs w:val="24"/>
        </w:rPr>
      </w:pPr>
      <w:r w:rsidRPr="006632E1">
        <w:rPr>
          <w:rFonts w:ascii="Garamond" w:hAnsi="Garamond"/>
          <w:sz w:val="24"/>
          <w:szCs w:val="24"/>
        </w:rPr>
        <w:t>The applicant did not identify a full list of non-applicable requirements within the application.  DEQ prepared this preliminary non-applicable list.</w:t>
      </w:r>
    </w:p>
    <w:bookmarkEnd w:id="20"/>
    <w:p w14:paraId="7070F560" w14:textId="77777777" w:rsidR="00B24FC8" w:rsidRPr="00B24FC8" w:rsidRDefault="00B24FC8" w:rsidP="00B24FC8">
      <w:pPr>
        <w:rPr>
          <w:rFonts w:ascii="Garamond" w:hAnsi="Garamond"/>
          <w:sz w:val="24"/>
          <w:szCs w:val="24"/>
        </w:rPr>
      </w:pPr>
    </w:p>
    <w:p w14:paraId="0A207F76" w14:textId="77777777" w:rsidR="00B24FC8" w:rsidRDefault="00B24FC8">
      <w:pPr>
        <w:pStyle w:val="Header"/>
        <w:tabs>
          <w:tab w:val="clear" w:pos="4320"/>
          <w:tab w:val="clear" w:pos="8640"/>
        </w:tabs>
        <w:rPr>
          <w:rFonts w:ascii="Garamond" w:hAnsi="Garamond"/>
          <w:color w:val="000000" w:themeColor="text1"/>
          <w:sz w:val="24"/>
          <w:szCs w:val="24"/>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068"/>
        <w:gridCol w:w="5220"/>
      </w:tblGrid>
      <w:tr w:rsidR="00B24FC8" w:rsidRPr="00B24FC8" w14:paraId="0BEBB379" w14:textId="77777777" w:rsidTr="00094765">
        <w:trPr>
          <w:tblHeader/>
        </w:trPr>
        <w:tc>
          <w:tcPr>
            <w:tcW w:w="4068" w:type="dxa"/>
            <w:tcBorders>
              <w:bottom w:val="single" w:sz="12" w:space="0" w:color="000000"/>
            </w:tcBorders>
          </w:tcPr>
          <w:p w14:paraId="0A11179E" w14:textId="77777777" w:rsidR="00B24FC8" w:rsidRPr="00B24FC8" w:rsidRDefault="00B24FC8" w:rsidP="00B24FC8">
            <w:pPr>
              <w:jc w:val="center"/>
              <w:rPr>
                <w:rFonts w:ascii="Garamond" w:hAnsi="Garamond"/>
                <w:b/>
                <w:sz w:val="22"/>
                <w:szCs w:val="22"/>
              </w:rPr>
            </w:pPr>
            <w:r w:rsidRPr="00B24FC8">
              <w:rPr>
                <w:rFonts w:ascii="Garamond" w:hAnsi="Garamond"/>
                <w:b/>
                <w:sz w:val="22"/>
                <w:szCs w:val="22"/>
              </w:rPr>
              <w:t>Rule Citation</w:t>
            </w:r>
          </w:p>
        </w:tc>
        <w:tc>
          <w:tcPr>
            <w:tcW w:w="5220" w:type="dxa"/>
            <w:tcBorders>
              <w:bottom w:val="single" w:sz="12" w:space="0" w:color="000000"/>
            </w:tcBorders>
          </w:tcPr>
          <w:p w14:paraId="4CC3BB0D" w14:textId="77777777" w:rsidR="00B24FC8" w:rsidRPr="00B24FC8" w:rsidRDefault="00B24FC8" w:rsidP="00B24FC8">
            <w:pPr>
              <w:jc w:val="center"/>
              <w:rPr>
                <w:rFonts w:ascii="Garamond" w:hAnsi="Garamond"/>
                <w:b/>
                <w:sz w:val="22"/>
                <w:szCs w:val="22"/>
              </w:rPr>
            </w:pPr>
            <w:r w:rsidRPr="00B24FC8">
              <w:rPr>
                <w:rFonts w:ascii="Garamond" w:hAnsi="Garamond"/>
                <w:b/>
                <w:sz w:val="22"/>
                <w:szCs w:val="22"/>
              </w:rPr>
              <w:t>Reason</w:t>
            </w:r>
          </w:p>
        </w:tc>
      </w:tr>
      <w:tr w:rsidR="00B24FC8" w:rsidRPr="00B24FC8" w14:paraId="2FCE8F97" w14:textId="77777777" w:rsidTr="00094765">
        <w:tc>
          <w:tcPr>
            <w:tcW w:w="4068" w:type="dxa"/>
            <w:vAlign w:val="center"/>
          </w:tcPr>
          <w:p w14:paraId="6C50E2F3" w14:textId="77777777" w:rsidR="00B24FC8" w:rsidRPr="00B24FC8" w:rsidRDefault="00B24FC8" w:rsidP="00B24FC8">
            <w:pPr>
              <w:rPr>
                <w:rFonts w:ascii="Garamond" w:hAnsi="Garamond"/>
                <w:sz w:val="22"/>
                <w:szCs w:val="22"/>
              </w:rPr>
            </w:pPr>
            <w:r w:rsidRPr="00B24FC8">
              <w:rPr>
                <w:rFonts w:ascii="Garamond" w:hAnsi="Garamond"/>
                <w:sz w:val="22"/>
                <w:szCs w:val="22"/>
              </w:rPr>
              <w:t>ARM 17.8.610</w:t>
            </w:r>
          </w:p>
        </w:tc>
        <w:tc>
          <w:tcPr>
            <w:tcW w:w="5220" w:type="dxa"/>
          </w:tcPr>
          <w:p w14:paraId="761F74BE" w14:textId="337DE89A" w:rsidR="00B24FC8" w:rsidRPr="00B24FC8" w:rsidRDefault="00E007BB" w:rsidP="00B24FC8">
            <w:pPr>
              <w:rPr>
                <w:rFonts w:ascii="Garamond" w:hAnsi="Garamond"/>
                <w:sz w:val="22"/>
                <w:szCs w:val="22"/>
              </w:rPr>
            </w:pPr>
            <w:r>
              <w:rPr>
                <w:rFonts w:ascii="Garamond" w:hAnsi="Garamond"/>
                <w:sz w:val="22"/>
                <w:szCs w:val="22"/>
              </w:rPr>
              <w:t>This requirement is</w:t>
            </w:r>
            <w:r w:rsidR="00B24FC8" w:rsidRPr="00B24FC8">
              <w:rPr>
                <w:rFonts w:ascii="Garamond" w:hAnsi="Garamond"/>
                <w:sz w:val="22"/>
                <w:szCs w:val="22"/>
              </w:rPr>
              <w:t xml:space="preserve"> not applicable because the facility is not in this source category.</w:t>
            </w:r>
          </w:p>
        </w:tc>
      </w:tr>
      <w:tr w:rsidR="00B24FC8" w:rsidRPr="00B24FC8" w14:paraId="4A78342B" w14:textId="77777777" w:rsidTr="00094765">
        <w:tc>
          <w:tcPr>
            <w:tcW w:w="4068" w:type="dxa"/>
            <w:vAlign w:val="center"/>
          </w:tcPr>
          <w:p w14:paraId="2267635B" w14:textId="77777777" w:rsidR="00B24FC8" w:rsidRPr="00B24FC8" w:rsidRDefault="00B24FC8" w:rsidP="00B24FC8">
            <w:pPr>
              <w:rPr>
                <w:rFonts w:ascii="Garamond" w:hAnsi="Garamond"/>
                <w:sz w:val="22"/>
                <w:szCs w:val="22"/>
              </w:rPr>
            </w:pPr>
            <w:r w:rsidRPr="00B24FC8">
              <w:rPr>
                <w:rFonts w:ascii="Garamond" w:hAnsi="Garamond"/>
                <w:sz w:val="22"/>
                <w:szCs w:val="22"/>
              </w:rPr>
              <w:t>40 CFR 53</w:t>
            </w:r>
          </w:p>
          <w:p w14:paraId="735B692E" w14:textId="77777777" w:rsidR="00B24FC8" w:rsidRPr="00B24FC8" w:rsidRDefault="00B24FC8" w:rsidP="00B24FC8">
            <w:pPr>
              <w:rPr>
                <w:rFonts w:ascii="Garamond" w:hAnsi="Garamond"/>
                <w:sz w:val="22"/>
                <w:szCs w:val="22"/>
              </w:rPr>
            </w:pPr>
            <w:r w:rsidRPr="00B24FC8">
              <w:rPr>
                <w:rFonts w:ascii="Garamond" w:hAnsi="Garamond"/>
                <w:sz w:val="22"/>
                <w:szCs w:val="22"/>
              </w:rPr>
              <w:t>40 CFR 58</w:t>
            </w:r>
          </w:p>
        </w:tc>
        <w:tc>
          <w:tcPr>
            <w:tcW w:w="5220" w:type="dxa"/>
          </w:tcPr>
          <w:p w14:paraId="14DF02B9" w14:textId="77777777" w:rsidR="00B24FC8" w:rsidRPr="00B24FC8" w:rsidRDefault="00B24FC8" w:rsidP="00B24FC8">
            <w:pPr>
              <w:rPr>
                <w:rFonts w:ascii="Garamond" w:hAnsi="Garamond"/>
                <w:sz w:val="22"/>
                <w:szCs w:val="22"/>
              </w:rPr>
            </w:pPr>
            <w:r w:rsidRPr="00B24FC8">
              <w:rPr>
                <w:rFonts w:ascii="Garamond" w:hAnsi="Garamond"/>
                <w:sz w:val="22"/>
                <w:szCs w:val="22"/>
              </w:rPr>
              <w:t>These requirements are not applicable because this facility does not have any ambient air monitoring or surveillance requirements.</w:t>
            </w:r>
          </w:p>
        </w:tc>
      </w:tr>
      <w:tr w:rsidR="00B24FC8" w:rsidRPr="00B24FC8" w14:paraId="535D524C" w14:textId="77777777" w:rsidTr="00094765">
        <w:tc>
          <w:tcPr>
            <w:tcW w:w="4068" w:type="dxa"/>
          </w:tcPr>
          <w:p w14:paraId="007641F9" w14:textId="77777777" w:rsidR="00B24FC8" w:rsidRPr="00B24FC8" w:rsidRDefault="00B24FC8" w:rsidP="00B24FC8">
            <w:pPr>
              <w:rPr>
                <w:rFonts w:ascii="Garamond" w:hAnsi="Garamond"/>
                <w:sz w:val="22"/>
                <w:szCs w:val="22"/>
              </w:rPr>
            </w:pPr>
            <w:r w:rsidRPr="00B24FC8">
              <w:rPr>
                <w:rFonts w:ascii="Garamond" w:hAnsi="Garamond"/>
                <w:sz w:val="22"/>
                <w:szCs w:val="22"/>
              </w:rPr>
              <w:t>40 CFR 59</w:t>
            </w:r>
          </w:p>
          <w:p w14:paraId="53CD9398" w14:textId="77777777" w:rsidR="00B24FC8" w:rsidRPr="00B24FC8" w:rsidRDefault="00B24FC8" w:rsidP="00B24FC8">
            <w:pPr>
              <w:rPr>
                <w:rFonts w:ascii="Garamond" w:hAnsi="Garamond"/>
                <w:sz w:val="22"/>
                <w:szCs w:val="22"/>
              </w:rPr>
            </w:pPr>
            <w:r w:rsidRPr="00B24FC8">
              <w:rPr>
                <w:rFonts w:ascii="Garamond" w:hAnsi="Garamond"/>
                <w:sz w:val="22"/>
                <w:szCs w:val="22"/>
              </w:rPr>
              <w:t xml:space="preserve">40 CFR 60, Subparts C, </w:t>
            </w:r>
            <w:proofErr w:type="spellStart"/>
            <w:r w:rsidRPr="00B24FC8">
              <w:rPr>
                <w:rFonts w:ascii="Garamond" w:hAnsi="Garamond"/>
                <w:sz w:val="22"/>
                <w:szCs w:val="22"/>
              </w:rPr>
              <w:t>Cb</w:t>
            </w:r>
            <w:proofErr w:type="spellEnd"/>
            <w:r w:rsidRPr="00B24FC8">
              <w:rPr>
                <w:rFonts w:ascii="Garamond" w:hAnsi="Garamond"/>
                <w:sz w:val="22"/>
                <w:szCs w:val="22"/>
              </w:rPr>
              <w:t>, Cc, Cd, Ce</w:t>
            </w:r>
          </w:p>
          <w:p w14:paraId="10A41985" w14:textId="77777777" w:rsidR="00B24FC8" w:rsidRPr="00B24FC8" w:rsidRDefault="00B24FC8" w:rsidP="00B24FC8">
            <w:pPr>
              <w:rPr>
                <w:rFonts w:ascii="Garamond" w:hAnsi="Garamond"/>
                <w:sz w:val="22"/>
                <w:szCs w:val="22"/>
              </w:rPr>
            </w:pPr>
            <w:r w:rsidRPr="00B24FC8">
              <w:rPr>
                <w:rFonts w:ascii="Garamond" w:hAnsi="Garamond"/>
                <w:sz w:val="22"/>
                <w:szCs w:val="22"/>
              </w:rPr>
              <w:t>40 CFR 60, Subparts D, Da, Db, Dc</w:t>
            </w:r>
          </w:p>
          <w:p w14:paraId="0273C675" w14:textId="77777777" w:rsidR="00B24FC8" w:rsidRPr="00B24FC8" w:rsidRDefault="00B24FC8" w:rsidP="00B24FC8">
            <w:pPr>
              <w:rPr>
                <w:rFonts w:ascii="Garamond" w:hAnsi="Garamond"/>
                <w:sz w:val="22"/>
                <w:szCs w:val="22"/>
              </w:rPr>
            </w:pPr>
            <w:r w:rsidRPr="00B24FC8">
              <w:rPr>
                <w:rFonts w:ascii="Garamond" w:hAnsi="Garamond"/>
                <w:sz w:val="22"/>
                <w:szCs w:val="22"/>
              </w:rPr>
              <w:t>40 CFR 60, Subparts E-Z</w:t>
            </w:r>
          </w:p>
          <w:p w14:paraId="2E912064" w14:textId="77777777" w:rsidR="00B24FC8" w:rsidRPr="00B24FC8" w:rsidRDefault="00B24FC8" w:rsidP="00B24FC8">
            <w:pPr>
              <w:rPr>
                <w:rFonts w:ascii="Garamond" w:hAnsi="Garamond"/>
                <w:sz w:val="22"/>
                <w:szCs w:val="22"/>
              </w:rPr>
            </w:pPr>
            <w:r w:rsidRPr="00B24FC8">
              <w:rPr>
                <w:rFonts w:ascii="Garamond" w:hAnsi="Garamond"/>
                <w:sz w:val="22"/>
                <w:szCs w:val="22"/>
              </w:rPr>
              <w:t>40 CFR 60, Subparts AA-EE</w:t>
            </w:r>
          </w:p>
          <w:p w14:paraId="1094646A" w14:textId="77777777" w:rsidR="00B24FC8" w:rsidRPr="00B24FC8" w:rsidRDefault="00B24FC8" w:rsidP="00B24FC8">
            <w:pPr>
              <w:rPr>
                <w:rFonts w:ascii="Garamond" w:hAnsi="Garamond"/>
                <w:sz w:val="22"/>
                <w:szCs w:val="22"/>
              </w:rPr>
            </w:pPr>
            <w:r w:rsidRPr="00B24FC8">
              <w:rPr>
                <w:rFonts w:ascii="Garamond" w:hAnsi="Garamond"/>
                <w:sz w:val="22"/>
                <w:szCs w:val="22"/>
              </w:rPr>
              <w:t>40 CFR 60, Subparts GG-XX</w:t>
            </w:r>
          </w:p>
          <w:p w14:paraId="27DCF6F3" w14:textId="77777777" w:rsidR="00B24FC8" w:rsidRPr="00B24FC8" w:rsidRDefault="00B24FC8" w:rsidP="00B24FC8">
            <w:pPr>
              <w:rPr>
                <w:rFonts w:ascii="Garamond" w:hAnsi="Garamond"/>
                <w:sz w:val="22"/>
                <w:szCs w:val="22"/>
              </w:rPr>
            </w:pPr>
            <w:r w:rsidRPr="00B24FC8">
              <w:rPr>
                <w:rFonts w:ascii="Garamond" w:hAnsi="Garamond"/>
                <w:sz w:val="22"/>
                <w:szCs w:val="22"/>
              </w:rPr>
              <w:t>40 CFR 60, Subparts AAA-BBB</w:t>
            </w:r>
          </w:p>
          <w:p w14:paraId="62FA83D8" w14:textId="77777777" w:rsidR="00B24FC8" w:rsidRPr="00B24FC8" w:rsidRDefault="00B24FC8" w:rsidP="00B24FC8">
            <w:pPr>
              <w:rPr>
                <w:rFonts w:ascii="Garamond" w:hAnsi="Garamond"/>
                <w:sz w:val="22"/>
                <w:szCs w:val="22"/>
              </w:rPr>
            </w:pPr>
            <w:r w:rsidRPr="00B24FC8">
              <w:rPr>
                <w:rFonts w:ascii="Garamond" w:hAnsi="Garamond"/>
                <w:sz w:val="22"/>
                <w:szCs w:val="22"/>
              </w:rPr>
              <w:t>40 CFR 60, Subpart DDD</w:t>
            </w:r>
          </w:p>
          <w:p w14:paraId="3FA0DED1" w14:textId="77777777" w:rsidR="00B24FC8" w:rsidRPr="00B24FC8" w:rsidRDefault="00B24FC8" w:rsidP="00B24FC8">
            <w:pPr>
              <w:rPr>
                <w:rFonts w:ascii="Garamond" w:hAnsi="Garamond"/>
                <w:sz w:val="22"/>
                <w:szCs w:val="22"/>
              </w:rPr>
            </w:pPr>
            <w:r w:rsidRPr="00B24FC8">
              <w:rPr>
                <w:rFonts w:ascii="Garamond" w:hAnsi="Garamond"/>
                <w:sz w:val="22"/>
                <w:szCs w:val="22"/>
              </w:rPr>
              <w:t>40 CFR 60, Subparts FFF-LLL</w:t>
            </w:r>
          </w:p>
          <w:p w14:paraId="1990E09A" w14:textId="77777777" w:rsidR="00B24FC8" w:rsidRPr="00B24FC8" w:rsidRDefault="00B24FC8" w:rsidP="00B24FC8">
            <w:pPr>
              <w:rPr>
                <w:rFonts w:ascii="Garamond" w:hAnsi="Garamond"/>
                <w:sz w:val="22"/>
                <w:szCs w:val="22"/>
              </w:rPr>
            </w:pPr>
            <w:r w:rsidRPr="00B24FC8">
              <w:rPr>
                <w:rFonts w:ascii="Garamond" w:hAnsi="Garamond"/>
                <w:sz w:val="22"/>
                <w:szCs w:val="22"/>
              </w:rPr>
              <w:t>40 CFR 60, Subparts NNN-XXX</w:t>
            </w:r>
          </w:p>
          <w:p w14:paraId="66054444" w14:textId="77777777" w:rsidR="00B24FC8" w:rsidRPr="00B24FC8" w:rsidRDefault="00B24FC8" w:rsidP="00B24FC8">
            <w:pPr>
              <w:rPr>
                <w:rFonts w:ascii="Garamond" w:hAnsi="Garamond"/>
                <w:sz w:val="22"/>
                <w:szCs w:val="22"/>
              </w:rPr>
            </w:pPr>
            <w:r w:rsidRPr="00B24FC8">
              <w:rPr>
                <w:rFonts w:ascii="Garamond" w:hAnsi="Garamond"/>
                <w:sz w:val="22"/>
                <w:szCs w:val="22"/>
              </w:rPr>
              <w:t>40 CFR 60, Subparts AAAA-FFFF</w:t>
            </w:r>
          </w:p>
          <w:p w14:paraId="7318DA1D" w14:textId="77777777" w:rsidR="00B24FC8" w:rsidRPr="00B24FC8" w:rsidRDefault="00B24FC8" w:rsidP="00B24FC8">
            <w:pPr>
              <w:rPr>
                <w:rFonts w:ascii="Garamond" w:hAnsi="Garamond"/>
                <w:sz w:val="22"/>
                <w:szCs w:val="22"/>
              </w:rPr>
            </w:pPr>
            <w:r w:rsidRPr="00B24FC8">
              <w:rPr>
                <w:rFonts w:ascii="Garamond" w:hAnsi="Garamond"/>
                <w:sz w:val="22"/>
                <w:szCs w:val="22"/>
              </w:rPr>
              <w:t>40 CFR 60, Subparts KKKK-MMMM</w:t>
            </w:r>
          </w:p>
          <w:p w14:paraId="1B747C94" w14:textId="77777777" w:rsidR="00B24FC8" w:rsidRPr="00B24FC8" w:rsidRDefault="00B24FC8" w:rsidP="00B24FC8">
            <w:pPr>
              <w:rPr>
                <w:rFonts w:ascii="Garamond" w:hAnsi="Garamond"/>
                <w:sz w:val="22"/>
                <w:szCs w:val="22"/>
              </w:rPr>
            </w:pPr>
            <w:r w:rsidRPr="00B24FC8">
              <w:rPr>
                <w:rFonts w:ascii="Garamond" w:hAnsi="Garamond"/>
                <w:sz w:val="22"/>
                <w:szCs w:val="22"/>
              </w:rPr>
              <w:t>40 CFR 60, Subparts QQQQ-OOOO</w:t>
            </w:r>
          </w:p>
          <w:p w14:paraId="5EDBFEEC" w14:textId="77777777" w:rsidR="00B24FC8" w:rsidRPr="00B24FC8" w:rsidRDefault="00B24FC8" w:rsidP="00B24FC8">
            <w:pPr>
              <w:rPr>
                <w:rFonts w:ascii="Garamond" w:hAnsi="Garamond"/>
                <w:sz w:val="22"/>
                <w:szCs w:val="22"/>
              </w:rPr>
            </w:pPr>
            <w:r w:rsidRPr="00B24FC8">
              <w:rPr>
                <w:rFonts w:ascii="Garamond" w:hAnsi="Garamond"/>
                <w:sz w:val="22"/>
                <w:szCs w:val="22"/>
              </w:rPr>
              <w:t>40 CFR 60, Subpart QQQQ</w:t>
            </w:r>
          </w:p>
          <w:p w14:paraId="38CF96AD" w14:textId="77777777" w:rsidR="00B24FC8" w:rsidRPr="00B24FC8" w:rsidRDefault="00B24FC8" w:rsidP="00B24FC8">
            <w:pPr>
              <w:rPr>
                <w:rFonts w:ascii="Garamond" w:hAnsi="Garamond"/>
                <w:sz w:val="22"/>
                <w:szCs w:val="22"/>
              </w:rPr>
            </w:pPr>
            <w:r w:rsidRPr="00B24FC8">
              <w:rPr>
                <w:rFonts w:ascii="Garamond" w:hAnsi="Garamond"/>
                <w:sz w:val="22"/>
                <w:szCs w:val="22"/>
              </w:rPr>
              <w:t>40 CFR 61, Subparts B-F</w:t>
            </w:r>
          </w:p>
          <w:p w14:paraId="0ED436C1" w14:textId="77777777" w:rsidR="00B24FC8" w:rsidRPr="00B24FC8" w:rsidRDefault="00B24FC8" w:rsidP="00B24FC8">
            <w:pPr>
              <w:rPr>
                <w:rFonts w:ascii="Garamond" w:hAnsi="Garamond"/>
                <w:sz w:val="22"/>
                <w:szCs w:val="22"/>
              </w:rPr>
            </w:pPr>
            <w:r w:rsidRPr="00B24FC8">
              <w:rPr>
                <w:rFonts w:ascii="Garamond" w:hAnsi="Garamond"/>
                <w:sz w:val="22"/>
                <w:szCs w:val="22"/>
              </w:rPr>
              <w:t>40 CFR 61, Subparts H-I</w:t>
            </w:r>
          </w:p>
          <w:p w14:paraId="7E453DA9" w14:textId="77777777" w:rsidR="00B24FC8" w:rsidRPr="00B24FC8" w:rsidRDefault="00B24FC8" w:rsidP="00B24FC8">
            <w:pPr>
              <w:rPr>
                <w:rFonts w:ascii="Garamond" w:hAnsi="Garamond"/>
                <w:sz w:val="22"/>
                <w:szCs w:val="22"/>
              </w:rPr>
            </w:pPr>
            <w:r w:rsidRPr="00B24FC8">
              <w:rPr>
                <w:rFonts w:ascii="Garamond" w:hAnsi="Garamond"/>
                <w:sz w:val="22"/>
                <w:szCs w:val="22"/>
              </w:rPr>
              <w:t>40 CFR 61, Subparts K-R</w:t>
            </w:r>
          </w:p>
          <w:p w14:paraId="415B7B66" w14:textId="77777777" w:rsidR="00B24FC8" w:rsidRPr="00B24FC8" w:rsidRDefault="00B24FC8" w:rsidP="00B24FC8">
            <w:pPr>
              <w:rPr>
                <w:rFonts w:ascii="Garamond" w:hAnsi="Garamond"/>
                <w:sz w:val="22"/>
                <w:szCs w:val="22"/>
              </w:rPr>
            </w:pPr>
            <w:r w:rsidRPr="00B24FC8">
              <w:rPr>
                <w:rFonts w:ascii="Garamond" w:hAnsi="Garamond"/>
                <w:sz w:val="22"/>
                <w:szCs w:val="22"/>
              </w:rPr>
              <w:t>40 CFR 61, Subparts T</w:t>
            </w:r>
          </w:p>
          <w:p w14:paraId="6D99CD65" w14:textId="77777777" w:rsidR="00B24FC8" w:rsidRPr="00B24FC8" w:rsidRDefault="00B24FC8" w:rsidP="00B24FC8">
            <w:pPr>
              <w:rPr>
                <w:rFonts w:ascii="Garamond" w:hAnsi="Garamond"/>
                <w:sz w:val="22"/>
                <w:szCs w:val="22"/>
              </w:rPr>
            </w:pPr>
            <w:r w:rsidRPr="00B24FC8">
              <w:rPr>
                <w:rFonts w:ascii="Garamond" w:hAnsi="Garamond"/>
                <w:sz w:val="22"/>
                <w:szCs w:val="22"/>
              </w:rPr>
              <w:t>40 CFR 61, Subparts W</w:t>
            </w:r>
          </w:p>
          <w:p w14:paraId="406997A0" w14:textId="77777777" w:rsidR="00B24FC8" w:rsidRPr="00B24FC8" w:rsidRDefault="00B24FC8" w:rsidP="00B24FC8">
            <w:pPr>
              <w:rPr>
                <w:rFonts w:ascii="Garamond" w:hAnsi="Garamond"/>
                <w:sz w:val="22"/>
                <w:szCs w:val="22"/>
              </w:rPr>
            </w:pPr>
            <w:r w:rsidRPr="00B24FC8">
              <w:rPr>
                <w:rFonts w:ascii="Garamond" w:hAnsi="Garamond"/>
                <w:sz w:val="22"/>
                <w:szCs w:val="22"/>
              </w:rPr>
              <w:t>40 CFR 61, Subparts Y</w:t>
            </w:r>
          </w:p>
          <w:p w14:paraId="2DEA9963" w14:textId="77777777" w:rsidR="00B24FC8" w:rsidRPr="00B24FC8" w:rsidRDefault="00B24FC8" w:rsidP="00B24FC8">
            <w:pPr>
              <w:rPr>
                <w:rFonts w:ascii="Garamond" w:hAnsi="Garamond"/>
                <w:sz w:val="22"/>
                <w:szCs w:val="22"/>
              </w:rPr>
            </w:pPr>
            <w:r w:rsidRPr="00B24FC8">
              <w:rPr>
                <w:rFonts w:ascii="Garamond" w:hAnsi="Garamond"/>
                <w:sz w:val="22"/>
                <w:szCs w:val="22"/>
              </w:rPr>
              <w:t>40 CFR 61, Subparts BB</w:t>
            </w:r>
          </w:p>
          <w:p w14:paraId="1C0B30A7" w14:textId="77777777" w:rsidR="00B24FC8" w:rsidRPr="00B24FC8" w:rsidRDefault="00B24FC8" w:rsidP="00B24FC8">
            <w:pPr>
              <w:rPr>
                <w:rFonts w:ascii="Garamond" w:hAnsi="Garamond"/>
                <w:sz w:val="22"/>
                <w:szCs w:val="22"/>
              </w:rPr>
            </w:pPr>
            <w:r w:rsidRPr="00B24FC8">
              <w:rPr>
                <w:rFonts w:ascii="Garamond" w:hAnsi="Garamond"/>
                <w:sz w:val="22"/>
                <w:szCs w:val="22"/>
              </w:rPr>
              <w:t>40 CFR 61, Subparts FF</w:t>
            </w:r>
          </w:p>
          <w:p w14:paraId="7456274B"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F</w:t>
            </w:r>
          </w:p>
          <w:p w14:paraId="282E6408"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L-O</w:t>
            </w:r>
          </w:p>
          <w:p w14:paraId="16C03D15"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Q-U</w:t>
            </w:r>
          </w:p>
          <w:p w14:paraId="67F40E9E"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W-Y</w:t>
            </w:r>
          </w:p>
          <w:p w14:paraId="18E1A1E3"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AA-EE</w:t>
            </w:r>
          </w:p>
          <w:p w14:paraId="230C36D1"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 GG-NN</w:t>
            </w:r>
          </w:p>
          <w:p w14:paraId="269FAFFE"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CCC-EEE</w:t>
            </w:r>
          </w:p>
          <w:p w14:paraId="572F625D"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GGG-JJJ</w:t>
            </w:r>
          </w:p>
          <w:p w14:paraId="4FDD6160"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LLL-RRR</w:t>
            </w:r>
          </w:p>
          <w:p w14:paraId="7AED86AC"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TTT-VVV</w:t>
            </w:r>
          </w:p>
          <w:p w14:paraId="05547CC8"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XXX</w:t>
            </w:r>
          </w:p>
          <w:p w14:paraId="1543C7B8"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 AAAA</w:t>
            </w:r>
          </w:p>
          <w:p w14:paraId="6451A71F"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CCCC-YYYY</w:t>
            </w:r>
          </w:p>
          <w:p w14:paraId="2B8542D4" w14:textId="77777777" w:rsidR="00B24FC8" w:rsidRPr="00B24FC8" w:rsidRDefault="00B24FC8" w:rsidP="00B24FC8">
            <w:pPr>
              <w:rPr>
                <w:rFonts w:ascii="Garamond" w:hAnsi="Garamond"/>
                <w:sz w:val="22"/>
                <w:szCs w:val="22"/>
              </w:rPr>
            </w:pPr>
            <w:r w:rsidRPr="00B24FC8">
              <w:rPr>
                <w:rFonts w:ascii="Garamond" w:hAnsi="Garamond"/>
                <w:sz w:val="22"/>
                <w:szCs w:val="22"/>
              </w:rPr>
              <w:lastRenderedPageBreak/>
              <w:t>40 CFR 63, Subparts AAAAA-NNNNN</w:t>
            </w:r>
          </w:p>
          <w:p w14:paraId="32618E71"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PPPPP-UUUUU</w:t>
            </w:r>
          </w:p>
          <w:p w14:paraId="63A24D34"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WWWWW</w:t>
            </w:r>
          </w:p>
          <w:p w14:paraId="6478C105"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YYYYY-ZZZZZ</w:t>
            </w:r>
          </w:p>
          <w:p w14:paraId="0791C3B2"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BBBBBB-HHHHHH</w:t>
            </w:r>
          </w:p>
          <w:p w14:paraId="7E0D4632"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LLLLLL-TTTTTT</w:t>
            </w:r>
          </w:p>
          <w:p w14:paraId="5E4AF7C1"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VVVVVV-EEEEEE</w:t>
            </w:r>
          </w:p>
          <w:p w14:paraId="7D0F903C"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 HHHHHH</w:t>
            </w:r>
          </w:p>
        </w:tc>
        <w:tc>
          <w:tcPr>
            <w:tcW w:w="5220" w:type="dxa"/>
            <w:vAlign w:val="center"/>
          </w:tcPr>
          <w:p w14:paraId="591D47EE" w14:textId="77777777" w:rsidR="00B24FC8" w:rsidRPr="00B24FC8" w:rsidRDefault="00B24FC8" w:rsidP="00B24FC8">
            <w:pPr>
              <w:rPr>
                <w:rFonts w:ascii="Garamond" w:hAnsi="Garamond"/>
                <w:sz w:val="22"/>
                <w:szCs w:val="22"/>
              </w:rPr>
            </w:pPr>
            <w:r w:rsidRPr="00B24FC8">
              <w:rPr>
                <w:rFonts w:ascii="Garamond" w:hAnsi="Garamond"/>
                <w:sz w:val="22"/>
                <w:szCs w:val="22"/>
              </w:rPr>
              <w:lastRenderedPageBreak/>
              <w:t>These requirements are not applicable because the facility is not an affected source as defined in these regulations.</w:t>
            </w:r>
          </w:p>
        </w:tc>
      </w:tr>
      <w:tr w:rsidR="00B24FC8" w:rsidRPr="00B24FC8" w14:paraId="0BABAE53" w14:textId="77777777" w:rsidTr="00094765">
        <w:tc>
          <w:tcPr>
            <w:tcW w:w="4068" w:type="dxa"/>
            <w:vAlign w:val="center"/>
          </w:tcPr>
          <w:p w14:paraId="3E2B0979" w14:textId="77777777" w:rsidR="00B24FC8" w:rsidRPr="00B24FC8" w:rsidRDefault="00B24FC8" w:rsidP="00B24FC8">
            <w:pPr>
              <w:rPr>
                <w:rFonts w:ascii="Garamond" w:hAnsi="Garamond"/>
                <w:sz w:val="22"/>
                <w:szCs w:val="22"/>
              </w:rPr>
            </w:pPr>
            <w:r w:rsidRPr="00B24FC8">
              <w:rPr>
                <w:rFonts w:ascii="Garamond" w:hAnsi="Garamond"/>
                <w:sz w:val="22"/>
                <w:szCs w:val="22"/>
              </w:rPr>
              <w:t>40 CFR 72-78</w:t>
            </w:r>
          </w:p>
          <w:p w14:paraId="141734F6" w14:textId="77777777" w:rsidR="00B24FC8" w:rsidRPr="00B24FC8" w:rsidRDefault="00B24FC8" w:rsidP="00B24FC8">
            <w:pPr>
              <w:rPr>
                <w:rFonts w:ascii="Garamond" w:hAnsi="Garamond"/>
                <w:sz w:val="22"/>
                <w:szCs w:val="22"/>
              </w:rPr>
            </w:pPr>
            <w:r w:rsidRPr="00B24FC8">
              <w:rPr>
                <w:rFonts w:ascii="Garamond" w:hAnsi="Garamond"/>
                <w:sz w:val="22"/>
                <w:szCs w:val="22"/>
              </w:rPr>
              <w:t>ARM 17.8.1234</w:t>
            </w:r>
          </w:p>
        </w:tc>
        <w:tc>
          <w:tcPr>
            <w:tcW w:w="5220" w:type="dxa"/>
          </w:tcPr>
          <w:p w14:paraId="59577837" w14:textId="77777777" w:rsidR="00B24FC8" w:rsidRPr="00B24FC8" w:rsidRDefault="00B24FC8" w:rsidP="00B24FC8">
            <w:pPr>
              <w:rPr>
                <w:rFonts w:ascii="Garamond" w:hAnsi="Garamond"/>
                <w:sz w:val="22"/>
                <w:szCs w:val="22"/>
              </w:rPr>
            </w:pPr>
            <w:r w:rsidRPr="00B24FC8">
              <w:rPr>
                <w:rFonts w:ascii="Garamond" w:hAnsi="Garamond"/>
                <w:sz w:val="22"/>
                <w:szCs w:val="22"/>
              </w:rPr>
              <w:t>These requirements are not applicable because the facility is not an affected source as defined by the acid rain regulations.</w:t>
            </w:r>
          </w:p>
        </w:tc>
      </w:tr>
    </w:tbl>
    <w:p w14:paraId="282D4735" w14:textId="77777777" w:rsidR="00B24FC8" w:rsidRDefault="00B24FC8">
      <w:pPr>
        <w:pStyle w:val="Header"/>
        <w:tabs>
          <w:tab w:val="clear" w:pos="4320"/>
          <w:tab w:val="clear" w:pos="8640"/>
        </w:tabs>
        <w:rPr>
          <w:rFonts w:ascii="Garamond" w:hAnsi="Garamond"/>
          <w:color w:val="000000" w:themeColor="text1"/>
          <w:sz w:val="24"/>
          <w:szCs w:val="24"/>
        </w:rPr>
      </w:pPr>
    </w:p>
    <w:p w14:paraId="745CC613" w14:textId="77777777" w:rsidR="00B24FC8" w:rsidRDefault="00B24FC8">
      <w:pPr>
        <w:pStyle w:val="Header"/>
        <w:tabs>
          <w:tab w:val="clear" w:pos="4320"/>
          <w:tab w:val="clear" w:pos="8640"/>
        </w:tabs>
        <w:rPr>
          <w:rFonts w:ascii="Garamond" w:hAnsi="Garamond"/>
          <w:color w:val="000000" w:themeColor="text1"/>
          <w:sz w:val="24"/>
          <w:szCs w:val="24"/>
        </w:rPr>
      </w:pPr>
    </w:p>
    <w:p w14:paraId="38F40E98" w14:textId="4F8D22CD" w:rsidR="00B24FC8" w:rsidRPr="00767E44" w:rsidRDefault="00B24FC8">
      <w:pPr>
        <w:pStyle w:val="Header"/>
        <w:tabs>
          <w:tab w:val="clear" w:pos="4320"/>
          <w:tab w:val="clear" w:pos="8640"/>
        </w:tabs>
        <w:rPr>
          <w:rFonts w:ascii="Garamond" w:hAnsi="Garamond"/>
          <w:color w:val="000000" w:themeColor="text1"/>
          <w:sz w:val="24"/>
        </w:rPr>
        <w:sectPr w:rsidR="00B24FC8" w:rsidRPr="00767E44" w:rsidSect="00EB78AF">
          <w:pgSz w:w="12240" w:h="15840"/>
          <w:pgMar w:top="1152" w:right="1440" w:bottom="1008" w:left="1440" w:header="720" w:footer="720" w:gutter="0"/>
          <w:cols w:space="720"/>
        </w:sectPr>
      </w:pPr>
    </w:p>
    <w:p w14:paraId="18547234" w14:textId="77777777" w:rsidR="002F5D7E" w:rsidRDefault="002F5D7E">
      <w:pPr>
        <w:pStyle w:val="Heading1"/>
        <w:rPr>
          <w:rFonts w:ascii="Garamond" w:hAnsi="Garamond"/>
          <w:sz w:val="24"/>
          <w:szCs w:val="24"/>
        </w:rPr>
      </w:pPr>
      <w:bookmarkStart w:id="21" w:name="_Toc219189929"/>
      <w:r w:rsidRPr="00F82CFD">
        <w:rPr>
          <w:rFonts w:ascii="Garamond" w:hAnsi="Garamond"/>
          <w:sz w:val="24"/>
          <w:szCs w:val="24"/>
        </w:rPr>
        <w:lastRenderedPageBreak/>
        <w:t>FUTURE PERMIT CONSIDERATIONS</w:t>
      </w:r>
      <w:bookmarkEnd w:id="21"/>
    </w:p>
    <w:p w14:paraId="4AB14280" w14:textId="77777777" w:rsidR="00624EAE" w:rsidRPr="00624EAE" w:rsidRDefault="00624EAE" w:rsidP="00624EAE"/>
    <w:p w14:paraId="7CEECD5C" w14:textId="77777777" w:rsidR="002F5D7E" w:rsidRDefault="002F5D7E" w:rsidP="00624EAE">
      <w:pPr>
        <w:pStyle w:val="Heading2"/>
        <w:numPr>
          <w:ilvl w:val="0"/>
          <w:numId w:val="23"/>
        </w:numPr>
        <w:spacing w:before="0" w:beforeAutospacing="0" w:after="0" w:afterAutospacing="0"/>
        <w:rPr>
          <w:rFonts w:ascii="Garamond" w:hAnsi="Garamond"/>
          <w:sz w:val="24"/>
          <w:szCs w:val="24"/>
        </w:rPr>
      </w:pPr>
      <w:bookmarkStart w:id="22" w:name="_Toc219189930"/>
      <w:r w:rsidRPr="00F82CFD">
        <w:rPr>
          <w:rFonts w:ascii="Garamond" w:hAnsi="Garamond"/>
          <w:sz w:val="24"/>
          <w:szCs w:val="24"/>
        </w:rPr>
        <w:t xml:space="preserve">MACT </w:t>
      </w:r>
      <w:r w:rsidRPr="003A69A9">
        <w:rPr>
          <w:rFonts w:ascii="Garamond" w:hAnsi="Garamond"/>
          <w:sz w:val="24"/>
          <w:szCs w:val="24"/>
        </w:rPr>
        <w:t>Standards (Part 63)</w:t>
      </w:r>
      <w:bookmarkEnd w:id="22"/>
    </w:p>
    <w:p w14:paraId="7674E50D" w14:textId="77777777" w:rsidR="00624EAE" w:rsidRPr="00624EAE" w:rsidRDefault="00624EAE" w:rsidP="00624EAE"/>
    <w:p w14:paraId="01728421" w14:textId="6D735EE4" w:rsidR="00A9424F" w:rsidRPr="006711F4" w:rsidRDefault="00A22FD4" w:rsidP="00A9424F">
      <w:pPr>
        <w:rPr>
          <w:rFonts w:ascii="Garamond" w:hAnsi="Garamond"/>
          <w:sz w:val="24"/>
          <w:szCs w:val="24"/>
        </w:rPr>
      </w:pPr>
      <w:r w:rsidRPr="006711F4">
        <w:rPr>
          <w:rFonts w:ascii="Garamond" w:hAnsi="Garamond"/>
          <w:sz w:val="24"/>
          <w:szCs w:val="24"/>
        </w:rPr>
        <w:t>T</w:t>
      </w:r>
      <w:r w:rsidR="006711F4">
        <w:rPr>
          <w:rFonts w:ascii="Garamond" w:hAnsi="Garamond"/>
          <w:sz w:val="24"/>
          <w:szCs w:val="24"/>
        </w:rPr>
        <w:t>he</w:t>
      </w:r>
      <w:r w:rsidRPr="006711F4">
        <w:rPr>
          <w:rFonts w:ascii="Garamond" w:hAnsi="Garamond"/>
          <w:sz w:val="24"/>
          <w:szCs w:val="24"/>
        </w:rPr>
        <w:t xml:space="preserve"> YCGS facility is relatively simple in that Subpart A and Subpart ZZZZ are the only applicable MACT standards.</w:t>
      </w:r>
    </w:p>
    <w:p w14:paraId="34DBE7B6" w14:textId="77777777" w:rsidR="006711F4" w:rsidRDefault="006711F4" w:rsidP="00A9424F">
      <w:pPr>
        <w:rPr>
          <w:rFonts w:ascii="Garamond" w:hAnsi="Garamond"/>
          <w:sz w:val="24"/>
          <w:szCs w:val="24"/>
        </w:rPr>
      </w:pPr>
    </w:p>
    <w:p w14:paraId="4D41B450" w14:textId="7E0C31B5" w:rsidR="00A22FD4" w:rsidRDefault="00A22FD4" w:rsidP="00A9424F">
      <w:r w:rsidRPr="006711F4">
        <w:rPr>
          <w:rFonts w:ascii="Garamond" w:hAnsi="Garamond"/>
          <w:sz w:val="24"/>
          <w:szCs w:val="24"/>
        </w:rPr>
        <w:t>Subpart ZZZZ</w:t>
      </w:r>
      <w:r w:rsidR="006711F4" w:rsidRPr="006711F4">
        <w:rPr>
          <w:rFonts w:ascii="Garamond" w:hAnsi="Garamond"/>
          <w:sz w:val="24"/>
          <w:szCs w:val="24"/>
        </w:rPr>
        <w:t>- National Emission Standards for Hazardous Air Pollutants for Stationary Reciprocating Internal Combustion Engines</w:t>
      </w:r>
      <w:r w:rsidR="006711F4">
        <w:t>.</w:t>
      </w:r>
    </w:p>
    <w:p w14:paraId="0F65DAA7" w14:textId="77777777" w:rsidR="00624EAE" w:rsidRPr="00A9424F" w:rsidRDefault="00624EAE" w:rsidP="00A9424F"/>
    <w:p w14:paraId="704940AC" w14:textId="77777777" w:rsidR="002F5D7E" w:rsidRDefault="002F5D7E" w:rsidP="00624EAE">
      <w:pPr>
        <w:pStyle w:val="Heading2"/>
        <w:spacing w:before="0" w:beforeAutospacing="0" w:after="0" w:afterAutospacing="0"/>
        <w:rPr>
          <w:rFonts w:ascii="Garamond" w:hAnsi="Garamond"/>
          <w:sz w:val="24"/>
          <w:szCs w:val="24"/>
        </w:rPr>
      </w:pPr>
      <w:bookmarkStart w:id="23" w:name="_Toc219189931"/>
      <w:r w:rsidRPr="003A69A9">
        <w:rPr>
          <w:rFonts w:ascii="Garamond" w:hAnsi="Garamond"/>
          <w:sz w:val="24"/>
          <w:szCs w:val="24"/>
        </w:rPr>
        <w:t>NESHAP Standards (Part 61)</w:t>
      </w:r>
      <w:bookmarkEnd w:id="23"/>
    </w:p>
    <w:p w14:paraId="5A324410" w14:textId="77777777" w:rsidR="00624EAE" w:rsidRPr="00624EAE" w:rsidRDefault="00624EAE" w:rsidP="00624EAE"/>
    <w:p w14:paraId="3B99826D" w14:textId="3E27211D" w:rsidR="00A9424F" w:rsidRDefault="00E007BB" w:rsidP="00A9424F">
      <w:pPr>
        <w:rPr>
          <w:rFonts w:ascii="Garamond" w:hAnsi="Garamond"/>
          <w:sz w:val="24"/>
          <w:szCs w:val="24"/>
        </w:rPr>
      </w:pPr>
      <w:r>
        <w:rPr>
          <w:rFonts w:ascii="Garamond" w:hAnsi="Garamond"/>
          <w:sz w:val="24"/>
          <w:szCs w:val="24"/>
        </w:rPr>
        <w:t>DEQ</w:t>
      </w:r>
      <w:r w:rsidR="00EB2757" w:rsidRPr="00EB2757">
        <w:rPr>
          <w:rFonts w:ascii="Garamond" w:hAnsi="Garamond"/>
          <w:sz w:val="24"/>
          <w:szCs w:val="24"/>
        </w:rPr>
        <w:t xml:space="preserve"> is not aware of any proposed or pending NESHAP standards, in addition to those </w:t>
      </w:r>
      <w:r w:rsidR="006711F4">
        <w:rPr>
          <w:rFonts w:ascii="Garamond" w:hAnsi="Garamond"/>
          <w:sz w:val="24"/>
          <w:szCs w:val="24"/>
        </w:rPr>
        <w:t xml:space="preserve">that </w:t>
      </w:r>
      <w:r w:rsidR="00EB2757" w:rsidRPr="00EB2757">
        <w:rPr>
          <w:rFonts w:ascii="Garamond" w:hAnsi="Garamond"/>
          <w:sz w:val="24"/>
          <w:szCs w:val="24"/>
        </w:rPr>
        <w:t>already may be listed, that may be applicable.</w:t>
      </w:r>
    </w:p>
    <w:p w14:paraId="0908D686" w14:textId="77777777" w:rsidR="00624EAE" w:rsidRPr="00EB2757" w:rsidRDefault="00624EAE" w:rsidP="00A9424F">
      <w:pPr>
        <w:rPr>
          <w:rFonts w:ascii="Garamond" w:hAnsi="Garamond"/>
          <w:sz w:val="24"/>
          <w:szCs w:val="24"/>
        </w:rPr>
      </w:pPr>
    </w:p>
    <w:p w14:paraId="4543093C" w14:textId="77777777" w:rsidR="002F5D7E" w:rsidRDefault="002F5D7E" w:rsidP="00624EAE">
      <w:pPr>
        <w:pStyle w:val="Heading2"/>
        <w:spacing w:before="0" w:beforeAutospacing="0" w:after="0" w:afterAutospacing="0"/>
        <w:rPr>
          <w:rFonts w:ascii="Garamond" w:hAnsi="Garamond"/>
          <w:sz w:val="24"/>
          <w:szCs w:val="24"/>
        </w:rPr>
      </w:pPr>
      <w:bookmarkStart w:id="24" w:name="_Toc219189932"/>
      <w:r w:rsidRPr="00F82CFD">
        <w:rPr>
          <w:rFonts w:ascii="Garamond" w:hAnsi="Garamond"/>
          <w:sz w:val="24"/>
          <w:szCs w:val="24"/>
        </w:rPr>
        <w:t>NSPS Standards</w:t>
      </w:r>
      <w:bookmarkEnd w:id="24"/>
    </w:p>
    <w:p w14:paraId="1E094224" w14:textId="77777777" w:rsidR="00624EAE" w:rsidRPr="00624EAE" w:rsidRDefault="00624EAE" w:rsidP="00624EAE"/>
    <w:p w14:paraId="68EC26FA" w14:textId="090427DD" w:rsidR="00A9424F" w:rsidRPr="00EC7B17" w:rsidRDefault="00EB2757" w:rsidP="00A9424F">
      <w:pPr>
        <w:rPr>
          <w:rFonts w:ascii="Garamond" w:hAnsi="Garamond"/>
          <w:sz w:val="24"/>
          <w:szCs w:val="24"/>
        </w:rPr>
      </w:pPr>
      <w:r w:rsidRPr="00EC7B17">
        <w:rPr>
          <w:rFonts w:ascii="Garamond" w:hAnsi="Garamond"/>
          <w:sz w:val="24"/>
          <w:szCs w:val="24"/>
        </w:rPr>
        <w:t>The YCGS facility is relatively simple in that Subpart A, Subpart IIII, and Subpart JJJJ</w:t>
      </w:r>
      <w:r w:rsidR="00EC7B17" w:rsidRPr="00EC7B17">
        <w:rPr>
          <w:rFonts w:ascii="Garamond" w:hAnsi="Garamond"/>
          <w:sz w:val="24"/>
          <w:szCs w:val="24"/>
        </w:rPr>
        <w:t xml:space="preserve"> are the only applicable New Source Performance Standards.</w:t>
      </w:r>
    </w:p>
    <w:p w14:paraId="081BBCE9" w14:textId="77777777" w:rsidR="00EC7B17" w:rsidRPr="00EC7B17" w:rsidRDefault="00EC7B17" w:rsidP="00A9424F">
      <w:pPr>
        <w:rPr>
          <w:rFonts w:ascii="Garamond" w:hAnsi="Garamond"/>
          <w:sz w:val="24"/>
          <w:szCs w:val="24"/>
        </w:rPr>
      </w:pPr>
    </w:p>
    <w:p w14:paraId="491A5407" w14:textId="716CE910" w:rsidR="00EC7B17" w:rsidRPr="00EC7B17" w:rsidRDefault="00EC7B17" w:rsidP="00A9424F">
      <w:pPr>
        <w:rPr>
          <w:rFonts w:ascii="Garamond" w:hAnsi="Garamond"/>
          <w:sz w:val="24"/>
          <w:szCs w:val="24"/>
        </w:rPr>
      </w:pPr>
      <w:r w:rsidRPr="00EC7B17">
        <w:rPr>
          <w:rFonts w:ascii="Garamond" w:hAnsi="Garamond"/>
          <w:sz w:val="24"/>
          <w:szCs w:val="24"/>
        </w:rPr>
        <w:t>Subpart JJJJ-</w:t>
      </w:r>
      <w:r w:rsidRPr="00EC7B17">
        <w:rPr>
          <w:sz w:val="24"/>
          <w:szCs w:val="24"/>
        </w:rPr>
        <w:t xml:space="preserve"> </w:t>
      </w:r>
      <w:r w:rsidRPr="00EC7B17">
        <w:rPr>
          <w:rFonts w:ascii="Garamond" w:hAnsi="Garamond"/>
          <w:sz w:val="24"/>
          <w:szCs w:val="24"/>
        </w:rPr>
        <w:t>Standards of Performance for Stationary Spark Ignition Internal Combustion Engines</w:t>
      </w:r>
      <w:r w:rsidR="00B24FC8">
        <w:rPr>
          <w:rFonts w:ascii="Garamond" w:hAnsi="Garamond"/>
          <w:sz w:val="24"/>
          <w:szCs w:val="24"/>
        </w:rPr>
        <w:t>.</w:t>
      </w:r>
    </w:p>
    <w:p w14:paraId="3359499E" w14:textId="7A360578" w:rsidR="00EC7B17" w:rsidRDefault="00EC7B17" w:rsidP="00A9424F">
      <w:pPr>
        <w:rPr>
          <w:rFonts w:ascii="Garamond" w:hAnsi="Garamond"/>
          <w:sz w:val="24"/>
          <w:szCs w:val="24"/>
        </w:rPr>
      </w:pPr>
      <w:r w:rsidRPr="00EC7B17">
        <w:rPr>
          <w:rFonts w:ascii="Garamond" w:hAnsi="Garamond"/>
          <w:sz w:val="24"/>
          <w:szCs w:val="24"/>
        </w:rPr>
        <w:t>Subpart IIII- Standards of Performance for Stationary Compression Ignition Internal Combustion Engine</w:t>
      </w:r>
      <w:r w:rsidR="00B24FC8">
        <w:rPr>
          <w:rFonts w:ascii="Garamond" w:hAnsi="Garamond"/>
          <w:sz w:val="24"/>
          <w:szCs w:val="24"/>
        </w:rPr>
        <w:t>.</w:t>
      </w:r>
    </w:p>
    <w:p w14:paraId="74A195CF" w14:textId="77777777" w:rsidR="00624EAE" w:rsidRPr="00EC7B17" w:rsidRDefault="00624EAE" w:rsidP="00A9424F">
      <w:pPr>
        <w:rPr>
          <w:rFonts w:ascii="Garamond" w:hAnsi="Garamond"/>
          <w:sz w:val="24"/>
          <w:szCs w:val="24"/>
        </w:rPr>
      </w:pPr>
    </w:p>
    <w:p w14:paraId="4611AD37" w14:textId="5BABFF08" w:rsidR="002F5D7E" w:rsidRDefault="002F5D7E" w:rsidP="00624EAE">
      <w:pPr>
        <w:pStyle w:val="Heading2"/>
        <w:spacing w:before="0" w:beforeAutospacing="0" w:after="0" w:afterAutospacing="0"/>
        <w:rPr>
          <w:rFonts w:ascii="Garamond" w:hAnsi="Garamond"/>
          <w:sz w:val="24"/>
          <w:szCs w:val="24"/>
        </w:rPr>
      </w:pPr>
      <w:bookmarkStart w:id="25" w:name="_Toc219189933"/>
      <w:r w:rsidRPr="00F82CFD">
        <w:rPr>
          <w:rFonts w:ascii="Garamond" w:hAnsi="Garamond"/>
          <w:sz w:val="24"/>
          <w:szCs w:val="24"/>
        </w:rPr>
        <w:t>Risk Management Plan</w:t>
      </w:r>
      <w:bookmarkEnd w:id="25"/>
    </w:p>
    <w:p w14:paraId="09FF4308" w14:textId="77777777" w:rsidR="00624EAE" w:rsidRPr="00624EAE" w:rsidRDefault="00624EAE" w:rsidP="00624EAE"/>
    <w:p w14:paraId="2F2EEDD3" w14:textId="52E6D6BD" w:rsidR="002F5D7E" w:rsidRDefault="002F5D7E" w:rsidP="00A9424F">
      <w:pPr>
        <w:pStyle w:val="Header"/>
        <w:tabs>
          <w:tab w:val="clear" w:pos="4320"/>
          <w:tab w:val="clear" w:pos="8640"/>
        </w:tabs>
        <w:rPr>
          <w:rFonts w:ascii="Garamond" w:hAnsi="Garamond"/>
          <w:sz w:val="24"/>
          <w:szCs w:val="24"/>
        </w:rPr>
      </w:pPr>
      <w:r w:rsidRPr="00F82CFD">
        <w:rPr>
          <w:rFonts w:ascii="Garamond" w:hAnsi="Garamond"/>
          <w:sz w:val="24"/>
          <w:szCs w:val="24"/>
        </w:rPr>
        <w:t>As of this date (</w:t>
      </w:r>
      <w:r w:rsidR="00EC7B17">
        <w:rPr>
          <w:rFonts w:ascii="Garamond" w:hAnsi="Garamond"/>
          <w:sz w:val="24"/>
          <w:szCs w:val="24"/>
        </w:rPr>
        <w:t>11</w:t>
      </w:r>
      <w:r w:rsidRPr="00F82CFD">
        <w:rPr>
          <w:rFonts w:ascii="Garamond" w:hAnsi="Garamond"/>
          <w:sz w:val="24"/>
          <w:szCs w:val="24"/>
        </w:rPr>
        <w:t>/</w:t>
      </w:r>
      <w:r w:rsidR="00EC7B17">
        <w:rPr>
          <w:rFonts w:ascii="Garamond" w:hAnsi="Garamond"/>
          <w:sz w:val="24"/>
          <w:szCs w:val="24"/>
        </w:rPr>
        <w:t>17</w:t>
      </w:r>
      <w:r w:rsidRPr="00F82CFD">
        <w:rPr>
          <w:rFonts w:ascii="Garamond" w:hAnsi="Garamond"/>
          <w:sz w:val="24"/>
          <w:szCs w:val="24"/>
        </w:rPr>
        <w:t>/</w:t>
      </w:r>
      <w:r w:rsidR="00EC7B17">
        <w:rPr>
          <w:rFonts w:ascii="Garamond" w:hAnsi="Garamond"/>
          <w:sz w:val="24"/>
          <w:szCs w:val="24"/>
        </w:rPr>
        <w:t>25</w:t>
      </w:r>
      <w:r w:rsidRPr="00F82CFD">
        <w:rPr>
          <w:rFonts w:ascii="Garamond" w:hAnsi="Garamond"/>
          <w:sz w:val="24"/>
          <w:szCs w:val="24"/>
        </w:rPr>
        <w:t>), this facility does not exceed the minimum threshold quantities for any regulated substance listed in 40 CFR 68.115 for any facility process.  Consequently, this facility is not required to submit a Risk Management Plan.</w:t>
      </w:r>
    </w:p>
    <w:p w14:paraId="55C7882F" w14:textId="77777777" w:rsidR="00A22FD4" w:rsidRDefault="00A22FD4" w:rsidP="00A9424F">
      <w:pPr>
        <w:pStyle w:val="Header"/>
        <w:tabs>
          <w:tab w:val="clear" w:pos="4320"/>
          <w:tab w:val="clear" w:pos="8640"/>
        </w:tabs>
        <w:rPr>
          <w:rFonts w:ascii="Garamond" w:hAnsi="Garamond"/>
          <w:sz w:val="24"/>
          <w:szCs w:val="24"/>
        </w:rPr>
      </w:pPr>
    </w:p>
    <w:p w14:paraId="0A0DD3BF" w14:textId="5A75A9DD" w:rsidR="00A22FD4" w:rsidRPr="00F82CFD" w:rsidRDefault="00A22FD4" w:rsidP="00A22FD4">
      <w:pPr>
        <w:pStyle w:val="Header"/>
        <w:rPr>
          <w:rFonts w:ascii="Garamond" w:hAnsi="Garamond"/>
          <w:sz w:val="24"/>
          <w:szCs w:val="24"/>
        </w:rPr>
      </w:pPr>
      <w:r w:rsidRPr="00A22FD4">
        <w:rPr>
          <w:rFonts w:ascii="Garamond" w:hAnsi="Garamond"/>
          <w:sz w:val="24"/>
          <w:szCs w:val="24"/>
        </w:rPr>
        <w:t>Aqueous ammonia will be injected in the proposed</w:t>
      </w:r>
      <w:r>
        <w:rPr>
          <w:rFonts w:ascii="Garamond" w:hAnsi="Garamond"/>
          <w:sz w:val="24"/>
          <w:szCs w:val="24"/>
        </w:rPr>
        <w:t xml:space="preserve"> </w:t>
      </w:r>
      <w:r w:rsidRPr="00A22FD4">
        <w:rPr>
          <w:rFonts w:ascii="Garamond" w:hAnsi="Garamond"/>
          <w:sz w:val="24"/>
          <w:szCs w:val="24"/>
        </w:rPr>
        <w:t>RICE exhaust for NO</w:t>
      </w:r>
      <w:r>
        <w:rPr>
          <w:rFonts w:ascii="Garamond" w:hAnsi="Garamond"/>
          <w:sz w:val="24"/>
          <w:szCs w:val="24"/>
        </w:rPr>
        <w:t>x</w:t>
      </w:r>
      <w:r w:rsidRPr="00A22FD4">
        <w:rPr>
          <w:rFonts w:ascii="Garamond" w:hAnsi="Garamond"/>
          <w:sz w:val="24"/>
          <w:szCs w:val="24"/>
        </w:rPr>
        <w:t xml:space="preserve"> control in a Selective Catalytic Reduction catalyst. Per Table 1 of</w:t>
      </w:r>
      <w:r>
        <w:rPr>
          <w:rFonts w:ascii="Garamond" w:hAnsi="Garamond"/>
          <w:sz w:val="24"/>
          <w:szCs w:val="24"/>
        </w:rPr>
        <w:t xml:space="preserve"> </w:t>
      </w:r>
      <w:r w:rsidRPr="00A22FD4">
        <w:rPr>
          <w:rFonts w:ascii="Garamond" w:hAnsi="Garamond"/>
          <w:sz w:val="24"/>
          <w:szCs w:val="24"/>
        </w:rPr>
        <w:t>§68.130, aqueous ammonia is a regulated substance. However, the size of the</w:t>
      </w:r>
      <w:r>
        <w:rPr>
          <w:rFonts w:ascii="Garamond" w:hAnsi="Garamond"/>
          <w:sz w:val="24"/>
          <w:szCs w:val="24"/>
        </w:rPr>
        <w:t xml:space="preserve"> </w:t>
      </w:r>
      <w:r w:rsidRPr="00A22FD4">
        <w:rPr>
          <w:rFonts w:ascii="Garamond" w:hAnsi="Garamond"/>
          <w:sz w:val="24"/>
          <w:szCs w:val="24"/>
        </w:rPr>
        <w:t>proposed ammonia tanks (two each at 10,000 gallons) and the concentration of</w:t>
      </w:r>
      <w:r>
        <w:rPr>
          <w:rFonts w:ascii="Garamond" w:hAnsi="Garamond"/>
          <w:sz w:val="24"/>
          <w:szCs w:val="24"/>
        </w:rPr>
        <w:t xml:space="preserve"> </w:t>
      </w:r>
      <w:r w:rsidRPr="00A22FD4">
        <w:rPr>
          <w:rFonts w:ascii="Garamond" w:hAnsi="Garamond"/>
          <w:sz w:val="24"/>
          <w:szCs w:val="24"/>
        </w:rPr>
        <w:t>ammonia used (19%) is below the threshold values of Table 1</w:t>
      </w:r>
    </w:p>
    <w:p w14:paraId="36667F23" w14:textId="77777777" w:rsidR="002F5D7E" w:rsidRPr="00F82CFD" w:rsidRDefault="002F5D7E">
      <w:pPr>
        <w:ind w:left="360"/>
        <w:rPr>
          <w:rFonts w:ascii="Garamond" w:hAnsi="Garamond"/>
          <w:sz w:val="24"/>
          <w:szCs w:val="24"/>
        </w:rPr>
      </w:pPr>
    </w:p>
    <w:p w14:paraId="15282022" w14:textId="77777777" w:rsidR="002F5D7E" w:rsidRDefault="002F5D7E" w:rsidP="00A9424F">
      <w:pPr>
        <w:pStyle w:val="Header"/>
        <w:tabs>
          <w:tab w:val="clear" w:pos="4320"/>
          <w:tab w:val="clear" w:pos="8640"/>
        </w:tabs>
        <w:rPr>
          <w:rFonts w:ascii="Garamond" w:hAnsi="Garamond"/>
          <w:sz w:val="24"/>
          <w:szCs w:val="24"/>
        </w:rPr>
      </w:pPr>
      <w:r w:rsidRPr="00F82CFD">
        <w:rPr>
          <w:rFonts w:ascii="Garamond" w:hAnsi="Garamond"/>
          <w:sz w:val="24"/>
          <w:szCs w:val="24"/>
        </w:rPr>
        <w:t>If a facility has more than a threshold quantity of a regulated substance in a process, the facility must comply with 40 CFR 68 requirements no later than June 21, 1999; three years after the date on which a regulated substance is first listed under 40 CFR 68.130; or the date on which a regulated substance is first present in more than a threshold quantity in a process, whichever is later.</w:t>
      </w:r>
    </w:p>
    <w:p w14:paraId="29A63128" w14:textId="77777777" w:rsidR="00624EAE" w:rsidRPr="00F82CFD" w:rsidRDefault="00624EAE" w:rsidP="00A9424F">
      <w:pPr>
        <w:pStyle w:val="Header"/>
        <w:tabs>
          <w:tab w:val="clear" w:pos="4320"/>
          <w:tab w:val="clear" w:pos="8640"/>
        </w:tabs>
        <w:rPr>
          <w:rFonts w:ascii="Garamond" w:hAnsi="Garamond"/>
          <w:sz w:val="24"/>
          <w:szCs w:val="24"/>
        </w:rPr>
      </w:pPr>
    </w:p>
    <w:p w14:paraId="32A9C162" w14:textId="77777777" w:rsidR="002F5D7E" w:rsidRDefault="002F5D7E" w:rsidP="00624EAE">
      <w:pPr>
        <w:pStyle w:val="Heading2"/>
        <w:spacing w:before="0" w:beforeAutospacing="0" w:after="0" w:afterAutospacing="0"/>
        <w:rPr>
          <w:rFonts w:ascii="Garamond" w:hAnsi="Garamond"/>
          <w:sz w:val="24"/>
          <w:szCs w:val="24"/>
        </w:rPr>
      </w:pPr>
      <w:bookmarkStart w:id="26" w:name="_Toc219189934"/>
      <w:r w:rsidRPr="00F82CFD">
        <w:rPr>
          <w:rFonts w:ascii="Garamond" w:hAnsi="Garamond"/>
          <w:sz w:val="24"/>
          <w:szCs w:val="24"/>
        </w:rPr>
        <w:t>CAM Applicability</w:t>
      </w:r>
      <w:bookmarkEnd w:id="26"/>
    </w:p>
    <w:p w14:paraId="3165226B" w14:textId="77777777" w:rsidR="00624EAE" w:rsidRPr="00624EAE" w:rsidRDefault="00624EAE" w:rsidP="00624EAE"/>
    <w:p w14:paraId="24EF2694" w14:textId="77777777" w:rsidR="002F5D7E" w:rsidRPr="00F82CFD" w:rsidRDefault="002F5D7E" w:rsidP="00A9424F">
      <w:pPr>
        <w:pStyle w:val="Header"/>
        <w:tabs>
          <w:tab w:val="clear" w:pos="4320"/>
          <w:tab w:val="clear" w:pos="8640"/>
        </w:tabs>
        <w:rPr>
          <w:rFonts w:ascii="Garamond" w:hAnsi="Garamond"/>
          <w:color w:val="000000"/>
          <w:sz w:val="24"/>
          <w:szCs w:val="24"/>
        </w:rPr>
      </w:pPr>
      <w:r w:rsidRPr="00F82CFD">
        <w:rPr>
          <w:rFonts w:ascii="Garamond" w:hAnsi="Garamond"/>
          <w:color w:val="000000"/>
          <w:sz w:val="24"/>
          <w:szCs w:val="24"/>
        </w:rPr>
        <w:t xml:space="preserve">An emitting unit located at a Title V facility that meets the following criteria listed in ARM 17.8.1503 is subject to Subchapter 15 and must develop a CAM Plan for that unit: </w:t>
      </w:r>
    </w:p>
    <w:p w14:paraId="05A7B7B6" w14:textId="77777777" w:rsidR="002F5D7E" w:rsidRPr="00F82CFD" w:rsidRDefault="002F5D7E" w:rsidP="00CF049B">
      <w:pPr>
        <w:ind w:left="360"/>
        <w:rPr>
          <w:rFonts w:ascii="Garamond" w:hAnsi="Garamond"/>
          <w:color w:val="000000"/>
          <w:sz w:val="24"/>
          <w:szCs w:val="24"/>
        </w:rPr>
      </w:pPr>
    </w:p>
    <w:p w14:paraId="0E3F8096" w14:textId="77777777" w:rsidR="002F5D7E" w:rsidRPr="00F82CFD" w:rsidRDefault="002F5D7E" w:rsidP="00CF049B">
      <w:pPr>
        <w:numPr>
          <w:ilvl w:val="0"/>
          <w:numId w:val="24"/>
        </w:numPr>
        <w:tabs>
          <w:tab w:val="clear" w:pos="1440"/>
          <w:tab w:val="left" w:pos="720"/>
        </w:tabs>
        <w:autoSpaceDE w:val="0"/>
        <w:autoSpaceDN w:val="0"/>
        <w:adjustRightInd w:val="0"/>
        <w:ind w:left="720"/>
        <w:rPr>
          <w:rFonts w:ascii="Garamond" w:hAnsi="Garamond"/>
          <w:color w:val="000000"/>
          <w:sz w:val="24"/>
          <w:szCs w:val="24"/>
        </w:rPr>
      </w:pPr>
      <w:r w:rsidRPr="00F82CFD">
        <w:rPr>
          <w:rFonts w:ascii="Garamond" w:hAnsi="Garamond"/>
          <w:color w:val="000000"/>
          <w:sz w:val="24"/>
          <w:szCs w:val="24"/>
        </w:rPr>
        <w:t>The emitting unit is subject to an emission limitation or standard for the applicable regulated air pollutant (unless the limitation or standard that is exempt under ARM 17.8.1503(2)</w:t>
      </w:r>
      <w:proofErr w:type="gramStart"/>
      <w:r w:rsidRPr="00F82CFD">
        <w:rPr>
          <w:rFonts w:ascii="Garamond" w:hAnsi="Garamond"/>
          <w:color w:val="000000"/>
          <w:sz w:val="24"/>
          <w:szCs w:val="24"/>
        </w:rPr>
        <w:t>);</w:t>
      </w:r>
      <w:proofErr w:type="gramEnd"/>
      <w:r w:rsidRPr="00F82CFD">
        <w:rPr>
          <w:rFonts w:ascii="Garamond" w:hAnsi="Garamond"/>
          <w:color w:val="000000"/>
          <w:sz w:val="24"/>
          <w:szCs w:val="24"/>
        </w:rPr>
        <w:t xml:space="preserve"> </w:t>
      </w:r>
    </w:p>
    <w:p w14:paraId="3534A833" w14:textId="77777777" w:rsidR="002F5D7E" w:rsidRPr="00F82CFD" w:rsidRDefault="002F5D7E" w:rsidP="00CF049B">
      <w:pPr>
        <w:numPr>
          <w:ilvl w:val="0"/>
          <w:numId w:val="24"/>
        </w:numPr>
        <w:tabs>
          <w:tab w:val="clear" w:pos="1440"/>
          <w:tab w:val="left" w:pos="720"/>
        </w:tabs>
        <w:autoSpaceDE w:val="0"/>
        <w:autoSpaceDN w:val="0"/>
        <w:adjustRightInd w:val="0"/>
        <w:ind w:left="720"/>
        <w:rPr>
          <w:rFonts w:ascii="Garamond" w:hAnsi="Garamond"/>
          <w:color w:val="000000"/>
          <w:sz w:val="24"/>
          <w:szCs w:val="24"/>
        </w:rPr>
      </w:pPr>
      <w:r w:rsidRPr="00F82CFD">
        <w:rPr>
          <w:rFonts w:ascii="Garamond" w:hAnsi="Garamond"/>
          <w:color w:val="000000"/>
          <w:sz w:val="24"/>
          <w:szCs w:val="24"/>
        </w:rPr>
        <w:t xml:space="preserve">The emitting unit uses a control device to achieve compliance with such limit; and </w:t>
      </w:r>
    </w:p>
    <w:p w14:paraId="40257EB9" w14:textId="77777777" w:rsidR="002F5D7E" w:rsidRPr="00F82CFD" w:rsidRDefault="002F5D7E" w:rsidP="00CF049B">
      <w:pPr>
        <w:pStyle w:val="Default"/>
        <w:numPr>
          <w:ilvl w:val="0"/>
          <w:numId w:val="24"/>
        </w:numPr>
        <w:tabs>
          <w:tab w:val="clear" w:pos="1440"/>
          <w:tab w:val="left" w:pos="720"/>
        </w:tabs>
        <w:ind w:left="720"/>
        <w:rPr>
          <w:rFonts w:ascii="Garamond" w:hAnsi="Garamond"/>
        </w:rPr>
      </w:pPr>
      <w:r w:rsidRPr="00F82CFD">
        <w:rPr>
          <w:rFonts w:ascii="Garamond" w:hAnsi="Garamond"/>
        </w:rPr>
        <w:t xml:space="preserve">The emitting unit has potential pre-control device emission of the applicable regulated air pollutant that is greater than major source thresholds. </w:t>
      </w:r>
    </w:p>
    <w:p w14:paraId="797B6302" w14:textId="77777777" w:rsidR="002F5D7E" w:rsidRPr="00F82CFD" w:rsidRDefault="002F5D7E" w:rsidP="00CF049B">
      <w:pPr>
        <w:pStyle w:val="Default"/>
        <w:tabs>
          <w:tab w:val="left" w:pos="720"/>
        </w:tabs>
        <w:ind w:left="720"/>
        <w:rPr>
          <w:rFonts w:ascii="Garamond" w:hAnsi="Garamond"/>
        </w:rPr>
      </w:pPr>
    </w:p>
    <w:p w14:paraId="0D9241D6" w14:textId="778E453B" w:rsidR="002F5D7E" w:rsidRDefault="002F5D7E" w:rsidP="006711F4">
      <w:pPr>
        <w:pStyle w:val="Header"/>
        <w:tabs>
          <w:tab w:val="clear" w:pos="4320"/>
          <w:tab w:val="clear" w:pos="8640"/>
        </w:tabs>
        <w:rPr>
          <w:rFonts w:ascii="Garamond" w:hAnsi="Garamond"/>
          <w:color w:val="000000"/>
          <w:sz w:val="24"/>
          <w:szCs w:val="24"/>
        </w:rPr>
      </w:pPr>
      <w:r w:rsidRPr="00A22FD4">
        <w:rPr>
          <w:rFonts w:ascii="Garamond" w:hAnsi="Garamond"/>
          <w:color w:val="000000"/>
          <w:sz w:val="24"/>
          <w:szCs w:val="24"/>
        </w:rPr>
        <w:t>Unit(s) determination(s)</w:t>
      </w:r>
      <w:r w:rsidR="00EC7B17" w:rsidRPr="00A22FD4">
        <w:rPr>
          <w:rFonts w:ascii="Garamond" w:hAnsi="Garamond"/>
          <w:color w:val="000000"/>
          <w:sz w:val="24"/>
          <w:szCs w:val="24"/>
        </w:rPr>
        <w:t>:</w:t>
      </w:r>
    </w:p>
    <w:p w14:paraId="0E87764C" w14:textId="77777777" w:rsidR="00EC7B17" w:rsidRDefault="00EC7B17" w:rsidP="00CF049B">
      <w:pPr>
        <w:ind w:left="360"/>
        <w:rPr>
          <w:rFonts w:ascii="Garamond" w:hAnsi="Garamond"/>
          <w:color w:val="000000"/>
          <w:sz w:val="24"/>
          <w:szCs w:val="24"/>
        </w:rPr>
      </w:pPr>
    </w:p>
    <w:p w14:paraId="70D4044C" w14:textId="19DC9404" w:rsidR="00EC7B17" w:rsidRPr="00F82CFD" w:rsidRDefault="00A22FD4" w:rsidP="006711F4">
      <w:pPr>
        <w:pStyle w:val="Header"/>
        <w:tabs>
          <w:tab w:val="clear" w:pos="4320"/>
          <w:tab w:val="clear" w:pos="8640"/>
        </w:tabs>
        <w:rPr>
          <w:rFonts w:ascii="Garamond" w:hAnsi="Garamond"/>
          <w:color w:val="000000"/>
          <w:sz w:val="24"/>
          <w:szCs w:val="24"/>
        </w:rPr>
      </w:pPr>
      <w:r>
        <w:rPr>
          <w:rFonts w:ascii="Garamond" w:hAnsi="Garamond"/>
          <w:color w:val="000000"/>
          <w:sz w:val="24"/>
          <w:szCs w:val="24"/>
        </w:rPr>
        <w:t>The RICE meet the CAM requirements and NWE is subject to having a CAM plan in place for both NOx and CO.</w:t>
      </w:r>
      <w:r w:rsidR="006711F4">
        <w:rPr>
          <w:rFonts w:ascii="Garamond" w:hAnsi="Garamond"/>
          <w:color w:val="000000"/>
          <w:sz w:val="24"/>
          <w:szCs w:val="24"/>
        </w:rPr>
        <w:t xml:space="preserve"> The required CAM plans </w:t>
      </w:r>
      <w:r w:rsidR="003D4501">
        <w:rPr>
          <w:rFonts w:ascii="Garamond" w:hAnsi="Garamond"/>
          <w:color w:val="000000"/>
          <w:sz w:val="24"/>
          <w:szCs w:val="24"/>
        </w:rPr>
        <w:t>are in</w:t>
      </w:r>
      <w:r w:rsidR="006711F4">
        <w:rPr>
          <w:rFonts w:ascii="Garamond" w:hAnsi="Garamond"/>
          <w:color w:val="000000"/>
          <w:sz w:val="24"/>
          <w:szCs w:val="24"/>
        </w:rPr>
        <w:t xml:space="preserve"> the </w:t>
      </w:r>
      <w:r w:rsidR="002E35F5">
        <w:rPr>
          <w:rFonts w:ascii="Garamond" w:hAnsi="Garamond"/>
          <w:color w:val="000000"/>
          <w:sz w:val="24"/>
          <w:szCs w:val="24"/>
        </w:rPr>
        <w:t>Appendices</w:t>
      </w:r>
      <w:r w:rsidR="006711F4">
        <w:rPr>
          <w:rFonts w:ascii="Garamond" w:hAnsi="Garamond"/>
          <w:color w:val="000000"/>
          <w:sz w:val="24"/>
          <w:szCs w:val="24"/>
        </w:rPr>
        <w:t xml:space="preserve"> to the OP.</w:t>
      </w:r>
    </w:p>
    <w:p w14:paraId="3EF456D4" w14:textId="77777777" w:rsidR="002F5D7E" w:rsidRPr="00F82CFD" w:rsidRDefault="002F5D7E" w:rsidP="00CF049B">
      <w:pPr>
        <w:ind w:left="360"/>
        <w:rPr>
          <w:rFonts w:ascii="Garamond" w:hAnsi="Garamond"/>
          <w:color w:val="000000"/>
          <w:sz w:val="24"/>
          <w:szCs w:val="24"/>
        </w:rPr>
      </w:pPr>
    </w:p>
    <w:p w14:paraId="3EB3E3AC" w14:textId="77777777" w:rsidR="002F5D7E" w:rsidRPr="00F82CFD" w:rsidRDefault="002F5D7E" w:rsidP="00CF049B">
      <w:pPr>
        <w:pStyle w:val="Heading2"/>
        <w:spacing w:before="0" w:beforeAutospacing="0" w:after="0" w:afterAutospacing="0"/>
        <w:rPr>
          <w:rFonts w:ascii="Garamond" w:hAnsi="Garamond"/>
          <w:sz w:val="24"/>
          <w:szCs w:val="24"/>
        </w:rPr>
      </w:pPr>
      <w:bookmarkStart w:id="27" w:name="_Toc277676895"/>
      <w:bookmarkStart w:id="28" w:name="_Toc278272488"/>
      <w:bookmarkStart w:id="29" w:name="_Toc219189935"/>
      <w:r w:rsidRPr="00F82CFD">
        <w:rPr>
          <w:rFonts w:ascii="Garamond" w:hAnsi="Garamond"/>
          <w:sz w:val="24"/>
          <w:szCs w:val="24"/>
        </w:rPr>
        <w:t>PSD and Title V Greenhouse Gas Tailoring Rule</w:t>
      </w:r>
      <w:bookmarkEnd w:id="27"/>
      <w:bookmarkEnd w:id="28"/>
      <w:bookmarkEnd w:id="29"/>
    </w:p>
    <w:p w14:paraId="16322377" w14:textId="77777777" w:rsidR="002F5D7E" w:rsidRPr="00F82CFD" w:rsidRDefault="002F5D7E" w:rsidP="00CF049B">
      <w:pPr>
        <w:rPr>
          <w:rFonts w:ascii="Garamond" w:hAnsi="Garamond"/>
          <w:sz w:val="24"/>
          <w:szCs w:val="24"/>
        </w:rPr>
      </w:pPr>
    </w:p>
    <w:p w14:paraId="1C8747E0" w14:textId="77777777" w:rsidR="002F5D7E" w:rsidRPr="00F82CFD" w:rsidRDefault="002F5D7E" w:rsidP="00A9424F">
      <w:pPr>
        <w:pStyle w:val="Header"/>
        <w:tabs>
          <w:tab w:val="clear" w:pos="4320"/>
          <w:tab w:val="clear" w:pos="8640"/>
        </w:tabs>
        <w:rPr>
          <w:rFonts w:ascii="Garamond" w:hAnsi="Garamond"/>
          <w:sz w:val="24"/>
          <w:szCs w:val="24"/>
        </w:rPr>
      </w:pPr>
      <w:r w:rsidRPr="00F82CFD">
        <w:rPr>
          <w:rFonts w:ascii="Garamond" w:hAnsi="Garamond"/>
          <w:sz w:val="24"/>
          <w:szCs w:val="24"/>
        </w:rPr>
        <w:t xml:space="preserve">On May 7, 2010, EPA published the “light duty vehicle rule” (Docket # EPA-HQ-OAR- 2009-0472, 75 FR 25324) controlling greenhouse gas (GHG) emissions from mobile sources, whereby GHG became a pollutant subject to regulation under the Federal and Montana Clean Air Act(s).  On June 3, 2010, EPA promulgated the GHG “Tailoring Rule” (Docket # EPA-HQ-OAR-2009-0517, 75 FR 31514) which modified 40 CFR Parts 51, 52, 70, and 71 to specify which facilities are subject to GHG permitting requirements and when such facilities become subject to regulation for GHG under the PSD and Title V programs.  </w:t>
      </w:r>
    </w:p>
    <w:p w14:paraId="0CDD2655" w14:textId="77777777" w:rsidR="002F5D7E" w:rsidRPr="00F82CFD" w:rsidRDefault="002F5D7E" w:rsidP="00CF049B">
      <w:pPr>
        <w:ind w:left="360"/>
        <w:rPr>
          <w:rFonts w:ascii="Garamond" w:hAnsi="Garamond"/>
          <w:sz w:val="24"/>
          <w:szCs w:val="24"/>
        </w:rPr>
      </w:pPr>
    </w:p>
    <w:p w14:paraId="1B144912" w14:textId="77777777" w:rsidR="002F5D7E" w:rsidRPr="00F82CFD" w:rsidRDefault="002F5D7E" w:rsidP="00A9424F">
      <w:pPr>
        <w:pStyle w:val="Header"/>
        <w:tabs>
          <w:tab w:val="clear" w:pos="4320"/>
          <w:tab w:val="clear" w:pos="8640"/>
        </w:tabs>
        <w:rPr>
          <w:rFonts w:ascii="Garamond" w:hAnsi="Garamond"/>
          <w:sz w:val="24"/>
          <w:szCs w:val="24"/>
        </w:rPr>
      </w:pPr>
      <w:r w:rsidRPr="00F82CFD">
        <w:rPr>
          <w:rFonts w:ascii="Garamond" w:hAnsi="Garamond"/>
          <w:sz w:val="24"/>
          <w:szCs w:val="24"/>
        </w:rPr>
        <w:t>Under the Tailoring Rule, any PSD action (either a new major stationary source or a major modification at a major stationary source) taken for a pollutant or pollutants other than GHG that would become final on or after January 2, 2011 would be subject to PSD permitting requirements for GHG if the GHG increases associated with that action were at or above 75,000 TPY of carbon dioxide equivalent (CO</w:t>
      </w:r>
      <w:r w:rsidRPr="00F82CFD">
        <w:rPr>
          <w:rFonts w:ascii="Garamond" w:hAnsi="Garamond"/>
          <w:sz w:val="24"/>
          <w:szCs w:val="24"/>
          <w:vertAlign w:val="subscript"/>
        </w:rPr>
        <w:t>2</w:t>
      </w:r>
      <w:r w:rsidRPr="00F82CFD">
        <w:rPr>
          <w:rFonts w:ascii="Garamond" w:hAnsi="Garamond"/>
          <w:sz w:val="24"/>
          <w:szCs w:val="24"/>
        </w:rPr>
        <w:t xml:space="preserve">e) and greater than 0 TPY on a mass basis.  Similarly, if such action were taken, any resulting requirements would be subject to inclusion in the Title V Operating Permit.  Facilities which hold Title V permits due to criteria pollutant emissions over 100 TPY would need to incorporate any GHG applicable requirements into their operating permits for any Title V action that would have a final decision occurring on or after January 2, 2011.  </w:t>
      </w:r>
    </w:p>
    <w:p w14:paraId="7444083C" w14:textId="77777777" w:rsidR="002F5D7E" w:rsidRPr="00F82CFD" w:rsidRDefault="002F5D7E" w:rsidP="00CF049B">
      <w:pPr>
        <w:ind w:left="360"/>
        <w:rPr>
          <w:rFonts w:ascii="Garamond" w:hAnsi="Garamond"/>
          <w:sz w:val="24"/>
          <w:szCs w:val="24"/>
        </w:rPr>
      </w:pPr>
    </w:p>
    <w:p w14:paraId="70FCD7AF" w14:textId="77777777" w:rsidR="002F5D7E" w:rsidRPr="00F82CFD" w:rsidRDefault="002F5D7E" w:rsidP="00A9424F">
      <w:pPr>
        <w:pStyle w:val="Header"/>
        <w:tabs>
          <w:tab w:val="clear" w:pos="4320"/>
          <w:tab w:val="clear" w:pos="8640"/>
        </w:tabs>
        <w:rPr>
          <w:rFonts w:ascii="Garamond" w:hAnsi="Garamond"/>
          <w:sz w:val="24"/>
          <w:szCs w:val="24"/>
        </w:rPr>
      </w:pPr>
      <w:r w:rsidRPr="00F82CFD">
        <w:rPr>
          <w:rFonts w:ascii="Garamond" w:hAnsi="Garamond"/>
          <w:sz w:val="24"/>
          <w:szCs w:val="24"/>
        </w:rPr>
        <w:t>Starting on July 1, 2011, PSD permitting requirements would be triggered for modifications that were determined to be major under PSD based on GHG emissions alone, even if no other pollutant triggered a major modification.  In addition, sources that are not considered PSD major sources based on criteria pollutant emissions would become subject to PSD review if their facility-wide potential emissions equaled or exceeded 100,000 TPY of CO</w:t>
      </w:r>
      <w:r w:rsidRPr="00F82CFD">
        <w:rPr>
          <w:rFonts w:ascii="Garamond" w:hAnsi="Garamond"/>
          <w:sz w:val="24"/>
          <w:szCs w:val="24"/>
          <w:vertAlign w:val="subscript"/>
        </w:rPr>
        <w:t>2</w:t>
      </w:r>
      <w:r w:rsidRPr="00F82CFD">
        <w:rPr>
          <w:rFonts w:ascii="Garamond" w:hAnsi="Garamond"/>
          <w:sz w:val="24"/>
          <w:szCs w:val="24"/>
        </w:rPr>
        <w:t>e and 100 or 250 TPY of GHG on a mass basis depending on their listed status in ARM 17.8.801(22) and they undertook a permitting action with increases of 75,000 TPY or more of CO</w:t>
      </w:r>
      <w:r w:rsidRPr="00F82CFD">
        <w:rPr>
          <w:rFonts w:ascii="Garamond" w:hAnsi="Garamond"/>
          <w:sz w:val="24"/>
          <w:szCs w:val="24"/>
          <w:vertAlign w:val="subscript"/>
        </w:rPr>
        <w:t>2</w:t>
      </w:r>
      <w:r w:rsidRPr="00F82CFD">
        <w:rPr>
          <w:rFonts w:ascii="Garamond" w:hAnsi="Garamond"/>
          <w:sz w:val="24"/>
          <w:szCs w:val="24"/>
        </w:rPr>
        <w:t>e and greater than 0 TPY of GHG on a mass basis. With respect to Title V, sources not currently holding a Title V permit that have potential facility-wide emissions equal to or exceeding 100,000 TPY of CO</w:t>
      </w:r>
      <w:r w:rsidRPr="00F82CFD">
        <w:rPr>
          <w:rFonts w:ascii="Garamond" w:hAnsi="Garamond"/>
          <w:sz w:val="24"/>
          <w:szCs w:val="24"/>
          <w:vertAlign w:val="subscript"/>
        </w:rPr>
        <w:t>2</w:t>
      </w:r>
      <w:r w:rsidRPr="00F82CFD">
        <w:rPr>
          <w:rFonts w:ascii="Garamond" w:hAnsi="Garamond"/>
          <w:sz w:val="24"/>
          <w:szCs w:val="24"/>
        </w:rPr>
        <w:t>e and 100 TPY of GHG on a mass basis would be required to obtain a Title V Operating Permit.</w:t>
      </w:r>
    </w:p>
    <w:p w14:paraId="2EEB5860" w14:textId="77777777" w:rsidR="002F5D7E" w:rsidRPr="00F82CFD" w:rsidRDefault="002F5D7E" w:rsidP="00CF049B">
      <w:pPr>
        <w:ind w:left="360"/>
        <w:rPr>
          <w:rFonts w:ascii="Garamond" w:hAnsi="Garamond"/>
          <w:sz w:val="24"/>
          <w:szCs w:val="24"/>
        </w:rPr>
      </w:pPr>
    </w:p>
    <w:p w14:paraId="15AA21D6" w14:textId="77777777" w:rsidR="002F5D7E" w:rsidRPr="00F82CFD" w:rsidRDefault="00F82CFD" w:rsidP="00A9424F">
      <w:pPr>
        <w:pStyle w:val="Header"/>
        <w:tabs>
          <w:tab w:val="clear" w:pos="4320"/>
          <w:tab w:val="clear" w:pos="8640"/>
        </w:tabs>
        <w:rPr>
          <w:rFonts w:ascii="Garamond" w:hAnsi="Garamond"/>
          <w:sz w:val="24"/>
          <w:szCs w:val="24"/>
        </w:rPr>
      </w:pPr>
      <w:r w:rsidRPr="00F82CFD">
        <w:rPr>
          <w:rFonts w:ascii="Garamond" w:hAnsi="Garamond"/>
          <w:sz w:val="24"/>
          <w:szCs w:val="24"/>
        </w:rPr>
        <w:t xml:space="preserve">The Supreme Court of the United States (SCOTUS), in its </w:t>
      </w:r>
      <w:r w:rsidRPr="00F82CFD">
        <w:rPr>
          <w:rFonts w:ascii="Garamond" w:hAnsi="Garamond"/>
          <w:i/>
          <w:iCs/>
          <w:sz w:val="24"/>
          <w:szCs w:val="24"/>
        </w:rPr>
        <w:t>Utility Air Regulatory Group v. EPA</w:t>
      </w:r>
      <w:r w:rsidRPr="00F82CFD">
        <w:rPr>
          <w:rFonts w:ascii="Garamond" w:hAnsi="Garamond"/>
          <w:sz w:val="24"/>
          <w:szCs w:val="24"/>
        </w:rPr>
        <w:t xml:space="preserve"> decision on June 23, 2014, ruled that the Clean Air Act neither compels nor permits EPA to require a source to obtain a PSD or Title V permit on the sole basis of its potential emissions of GHG.  SCOTUS also ruled that EPA lacked the authority to tailor the Clean Air Act’s unambiguous numerical thresholds of 100 or 250 TPY to accommodate a CO</w:t>
      </w:r>
      <w:r w:rsidRPr="00F82CFD">
        <w:rPr>
          <w:rFonts w:ascii="Garamond" w:hAnsi="Garamond"/>
          <w:sz w:val="24"/>
          <w:szCs w:val="24"/>
          <w:vertAlign w:val="subscript"/>
        </w:rPr>
        <w:t>2</w:t>
      </w:r>
      <w:r w:rsidRPr="00F82CFD">
        <w:rPr>
          <w:rFonts w:ascii="Garamond" w:hAnsi="Garamond"/>
          <w:sz w:val="24"/>
          <w:szCs w:val="24"/>
        </w:rPr>
        <w:t xml:space="preserve">e threshold of 100,000 TPY.  SCOTUS upheld that EPA reasonably interpreted the Clean Air Act to require sources that would need PSD permits based on their emission of conventional pollutants to comply with BACT for GHG.  As such, the Tailoring Rule has been rendered invalid and sources cannot become subject to PSD or Title V regulations based on GHG emissions alone.  Sources that must undergo PSD permitting due to pollutant emissions other than </w:t>
      </w:r>
      <w:r w:rsidR="000708C5">
        <w:rPr>
          <w:rFonts w:ascii="Garamond" w:hAnsi="Garamond"/>
          <w:sz w:val="24"/>
          <w:szCs w:val="24"/>
        </w:rPr>
        <w:t>GHG</w:t>
      </w:r>
      <w:r w:rsidRPr="00F82CFD">
        <w:rPr>
          <w:rFonts w:ascii="Garamond" w:hAnsi="Garamond"/>
          <w:sz w:val="24"/>
          <w:szCs w:val="24"/>
        </w:rPr>
        <w:t xml:space="preserve"> may still be required to comply with BACT for GHG emissions.</w:t>
      </w:r>
    </w:p>
    <w:sectPr w:rsidR="002F5D7E" w:rsidRPr="00F82CFD" w:rsidSect="00EB78AF">
      <w:pgSz w:w="12240" w:h="15840"/>
      <w:pgMar w:top="1152"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6751F" w14:textId="77777777" w:rsidR="00B0341F" w:rsidRDefault="00B0341F">
      <w:r>
        <w:separator/>
      </w:r>
    </w:p>
  </w:endnote>
  <w:endnote w:type="continuationSeparator" w:id="0">
    <w:p w14:paraId="5B814019" w14:textId="77777777" w:rsidR="00B0341F" w:rsidRDefault="00B03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DC1D" w14:textId="77777777" w:rsidR="002F5D7E" w:rsidRDefault="002F5D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E5518D" w14:textId="77777777" w:rsidR="002F5D7E" w:rsidRDefault="002F5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A1BF" w14:textId="78CB0A47" w:rsidR="002F5D7E" w:rsidRPr="00B10781" w:rsidRDefault="006638D0">
    <w:pPr>
      <w:pStyle w:val="Footer"/>
      <w:rPr>
        <w:rFonts w:ascii="Garamond" w:hAnsi="Garamond"/>
      </w:rPr>
    </w:pPr>
    <w:r w:rsidRPr="00B10781">
      <w:rPr>
        <w:rFonts w:ascii="Garamond" w:hAnsi="Garamond"/>
      </w:rPr>
      <w:t>TRD</w:t>
    </w:r>
    <w:r w:rsidR="003A69A9" w:rsidRPr="00B10781">
      <w:rPr>
        <w:rFonts w:ascii="Garamond" w:hAnsi="Garamond"/>
      </w:rPr>
      <w:t>5261-00</w:t>
    </w:r>
    <w:r w:rsidR="003A69A9" w:rsidRPr="00B10781">
      <w:rPr>
        <w:rFonts w:ascii="Garamond" w:hAnsi="Garamond"/>
      </w:rPr>
      <w:ptab w:relativeTo="margin" w:alignment="center" w:leader="none"/>
    </w:r>
    <w:r w:rsidR="003A69A9" w:rsidRPr="00B10781">
      <w:rPr>
        <w:rFonts w:ascii="Garamond" w:hAnsi="Garamond"/>
      </w:rPr>
      <w:fldChar w:fldCharType="begin"/>
    </w:r>
    <w:r w:rsidR="003A69A9" w:rsidRPr="00B10781">
      <w:rPr>
        <w:rFonts w:ascii="Garamond" w:hAnsi="Garamond"/>
      </w:rPr>
      <w:instrText xml:space="preserve"> PAGE  \* Arabic  \* MERGEFORMAT </w:instrText>
    </w:r>
    <w:r w:rsidR="003A69A9" w:rsidRPr="00B10781">
      <w:rPr>
        <w:rFonts w:ascii="Garamond" w:hAnsi="Garamond"/>
      </w:rPr>
      <w:fldChar w:fldCharType="separate"/>
    </w:r>
    <w:r w:rsidR="003A69A9" w:rsidRPr="00B10781">
      <w:rPr>
        <w:rFonts w:ascii="Garamond" w:hAnsi="Garamond"/>
        <w:noProof/>
      </w:rPr>
      <w:t>1</w:t>
    </w:r>
    <w:r w:rsidR="003A69A9" w:rsidRPr="00B10781">
      <w:rPr>
        <w:rFonts w:ascii="Garamond" w:hAnsi="Garamond"/>
      </w:rPr>
      <w:fldChar w:fldCharType="end"/>
    </w:r>
    <w:r w:rsidR="003A69A9" w:rsidRPr="00B10781">
      <w:rPr>
        <w:rFonts w:ascii="Garamond" w:hAnsi="Garamond"/>
      </w:rPr>
      <w:ptab w:relativeTo="margin" w:alignment="right" w:leader="none"/>
    </w:r>
    <w:r w:rsidR="002D3586" w:rsidRPr="00B10781">
      <w:rPr>
        <w:rFonts w:ascii="Garamond" w:hAnsi="Garamond"/>
      </w:rPr>
      <w:t>Date of Decision</w:t>
    </w:r>
    <w:r w:rsidR="006E23C0" w:rsidRPr="00B10781">
      <w:rPr>
        <w:rFonts w:ascii="Garamond" w:hAnsi="Garamond"/>
      </w:rPr>
      <w:t>: 0</w:t>
    </w:r>
    <w:r w:rsidR="002D3586" w:rsidRPr="00B10781">
      <w:rPr>
        <w:rFonts w:ascii="Garamond" w:hAnsi="Garamond"/>
      </w:rPr>
      <w:t>4</w:t>
    </w:r>
    <w:r w:rsidR="003A69A9" w:rsidRPr="00B10781">
      <w:rPr>
        <w:rFonts w:ascii="Garamond" w:hAnsi="Garamond"/>
      </w:rPr>
      <w:t>/</w:t>
    </w:r>
    <w:r w:rsidR="00AA6057" w:rsidRPr="00B10781">
      <w:rPr>
        <w:rFonts w:ascii="Garamond" w:hAnsi="Garamond"/>
      </w:rPr>
      <w:t>1</w:t>
    </w:r>
    <w:r w:rsidR="002D3586" w:rsidRPr="00B10781">
      <w:rPr>
        <w:rFonts w:ascii="Garamond" w:hAnsi="Garamond"/>
      </w:rPr>
      <w:t>4</w:t>
    </w:r>
    <w:r w:rsidR="003A69A9" w:rsidRPr="00B10781">
      <w:rPr>
        <w:rFonts w:ascii="Garamond" w:hAnsi="Garamond"/>
      </w:rPr>
      <w:t>/202</w:t>
    </w:r>
    <w:r w:rsidR="00AA6057" w:rsidRPr="00B10781">
      <w:rPr>
        <w:rFonts w:ascii="Garamond" w:hAnsi="Garamond"/>
      </w:rPr>
      <w:t>6</w:t>
    </w:r>
  </w:p>
  <w:p w14:paraId="294693B2" w14:textId="63702AC3" w:rsidR="002D3586" w:rsidRPr="00B10781" w:rsidRDefault="002D3586" w:rsidP="002D3586">
    <w:pPr>
      <w:pStyle w:val="Footer"/>
      <w:jc w:val="right"/>
      <w:rPr>
        <w:rFonts w:ascii="Garamond" w:hAnsi="Garamond"/>
      </w:rPr>
    </w:pPr>
    <w:r w:rsidRPr="00B10781">
      <w:rPr>
        <w:rFonts w:ascii="Garamond" w:hAnsi="Garamond"/>
      </w:rPr>
      <w:t>Effective Date: 0</w:t>
    </w:r>
    <w:r w:rsidR="00B27457">
      <w:rPr>
        <w:rFonts w:ascii="Garamond" w:hAnsi="Garamond"/>
      </w:rPr>
      <w:t>5</w:t>
    </w:r>
    <w:r w:rsidRPr="00B10781">
      <w:rPr>
        <w:rFonts w:ascii="Garamond" w:hAnsi="Garamond"/>
      </w:rPr>
      <w:t>/1</w:t>
    </w:r>
    <w:r w:rsidR="00B27457">
      <w:rPr>
        <w:rFonts w:ascii="Garamond" w:hAnsi="Garamond"/>
      </w:rPr>
      <w:t>5</w:t>
    </w:r>
    <w:r w:rsidRPr="00B10781">
      <w:rPr>
        <w:rFonts w:ascii="Garamond" w:hAnsi="Garamond"/>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A7A67" w14:textId="77777777" w:rsidR="00B0341F" w:rsidRDefault="00B0341F">
      <w:r>
        <w:separator/>
      </w:r>
    </w:p>
  </w:footnote>
  <w:footnote w:type="continuationSeparator" w:id="0">
    <w:p w14:paraId="2DA359A8" w14:textId="77777777" w:rsidR="00B0341F" w:rsidRDefault="00B03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D81"/>
    <w:multiLevelType w:val="singleLevel"/>
    <w:tmpl w:val="AE66F886"/>
    <w:lvl w:ilvl="0">
      <w:start w:val="1"/>
      <w:numFmt w:val="upperLetter"/>
      <w:lvlText w:val="%1."/>
      <w:lvlJc w:val="left"/>
      <w:pPr>
        <w:tabs>
          <w:tab w:val="num" w:pos="864"/>
        </w:tabs>
        <w:ind w:left="864" w:hanging="432"/>
      </w:pPr>
      <w:rPr>
        <w:rFonts w:hint="default"/>
      </w:rPr>
    </w:lvl>
  </w:abstractNum>
  <w:abstractNum w:abstractNumId="1" w15:restartNumberingAfterBreak="0">
    <w:nsid w:val="04142BB8"/>
    <w:multiLevelType w:val="singleLevel"/>
    <w:tmpl w:val="1B3C5200"/>
    <w:lvl w:ilvl="0">
      <w:start w:val="1"/>
      <w:numFmt w:val="upperLetter"/>
      <w:lvlText w:val="%1."/>
      <w:lvlJc w:val="left"/>
      <w:pPr>
        <w:tabs>
          <w:tab w:val="num" w:pos="360"/>
        </w:tabs>
        <w:ind w:left="360" w:hanging="360"/>
      </w:pPr>
      <w:rPr>
        <w:rFonts w:cs="Times New Roman"/>
        <w:color w:val="000000"/>
        <w:u w:val="none"/>
      </w:rPr>
    </w:lvl>
  </w:abstractNum>
  <w:abstractNum w:abstractNumId="2" w15:restartNumberingAfterBreak="0">
    <w:nsid w:val="07C54F65"/>
    <w:multiLevelType w:val="multilevel"/>
    <w:tmpl w:val="D7045E1C"/>
    <w:lvl w:ilvl="0">
      <w:start w:val="1"/>
      <w:numFmt w:val="upperRoman"/>
      <w:pStyle w:val="Heading1"/>
      <w:suff w:val="space"/>
      <w:lvlText w:val="SECTION %1."/>
      <w:lvlJc w:val="left"/>
      <w:rPr>
        <w:rFonts w:ascii="Garamond" w:hAnsi="Garamond" w:cs="Times New Roman" w:hint="default"/>
        <w:b/>
        <w:i w:val="0"/>
        <w:sz w:val="24"/>
        <w:szCs w:val="24"/>
      </w:rPr>
    </w:lvl>
    <w:lvl w:ilvl="1">
      <w:start w:val="1"/>
      <w:numFmt w:val="upperLetter"/>
      <w:lvlText w:val="%2"/>
      <w:lvlJc w:val="left"/>
      <w:pPr>
        <w:tabs>
          <w:tab w:val="num" w:pos="360"/>
        </w:tabs>
      </w:pPr>
      <w:rPr>
        <w:rFonts w:ascii="Univers" w:hAnsi="Univer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 w15:restartNumberingAfterBreak="0">
    <w:nsid w:val="0AFA48B0"/>
    <w:multiLevelType w:val="singleLevel"/>
    <w:tmpl w:val="92AEAD54"/>
    <w:lvl w:ilvl="0">
      <w:start w:val="7"/>
      <w:numFmt w:val="upperLetter"/>
      <w:lvlText w:val="%1."/>
      <w:lvlJc w:val="left"/>
      <w:pPr>
        <w:tabs>
          <w:tab w:val="num" w:pos="504"/>
        </w:tabs>
        <w:ind w:left="504" w:hanging="504"/>
      </w:pPr>
      <w:rPr>
        <w:rFonts w:cs="Times New Roman"/>
        <w:color w:val="000000"/>
        <w:u w:val="none"/>
      </w:rPr>
    </w:lvl>
  </w:abstractNum>
  <w:abstractNum w:abstractNumId="4" w15:restartNumberingAfterBreak="0">
    <w:nsid w:val="138462EE"/>
    <w:multiLevelType w:val="singleLevel"/>
    <w:tmpl w:val="1B3C5200"/>
    <w:lvl w:ilvl="0">
      <w:start w:val="1"/>
      <w:numFmt w:val="upperLetter"/>
      <w:lvlText w:val="%1."/>
      <w:lvlJc w:val="left"/>
      <w:pPr>
        <w:tabs>
          <w:tab w:val="num" w:pos="360"/>
        </w:tabs>
        <w:ind w:left="360" w:hanging="360"/>
      </w:pPr>
      <w:rPr>
        <w:rFonts w:cs="Times New Roman"/>
        <w:color w:val="000000"/>
        <w:u w:val="none"/>
      </w:rPr>
    </w:lvl>
  </w:abstractNum>
  <w:abstractNum w:abstractNumId="5" w15:restartNumberingAfterBreak="0">
    <w:nsid w:val="16893AEF"/>
    <w:multiLevelType w:val="singleLevel"/>
    <w:tmpl w:val="9B022782"/>
    <w:lvl w:ilvl="0">
      <w:start w:val="4"/>
      <w:numFmt w:val="upperLetter"/>
      <w:lvlText w:val="%1."/>
      <w:lvlJc w:val="left"/>
      <w:pPr>
        <w:tabs>
          <w:tab w:val="num" w:pos="504"/>
        </w:tabs>
        <w:ind w:left="504" w:hanging="504"/>
      </w:pPr>
      <w:rPr>
        <w:rFonts w:cs="Times New Roman"/>
        <w:color w:val="000000"/>
        <w:u w:val="none"/>
      </w:rPr>
    </w:lvl>
  </w:abstractNum>
  <w:abstractNum w:abstractNumId="6" w15:restartNumberingAfterBreak="0">
    <w:nsid w:val="2D554260"/>
    <w:multiLevelType w:val="singleLevel"/>
    <w:tmpl w:val="BC48ADE4"/>
    <w:lvl w:ilvl="0">
      <w:start w:val="1"/>
      <w:numFmt w:val="upperLetter"/>
      <w:lvlText w:val="%1."/>
      <w:lvlJc w:val="left"/>
      <w:pPr>
        <w:tabs>
          <w:tab w:val="num" w:pos="504"/>
        </w:tabs>
        <w:ind w:left="504" w:hanging="504"/>
      </w:pPr>
      <w:rPr>
        <w:rFonts w:cs="Times New Roman"/>
        <w:color w:val="000000"/>
        <w:u w:val="none"/>
      </w:rPr>
    </w:lvl>
  </w:abstractNum>
  <w:abstractNum w:abstractNumId="7" w15:restartNumberingAfterBreak="0">
    <w:nsid w:val="2ED55972"/>
    <w:multiLevelType w:val="singleLevel"/>
    <w:tmpl w:val="9B022782"/>
    <w:lvl w:ilvl="0">
      <w:start w:val="4"/>
      <w:numFmt w:val="upperLetter"/>
      <w:lvlText w:val="%1."/>
      <w:lvlJc w:val="left"/>
      <w:pPr>
        <w:tabs>
          <w:tab w:val="num" w:pos="504"/>
        </w:tabs>
        <w:ind w:left="504" w:hanging="504"/>
      </w:pPr>
      <w:rPr>
        <w:rFonts w:cs="Times New Roman"/>
        <w:color w:val="000000"/>
        <w:u w:val="none"/>
      </w:rPr>
    </w:lvl>
  </w:abstractNum>
  <w:abstractNum w:abstractNumId="8" w15:restartNumberingAfterBreak="0">
    <w:nsid w:val="31E277DE"/>
    <w:multiLevelType w:val="singleLevel"/>
    <w:tmpl w:val="9B022782"/>
    <w:lvl w:ilvl="0">
      <w:start w:val="4"/>
      <w:numFmt w:val="upperLetter"/>
      <w:lvlText w:val="%1."/>
      <w:lvlJc w:val="left"/>
      <w:pPr>
        <w:tabs>
          <w:tab w:val="num" w:pos="504"/>
        </w:tabs>
        <w:ind w:left="504" w:hanging="504"/>
      </w:pPr>
      <w:rPr>
        <w:rFonts w:cs="Times New Roman"/>
        <w:color w:val="000000"/>
        <w:u w:val="none"/>
      </w:rPr>
    </w:lvl>
  </w:abstractNum>
  <w:abstractNum w:abstractNumId="9" w15:restartNumberingAfterBreak="0">
    <w:nsid w:val="3D3F48F5"/>
    <w:multiLevelType w:val="singleLevel"/>
    <w:tmpl w:val="BC48ADE4"/>
    <w:lvl w:ilvl="0">
      <w:start w:val="1"/>
      <w:numFmt w:val="upperLetter"/>
      <w:lvlText w:val="%1."/>
      <w:lvlJc w:val="left"/>
      <w:pPr>
        <w:tabs>
          <w:tab w:val="num" w:pos="504"/>
        </w:tabs>
        <w:ind w:left="504" w:hanging="504"/>
      </w:pPr>
      <w:rPr>
        <w:rFonts w:cs="Times New Roman"/>
        <w:color w:val="000000"/>
        <w:u w:val="none"/>
      </w:rPr>
    </w:lvl>
  </w:abstractNum>
  <w:abstractNum w:abstractNumId="10" w15:restartNumberingAfterBreak="0">
    <w:nsid w:val="45F17D20"/>
    <w:multiLevelType w:val="singleLevel"/>
    <w:tmpl w:val="E3E8EE0E"/>
    <w:lvl w:ilvl="0">
      <w:start w:val="3"/>
      <w:numFmt w:val="upperLetter"/>
      <w:lvlText w:val="%1."/>
      <w:lvlJc w:val="left"/>
      <w:pPr>
        <w:tabs>
          <w:tab w:val="num" w:pos="504"/>
        </w:tabs>
        <w:ind w:left="504" w:hanging="504"/>
      </w:pPr>
      <w:rPr>
        <w:rFonts w:cs="Times New Roman"/>
        <w:color w:val="000000"/>
        <w:u w:val="none"/>
      </w:rPr>
    </w:lvl>
  </w:abstractNum>
  <w:abstractNum w:abstractNumId="11" w15:restartNumberingAfterBreak="0">
    <w:nsid w:val="4CC85727"/>
    <w:multiLevelType w:val="singleLevel"/>
    <w:tmpl w:val="1B3C5200"/>
    <w:lvl w:ilvl="0">
      <w:start w:val="1"/>
      <w:numFmt w:val="upperLetter"/>
      <w:lvlText w:val="%1."/>
      <w:lvlJc w:val="left"/>
      <w:pPr>
        <w:tabs>
          <w:tab w:val="num" w:pos="360"/>
        </w:tabs>
        <w:ind w:left="360" w:hanging="360"/>
      </w:pPr>
      <w:rPr>
        <w:rFonts w:cs="Times New Roman"/>
        <w:color w:val="000000"/>
        <w:u w:val="none"/>
      </w:rPr>
    </w:lvl>
  </w:abstractNum>
  <w:abstractNum w:abstractNumId="12" w15:restartNumberingAfterBreak="0">
    <w:nsid w:val="4E0D1DE5"/>
    <w:multiLevelType w:val="singleLevel"/>
    <w:tmpl w:val="1B3C5200"/>
    <w:lvl w:ilvl="0">
      <w:start w:val="1"/>
      <w:numFmt w:val="upperLetter"/>
      <w:lvlText w:val="%1."/>
      <w:lvlJc w:val="left"/>
      <w:pPr>
        <w:tabs>
          <w:tab w:val="num" w:pos="360"/>
        </w:tabs>
        <w:ind w:left="360" w:hanging="360"/>
      </w:pPr>
      <w:rPr>
        <w:rFonts w:cs="Times New Roman"/>
        <w:color w:val="000000"/>
        <w:u w:val="none"/>
      </w:rPr>
    </w:lvl>
  </w:abstractNum>
  <w:abstractNum w:abstractNumId="13" w15:restartNumberingAfterBreak="0">
    <w:nsid w:val="51B43279"/>
    <w:multiLevelType w:val="singleLevel"/>
    <w:tmpl w:val="89D06930"/>
    <w:lvl w:ilvl="0">
      <w:start w:val="1"/>
      <w:numFmt w:val="upperLetter"/>
      <w:pStyle w:val="Heading6"/>
      <w:lvlText w:val="%1."/>
      <w:lvlJc w:val="left"/>
      <w:pPr>
        <w:tabs>
          <w:tab w:val="num" w:pos="504"/>
        </w:tabs>
        <w:ind w:left="504" w:hanging="504"/>
      </w:pPr>
      <w:rPr>
        <w:rFonts w:cs="Times New Roman" w:hint="default"/>
        <w:b/>
        <w:i w:val="0"/>
        <w:color w:val="000000"/>
        <w:sz w:val="22"/>
        <w:u w:val="none"/>
      </w:rPr>
    </w:lvl>
  </w:abstractNum>
  <w:abstractNum w:abstractNumId="14" w15:restartNumberingAfterBreak="0">
    <w:nsid w:val="59CC22D5"/>
    <w:multiLevelType w:val="hybridMultilevel"/>
    <w:tmpl w:val="0AE2D0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30F7EFC"/>
    <w:multiLevelType w:val="singleLevel"/>
    <w:tmpl w:val="1B3C5200"/>
    <w:lvl w:ilvl="0">
      <w:start w:val="1"/>
      <w:numFmt w:val="upperLetter"/>
      <w:lvlText w:val="%1."/>
      <w:lvlJc w:val="left"/>
      <w:pPr>
        <w:tabs>
          <w:tab w:val="num" w:pos="360"/>
        </w:tabs>
        <w:ind w:left="360" w:hanging="360"/>
      </w:pPr>
      <w:rPr>
        <w:rFonts w:cs="Times New Roman"/>
        <w:color w:val="000000"/>
        <w:u w:val="none"/>
      </w:rPr>
    </w:lvl>
  </w:abstractNum>
  <w:abstractNum w:abstractNumId="16" w15:restartNumberingAfterBreak="0">
    <w:nsid w:val="69940F98"/>
    <w:multiLevelType w:val="singleLevel"/>
    <w:tmpl w:val="1B3C5200"/>
    <w:lvl w:ilvl="0">
      <w:start w:val="1"/>
      <w:numFmt w:val="upperLetter"/>
      <w:lvlText w:val="%1."/>
      <w:lvlJc w:val="left"/>
      <w:pPr>
        <w:tabs>
          <w:tab w:val="num" w:pos="360"/>
        </w:tabs>
        <w:ind w:left="360" w:hanging="360"/>
      </w:pPr>
      <w:rPr>
        <w:rFonts w:cs="Times New Roman"/>
        <w:color w:val="000000"/>
        <w:u w:val="none"/>
      </w:rPr>
    </w:lvl>
  </w:abstractNum>
  <w:abstractNum w:abstractNumId="17" w15:restartNumberingAfterBreak="0">
    <w:nsid w:val="69C04498"/>
    <w:multiLevelType w:val="singleLevel"/>
    <w:tmpl w:val="E3E8EE0E"/>
    <w:lvl w:ilvl="0">
      <w:start w:val="3"/>
      <w:numFmt w:val="upperLetter"/>
      <w:lvlText w:val="%1."/>
      <w:lvlJc w:val="left"/>
      <w:pPr>
        <w:tabs>
          <w:tab w:val="num" w:pos="504"/>
        </w:tabs>
        <w:ind w:left="504" w:hanging="504"/>
      </w:pPr>
      <w:rPr>
        <w:rFonts w:cs="Times New Roman"/>
        <w:color w:val="000000"/>
        <w:u w:val="none"/>
      </w:rPr>
    </w:lvl>
  </w:abstractNum>
  <w:abstractNum w:abstractNumId="18" w15:restartNumberingAfterBreak="0">
    <w:nsid w:val="69DB56FB"/>
    <w:multiLevelType w:val="hybridMultilevel"/>
    <w:tmpl w:val="B39E31B8"/>
    <w:lvl w:ilvl="0" w:tplc="E05A9A40">
      <w:start w:val="1"/>
      <w:numFmt w:val="upperLetter"/>
      <w:pStyle w:val="Heading2"/>
      <w:lvlText w:val="%1."/>
      <w:lvlJc w:val="left"/>
      <w:pPr>
        <w:tabs>
          <w:tab w:val="num" w:pos="360"/>
        </w:tabs>
        <w:ind w:left="360" w:hanging="360"/>
      </w:pPr>
      <w:rPr>
        <w:rFonts w:ascii="Garamond" w:hAnsi="Garamond" w:cs="Times New Roman" w:hint="default"/>
        <w:b/>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ABE2B00"/>
    <w:multiLevelType w:val="singleLevel"/>
    <w:tmpl w:val="373ECD82"/>
    <w:lvl w:ilvl="0">
      <w:start w:val="3"/>
      <w:numFmt w:val="upperLetter"/>
      <w:pStyle w:val="Heading5"/>
      <w:lvlText w:val="%1."/>
      <w:lvlJc w:val="left"/>
      <w:pPr>
        <w:tabs>
          <w:tab w:val="num" w:pos="504"/>
        </w:tabs>
        <w:ind w:left="504" w:hanging="504"/>
      </w:pPr>
      <w:rPr>
        <w:rFonts w:cs="Times New Roman" w:hint="default"/>
        <w:b/>
        <w:i w:val="0"/>
        <w:color w:val="000000"/>
        <w:u w:val="none"/>
      </w:rPr>
    </w:lvl>
  </w:abstractNum>
  <w:abstractNum w:abstractNumId="20" w15:restartNumberingAfterBreak="0">
    <w:nsid w:val="7C3D0E49"/>
    <w:multiLevelType w:val="singleLevel"/>
    <w:tmpl w:val="89F6480A"/>
    <w:lvl w:ilvl="0">
      <w:start w:val="1"/>
      <w:numFmt w:val="upperLetter"/>
      <w:pStyle w:val="Heading4"/>
      <w:lvlText w:val="%1."/>
      <w:lvlJc w:val="left"/>
      <w:pPr>
        <w:tabs>
          <w:tab w:val="num" w:pos="360"/>
        </w:tabs>
        <w:ind w:left="360" w:hanging="360"/>
      </w:pPr>
      <w:rPr>
        <w:rFonts w:cs="Times New Roman"/>
        <w:color w:val="000000"/>
        <w:u w:val="none"/>
      </w:rPr>
    </w:lvl>
  </w:abstractNum>
  <w:num w:numId="1" w16cid:durableId="1137337194">
    <w:abstractNumId w:val="2"/>
  </w:num>
  <w:num w:numId="2" w16cid:durableId="718896523">
    <w:abstractNumId w:val="9"/>
  </w:num>
  <w:num w:numId="3" w16cid:durableId="1666779256">
    <w:abstractNumId w:val="6"/>
  </w:num>
  <w:num w:numId="4" w16cid:durableId="1671134501">
    <w:abstractNumId w:val="13"/>
  </w:num>
  <w:num w:numId="5" w16cid:durableId="1558127019">
    <w:abstractNumId w:val="5"/>
  </w:num>
  <w:num w:numId="6" w16cid:durableId="881749933">
    <w:abstractNumId w:val="7"/>
  </w:num>
  <w:num w:numId="7" w16cid:durableId="1663701460">
    <w:abstractNumId w:val="8"/>
  </w:num>
  <w:num w:numId="8" w16cid:durableId="1445886677">
    <w:abstractNumId w:val="2"/>
  </w:num>
  <w:num w:numId="9" w16cid:durableId="1132014154">
    <w:abstractNumId w:val="20"/>
  </w:num>
  <w:num w:numId="10" w16cid:durableId="230580448">
    <w:abstractNumId w:val="4"/>
  </w:num>
  <w:num w:numId="11" w16cid:durableId="1237664041">
    <w:abstractNumId w:val="1"/>
  </w:num>
  <w:num w:numId="12" w16cid:durableId="2105110889">
    <w:abstractNumId w:val="16"/>
  </w:num>
  <w:num w:numId="13" w16cid:durableId="834809500">
    <w:abstractNumId w:val="15"/>
  </w:num>
  <w:num w:numId="14" w16cid:durableId="627276749">
    <w:abstractNumId w:val="17"/>
  </w:num>
  <w:num w:numId="15" w16cid:durableId="1972588690">
    <w:abstractNumId w:val="10"/>
  </w:num>
  <w:num w:numId="16" w16cid:durableId="1608803900">
    <w:abstractNumId w:val="19"/>
  </w:num>
  <w:num w:numId="17" w16cid:durableId="1154569903">
    <w:abstractNumId w:val="3"/>
  </w:num>
  <w:num w:numId="18" w16cid:durableId="1911383621">
    <w:abstractNumId w:val="11"/>
  </w:num>
  <w:num w:numId="19" w16cid:durableId="1845394352">
    <w:abstractNumId w:val="12"/>
  </w:num>
  <w:num w:numId="20" w16cid:durableId="2063672645">
    <w:abstractNumId w:val="18"/>
  </w:num>
  <w:num w:numId="21" w16cid:durableId="1816991250">
    <w:abstractNumId w:val="18"/>
    <w:lvlOverride w:ilvl="0">
      <w:startOverride w:val="1"/>
    </w:lvlOverride>
  </w:num>
  <w:num w:numId="22" w16cid:durableId="1065185023">
    <w:abstractNumId w:val="18"/>
    <w:lvlOverride w:ilvl="0">
      <w:startOverride w:val="1"/>
    </w:lvlOverride>
  </w:num>
  <w:num w:numId="23" w16cid:durableId="1651521133">
    <w:abstractNumId w:val="18"/>
    <w:lvlOverride w:ilvl="0">
      <w:startOverride w:val="1"/>
    </w:lvlOverride>
  </w:num>
  <w:num w:numId="24" w16cid:durableId="485166939">
    <w:abstractNumId w:val="14"/>
  </w:num>
  <w:num w:numId="25" w16cid:durableId="412895848">
    <w:abstractNumId w:val="0"/>
  </w:num>
  <w:num w:numId="26" w16cid:durableId="11026086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Pqd5GfBbnKBi3MU5ukXEgbIGK/ngb92T+h+eg/UsJY85+nArb74YKF9E9O8O/MtFL0Md+80+r3r8Qrbr7fzxg==" w:salt="ilkTT4LluMzExFKB/tV3W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F8"/>
    <w:rsid w:val="00026125"/>
    <w:rsid w:val="000708C5"/>
    <w:rsid w:val="00081460"/>
    <w:rsid w:val="00082EB9"/>
    <w:rsid w:val="000854B9"/>
    <w:rsid w:val="00091D50"/>
    <w:rsid w:val="00095F84"/>
    <w:rsid w:val="000B4B1C"/>
    <w:rsid w:val="000C2FF3"/>
    <w:rsid w:val="000E2C1E"/>
    <w:rsid w:val="000E5B0E"/>
    <w:rsid w:val="000F6776"/>
    <w:rsid w:val="00110F52"/>
    <w:rsid w:val="00136935"/>
    <w:rsid w:val="001573F8"/>
    <w:rsid w:val="00193C95"/>
    <w:rsid w:val="001A7971"/>
    <w:rsid w:val="001C3656"/>
    <w:rsid w:val="001C48A4"/>
    <w:rsid w:val="001D5DEE"/>
    <w:rsid w:val="001F37D1"/>
    <w:rsid w:val="002102EF"/>
    <w:rsid w:val="002166F4"/>
    <w:rsid w:val="00230CEC"/>
    <w:rsid w:val="00240FC2"/>
    <w:rsid w:val="002523E5"/>
    <w:rsid w:val="00252501"/>
    <w:rsid w:val="002755A9"/>
    <w:rsid w:val="0028763E"/>
    <w:rsid w:val="002A1B48"/>
    <w:rsid w:val="002C2823"/>
    <w:rsid w:val="002D1071"/>
    <w:rsid w:val="002D3586"/>
    <w:rsid w:val="002D5463"/>
    <w:rsid w:val="002E1991"/>
    <w:rsid w:val="002E35F5"/>
    <w:rsid w:val="002E7502"/>
    <w:rsid w:val="002F5D7E"/>
    <w:rsid w:val="0031580C"/>
    <w:rsid w:val="00387DD7"/>
    <w:rsid w:val="003A69A9"/>
    <w:rsid w:val="003A7DED"/>
    <w:rsid w:val="003C623B"/>
    <w:rsid w:val="003C68F3"/>
    <w:rsid w:val="003D4501"/>
    <w:rsid w:val="003E1E1C"/>
    <w:rsid w:val="003E4718"/>
    <w:rsid w:val="003F5EB4"/>
    <w:rsid w:val="00414FE5"/>
    <w:rsid w:val="00415F92"/>
    <w:rsid w:val="0043604E"/>
    <w:rsid w:val="00467333"/>
    <w:rsid w:val="00487EB9"/>
    <w:rsid w:val="00497B4C"/>
    <w:rsid w:val="004A3871"/>
    <w:rsid w:val="00503B06"/>
    <w:rsid w:val="0051036B"/>
    <w:rsid w:val="00515795"/>
    <w:rsid w:val="00533332"/>
    <w:rsid w:val="00543213"/>
    <w:rsid w:val="005542E2"/>
    <w:rsid w:val="005570B4"/>
    <w:rsid w:val="00581887"/>
    <w:rsid w:val="005844B2"/>
    <w:rsid w:val="005850FC"/>
    <w:rsid w:val="00590ACC"/>
    <w:rsid w:val="005B670D"/>
    <w:rsid w:val="005C3B5D"/>
    <w:rsid w:val="005C4011"/>
    <w:rsid w:val="005C682B"/>
    <w:rsid w:val="00604316"/>
    <w:rsid w:val="00617A4B"/>
    <w:rsid w:val="00624EAE"/>
    <w:rsid w:val="00625209"/>
    <w:rsid w:val="00633285"/>
    <w:rsid w:val="00637487"/>
    <w:rsid w:val="006632E1"/>
    <w:rsid w:val="006638D0"/>
    <w:rsid w:val="006711F4"/>
    <w:rsid w:val="006771A7"/>
    <w:rsid w:val="006C251D"/>
    <w:rsid w:val="006E1005"/>
    <w:rsid w:val="006E23C0"/>
    <w:rsid w:val="006F71A8"/>
    <w:rsid w:val="0071081E"/>
    <w:rsid w:val="00715AF4"/>
    <w:rsid w:val="0072115E"/>
    <w:rsid w:val="007317EF"/>
    <w:rsid w:val="0074357A"/>
    <w:rsid w:val="007547FD"/>
    <w:rsid w:val="00754E90"/>
    <w:rsid w:val="00767E44"/>
    <w:rsid w:val="007D5907"/>
    <w:rsid w:val="00825DDA"/>
    <w:rsid w:val="008419C1"/>
    <w:rsid w:val="008502A7"/>
    <w:rsid w:val="00863D0B"/>
    <w:rsid w:val="00871C4D"/>
    <w:rsid w:val="0088708E"/>
    <w:rsid w:val="008952E5"/>
    <w:rsid w:val="008A75B3"/>
    <w:rsid w:val="008B30B7"/>
    <w:rsid w:val="008C1DD4"/>
    <w:rsid w:val="008D19BA"/>
    <w:rsid w:val="008E7321"/>
    <w:rsid w:val="008F2F38"/>
    <w:rsid w:val="008F58DE"/>
    <w:rsid w:val="008F63D7"/>
    <w:rsid w:val="00924567"/>
    <w:rsid w:val="0092645F"/>
    <w:rsid w:val="00940B54"/>
    <w:rsid w:val="00955CAF"/>
    <w:rsid w:val="00967766"/>
    <w:rsid w:val="009731E9"/>
    <w:rsid w:val="00985598"/>
    <w:rsid w:val="00991091"/>
    <w:rsid w:val="009B3C0A"/>
    <w:rsid w:val="009B513F"/>
    <w:rsid w:val="009D50B7"/>
    <w:rsid w:val="009E09DC"/>
    <w:rsid w:val="00A14B30"/>
    <w:rsid w:val="00A22FD4"/>
    <w:rsid w:val="00A57161"/>
    <w:rsid w:val="00A7205A"/>
    <w:rsid w:val="00A759BD"/>
    <w:rsid w:val="00A8328F"/>
    <w:rsid w:val="00A9424F"/>
    <w:rsid w:val="00AA6057"/>
    <w:rsid w:val="00AB68D7"/>
    <w:rsid w:val="00AE687A"/>
    <w:rsid w:val="00B0341F"/>
    <w:rsid w:val="00B0757B"/>
    <w:rsid w:val="00B10781"/>
    <w:rsid w:val="00B140E0"/>
    <w:rsid w:val="00B174D2"/>
    <w:rsid w:val="00B21812"/>
    <w:rsid w:val="00B24FC8"/>
    <w:rsid w:val="00B27457"/>
    <w:rsid w:val="00B418FE"/>
    <w:rsid w:val="00B46E10"/>
    <w:rsid w:val="00B85A80"/>
    <w:rsid w:val="00B86B35"/>
    <w:rsid w:val="00BB6C70"/>
    <w:rsid w:val="00BC0A40"/>
    <w:rsid w:val="00BC628C"/>
    <w:rsid w:val="00BE55F7"/>
    <w:rsid w:val="00C15002"/>
    <w:rsid w:val="00C41247"/>
    <w:rsid w:val="00C507C8"/>
    <w:rsid w:val="00C6526A"/>
    <w:rsid w:val="00C77C21"/>
    <w:rsid w:val="00C82753"/>
    <w:rsid w:val="00CA0FF7"/>
    <w:rsid w:val="00CB1B6D"/>
    <w:rsid w:val="00CB23A4"/>
    <w:rsid w:val="00CB46A7"/>
    <w:rsid w:val="00CF049B"/>
    <w:rsid w:val="00D0694F"/>
    <w:rsid w:val="00D13BB9"/>
    <w:rsid w:val="00D47136"/>
    <w:rsid w:val="00D7276F"/>
    <w:rsid w:val="00D8312E"/>
    <w:rsid w:val="00DA1DFF"/>
    <w:rsid w:val="00DD7185"/>
    <w:rsid w:val="00DF44D3"/>
    <w:rsid w:val="00DF730A"/>
    <w:rsid w:val="00E007BB"/>
    <w:rsid w:val="00E12ACA"/>
    <w:rsid w:val="00E13DDC"/>
    <w:rsid w:val="00E3563E"/>
    <w:rsid w:val="00E63C60"/>
    <w:rsid w:val="00E77556"/>
    <w:rsid w:val="00EA2BE9"/>
    <w:rsid w:val="00EB2757"/>
    <w:rsid w:val="00EB78AF"/>
    <w:rsid w:val="00EC7B17"/>
    <w:rsid w:val="00ED46F8"/>
    <w:rsid w:val="00EE6FD6"/>
    <w:rsid w:val="00F13C69"/>
    <w:rsid w:val="00F350E6"/>
    <w:rsid w:val="00F3787B"/>
    <w:rsid w:val="00F416D8"/>
    <w:rsid w:val="00F54E43"/>
    <w:rsid w:val="00F82CFD"/>
    <w:rsid w:val="00FC6329"/>
    <w:rsid w:val="00FF2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17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37D1"/>
  </w:style>
  <w:style w:type="paragraph" w:styleId="Heading1">
    <w:name w:val="heading 1"/>
    <w:basedOn w:val="Normal"/>
    <w:next w:val="Normal"/>
    <w:link w:val="Heading1Char"/>
    <w:uiPriority w:val="9"/>
    <w:qFormat/>
    <w:pPr>
      <w:keepNext/>
      <w:numPr>
        <w:numId w:val="8"/>
      </w:numPr>
      <w:jc w:val="center"/>
      <w:outlineLvl w:val="0"/>
    </w:pPr>
    <w:rPr>
      <w:rFonts w:ascii="Times New Roman Bold" w:hAnsi="Times New Roman Bold"/>
      <w:b/>
      <w:sz w:val="22"/>
    </w:rPr>
  </w:style>
  <w:style w:type="paragraph" w:styleId="Heading2">
    <w:name w:val="heading 2"/>
    <w:basedOn w:val="Normal"/>
    <w:next w:val="Normal"/>
    <w:link w:val="Heading2Char"/>
    <w:uiPriority w:val="9"/>
    <w:qFormat/>
    <w:pPr>
      <w:keepNext/>
      <w:numPr>
        <w:numId w:val="20"/>
      </w:numPr>
      <w:tabs>
        <w:tab w:val="left" w:pos="720"/>
      </w:tabs>
      <w:spacing w:before="100" w:beforeAutospacing="1" w:after="100" w:afterAutospacing="1"/>
      <w:outlineLvl w:val="1"/>
    </w:pPr>
    <w:rPr>
      <w:rFonts w:ascii="Times New Roman Bold" w:hAnsi="Times New Roman Bold"/>
      <w:b/>
      <w:sz w:val="22"/>
    </w:rPr>
  </w:style>
  <w:style w:type="paragraph" w:styleId="Heading3">
    <w:name w:val="heading 3"/>
    <w:basedOn w:val="Normal"/>
    <w:next w:val="Normal"/>
    <w:link w:val="Heading3Char"/>
    <w:uiPriority w:val="9"/>
    <w:qFormat/>
    <w:pPr>
      <w:keepNext/>
      <w:outlineLvl w:val="2"/>
    </w:pPr>
    <w:rPr>
      <w:rFonts w:ascii="Univers" w:hAnsi="Univers"/>
      <w:b/>
    </w:rPr>
  </w:style>
  <w:style w:type="paragraph" w:styleId="Heading4">
    <w:name w:val="heading 4"/>
    <w:basedOn w:val="Normal"/>
    <w:next w:val="Normal"/>
    <w:link w:val="Heading4Char"/>
    <w:uiPriority w:val="9"/>
    <w:qFormat/>
    <w:pPr>
      <w:keepNext/>
      <w:numPr>
        <w:numId w:val="9"/>
      </w:numPr>
      <w:outlineLvl w:val="3"/>
    </w:pPr>
    <w:rPr>
      <w:rFonts w:ascii="Univers" w:hAnsi="Univers"/>
      <w:b/>
    </w:rPr>
  </w:style>
  <w:style w:type="paragraph" w:styleId="Heading5">
    <w:name w:val="heading 5"/>
    <w:basedOn w:val="Normal"/>
    <w:next w:val="Normal"/>
    <w:link w:val="Heading5Char"/>
    <w:uiPriority w:val="9"/>
    <w:qFormat/>
    <w:pPr>
      <w:keepNext/>
      <w:numPr>
        <w:numId w:val="16"/>
      </w:numPr>
      <w:outlineLvl w:val="4"/>
    </w:pPr>
    <w:rPr>
      <w:rFonts w:ascii="Univers" w:hAnsi="Univers"/>
      <w:b/>
    </w:rPr>
  </w:style>
  <w:style w:type="paragraph" w:styleId="Heading6">
    <w:name w:val="heading 6"/>
    <w:basedOn w:val="Normal"/>
    <w:next w:val="Normal"/>
    <w:link w:val="Heading6Char"/>
    <w:uiPriority w:val="9"/>
    <w:qFormat/>
    <w:pPr>
      <w:keepNext/>
      <w:numPr>
        <w:numId w:val="4"/>
      </w:numPr>
      <w:tabs>
        <w:tab w:val="left" w:pos="720"/>
      </w:tabs>
      <w:outlineLvl w:val="5"/>
    </w:pPr>
    <w:rPr>
      <w:b/>
      <w:bCs/>
      <w:sz w:val="21"/>
    </w:rPr>
  </w:style>
  <w:style w:type="paragraph" w:styleId="Heading7">
    <w:name w:val="heading 7"/>
    <w:basedOn w:val="Normal"/>
    <w:next w:val="Normal"/>
    <w:link w:val="Heading7Char"/>
    <w:uiPriority w:val="9"/>
    <w:qFormat/>
    <w:pPr>
      <w:keepNext/>
      <w:outlineLvl w:val="6"/>
    </w:pPr>
    <w:rPr>
      <w:b/>
      <w:bCs/>
      <w:sz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BF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A5BF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1A5BF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A5BF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A5BF4"/>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1A5BF4"/>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1A5BF4"/>
    <w:rPr>
      <w:rFonts w:asciiTheme="minorHAnsi" w:eastAsiaTheme="minorEastAsia" w:hAnsiTheme="minorHAnsi" w:cstheme="minorBidi"/>
      <w:sz w:val="24"/>
      <w:szCs w:val="24"/>
    </w:rPr>
  </w:style>
  <w:style w:type="paragraph" w:styleId="Title">
    <w:name w:val="Title"/>
    <w:basedOn w:val="Normal"/>
    <w:link w:val="TitleChar"/>
    <w:uiPriority w:val="10"/>
    <w:qFormat/>
    <w:pPr>
      <w:jc w:val="center"/>
    </w:pPr>
    <w:rPr>
      <w:rFonts w:ascii="Univers" w:hAnsi="Univers"/>
      <w:b/>
    </w:rPr>
  </w:style>
  <w:style w:type="character" w:customStyle="1" w:styleId="TitleChar">
    <w:name w:val="Title Char"/>
    <w:basedOn w:val="DefaultParagraphFont"/>
    <w:link w:val="Title"/>
    <w:uiPriority w:val="10"/>
    <w:rsid w:val="001A5BF4"/>
    <w:rPr>
      <w:rFonts w:asciiTheme="majorHAnsi" w:eastAsiaTheme="majorEastAsia" w:hAnsiTheme="majorHAnsi" w:cstheme="majorBidi"/>
      <w:b/>
      <w:bCs/>
      <w:kern w:val="28"/>
      <w:sz w:val="32"/>
      <w:szCs w:val="32"/>
    </w:rPr>
  </w:style>
  <w:style w:type="paragraph" w:styleId="Header">
    <w:name w:val="header"/>
    <w:basedOn w:val="Normal"/>
    <w:link w:val="HeaderChar"/>
    <w:uiPriority w:val="99"/>
    <w:pPr>
      <w:tabs>
        <w:tab w:val="center" w:pos="4320"/>
        <w:tab w:val="right" w:pos="8640"/>
      </w:tabs>
    </w:pPr>
    <w:rPr>
      <w:rFonts w:ascii="Univers" w:hAnsi="Univers"/>
    </w:rPr>
  </w:style>
  <w:style w:type="character" w:customStyle="1" w:styleId="HeaderChar">
    <w:name w:val="Header Char"/>
    <w:basedOn w:val="DefaultParagraphFont"/>
    <w:link w:val="Header"/>
    <w:uiPriority w:val="99"/>
    <w:semiHidden/>
    <w:rsid w:val="001A5BF4"/>
  </w:style>
  <w:style w:type="paragraph" w:styleId="TOC1">
    <w:name w:val="toc 1"/>
    <w:basedOn w:val="Normal"/>
    <w:next w:val="Normal"/>
    <w:autoRedefine/>
    <w:uiPriority w:val="39"/>
    <w:pPr>
      <w:spacing w:before="120" w:after="120"/>
    </w:pPr>
    <w:rPr>
      <w:b/>
      <w:caps/>
    </w:rPr>
  </w:style>
  <w:style w:type="paragraph" w:styleId="TOC2">
    <w:name w:val="toc 2"/>
    <w:basedOn w:val="Normal"/>
    <w:next w:val="Normal"/>
    <w:autoRedefine/>
    <w:uiPriority w:val="39"/>
    <w:rsid w:val="007547FD"/>
    <w:pPr>
      <w:tabs>
        <w:tab w:val="left" w:pos="600"/>
        <w:tab w:val="right" w:leader="dot" w:pos="9270"/>
      </w:tabs>
      <w:ind w:left="630" w:hanging="430"/>
    </w:pPr>
    <w:rPr>
      <w:smallCaps/>
      <w:noProof/>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1A5BF4"/>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sz w:val="22"/>
    </w:rPr>
  </w:style>
  <w:style w:type="character" w:customStyle="1" w:styleId="BodyTextChar">
    <w:name w:val="Body Text Char"/>
    <w:basedOn w:val="DefaultParagraphFont"/>
    <w:link w:val="BodyText"/>
    <w:uiPriority w:val="99"/>
    <w:semiHidden/>
    <w:rsid w:val="001A5BF4"/>
  </w:style>
  <w:style w:type="paragraph" w:styleId="BodyTextIndent2">
    <w:name w:val="Body Text Indent 2"/>
    <w:basedOn w:val="Normal"/>
    <w:link w:val="BodyTextIndent2Char"/>
    <w:uiPriority w:val="99"/>
    <w:rsid w:val="00467333"/>
    <w:pPr>
      <w:spacing w:after="120" w:line="480" w:lineRule="auto"/>
      <w:ind w:left="360"/>
    </w:pPr>
  </w:style>
  <w:style w:type="character" w:customStyle="1" w:styleId="BodyTextIndent2Char">
    <w:name w:val="Body Text Indent 2 Char"/>
    <w:basedOn w:val="DefaultParagraphFont"/>
    <w:link w:val="BodyTextIndent2"/>
    <w:uiPriority w:val="99"/>
    <w:semiHidden/>
    <w:rsid w:val="001A5BF4"/>
  </w:style>
  <w:style w:type="paragraph" w:customStyle="1" w:styleId="Default">
    <w:name w:val="Default"/>
    <w:rsid w:val="00CF049B"/>
    <w:pPr>
      <w:autoSpaceDE w:val="0"/>
      <w:autoSpaceDN w:val="0"/>
      <w:adjustRightInd w:val="0"/>
    </w:pPr>
    <w:rPr>
      <w:color w:val="000000"/>
      <w:sz w:val="24"/>
      <w:szCs w:val="24"/>
    </w:rPr>
  </w:style>
  <w:style w:type="paragraph" w:styleId="Revision">
    <w:name w:val="Revision"/>
    <w:hidden/>
    <w:uiPriority w:val="99"/>
    <w:semiHidden/>
    <w:rsid w:val="003D4501"/>
  </w:style>
  <w:style w:type="character" w:styleId="Hyperlink">
    <w:name w:val="Hyperlink"/>
    <w:basedOn w:val="DefaultParagraphFont"/>
    <w:uiPriority w:val="99"/>
    <w:semiHidden/>
    <w:unhideWhenUsed/>
    <w:rsid w:val="00863D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q.mt.gov/News/publicnotices-folder/ghg-01-05-25" TargetMode="External"/><Relationship Id="rId5" Type="http://schemas.openxmlformats.org/officeDocument/2006/relationships/footnotes" Target="footnotes.xml"/><Relationship Id="rId10" Type="http://schemas.openxmlformats.org/officeDocument/2006/relationships/hyperlink" Target="https://deq.mt.gov/about/public-records" TargetMode="External"/><Relationship Id="rId4" Type="http://schemas.openxmlformats.org/officeDocument/2006/relationships/webSettings" Target="webSettings.xml"/><Relationship Id="rId9" Type="http://schemas.openxmlformats.org/officeDocument/2006/relationships/hyperlink" Target="https://deq.mt.gov/air/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5882</Words>
  <Characters>33534</Characters>
  <Application>Microsoft Office Word</Application>
  <DocSecurity>8</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2026-04-14T20:43:00Z</dcterms:created>
  <dcterms:modified xsi:type="dcterms:W3CDTF">2026-04-14T20:43:00Z</dcterms:modified>
</cp:coreProperties>
</file>