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923" w14:textId="77777777" w:rsidR="002660F8" w:rsidRPr="00516267" w:rsidRDefault="002660F8">
      <w:pPr>
        <w:pStyle w:val="Title"/>
        <w:rPr>
          <w:rFonts w:ascii="Garamond" w:hAnsi="Garamond"/>
          <w:sz w:val="24"/>
          <w:szCs w:val="24"/>
        </w:rPr>
      </w:pPr>
      <w:r w:rsidRPr="00516267">
        <w:rPr>
          <w:rFonts w:ascii="Garamond" w:hAnsi="Garamond"/>
          <w:sz w:val="24"/>
          <w:szCs w:val="24"/>
        </w:rPr>
        <w:t>MONTANA DEPARTMENT OF ENVIRONMENTAL QUALITY</w:t>
      </w:r>
    </w:p>
    <w:p w14:paraId="3EE6F32D" w14:textId="77777777" w:rsidR="002660F8" w:rsidRPr="00516267" w:rsidRDefault="002660F8">
      <w:pPr>
        <w:pStyle w:val="Subtitle"/>
        <w:rPr>
          <w:rFonts w:ascii="Garamond" w:hAnsi="Garamond"/>
          <w:sz w:val="24"/>
          <w:szCs w:val="24"/>
        </w:rPr>
      </w:pPr>
      <w:r w:rsidRPr="00516267">
        <w:rPr>
          <w:rFonts w:ascii="Garamond" w:hAnsi="Garamond"/>
          <w:sz w:val="24"/>
          <w:szCs w:val="24"/>
        </w:rPr>
        <w:t>OPERATING PERMIT TECHNICAL REVIEW DOCUMENT</w:t>
      </w:r>
    </w:p>
    <w:p w14:paraId="3D0BC88F" w14:textId="77777777" w:rsidR="002660F8" w:rsidRPr="00516267" w:rsidRDefault="002660F8">
      <w:pPr>
        <w:jc w:val="center"/>
        <w:rPr>
          <w:rFonts w:ascii="Garamond" w:hAnsi="Garamond"/>
          <w:b/>
          <w:sz w:val="24"/>
          <w:szCs w:val="24"/>
        </w:rPr>
      </w:pPr>
    </w:p>
    <w:p w14:paraId="0819ED2B" w14:textId="2D89EAB5" w:rsidR="002660F8" w:rsidRDefault="006F798D">
      <w:pPr>
        <w:jc w:val="center"/>
        <w:rPr>
          <w:rFonts w:ascii="Garamond" w:hAnsi="Garamond"/>
          <w:b/>
          <w:sz w:val="24"/>
          <w:szCs w:val="24"/>
        </w:rPr>
      </w:pPr>
      <w:r>
        <w:rPr>
          <w:rFonts w:ascii="Garamond" w:hAnsi="Garamond"/>
          <w:b/>
          <w:sz w:val="24"/>
          <w:szCs w:val="24"/>
        </w:rPr>
        <w:t>Air, Energy &amp; Mining Division</w:t>
      </w:r>
    </w:p>
    <w:p w14:paraId="1EFDDAA0" w14:textId="28E91552" w:rsidR="006F798D" w:rsidRPr="00516267" w:rsidRDefault="006F798D">
      <w:pPr>
        <w:jc w:val="center"/>
        <w:rPr>
          <w:rFonts w:ascii="Garamond" w:hAnsi="Garamond"/>
          <w:b/>
          <w:sz w:val="24"/>
          <w:szCs w:val="24"/>
        </w:rPr>
      </w:pPr>
      <w:r>
        <w:rPr>
          <w:rFonts w:ascii="Garamond" w:hAnsi="Garamond"/>
          <w:b/>
          <w:sz w:val="24"/>
          <w:szCs w:val="24"/>
        </w:rPr>
        <w:t>Air Quality Bureau</w:t>
      </w:r>
    </w:p>
    <w:p w14:paraId="65AC4E94" w14:textId="77777777" w:rsidR="002660F8" w:rsidRPr="00516267" w:rsidRDefault="002660F8">
      <w:pPr>
        <w:jc w:val="center"/>
        <w:rPr>
          <w:rFonts w:ascii="Garamond" w:hAnsi="Garamond"/>
          <w:b/>
          <w:sz w:val="24"/>
          <w:szCs w:val="24"/>
        </w:rPr>
      </w:pPr>
      <w:r w:rsidRPr="00516267">
        <w:rPr>
          <w:rFonts w:ascii="Garamond" w:hAnsi="Garamond"/>
          <w:b/>
          <w:sz w:val="24"/>
          <w:szCs w:val="24"/>
        </w:rPr>
        <w:t>1520 E. Sixth Avenue</w:t>
      </w:r>
    </w:p>
    <w:p w14:paraId="1E4F7A4E" w14:textId="77777777" w:rsidR="002660F8" w:rsidRPr="00516267" w:rsidRDefault="002660F8">
      <w:pPr>
        <w:jc w:val="center"/>
        <w:rPr>
          <w:rFonts w:ascii="Garamond" w:hAnsi="Garamond"/>
          <w:b/>
          <w:sz w:val="24"/>
          <w:szCs w:val="24"/>
        </w:rPr>
      </w:pPr>
      <w:r w:rsidRPr="00516267">
        <w:rPr>
          <w:rFonts w:ascii="Garamond" w:hAnsi="Garamond"/>
          <w:b/>
          <w:sz w:val="24"/>
          <w:szCs w:val="24"/>
        </w:rPr>
        <w:t>P.O. Box 200901</w:t>
      </w:r>
    </w:p>
    <w:p w14:paraId="6A13C372" w14:textId="7DB00A26" w:rsidR="002660F8" w:rsidRPr="00516267" w:rsidRDefault="002660F8">
      <w:pPr>
        <w:jc w:val="center"/>
        <w:rPr>
          <w:rFonts w:ascii="Garamond" w:hAnsi="Garamond"/>
          <w:sz w:val="24"/>
          <w:szCs w:val="24"/>
        </w:rPr>
      </w:pPr>
      <w:r w:rsidRPr="00516267">
        <w:rPr>
          <w:rFonts w:ascii="Garamond" w:hAnsi="Garamond"/>
          <w:b/>
          <w:sz w:val="24"/>
          <w:szCs w:val="24"/>
        </w:rPr>
        <w:t>Helena, Montana 59620-0901</w:t>
      </w:r>
    </w:p>
    <w:p w14:paraId="133DE6B3" w14:textId="77777777" w:rsidR="002660F8" w:rsidRPr="00516267" w:rsidRDefault="002660F8">
      <w:pPr>
        <w:jc w:val="center"/>
        <w:rPr>
          <w:rFonts w:ascii="Garamond" w:hAnsi="Garamond"/>
          <w:sz w:val="24"/>
          <w:szCs w:val="24"/>
        </w:rPr>
      </w:pPr>
    </w:p>
    <w:p w14:paraId="48C82549" w14:textId="77777777" w:rsidR="002660F8" w:rsidRPr="00516267" w:rsidRDefault="002660F8">
      <w:pPr>
        <w:jc w:val="center"/>
        <w:rPr>
          <w:rFonts w:ascii="Garamond" w:hAnsi="Garamond"/>
          <w:sz w:val="24"/>
          <w:szCs w:val="24"/>
        </w:rPr>
      </w:pPr>
    </w:p>
    <w:p w14:paraId="414B4D91" w14:textId="77777777" w:rsidR="002660F8" w:rsidRPr="00516267" w:rsidRDefault="00FB50B2">
      <w:pPr>
        <w:jc w:val="center"/>
        <w:rPr>
          <w:rFonts w:ascii="Garamond" w:hAnsi="Garamond"/>
          <w:bCs/>
          <w:sz w:val="24"/>
          <w:szCs w:val="24"/>
        </w:rPr>
      </w:pPr>
      <w:r w:rsidRPr="00516267">
        <w:rPr>
          <w:rFonts w:ascii="Garamond" w:hAnsi="Garamond"/>
          <w:bCs/>
          <w:sz w:val="24"/>
          <w:szCs w:val="24"/>
        </w:rPr>
        <w:t>Montana Silversmiths</w:t>
      </w:r>
      <w:r w:rsidR="0000054D" w:rsidRPr="00516267">
        <w:rPr>
          <w:rFonts w:ascii="Garamond" w:hAnsi="Garamond"/>
          <w:bCs/>
          <w:sz w:val="24"/>
          <w:szCs w:val="24"/>
        </w:rPr>
        <w:t>,</w:t>
      </w:r>
      <w:r w:rsidR="002660F8" w:rsidRPr="00516267">
        <w:rPr>
          <w:rFonts w:ascii="Garamond" w:hAnsi="Garamond"/>
          <w:bCs/>
          <w:sz w:val="24"/>
          <w:szCs w:val="24"/>
        </w:rPr>
        <w:t xml:space="preserve"> Inc.</w:t>
      </w:r>
    </w:p>
    <w:p w14:paraId="00EB8AAC" w14:textId="77777777" w:rsidR="002660F8" w:rsidRPr="00516267" w:rsidRDefault="002660F8">
      <w:pPr>
        <w:jc w:val="center"/>
        <w:rPr>
          <w:rFonts w:ascii="Garamond" w:hAnsi="Garamond"/>
          <w:bCs/>
          <w:sz w:val="24"/>
          <w:szCs w:val="24"/>
        </w:rPr>
      </w:pPr>
      <w:r w:rsidRPr="00516267">
        <w:rPr>
          <w:rFonts w:ascii="Garamond" w:hAnsi="Garamond"/>
          <w:bCs/>
          <w:sz w:val="24"/>
          <w:szCs w:val="24"/>
        </w:rPr>
        <w:t>Section 28, Township 2 South, Range 20 East, Stillwater County</w:t>
      </w:r>
    </w:p>
    <w:p w14:paraId="6733978A" w14:textId="77777777" w:rsidR="002660F8" w:rsidRPr="00516267" w:rsidRDefault="002660F8">
      <w:pPr>
        <w:jc w:val="center"/>
        <w:rPr>
          <w:rFonts w:ascii="Garamond" w:hAnsi="Garamond"/>
          <w:bCs/>
          <w:sz w:val="24"/>
          <w:szCs w:val="24"/>
        </w:rPr>
      </w:pPr>
      <w:r w:rsidRPr="00516267">
        <w:rPr>
          <w:rFonts w:ascii="Garamond" w:hAnsi="Garamond"/>
          <w:bCs/>
          <w:sz w:val="24"/>
          <w:szCs w:val="24"/>
        </w:rPr>
        <w:t>1 Sterling Lane</w:t>
      </w:r>
    </w:p>
    <w:p w14:paraId="414965AC" w14:textId="77777777" w:rsidR="002660F8" w:rsidRPr="00516267" w:rsidRDefault="002660F8">
      <w:pPr>
        <w:jc w:val="center"/>
        <w:rPr>
          <w:rFonts w:ascii="Garamond" w:hAnsi="Garamond"/>
          <w:sz w:val="24"/>
          <w:szCs w:val="24"/>
        </w:rPr>
      </w:pPr>
      <w:r w:rsidRPr="00516267">
        <w:rPr>
          <w:rFonts w:ascii="Garamond" w:hAnsi="Garamond"/>
          <w:bCs/>
          <w:sz w:val="24"/>
          <w:szCs w:val="24"/>
        </w:rPr>
        <w:t>Columbus, MT</w:t>
      </w:r>
      <w:r w:rsidR="00854D51" w:rsidRPr="00516267">
        <w:rPr>
          <w:rFonts w:ascii="Garamond" w:hAnsi="Garamond"/>
          <w:bCs/>
          <w:sz w:val="24"/>
          <w:szCs w:val="24"/>
        </w:rPr>
        <w:t xml:space="preserve"> </w:t>
      </w:r>
      <w:r w:rsidR="00FB50B2" w:rsidRPr="00516267">
        <w:rPr>
          <w:rFonts w:ascii="Garamond" w:hAnsi="Garamond"/>
          <w:bCs/>
          <w:sz w:val="24"/>
          <w:szCs w:val="24"/>
        </w:rPr>
        <w:t xml:space="preserve"> </w:t>
      </w:r>
      <w:r w:rsidR="00854D51" w:rsidRPr="00516267">
        <w:rPr>
          <w:rFonts w:ascii="Garamond" w:hAnsi="Garamond"/>
          <w:bCs/>
          <w:sz w:val="24"/>
          <w:szCs w:val="24"/>
        </w:rPr>
        <w:t>59019</w:t>
      </w:r>
    </w:p>
    <w:p w14:paraId="37CE42F0" w14:textId="77777777" w:rsidR="002660F8" w:rsidRPr="00516267" w:rsidRDefault="002660F8">
      <w:pPr>
        <w:rPr>
          <w:rFonts w:ascii="Garamond" w:hAnsi="Garamond"/>
          <w:sz w:val="24"/>
          <w:szCs w:val="24"/>
        </w:rPr>
      </w:pPr>
    </w:p>
    <w:p w14:paraId="7EEAC7A7" w14:textId="77777777" w:rsidR="002660F8" w:rsidRPr="00516267" w:rsidRDefault="002660F8">
      <w:pPr>
        <w:rPr>
          <w:rFonts w:ascii="Garamond" w:hAnsi="Garamond"/>
          <w:sz w:val="24"/>
          <w:szCs w:val="24"/>
        </w:rPr>
      </w:pPr>
      <w:r w:rsidRPr="00516267">
        <w:rPr>
          <w:rFonts w:ascii="Garamond" w:hAnsi="Garamond"/>
          <w:sz w:val="24"/>
          <w:szCs w:val="24"/>
        </w:rPr>
        <w:t>The following table summarizes the air quality programs testing, monitoring, and reporting requirements applicable to this facility.</w:t>
      </w:r>
    </w:p>
    <w:p w14:paraId="0FFA430A" w14:textId="77777777" w:rsidR="002660F8" w:rsidRPr="00516267" w:rsidRDefault="002660F8">
      <w:pPr>
        <w:rPr>
          <w:rFonts w:ascii="Garamond" w:hAnsi="Garamon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630"/>
        <w:gridCol w:w="540"/>
        <w:gridCol w:w="1620"/>
      </w:tblGrid>
      <w:tr w:rsidR="002660F8" w:rsidRPr="006F5B14" w14:paraId="48549C59" w14:textId="77777777">
        <w:trPr>
          <w:trHeight w:val="400"/>
        </w:trPr>
        <w:tc>
          <w:tcPr>
            <w:tcW w:w="6570" w:type="dxa"/>
            <w:tcBorders>
              <w:top w:val="single" w:sz="12" w:space="0" w:color="auto"/>
              <w:left w:val="single" w:sz="12" w:space="0" w:color="auto"/>
              <w:bottom w:val="single" w:sz="12" w:space="0" w:color="auto"/>
            </w:tcBorders>
            <w:vAlign w:val="center"/>
          </w:tcPr>
          <w:p w14:paraId="0EEA835E" w14:textId="77777777" w:rsidR="002660F8" w:rsidRPr="006F5B14" w:rsidRDefault="002660F8">
            <w:pPr>
              <w:pStyle w:val="Title"/>
              <w:rPr>
                <w:rFonts w:ascii="Garamond" w:hAnsi="Garamond"/>
                <w:sz w:val="22"/>
                <w:szCs w:val="22"/>
              </w:rPr>
            </w:pPr>
            <w:r w:rsidRPr="006F5B14">
              <w:rPr>
                <w:rFonts w:ascii="Garamond" w:hAnsi="Garamond"/>
                <w:sz w:val="22"/>
                <w:szCs w:val="22"/>
              </w:rPr>
              <w:t>Facility Compliance Requirements</w:t>
            </w:r>
          </w:p>
        </w:tc>
        <w:tc>
          <w:tcPr>
            <w:tcW w:w="630" w:type="dxa"/>
            <w:tcBorders>
              <w:top w:val="single" w:sz="12" w:space="0" w:color="auto"/>
              <w:bottom w:val="single" w:sz="12" w:space="0" w:color="auto"/>
            </w:tcBorders>
            <w:vAlign w:val="center"/>
          </w:tcPr>
          <w:p w14:paraId="55BE717B" w14:textId="77777777" w:rsidR="002660F8" w:rsidRPr="006F5B14" w:rsidRDefault="002660F8">
            <w:pPr>
              <w:rPr>
                <w:rFonts w:ascii="Garamond" w:hAnsi="Garamond"/>
                <w:sz w:val="22"/>
                <w:szCs w:val="22"/>
              </w:rPr>
            </w:pPr>
            <w:r w:rsidRPr="006F5B14">
              <w:rPr>
                <w:rFonts w:ascii="Garamond" w:hAnsi="Garamond"/>
                <w:sz w:val="22"/>
                <w:szCs w:val="22"/>
              </w:rPr>
              <w:t>Yes</w:t>
            </w:r>
          </w:p>
        </w:tc>
        <w:tc>
          <w:tcPr>
            <w:tcW w:w="540" w:type="dxa"/>
            <w:tcBorders>
              <w:top w:val="single" w:sz="12" w:space="0" w:color="auto"/>
              <w:bottom w:val="single" w:sz="12" w:space="0" w:color="auto"/>
            </w:tcBorders>
            <w:vAlign w:val="center"/>
          </w:tcPr>
          <w:p w14:paraId="06146EB4" w14:textId="77777777" w:rsidR="002660F8" w:rsidRPr="006F5B14" w:rsidRDefault="002660F8">
            <w:pPr>
              <w:rPr>
                <w:rFonts w:ascii="Garamond" w:hAnsi="Garamond"/>
                <w:sz w:val="22"/>
                <w:szCs w:val="22"/>
              </w:rPr>
            </w:pPr>
            <w:r w:rsidRPr="006F5B14">
              <w:rPr>
                <w:rFonts w:ascii="Garamond" w:hAnsi="Garamond"/>
                <w:sz w:val="22"/>
                <w:szCs w:val="22"/>
              </w:rPr>
              <w:t>No</w:t>
            </w:r>
          </w:p>
        </w:tc>
        <w:tc>
          <w:tcPr>
            <w:tcW w:w="1620" w:type="dxa"/>
            <w:tcBorders>
              <w:top w:val="single" w:sz="12" w:space="0" w:color="auto"/>
              <w:bottom w:val="single" w:sz="12" w:space="0" w:color="auto"/>
              <w:right w:val="single" w:sz="12" w:space="0" w:color="auto"/>
            </w:tcBorders>
            <w:vAlign w:val="center"/>
          </w:tcPr>
          <w:p w14:paraId="58E79BE6" w14:textId="77777777" w:rsidR="002660F8" w:rsidRPr="006F5B14" w:rsidRDefault="002660F8">
            <w:pPr>
              <w:jc w:val="center"/>
              <w:rPr>
                <w:rFonts w:ascii="Garamond" w:hAnsi="Garamond"/>
                <w:sz w:val="22"/>
                <w:szCs w:val="22"/>
              </w:rPr>
            </w:pPr>
            <w:r w:rsidRPr="006F5B14">
              <w:rPr>
                <w:rFonts w:ascii="Garamond" w:hAnsi="Garamond"/>
                <w:sz w:val="22"/>
                <w:szCs w:val="22"/>
              </w:rPr>
              <w:t>Comments</w:t>
            </w:r>
          </w:p>
        </w:tc>
      </w:tr>
      <w:tr w:rsidR="002660F8" w:rsidRPr="006F5B14" w14:paraId="4BDBCB52" w14:textId="77777777">
        <w:trPr>
          <w:trHeight w:val="400"/>
        </w:trPr>
        <w:tc>
          <w:tcPr>
            <w:tcW w:w="6570" w:type="dxa"/>
            <w:tcBorders>
              <w:top w:val="single" w:sz="12" w:space="0" w:color="auto"/>
              <w:left w:val="single" w:sz="12" w:space="0" w:color="auto"/>
            </w:tcBorders>
            <w:vAlign w:val="center"/>
          </w:tcPr>
          <w:p w14:paraId="70FEDB58" w14:textId="77777777" w:rsidR="002660F8" w:rsidRPr="006F5B14" w:rsidRDefault="002660F8">
            <w:pPr>
              <w:rPr>
                <w:rFonts w:ascii="Garamond" w:hAnsi="Garamond"/>
                <w:sz w:val="22"/>
                <w:szCs w:val="22"/>
              </w:rPr>
            </w:pPr>
            <w:r w:rsidRPr="006F5B14">
              <w:rPr>
                <w:rFonts w:ascii="Garamond" w:hAnsi="Garamond"/>
                <w:sz w:val="22"/>
                <w:szCs w:val="22"/>
              </w:rPr>
              <w:t>Source Tests Required</w:t>
            </w:r>
          </w:p>
        </w:tc>
        <w:tc>
          <w:tcPr>
            <w:tcW w:w="630" w:type="dxa"/>
            <w:tcBorders>
              <w:top w:val="single" w:sz="12" w:space="0" w:color="auto"/>
            </w:tcBorders>
            <w:vAlign w:val="center"/>
          </w:tcPr>
          <w:p w14:paraId="7C31B713" w14:textId="0AC7B718" w:rsidR="002660F8" w:rsidRPr="006F5B14" w:rsidRDefault="002660F8">
            <w:pPr>
              <w:rPr>
                <w:rFonts w:ascii="Garamond" w:hAnsi="Garamond"/>
                <w:sz w:val="22"/>
                <w:szCs w:val="22"/>
              </w:rPr>
            </w:pPr>
          </w:p>
        </w:tc>
        <w:tc>
          <w:tcPr>
            <w:tcW w:w="540" w:type="dxa"/>
            <w:tcBorders>
              <w:top w:val="single" w:sz="12" w:space="0" w:color="auto"/>
            </w:tcBorders>
            <w:vAlign w:val="center"/>
          </w:tcPr>
          <w:p w14:paraId="1A495AB3" w14:textId="37A850F3" w:rsidR="002660F8" w:rsidRPr="006F5B14" w:rsidRDefault="009B36D6">
            <w:pPr>
              <w:rPr>
                <w:rFonts w:ascii="Garamond" w:hAnsi="Garamond"/>
                <w:sz w:val="22"/>
                <w:szCs w:val="22"/>
              </w:rPr>
            </w:pPr>
            <w:r>
              <w:rPr>
                <w:rFonts w:ascii="Garamond" w:hAnsi="Garamond"/>
                <w:sz w:val="22"/>
                <w:szCs w:val="22"/>
              </w:rPr>
              <w:t>X</w:t>
            </w:r>
          </w:p>
        </w:tc>
        <w:tc>
          <w:tcPr>
            <w:tcW w:w="1620" w:type="dxa"/>
            <w:tcBorders>
              <w:top w:val="single" w:sz="12" w:space="0" w:color="auto"/>
              <w:right w:val="single" w:sz="12" w:space="0" w:color="auto"/>
            </w:tcBorders>
            <w:vAlign w:val="center"/>
          </w:tcPr>
          <w:p w14:paraId="0B29562E" w14:textId="0E46A8E3" w:rsidR="002660F8" w:rsidRPr="006F5B14" w:rsidRDefault="002660F8">
            <w:pPr>
              <w:rPr>
                <w:rFonts w:ascii="Garamond" w:hAnsi="Garamond"/>
                <w:sz w:val="22"/>
                <w:szCs w:val="22"/>
              </w:rPr>
            </w:pPr>
          </w:p>
        </w:tc>
      </w:tr>
      <w:tr w:rsidR="002660F8" w:rsidRPr="006F5B14" w14:paraId="4BE379F4" w14:textId="77777777">
        <w:trPr>
          <w:trHeight w:val="400"/>
        </w:trPr>
        <w:tc>
          <w:tcPr>
            <w:tcW w:w="6570" w:type="dxa"/>
            <w:tcBorders>
              <w:left w:val="single" w:sz="12" w:space="0" w:color="auto"/>
            </w:tcBorders>
            <w:vAlign w:val="center"/>
          </w:tcPr>
          <w:p w14:paraId="4A13F3DC" w14:textId="77777777" w:rsidR="002660F8" w:rsidRPr="006F5B14" w:rsidRDefault="002660F8">
            <w:pPr>
              <w:rPr>
                <w:rFonts w:ascii="Garamond" w:hAnsi="Garamond"/>
                <w:sz w:val="22"/>
                <w:szCs w:val="22"/>
              </w:rPr>
            </w:pPr>
            <w:r w:rsidRPr="006F5B14">
              <w:rPr>
                <w:rFonts w:ascii="Garamond" w:hAnsi="Garamond"/>
                <w:sz w:val="22"/>
                <w:szCs w:val="22"/>
              </w:rPr>
              <w:t>Ambient Monitoring Required</w:t>
            </w:r>
          </w:p>
        </w:tc>
        <w:tc>
          <w:tcPr>
            <w:tcW w:w="630" w:type="dxa"/>
            <w:vAlign w:val="center"/>
          </w:tcPr>
          <w:p w14:paraId="7A7F2E69" w14:textId="77777777" w:rsidR="002660F8" w:rsidRPr="006F5B14" w:rsidRDefault="002660F8">
            <w:pPr>
              <w:rPr>
                <w:rFonts w:ascii="Garamond" w:hAnsi="Garamond"/>
                <w:sz w:val="22"/>
                <w:szCs w:val="22"/>
              </w:rPr>
            </w:pPr>
          </w:p>
        </w:tc>
        <w:tc>
          <w:tcPr>
            <w:tcW w:w="540" w:type="dxa"/>
            <w:vAlign w:val="center"/>
          </w:tcPr>
          <w:p w14:paraId="7C247D22"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1EE17F75" w14:textId="77777777" w:rsidR="002660F8" w:rsidRPr="006F5B14" w:rsidRDefault="002660F8">
            <w:pPr>
              <w:rPr>
                <w:rFonts w:ascii="Garamond" w:hAnsi="Garamond"/>
                <w:sz w:val="22"/>
                <w:szCs w:val="22"/>
              </w:rPr>
            </w:pPr>
          </w:p>
        </w:tc>
      </w:tr>
      <w:tr w:rsidR="002660F8" w:rsidRPr="006F5B14" w14:paraId="2049B796" w14:textId="77777777">
        <w:trPr>
          <w:trHeight w:val="400"/>
        </w:trPr>
        <w:tc>
          <w:tcPr>
            <w:tcW w:w="6570" w:type="dxa"/>
            <w:tcBorders>
              <w:left w:val="single" w:sz="12" w:space="0" w:color="auto"/>
            </w:tcBorders>
            <w:vAlign w:val="center"/>
          </w:tcPr>
          <w:p w14:paraId="70CA664C" w14:textId="77777777" w:rsidR="002660F8" w:rsidRPr="006F5B14" w:rsidRDefault="002660F8">
            <w:pPr>
              <w:rPr>
                <w:rFonts w:ascii="Garamond" w:hAnsi="Garamond"/>
                <w:sz w:val="22"/>
                <w:szCs w:val="22"/>
              </w:rPr>
            </w:pPr>
            <w:r w:rsidRPr="006F5B14">
              <w:rPr>
                <w:rFonts w:ascii="Garamond" w:hAnsi="Garamond"/>
                <w:sz w:val="22"/>
                <w:szCs w:val="22"/>
              </w:rPr>
              <w:t>COMS Required</w:t>
            </w:r>
          </w:p>
        </w:tc>
        <w:tc>
          <w:tcPr>
            <w:tcW w:w="630" w:type="dxa"/>
            <w:vAlign w:val="center"/>
          </w:tcPr>
          <w:p w14:paraId="1FC35797" w14:textId="77777777" w:rsidR="002660F8" w:rsidRPr="006F5B14" w:rsidRDefault="002660F8">
            <w:pPr>
              <w:rPr>
                <w:rFonts w:ascii="Garamond" w:hAnsi="Garamond"/>
                <w:sz w:val="22"/>
                <w:szCs w:val="22"/>
              </w:rPr>
            </w:pPr>
          </w:p>
        </w:tc>
        <w:tc>
          <w:tcPr>
            <w:tcW w:w="540" w:type="dxa"/>
            <w:vAlign w:val="center"/>
          </w:tcPr>
          <w:p w14:paraId="2403F793"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473D9353" w14:textId="77777777" w:rsidR="002660F8" w:rsidRPr="006F5B14" w:rsidRDefault="002660F8">
            <w:pPr>
              <w:rPr>
                <w:rFonts w:ascii="Garamond" w:hAnsi="Garamond"/>
                <w:sz w:val="22"/>
                <w:szCs w:val="22"/>
              </w:rPr>
            </w:pPr>
          </w:p>
        </w:tc>
      </w:tr>
      <w:tr w:rsidR="002660F8" w:rsidRPr="006F5B14" w14:paraId="0D5A6EED" w14:textId="77777777">
        <w:trPr>
          <w:trHeight w:val="400"/>
        </w:trPr>
        <w:tc>
          <w:tcPr>
            <w:tcW w:w="6570" w:type="dxa"/>
            <w:tcBorders>
              <w:left w:val="single" w:sz="12" w:space="0" w:color="auto"/>
            </w:tcBorders>
            <w:vAlign w:val="center"/>
          </w:tcPr>
          <w:p w14:paraId="4714C691" w14:textId="77777777" w:rsidR="002660F8" w:rsidRPr="006F5B14" w:rsidRDefault="002660F8">
            <w:pPr>
              <w:rPr>
                <w:rFonts w:ascii="Garamond" w:hAnsi="Garamond"/>
                <w:sz w:val="22"/>
                <w:szCs w:val="22"/>
              </w:rPr>
            </w:pPr>
            <w:r w:rsidRPr="006F5B14">
              <w:rPr>
                <w:rFonts w:ascii="Garamond" w:hAnsi="Garamond"/>
                <w:sz w:val="22"/>
                <w:szCs w:val="22"/>
              </w:rPr>
              <w:t>CEMS Required</w:t>
            </w:r>
          </w:p>
        </w:tc>
        <w:tc>
          <w:tcPr>
            <w:tcW w:w="630" w:type="dxa"/>
            <w:vAlign w:val="center"/>
          </w:tcPr>
          <w:p w14:paraId="031270B0" w14:textId="77777777" w:rsidR="002660F8" w:rsidRPr="006F5B14" w:rsidRDefault="002660F8">
            <w:pPr>
              <w:rPr>
                <w:rFonts w:ascii="Garamond" w:hAnsi="Garamond"/>
                <w:sz w:val="22"/>
                <w:szCs w:val="22"/>
              </w:rPr>
            </w:pPr>
          </w:p>
        </w:tc>
        <w:tc>
          <w:tcPr>
            <w:tcW w:w="540" w:type="dxa"/>
            <w:vAlign w:val="center"/>
          </w:tcPr>
          <w:p w14:paraId="7579B267"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58BE088A" w14:textId="77777777" w:rsidR="002660F8" w:rsidRPr="006F5B14" w:rsidRDefault="002660F8">
            <w:pPr>
              <w:rPr>
                <w:rFonts w:ascii="Garamond" w:hAnsi="Garamond"/>
                <w:sz w:val="22"/>
                <w:szCs w:val="22"/>
              </w:rPr>
            </w:pPr>
          </w:p>
        </w:tc>
      </w:tr>
      <w:tr w:rsidR="002660F8" w:rsidRPr="006F5B14" w14:paraId="02FC9194" w14:textId="77777777">
        <w:trPr>
          <w:trHeight w:val="400"/>
        </w:trPr>
        <w:tc>
          <w:tcPr>
            <w:tcW w:w="6570" w:type="dxa"/>
            <w:tcBorders>
              <w:left w:val="single" w:sz="12" w:space="0" w:color="auto"/>
            </w:tcBorders>
            <w:vAlign w:val="center"/>
          </w:tcPr>
          <w:p w14:paraId="615E36F0" w14:textId="77777777" w:rsidR="002660F8" w:rsidRPr="006F5B14" w:rsidRDefault="002660F8">
            <w:pPr>
              <w:rPr>
                <w:rFonts w:ascii="Garamond" w:hAnsi="Garamond"/>
                <w:sz w:val="22"/>
                <w:szCs w:val="22"/>
              </w:rPr>
            </w:pPr>
            <w:r w:rsidRPr="006F5B14">
              <w:rPr>
                <w:rFonts w:ascii="Garamond" w:hAnsi="Garamond"/>
                <w:sz w:val="22"/>
                <w:szCs w:val="22"/>
              </w:rPr>
              <w:t>Schedule of Compliance Required</w:t>
            </w:r>
          </w:p>
        </w:tc>
        <w:tc>
          <w:tcPr>
            <w:tcW w:w="630" w:type="dxa"/>
            <w:vAlign w:val="center"/>
          </w:tcPr>
          <w:p w14:paraId="766E81E8" w14:textId="77777777" w:rsidR="002660F8" w:rsidRPr="006F5B14" w:rsidRDefault="002660F8">
            <w:pPr>
              <w:rPr>
                <w:rFonts w:ascii="Garamond" w:hAnsi="Garamond"/>
                <w:sz w:val="22"/>
                <w:szCs w:val="22"/>
              </w:rPr>
            </w:pPr>
          </w:p>
        </w:tc>
        <w:tc>
          <w:tcPr>
            <w:tcW w:w="540" w:type="dxa"/>
            <w:vAlign w:val="center"/>
          </w:tcPr>
          <w:p w14:paraId="087A90A1"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610B20F7" w14:textId="77777777" w:rsidR="002660F8" w:rsidRPr="006F5B14" w:rsidRDefault="002660F8">
            <w:pPr>
              <w:rPr>
                <w:rFonts w:ascii="Garamond" w:hAnsi="Garamond"/>
                <w:sz w:val="22"/>
                <w:szCs w:val="22"/>
              </w:rPr>
            </w:pPr>
          </w:p>
        </w:tc>
      </w:tr>
      <w:tr w:rsidR="002660F8" w:rsidRPr="006F5B14" w14:paraId="39A831B3" w14:textId="77777777">
        <w:trPr>
          <w:trHeight w:val="400"/>
        </w:trPr>
        <w:tc>
          <w:tcPr>
            <w:tcW w:w="6570" w:type="dxa"/>
            <w:tcBorders>
              <w:left w:val="single" w:sz="12" w:space="0" w:color="auto"/>
            </w:tcBorders>
            <w:vAlign w:val="center"/>
          </w:tcPr>
          <w:p w14:paraId="2E69992F" w14:textId="0904B2F1" w:rsidR="002660F8" w:rsidRPr="006F5B14" w:rsidRDefault="00E1513F">
            <w:pPr>
              <w:rPr>
                <w:rFonts w:ascii="Garamond" w:hAnsi="Garamond"/>
                <w:sz w:val="22"/>
                <w:szCs w:val="22"/>
              </w:rPr>
            </w:pPr>
            <w:r>
              <w:rPr>
                <w:rFonts w:ascii="Garamond" w:hAnsi="Garamond"/>
                <w:sz w:val="22"/>
                <w:szCs w:val="22"/>
              </w:rPr>
              <w:t>Semi</w:t>
            </w:r>
            <w:r w:rsidR="009B36D6">
              <w:rPr>
                <w:rFonts w:ascii="Garamond" w:hAnsi="Garamond"/>
                <w:sz w:val="22"/>
                <w:szCs w:val="22"/>
              </w:rPr>
              <w:t>a</w:t>
            </w:r>
            <w:r w:rsidR="002660F8" w:rsidRPr="006F5B14">
              <w:rPr>
                <w:rFonts w:ascii="Garamond" w:hAnsi="Garamond"/>
                <w:sz w:val="22"/>
                <w:szCs w:val="22"/>
              </w:rPr>
              <w:t xml:space="preserve">nnual Compliance Certification and </w:t>
            </w:r>
            <w:r>
              <w:rPr>
                <w:rFonts w:ascii="Garamond" w:hAnsi="Garamond"/>
                <w:sz w:val="22"/>
                <w:szCs w:val="22"/>
              </w:rPr>
              <w:t>Semi</w:t>
            </w:r>
            <w:r w:rsidR="002C1E98" w:rsidRPr="006F5B14">
              <w:rPr>
                <w:rFonts w:ascii="Garamond" w:hAnsi="Garamond"/>
                <w:sz w:val="22"/>
                <w:szCs w:val="22"/>
              </w:rPr>
              <w:t>annual</w:t>
            </w:r>
            <w:r w:rsidR="002660F8" w:rsidRPr="006F5B14">
              <w:rPr>
                <w:rFonts w:ascii="Garamond" w:hAnsi="Garamond"/>
                <w:sz w:val="22"/>
                <w:szCs w:val="22"/>
              </w:rPr>
              <w:t xml:space="preserve"> Reporting Required</w:t>
            </w:r>
          </w:p>
        </w:tc>
        <w:tc>
          <w:tcPr>
            <w:tcW w:w="630" w:type="dxa"/>
            <w:vAlign w:val="center"/>
          </w:tcPr>
          <w:p w14:paraId="24265F51"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540" w:type="dxa"/>
            <w:vAlign w:val="center"/>
          </w:tcPr>
          <w:p w14:paraId="6F237C97" w14:textId="77777777" w:rsidR="002660F8" w:rsidRPr="006F5B14" w:rsidRDefault="002660F8">
            <w:pPr>
              <w:rPr>
                <w:rFonts w:ascii="Garamond" w:hAnsi="Garamond"/>
                <w:sz w:val="22"/>
                <w:szCs w:val="22"/>
              </w:rPr>
            </w:pPr>
          </w:p>
        </w:tc>
        <w:tc>
          <w:tcPr>
            <w:tcW w:w="1620" w:type="dxa"/>
            <w:tcBorders>
              <w:right w:val="single" w:sz="12" w:space="0" w:color="auto"/>
            </w:tcBorders>
            <w:vAlign w:val="center"/>
          </w:tcPr>
          <w:p w14:paraId="3F6FA8B6" w14:textId="77777777" w:rsidR="002660F8" w:rsidRPr="006F5B14" w:rsidRDefault="002660F8">
            <w:pPr>
              <w:rPr>
                <w:rFonts w:ascii="Garamond" w:hAnsi="Garamond"/>
                <w:sz w:val="22"/>
                <w:szCs w:val="22"/>
              </w:rPr>
            </w:pPr>
            <w:r w:rsidRPr="006F5B14">
              <w:rPr>
                <w:rFonts w:ascii="Garamond" w:hAnsi="Garamond"/>
                <w:sz w:val="22"/>
                <w:szCs w:val="22"/>
              </w:rPr>
              <w:t>As applicable</w:t>
            </w:r>
          </w:p>
        </w:tc>
      </w:tr>
      <w:tr w:rsidR="002660F8" w:rsidRPr="006F5B14" w14:paraId="5CD4D8BB" w14:textId="77777777">
        <w:trPr>
          <w:trHeight w:val="400"/>
        </w:trPr>
        <w:tc>
          <w:tcPr>
            <w:tcW w:w="6570" w:type="dxa"/>
            <w:tcBorders>
              <w:left w:val="single" w:sz="12" w:space="0" w:color="auto"/>
              <w:bottom w:val="single" w:sz="4" w:space="0" w:color="auto"/>
            </w:tcBorders>
            <w:vAlign w:val="center"/>
          </w:tcPr>
          <w:p w14:paraId="048762DE" w14:textId="77777777" w:rsidR="002660F8" w:rsidRPr="006F5B14" w:rsidRDefault="002660F8">
            <w:pPr>
              <w:rPr>
                <w:rFonts w:ascii="Garamond" w:hAnsi="Garamond"/>
                <w:sz w:val="22"/>
                <w:szCs w:val="22"/>
              </w:rPr>
            </w:pPr>
            <w:r w:rsidRPr="006F5B14">
              <w:rPr>
                <w:rFonts w:ascii="Garamond" w:hAnsi="Garamond"/>
                <w:sz w:val="22"/>
                <w:szCs w:val="22"/>
              </w:rPr>
              <w:t>Monthly Reporting Required</w:t>
            </w:r>
          </w:p>
        </w:tc>
        <w:tc>
          <w:tcPr>
            <w:tcW w:w="630" w:type="dxa"/>
            <w:tcBorders>
              <w:bottom w:val="single" w:sz="4" w:space="0" w:color="auto"/>
            </w:tcBorders>
            <w:vAlign w:val="center"/>
          </w:tcPr>
          <w:p w14:paraId="58E89306" w14:textId="77777777" w:rsidR="002660F8" w:rsidRPr="006F5B14" w:rsidRDefault="002660F8">
            <w:pPr>
              <w:rPr>
                <w:rFonts w:ascii="Garamond" w:hAnsi="Garamond"/>
                <w:sz w:val="22"/>
                <w:szCs w:val="22"/>
              </w:rPr>
            </w:pPr>
          </w:p>
        </w:tc>
        <w:tc>
          <w:tcPr>
            <w:tcW w:w="540" w:type="dxa"/>
            <w:tcBorders>
              <w:bottom w:val="single" w:sz="4" w:space="0" w:color="auto"/>
            </w:tcBorders>
            <w:vAlign w:val="center"/>
          </w:tcPr>
          <w:p w14:paraId="6D5D25BE"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bottom w:val="single" w:sz="4" w:space="0" w:color="auto"/>
              <w:right w:val="single" w:sz="12" w:space="0" w:color="auto"/>
            </w:tcBorders>
            <w:vAlign w:val="center"/>
          </w:tcPr>
          <w:p w14:paraId="297DDEB0" w14:textId="77777777" w:rsidR="002660F8" w:rsidRPr="006F5B14" w:rsidRDefault="002660F8">
            <w:pPr>
              <w:rPr>
                <w:rFonts w:ascii="Garamond" w:hAnsi="Garamond"/>
                <w:sz w:val="22"/>
                <w:szCs w:val="22"/>
              </w:rPr>
            </w:pPr>
          </w:p>
        </w:tc>
      </w:tr>
      <w:tr w:rsidR="002660F8" w:rsidRPr="006F5B14" w14:paraId="1BC11CEC" w14:textId="77777777">
        <w:trPr>
          <w:trHeight w:val="400"/>
        </w:trPr>
        <w:tc>
          <w:tcPr>
            <w:tcW w:w="6570" w:type="dxa"/>
            <w:tcBorders>
              <w:left w:val="single" w:sz="12" w:space="0" w:color="auto"/>
              <w:bottom w:val="single" w:sz="12" w:space="0" w:color="auto"/>
            </w:tcBorders>
            <w:vAlign w:val="center"/>
          </w:tcPr>
          <w:p w14:paraId="6C8B731E" w14:textId="77777777" w:rsidR="002660F8" w:rsidRPr="006F5B14" w:rsidRDefault="002660F8">
            <w:pPr>
              <w:rPr>
                <w:rFonts w:ascii="Garamond" w:hAnsi="Garamond"/>
                <w:sz w:val="22"/>
                <w:szCs w:val="22"/>
              </w:rPr>
            </w:pPr>
            <w:r w:rsidRPr="006F5B14">
              <w:rPr>
                <w:rFonts w:ascii="Garamond" w:hAnsi="Garamond"/>
                <w:sz w:val="22"/>
                <w:szCs w:val="22"/>
              </w:rPr>
              <w:t>Quarterly Reporting Required</w:t>
            </w:r>
          </w:p>
        </w:tc>
        <w:tc>
          <w:tcPr>
            <w:tcW w:w="630" w:type="dxa"/>
            <w:tcBorders>
              <w:bottom w:val="single" w:sz="12" w:space="0" w:color="auto"/>
            </w:tcBorders>
            <w:vAlign w:val="center"/>
          </w:tcPr>
          <w:p w14:paraId="3CCC4966" w14:textId="77777777" w:rsidR="002660F8" w:rsidRPr="006F5B14" w:rsidRDefault="002660F8">
            <w:pPr>
              <w:rPr>
                <w:rFonts w:ascii="Garamond" w:hAnsi="Garamond"/>
                <w:sz w:val="22"/>
                <w:szCs w:val="22"/>
              </w:rPr>
            </w:pPr>
          </w:p>
        </w:tc>
        <w:tc>
          <w:tcPr>
            <w:tcW w:w="540" w:type="dxa"/>
            <w:tcBorders>
              <w:bottom w:val="single" w:sz="12" w:space="0" w:color="auto"/>
            </w:tcBorders>
            <w:vAlign w:val="center"/>
          </w:tcPr>
          <w:p w14:paraId="04289F81"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bottom w:val="single" w:sz="12" w:space="0" w:color="auto"/>
              <w:right w:val="single" w:sz="12" w:space="0" w:color="auto"/>
            </w:tcBorders>
            <w:vAlign w:val="center"/>
          </w:tcPr>
          <w:p w14:paraId="257BDC5A" w14:textId="77777777" w:rsidR="002660F8" w:rsidRPr="006F5B14" w:rsidRDefault="002660F8">
            <w:pPr>
              <w:rPr>
                <w:rFonts w:ascii="Garamond" w:hAnsi="Garamond"/>
                <w:sz w:val="22"/>
                <w:szCs w:val="22"/>
              </w:rPr>
            </w:pPr>
          </w:p>
        </w:tc>
      </w:tr>
      <w:tr w:rsidR="002660F8" w:rsidRPr="006F5B14" w14:paraId="05B9F6CF" w14:textId="77777777">
        <w:trPr>
          <w:trHeight w:val="400"/>
        </w:trPr>
        <w:tc>
          <w:tcPr>
            <w:tcW w:w="6570" w:type="dxa"/>
            <w:tcBorders>
              <w:top w:val="single" w:sz="12" w:space="0" w:color="auto"/>
              <w:left w:val="single" w:sz="12" w:space="0" w:color="auto"/>
              <w:bottom w:val="single" w:sz="12" w:space="0" w:color="auto"/>
            </w:tcBorders>
            <w:vAlign w:val="center"/>
          </w:tcPr>
          <w:p w14:paraId="5A7F545D" w14:textId="77777777" w:rsidR="002660F8" w:rsidRPr="006F5B14" w:rsidRDefault="002660F8">
            <w:pPr>
              <w:pStyle w:val="Title"/>
              <w:rPr>
                <w:rFonts w:ascii="Garamond" w:hAnsi="Garamond"/>
                <w:sz w:val="22"/>
                <w:szCs w:val="22"/>
              </w:rPr>
            </w:pPr>
            <w:r w:rsidRPr="006F5B14">
              <w:rPr>
                <w:rFonts w:ascii="Garamond" w:hAnsi="Garamond"/>
                <w:sz w:val="22"/>
                <w:szCs w:val="22"/>
              </w:rPr>
              <w:t>Applicable Air Quality Programs</w:t>
            </w:r>
          </w:p>
        </w:tc>
        <w:tc>
          <w:tcPr>
            <w:tcW w:w="630" w:type="dxa"/>
            <w:tcBorders>
              <w:top w:val="single" w:sz="12" w:space="0" w:color="auto"/>
              <w:bottom w:val="single" w:sz="12" w:space="0" w:color="auto"/>
            </w:tcBorders>
            <w:vAlign w:val="center"/>
          </w:tcPr>
          <w:p w14:paraId="61D44A53" w14:textId="77777777" w:rsidR="002660F8" w:rsidRPr="006F5B14" w:rsidRDefault="002660F8">
            <w:pPr>
              <w:rPr>
                <w:rFonts w:ascii="Garamond" w:hAnsi="Garamond"/>
                <w:sz w:val="22"/>
                <w:szCs w:val="22"/>
              </w:rPr>
            </w:pPr>
          </w:p>
        </w:tc>
        <w:tc>
          <w:tcPr>
            <w:tcW w:w="540" w:type="dxa"/>
            <w:tcBorders>
              <w:top w:val="single" w:sz="12" w:space="0" w:color="auto"/>
              <w:bottom w:val="single" w:sz="12" w:space="0" w:color="auto"/>
            </w:tcBorders>
            <w:vAlign w:val="center"/>
          </w:tcPr>
          <w:p w14:paraId="28344A7D" w14:textId="77777777" w:rsidR="002660F8" w:rsidRPr="006F5B14" w:rsidRDefault="002660F8">
            <w:pPr>
              <w:rPr>
                <w:rFonts w:ascii="Garamond" w:hAnsi="Garamond"/>
                <w:sz w:val="22"/>
                <w:szCs w:val="22"/>
              </w:rPr>
            </w:pPr>
          </w:p>
        </w:tc>
        <w:tc>
          <w:tcPr>
            <w:tcW w:w="1620" w:type="dxa"/>
            <w:tcBorders>
              <w:top w:val="single" w:sz="12" w:space="0" w:color="auto"/>
              <w:bottom w:val="single" w:sz="12" w:space="0" w:color="auto"/>
              <w:right w:val="single" w:sz="12" w:space="0" w:color="auto"/>
            </w:tcBorders>
            <w:vAlign w:val="center"/>
          </w:tcPr>
          <w:p w14:paraId="791A6C4E" w14:textId="77777777" w:rsidR="002660F8" w:rsidRPr="006F5B14" w:rsidRDefault="002660F8">
            <w:pPr>
              <w:rPr>
                <w:rFonts w:ascii="Garamond" w:hAnsi="Garamond"/>
                <w:sz w:val="22"/>
                <w:szCs w:val="22"/>
              </w:rPr>
            </w:pPr>
          </w:p>
        </w:tc>
      </w:tr>
      <w:tr w:rsidR="002660F8" w:rsidRPr="006F5B14" w14:paraId="42B716F2" w14:textId="77777777">
        <w:trPr>
          <w:trHeight w:val="400"/>
        </w:trPr>
        <w:tc>
          <w:tcPr>
            <w:tcW w:w="6570" w:type="dxa"/>
            <w:tcBorders>
              <w:top w:val="single" w:sz="12" w:space="0" w:color="auto"/>
              <w:left w:val="single" w:sz="12" w:space="0" w:color="auto"/>
            </w:tcBorders>
            <w:vAlign w:val="center"/>
          </w:tcPr>
          <w:p w14:paraId="4A3E0A16" w14:textId="77777777" w:rsidR="002660F8" w:rsidRPr="006F5B14" w:rsidRDefault="002660F8">
            <w:pPr>
              <w:rPr>
                <w:rFonts w:ascii="Garamond" w:hAnsi="Garamond"/>
                <w:sz w:val="22"/>
                <w:szCs w:val="22"/>
              </w:rPr>
            </w:pPr>
            <w:r w:rsidRPr="006F5B14">
              <w:rPr>
                <w:rFonts w:ascii="Garamond" w:hAnsi="Garamond"/>
                <w:sz w:val="22"/>
                <w:szCs w:val="22"/>
              </w:rPr>
              <w:t>ARM Subchapter 7 Air Quality Permitting</w:t>
            </w:r>
          </w:p>
        </w:tc>
        <w:tc>
          <w:tcPr>
            <w:tcW w:w="630" w:type="dxa"/>
            <w:tcBorders>
              <w:top w:val="single" w:sz="12" w:space="0" w:color="auto"/>
            </w:tcBorders>
            <w:vAlign w:val="center"/>
          </w:tcPr>
          <w:p w14:paraId="4915D23F" w14:textId="77777777" w:rsidR="002660F8" w:rsidRPr="006F5B14" w:rsidRDefault="002660F8">
            <w:pPr>
              <w:rPr>
                <w:rFonts w:ascii="Garamond" w:hAnsi="Garamond"/>
                <w:sz w:val="22"/>
                <w:szCs w:val="22"/>
              </w:rPr>
            </w:pPr>
          </w:p>
        </w:tc>
        <w:tc>
          <w:tcPr>
            <w:tcW w:w="540" w:type="dxa"/>
            <w:tcBorders>
              <w:top w:val="single" w:sz="12" w:space="0" w:color="auto"/>
            </w:tcBorders>
            <w:vAlign w:val="center"/>
          </w:tcPr>
          <w:p w14:paraId="652F9613" w14:textId="77777777" w:rsidR="002660F8" w:rsidRPr="006F5B14" w:rsidRDefault="0024130A">
            <w:pPr>
              <w:rPr>
                <w:rFonts w:ascii="Garamond" w:hAnsi="Garamond"/>
                <w:sz w:val="22"/>
                <w:szCs w:val="22"/>
              </w:rPr>
            </w:pPr>
            <w:r w:rsidRPr="006F5B14">
              <w:rPr>
                <w:rFonts w:ascii="Garamond" w:hAnsi="Garamond"/>
                <w:sz w:val="22"/>
                <w:szCs w:val="22"/>
              </w:rPr>
              <w:t>X</w:t>
            </w:r>
          </w:p>
        </w:tc>
        <w:tc>
          <w:tcPr>
            <w:tcW w:w="1620" w:type="dxa"/>
            <w:tcBorders>
              <w:top w:val="single" w:sz="12" w:space="0" w:color="auto"/>
              <w:right w:val="single" w:sz="12" w:space="0" w:color="auto"/>
            </w:tcBorders>
            <w:vAlign w:val="center"/>
          </w:tcPr>
          <w:p w14:paraId="6D9D32E9" w14:textId="77777777" w:rsidR="002660F8" w:rsidRPr="006F5B14" w:rsidRDefault="002660F8">
            <w:pPr>
              <w:rPr>
                <w:rFonts w:ascii="Garamond" w:hAnsi="Garamond"/>
                <w:sz w:val="22"/>
                <w:szCs w:val="22"/>
              </w:rPr>
            </w:pPr>
          </w:p>
        </w:tc>
      </w:tr>
      <w:tr w:rsidR="002660F8" w:rsidRPr="006F5B14" w14:paraId="4A77C6A6" w14:textId="77777777">
        <w:trPr>
          <w:trHeight w:val="400"/>
        </w:trPr>
        <w:tc>
          <w:tcPr>
            <w:tcW w:w="6570" w:type="dxa"/>
            <w:tcBorders>
              <w:left w:val="single" w:sz="12" w:space="0" w:color="auto"/>
            </w:tcBorders>
            <w:vAlign w:val="center"/>
          </w:tcPr>
          <w:p w14:paraId="04F816F6" w14:textId="77777777" w:rsidR="002660F8" w:rsidRPr="006F5B14" w:rsidRDefault="002660F8">
            <w:pPr>
              <w:rPr>
                <w:rFonts w:ascii="Garamond" w:hAnsi="Garamond"/>
                <w:sz w:val="22"/>
                <w:szCs w:val="22"/>
              </w:rPr>
            </w:pPr>
            <w:r w:rsidRPr="006F5B14">
              <w:rPr>
                <w:rFonts w:ascii="Garamond" w:hAnsi="Garamond"/>
                <w:sz w:val="22"/>
                <w:szCs w:val="22"/>
              </w:rPr>
              <w:t>New Source Performance Standards (NSPS)</w:t>
            </w:r>
          </w:p>
        </w:tc>
        <w:tc>
          <w:tcPr>
            <w:tcW w:w="630" w:type="dxa"/>
            <w:vAlign w:val="center"/>
          </w:tcPr>
          <w:p w14:paraId="3C959510" w14:textId="77777777" w:rsidR="002660F8" w:rsidRPr="006F5B14" w:rsidRDefault="002660F8">
            <w:pPr>
              <w:rPr>
                <w:rFonts w:ascii="Garamond" w:hAnsi="Garamond"/>
                <w:sz w:val="22"/>
                <w:szCs w:val="22"/>
              </w:rPr>
            </w:pPr>
          </w:p>
        </w:tc>
        <w:tc>
          <w:tcPr>
            <w:tcW w:w="540" w:type="dxa"/>
            <w:vAlign w:val="center"/>
          </w:tcPr>
          <w:p w14:paraId="51845B68"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5DB38164" w14:textId="77777777" w:rsidR="002660F8" w:rsidRPr="006F5B14" w:rsidRDefault="002660F8">
            <w:pPr>
              <w:rPr>
                <w:rFonts w:ascii="Garamond" w:hAnsi="Garamond"/>
                <w:sz w:val="22"/>
                <w:szCs w:val="22"/>
              </w:rPr>
            </w:pPr>
          </w:p>
        </w:tc>
      </w:tr>
      <w:tr w:rsidR="002660F8" w:rsidRPr="006F5B14" w14:paraId="5E1CC561" w14:textId="77777777">
        <w:trPr>
          <w:trHeight w:val="400"/>
        </w:trPr>
        <w:tc>
          <w:tcPr>
            <w:tcW w:w="6570" w:type="dxa"/>
            <w:tcBorders>
              <w:left w:val="single" w:sz="12" w:space="0" w:color="auto"/>
            </w:tcBorders>
            <w:vAlign w:val="center"/>
          </w:tcPr>
          <w:p w14:paraId="700CA8AA" w14:textId="77777777" w:rsidR="002660F8" w:rsidRPr="006F5B14" w:rsidRDefault="002660F8">
            <w:pPr>
              <w:rPr>
                <w:rFonts w:ascii="Garamond" w:hAnsi="Garamond"/>
                <w:sz w:val="22"/>
                <w:szCs w:val="22"/>
              </w:rPr>
            </w:pPr>
            <w:r w:rsidRPr="006F5B14">
              <w:rPr>
                <w:rFonts w:ascii="Garamond" w:hAnsi="Garamond"/>
                <w:sz w:val="22"/>
                <w:szCs w:val="22"/>
              </w:rPr>
              <w:t>National Emission Standards for Hazardous Air Pollutants (NESHAPS)</w:t>
            </w:r>
          </w:p>
        </w:tc>
        <w:tc>
          <w:tcPr>
            <w:tcW w:w="630" w:type="dxa"/>
            <w:vAlign w:val="center"/>
          </w:tcPr>
          <w:p w14:paraId="30AF8436" w14:textId="77777777" w:rsidR="002660F8" w:rsidRPr="006F5B14" w:rsidRDefault="002660F8">
            <w:pPr>
              <w:pStyle w:val="Header"/>
              <w:tabs>
                <w:tab w:val="clear" w:pos="4320"/>
                <w:tab w:val="clear" w:pos="8640"/>
              </w:tabs>
              <w:rPr>
                <w:rFonts w:ascii="Garamond" w:hAnsi="Garamond"/>
                <w:sz w:val="22"/>
                <w:szCs w:val="22"/>
              </w:rPr>
            </w:pPr>
          </w:p>
        </w:tc>
        <w:tc>
          <w:tcPr>
            <w:tcW w:w="540" w:type="dxa"/>
            <w:vAlign w:val="center"/>
          </w:tcPr>
          <w:p w14:paraId="586FC83C" w14:textId="77777777" w:rsidR="002660F8" w:rsidRPr="006F5B14" w:rsidRDefault="00854D51">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53617D9D" w14:textId="77777777" w:rsidR="002660F8" w:rsidRPr="006F5B14" w:rsidRDefault="002660F8">
            <w:pPr>
              <w:rPr>
                <w:rFonts w:ascii="Garamond" w:hAnsi="Garamond"/>
                <w:sz w:val="22"/>
                <w:szCs w:val="22"/>
              </w:rPr>
            </w:pPr>
          </w:p>
        </w:tc>
      </w:tr>
      <w:tr w:rsidR="002660F8" w:rsidRPr="006F5B14" w14:paraId="408BAAFE" w14:textId="77777777">
        <w:trPr>
          <w:trHeight w:val="400"/>
        </w:trPr>
        <w:tc>
          <w:tcPr>
            <w:tcW w:w="6570" w:type="dxa"/>
            <w:tcBorders>
              <w:left w:val="single" w:sz="12" w:space="0" w:color="auto"/>
            </w:tcBorders>
            <w:vAlign w:val="center"/>
          </w:tcPr>
          <w:p w14:paraId="10CCEFCF" w14:textId="77777777" w:rsidR="002660F8" w:rsidRPr="006F5B14" w:rsidRDefault="002660F8">
            <w:pPr>
              <w:rPr>
                <w:rFonts w:ascii="Garamond" w:hAnsi="Garamond"/>
                <w:sz w:val="22"/>
                <w:szCs w:val="22"/>
              </w:rPr>
            </w:pPr>
            <w:r w:rsidRPr="006F5B14">
              <w:rPr>
                <w:rFonts w:ascii="Garamond" w:hAnsi="Garamond"/>
                <w:sz w:val="22"/>
                <w:szCs w:val="22"/>
              </w:rPr>
              <w:t>Maximum Achievable Control Technology (MACT)</w:t>
            </w:r>
          </w:p>
        </w:tc>
        <w:tc>
          <w:tcPr>
            <w:tcW w:w="630" w:type="dxa"/>
            <w:vAlign w:val="center"/>
          </w:tcPr>
          <w:p w14:paraId="21189C50" w14:textId="77777777" w:rsidR="002660F8" w:rsidRPr="006F5B14" w:rsidRDefault="00307FC2">
            <w:pPr>
              <w:rPr>
                <w:rFonts w:ascii="Garamond" w:hAnsi="Garamond"/>
                <w:sz w:val="22"/>
                <w:szCs w:val="22"/>
              </w:rPr>
            </w:pPr>
            <w:r w:rsidRPr="006F5B14">
              <w:rPr>
                <w:rFonts w:ascii="Garamond" w:hAnsi="Garamond"/>
                <w:sz w:val="22"/>
                <w:szCs w:val="22"/>
              </w:rPr>
              <w:t>X</w:t>
            </w:r>
          </w:p>
        </w:tc>
        <w:tc>
          <w:tcPr>
            <w:tcW w:w="540" w:type="dxa"/>
            <w:vAlign w:val="center"/>
          </w:tcPr>
          <w:p w14:paraId="483160CF" w14:textId="77777777" w:rsidR="002660F8" w:rsidRPr="006F5B14" w:rsidRDefault="002660F8">
            <w:pPr>
              <w:rPr>
                <w:rFonts w:ascii="Garamond" w:hAnsi="Garamond"/>
                <w:sz w:val="22"/>
                <w:szCs w:val="22"/>
              </w:rPr>
            </w:pPr>
          </w:p>
        </w:tc>
        <w:tc>
          <w:tcPr>
            <w:tcW w:w="1620" w:type="dxa"/>
            <w:tcBorders>
              <w:right w:val="single" w:sz="12" w:space="0" w:color="auto"/>
            </w:tcBorders>
            <w:vAlign w:val="center"/>
          </w:tcPr>
          <w:p w14:paraId="295BC46F" w14:textId="77777777" w:rsidR="002660F8" w:rsidRPr="006F5B14" w:rsidRDefault="002660F8">
            <w:pPr>
              <w:rPr>
                <w:rFonts w:ascii="Garamond" w:hAnsi="Garamond"/>
                <w:sz w:val="22"/>
                <w:szCs w:val="22"/>
              </w:rPr>
            </w:pPr>
            <w:r w:rsidRPr="006F5B14">
              <w:rPr>
                <w:rFonts w:ascii="Garamond" w:hAnsi="Garamond"/>
                <w:sz w:val="22"/>
                <w:szCs w:val="22"/>
              </w:rPr>
              <w:t xml:space="preserve">40 CFR 63, Subpart </w:t>
            </w:r>
            <w:r w:rsidR="0024130A" w:rsidRPr="006F5B14">
              <w:rPr>
                <w:rFonts w:ascii="Garamond" w:hAnsi="Garamond"/>
                <w:sz w:val="22"/>
                <w:szCs w:val="22"/>
              </w:rPr>
              <w:t>T</w:t>
            </w:r>
          </w:p>
        </w:tc>
      </w:tr>
      <w:tr w:rsidR="002660F8" w:rsidRPr="006F5B14" w14:paraId="1708DB59" w14:textId="77777777">
        <w:trPr>
          <w:trHeight w:val="400"/>
        </w:trPr>
        <w:tc>
          <w:tcPr>
            <w:tcW w:w="6570" w:type="dxa"/>
            <w:tcBorders>
              <w:left w:val="single" w:sz="12" w:space="0" w:color="auto"/>
            </w:tcBorders>
            <w:vAlign w:val="center"/>
          </w:tcPr>
          <w:p w14:paraId="492BB5DA" w14:textId="55E2A294" w:rsidR="002660F8" w:rsidRPr="006F5B14" w:rsidRDefault="002660F8">
            <w:pPr>
              <w:rPr>
                <w:rFonts w:ascii="Garamond" w:hAnsi="Garamond"/>
                <w:sz w:val="22"/>
                <w:szCs w:val="22"/>
              </w:rPr>
            </w:pPr>
            <w:r w:rsidRPr="006F5B14">
              <w:rPr>
                <w:rFonts w:ascii="Garamond" w:hAnsi="Garamond"/>
                <w:sz w:val="22"/>
                <w:szCs w:val="22"/>
              </w:rPr>
              <w:t>Major New Source Review (NSR) – includes Prevention of Significant Deterioration (PSD) and/or Non-</w:t>
            </w:r>
            <w:r w:rsidR="002F5913" w:rsidRPr="006F5B14">
              <w:rPr>
                <w:rFonts w:ascii="Garamond" w:hAnsi="Garamond"/>
                <w:sz w:val="22"/>
                <w:szCs w:val="22"/>
              </w:rPr>
              <w:t>Attainment</w:t>
            </w:r>
            <w:r w:rsidRPr="006F5B14">
              <w:rPr>
                <w:rFonts w:ascii="Garamond" w:hAnsi="Garamond"/>
                <w:sz w:val="22"/>
                <w:szCs w:val="22"/>
              </w:rPr>
              <w:t xml:space="preserve"> Area (NAA) NSR</w:t>
            </w:r>
          </w:p>
        </w:tc>
        <w:tc>
          <w:tcPr>
            <w:tcW w:w="630" w:type="dxa"/>
            <w:vAlign w:val="center"/>
          </w:tcPr>
          <w:p w14:paraId="2CEC5565" w14:textId="77777777" w:rsidR="002660F8" w:rsidRPr="006F5B14" w:rsidRDefault="002660F8">
            <w:pPr>
              <w:rPr>
                <w:rFonts w:ascii="Garamond" w:hAnsi="Garamond"/>
                <w:sz w:val="22"/>
                <w:szCs w:val="22"/>
              </w:rPr>
            </w:pPr>
          </w:p>
        </w:tc>
        <w:tc>
          <w:tcPr>
            <w:tcW w:w="540" w:type="dxa"/>
            <w:vAlign w:val="center"/>
          </w:tcPr>
          <w:p w14:paraId="0194DE6F"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4725FA87" w14:textId="77777777" w:rsidR="002660F8" w:rsidRPr="006F5B14" w:rsidRDefault="002660F8">
            <w:pPr>
              <w:rPr>
                <w:rFonts w:ascii="Garamond" w:hAnsi="Garamond"/>
                <w:sz w:val="22"/>
                <w:szCs w:val="22"/>
              </w:rPr>
            </w:pPr>
          </w:p>
        </w:tc>
      </w:tr>
      <w:tr w:rsidR="002660F8" w:rsidRPr="006F5B14" w14:paraId="72602418" w14:textId="77777777">
        <w:trPr>
          <w:trHeight w:val="400"/>
        </w:trPr>
        <w:tc>
          <w:tcPr>
            <w:tcW w:w="6570" w:type="dxa"/>
            <w:tcBorders>
              <w:left w:val="single" w:sz="12" w:space="0" w:color="auto"/>
            </w:tcBorders>
            <w:vAlign w:val="center"/>
          </w:tcPr>
          <w:p w14:paraId="49D39D27" w14:textId="77777777" w:rsidR="002660F8" w:rsidRPr="006F5B14" w:rsidRDefault="002660F8">
            <w:pPr>
              <w:rPr>
                <w:rFonts w:ascii="Garamond" w:hAnsi="Garamond"/>
                <w:sz w:val="22"/>
                <w:szCs w:val="22"/>
              </w:rPr>
            </w:pPr>
            <w:r w:rsidRPr="006F5B14">
              <w:rPr>
                <w:rFonts w:ascii="Garamond" w:hAnsi="Garamond"/>
                <w:sz w:val="22"/>
                <w:szCs w:val="22"/>
              </w:rPr>
              <w:t>Risk Management Plan Required (RMP)</w:t>
            </w:r>
          </w:p>
        </w:tc>
        <w:tc>
          <w:tcPr>
            <w:tcW w:w="630" w:type="dxa"/>
            <w:vAlign w:val="center"/>
          </w:tcPr>
          <w:p w14:paraId="5640C75E" w14:textId="77777777" w:rsidR="002660F8" w:rsidRPr="006F5B14" w:rsidRDefault="002660F8">
            <w:pPr>
              <w:rPr>
                <w:rFonts w:ascii="Garamond" w:hAnsi="Garamond"/>
                <w:sz w:val="22"/>
                <w:szCs w:val="22"/>
              </w:rPr>
            </w:pPr>
          </w:p>
        </w:tc>
        <w:tc>
          <w:tcPr>
            <w:tcW w:w="540" w:type="dxa"/>
            <w:vAlign w:val="center"/>
          </w:tcPr>
          <w:p w14:paraId="0E2D5810"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7C981B66" w14:textId="77777777" w:rsidR="002660F8" w:rsidRPr="006F5B14" w:rsidRDefault="002660F8">
            <w:pPr>
              <w:rPr>
                <w:rFonts w:ascii="Garamond" w:hAnsi="Garamond"/>
                <w:sz w:val="22"/>
                <w:szCs w:val="22"/>
              </w:rPr>
            </w:pPr>
          </w:p>
        </w:tc>
      </w:tr>
      <w:tr w:rsidR="002660F8" w:rsidRPr="006F5B14" w14:paraId="384FBEC9" w14:textId="77777777">
        <w:trPr>
          <w:trHeight w:val="400"/>
        </w:trPr>
        <w:tc>
          <w:tcPr>
            <w:tcW w:w="6570" w:type="dxa"/>
            <w:tcBorders>
              <w:left w:val="single" w:sz="12" w:space="0" w:color="auto"/>
            </w:tcBorders>
            <w:vAlign w:val="center"/>
          </w:tcPr>
          <w:p w14:paraId="6D55994A" w14:textId="77777777" w:rsidR="002660F8" w:rsidRPr="006F5B14" w:rsidRDefault="002660F8">
            <w:pPr>
              <w:rPr>
                <w:rFonts w:ascii="Garamond" w:hAnsi="Garamond"/>
                <w:sz w:val="22"/>
                <w:szCs w:val="22"/>
              </w:rPr>
            </w:pPr>
            <w:r w:rsidRPr="006F5B14">
              <w:rPr>
                <w:rFonts w:ascii="Garamond" w:hAnsi="Garamond"/>
                <w:sz w:val="22"/>
                <w:szCs w:val="22"/>
              </w:rPr>
              <w:t>Acid Rain Title IV</w:t>
            </w:r>
          </w:p>
        </w:tc>
        <w:tc>
          <w:tcPr>
            <w:tcW w:w="630" w:type="dxa"/>
            <w:vAlign w:val="center"/>
          </w:tcPr>
          <w:p w14:paraId="07E68D5E" w14:textId="77777777" w:rsidR="002660F8" w:rsidRPr="006F5B14" w:rsidRDefault="002660F8">
            <w:pPr>
              <w:rPr>
                <w:rFonts w:ascii="Garamond" w:hAnsi="Garamond"/>
                <w:sz w:val="22"/>
                <w:szCs w:val="22"/>
              </w:rPr>
            </w:pPr>
          </w:p>
        </w:tc>
        <w:tc>
          <w:tcPr>
            <w:tcW w:w="540" w:type="dxa"/>
            <w:vAlign w:val="center"/>
          </w:tcPr>
          <w:p w14:paraId="32CA0EC4"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0CA530D9" w14:textId="77777777" w:rsidR="002660F8" w:rsidRPr="006F5B14" w:rsidRDefault="002660F8">
            <w:pPr>
              <w:rPr>
                <w:rFonts w:ascii="Garamond" w:hAnsi="Garamond"/>
                <w:sz w:val="22"/>
                <w:szCs w:val="22"/>
              </w:rPr>
            </w:pPr>
          </w:p>
        </w:tc>
      </w:tr>
      <w:tr w:rsidR="002660F8" w:rsidRPr="006F5B14" w14:paraId="4B3D3226" w14:textId="77777777">
        <w:trPr>
          <w:trHeight w:val="400"/>
        </w:trPr>
        <w:tc>
          <w:tcPr>
            <w:tcW w:w="6570" w:type="dxa"/>
            <w:tcBorders>
              <w:left w:val="single" w:sz="12" w:space="0" w:color="auto"/>
            </w:tcBorders>
            <w:vAlign w:val="center"/>
          </w:tcPr>
          <w:p w14:paraId="66570992" w14:textId="77777777" w:rsidR="002660F8" w:rsidRPr="006F5B14" w:rsidRDefault="002660F8">
            <w:pPr>
              <w:rPr>
                <w:rFonts w:ascii="Garamond" w:hAnsi="Garamond"/>
                <w:sz w:val="22"/>
                <w:szCs w:val="22"/>
              </w:rPr>
            </w:pPr>
            <w:r w:rsidRPr="006F5B14">
              <w:rPr>
                <w:rFonts w:ascii="Garamond" w:hAnsi="Garamond"/>
                <w:sz w:val="22"/>
                <w:szCs w:val="22"/>
              </w:rPr>
              <w:t>Compliance Assurance Monitoring (CAM)</w:t>
            </w:r>
          </w:p>
        </w:tc>
        <w:tc>
          <w:tcPr>
            <w:tcW w:w="630" w:type="dxa"/>
            <w:vAlign w:val="center"/>
          </w:tcPr>
          <w:p w14:paraId="34171D1A" w14:textId="77777777" w:rsidR="002660F8" w:rsidRPr="006F5B14" w:rsidRDefault="002660F8">
            <w:pPr>
              <w:rPr>
                <w:rFonts w:ascii="Garamond" w:hAnsi="Garamond"/>
                <w:sz w:val="22"/>
                <w:szCs w:val="22"/>
              </w:rPr>
            </w:pPr>
          </w:p>
        </w:tc>
        <w:tc>
          <w:tcPr>
            <w:tcW w:w="540" w:type="dxa"/>
            <w:vAlign w:val="center"/>
          </w:tcPr>
          <w:p w14:paraId="75C439F8"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1620" w:type="dxa"/>
            <w:tcBorders>
              <w:right w:val="single" w:sz="12" w:space="0" w:color="auto"/>
            </w:tcBorders>
            <w:vAlign w:val="center"/>
          </w:tcPr>
          <w:p w14:paraId="03F0E2E6" w14:textId="77777777" w:rsidR="002660F8" w:rsidRPr="006F5B14" w:rsidRDefault="002660F8">
            <w:pPr>
              <w:rPr>
                <w:rFonts w:ascii="Garamond" w:hAnsi="Garamond"/>
                <w:sz w:val="22"/>
                <w:szCs w:val="22"/>
              </w:rPr>
            </w:pPr>
          </w:p>
        </w:tc>
      </w:tr>
      <w:tr w:rsidR="002660F8" w:rsidRPr="006F5B14" w14:paraId="328CE0FD" w14:textId="77777777">
        <w:trPr>
          <w:trHeight w:val="400"/>
        </w:trPr>
        <w:tc>
          <w:tcPr>
            <w:tcW w:w="6570" w:type="dxa"/>
            <w:tcBorders>
              <w:left w:val="single" w:sz="12" w:space="0" w:color="auto"/>
              <w:bottom w:val="single" w:sz="12" w:space="0" w:color="auto"/>
            </w:tcBorders>
            <w:vAlign w:val="center"/>
          </w:tcPr>
          <w:p w14:paraId="05B9B62C" w14:textId="77777777" w:rsidR="002660F8" w:rsidRPr="006F5B14" w:rsidRDefault="002660F8">
            <w:pPr>
              <w:rPr>
                <w:rFonts w:ascii="Garamond" w:hAnsi="Garamond"/>
                <w:sz w:val="22"/>
                <w:szCs w:val="22"/>
              </w:rPr>
            </w:pPr>
            <w:r w:rsidRPr="006F5B14">
              <w:rPr>
                <w:rFonts w:ascii="Garamond" w:hAnsi="Garamond"/>
                <w:sz w:val="22"/>
                <w:szCs w:val="22"/>
              </w:rPr>
              <w:t>State Implementation Plan (SIP)</w:t>
            </w:r>
          </w:p>
        </w:tc>
        <w:tc>
          <w:tcPr>
            <w:tcW w:w="630" w:type="dxa"/>
            <w:tcBorders>
              <w:bottom w:val="single" w:sz="12" w:space="0" w:color="auto"/>
            </w:tcBorders>
            <w:vAlign w:val="center"/>
          </w:tcPr>
          <w:p w14:paraId="408E6BB5" w14:textId="77777777" w:rsidR="002660F8" w:rsidRPr="006F5B14" w:rsidRDefault="002660F8">
            <w:pPr>
              <w:rPr>
                <w:rFonts w:ascii="Garamond" w:hAnsi="Garamond"/>
                <w:sz w:val="22"/>
                <w:szCs w:val="22"/>
              </w:rPr>
            </w:pPr>
            <w:r w:rsidRPr="006F5B14">
              <w:rPr>
                <w:rFonts w:ascii="Garamond" w:hAnsi="Garamond"/>
                <w:sz w:val="22"/>
                <w:szCs w:val="22"/>
              </w:rPr>
              <w:t>X</w:t>
            </w:r>
          </w:p>
        </w:tc>
        <w:tc>
          <w:tcPr>
            <w:tcW w:w="540" w:type="dxa"/>
            <w:tcBorders>
              <w:bottom w:val="single" w:sz="12" w:space="0" w:color="auto"/>
            </w:tcBorders>
            <w:vAlign w:val="center"/>
          </w:tcPr>
          <w:p w14:paraId="32C6E1A9" w14:textId="77777777" w:rsidR="002660F8" w:rsidRPr="006F5B14" w:rsidRDefault="002660F8">
            <w:pPr>
              <w:rPr>
                <w:rFonts w:ascii="Garamond" w:hAnsi="Garamond"/>
                <w:sz w:val="22"/>
                <w:szCs w:val="22"/>
              </w:rPr>
            </w:pPr>
          </w:p>
        </w:tc>
        <w:tc>
          <w:tcPr>
            <w:tcW w:w="1620" w:type="dxa"/>
            <w:tcBorders>
              <w:bottom w:val="single" w:sz="12" w:space="0" w:color="auto"/>
              <w:right w:val="single" w:sz="12" w:space="0" w:color="auto"/>
            </w:tcBorders>
            <w:vAlign w:val="center"/>
          </w:tcPr>
          <w:p w14:paraId="12CBE13F" w14:textId="77777777" w:rsidR="002660F8" w:rsidRPr="006F5B14" w:rsidRDefault="002660F8">
            <w:pPr>
              <w:rPr>
                <w:rFonts w:ascii="Garamond" w:hAnsi="Garamond"/>
                <w:sz w:val="22"/>
                <w:szCs w:val="22"/>
              </w:rPr>
            </w:pPr>
            <w:r w:rsidRPr="006F5B14">
              <w:rPr>
                <w:rFonts w:ascii="Garamond" w:hAnsi="Garamond"/>
                <w:sz w:val="22"/>
                <w:szCs w:val="22"/>
              </w:rPr>
              <w:t>General SIP</w:t>
            </w:r>
          </w:p>
        </w:tc>
      </w:tr>
    </w:tbl>
    <w:p w14:paraId="61A01F1A" w14:textId="77777777" w:rsidR="00074398" w:rsidRDefault="00074398">
      <w:pPr>
        <w:rPr>
          <w:rFonts w:ascii="Garamond" w:hAnsi="Garamond"/>
          <w:sz w:val="24"/>
          <w:szCs w:val="24"/>
        </w:rPr>
      </w:pPr>
      <w:r>
        <w:rPr>
          <w:rFonts w:ascii="Garamond" w:hAnsi="Garamond"/>
          <w:sz w:val="24"/>
          <w:szCs w:val="24"/>
        </w:rPr>
        <w:br w:type="page"/>
      </w:r>
    </w:p>
    <w:p w14:paraId="56D61670" w14:textId="77777777" w:rsidR="002660F8" w:rsidRPr="00516267" w:rsidRDefault="002660F8">
      <w:pPr>
        <w:jc w:val="center"/>
        <w:rPr>
          <w:rFonts w:ascii="Garamond" w:hAnsi="Garamond"/>
          <w:sz w:val="24"/>
          <w:szCs w:val="24"/>
        </w:rPr>
      </w:pPr>
      <w:r w:rsidRPr="00516267">
        <w:rPr>
          <w:rFonts w:ascii="Garamond" w:hAnsi="Garamond"/>
          <w:sz w:val="24"/>
          <w:szCs w:val="24"/>
          <w:u w:val="single"/>
        </w:rPr>
        <w:lastRenderedPageBreak/>
        <w:t>TABLE OF CONTENTS</w:t>
      </w:r>
    </w:p>
    <w:p w14:paraId="6E27B966" w14:textId="77777777" w:rsidR="002660F8" w:rsidRPr="00516267" w:rsidRDefault="002660F8">
      <w:pPr>
        <w:rPr>
          <w:rFonts w:ascii="Garamond" w:hAnsi="Garamond"/>
          <w:sz w:val="24"/>
          <w:szCs w:val="24"/>
        </w:rPr>
      </w:pPr>
    </w:p>
    <w:p w14:paraId="42637EDF" w14:textId="432190D0" w:rsidR="00F724E7" w:rsidRPr="00EB2395" w:rsidRDefault="002660F8" w:rsidP="00F4188C">
      <w:pPr>
        <w:pStyle w:val="TOC1"/>
        <w:tabs>
          <w:tab w:val="left" w:leader="dot" w:pos="9000"/>
        </w:tabs>
        <w:rPr>
          <w:rFonts w:eastAsiaTheme="minorEastAsia" w:cstheme="minorBidi"/>
          <w:noProof/>
          <w:sz w:val="22"/>
          <w:szCs w:val="22"/>
        </w:rPr>
      </w:pPr>
      <w:r w:rsidRPr="00EB2395">
        <w:rPr>
          <w:sz w:val="22"/>
          <w:szCs w:val="22"/>
        </w:rPr>
        <w:fldChar w:fldCharType="begin"/>
      </w:r>
      <w:r w:rsidRPr="00EB2395">
        <w:rPr>
          <w:sz w:val="22"/>
          <w:szCs w:val="22"/>
        </w:rPr>
        <w:instrText xml:space="preserve"> TOC \o "1-2" </w:instrText>
      </w:r>
      <w:r w:rsidRPr="00EB2395">
        <w:rPr>
          <w:sz w:val="22"/>
          <w:szCs w:val="22"/>
        </w:rPr>
        <w:fldChar w:fldCharType="separate"/>
      </w:r>
      <w:r w:rsidR="00F724E7" w:rsidRPr="00EB2395">
        <w:rPr>
          <w:noProof/>
          <w:sz w:val="22"/>
          <w:szCs w:val="22"/>
        </w:rPr>
        <w:t>SECTION I. GENERAL INFORMATION</w:t>
      </w:r>
      <w:r w:rsidR="00F724E7" w:rsidRPr="00EB2395">
        <w:rPr>
          <w:noProof/>
          <w:sz w:val="22"/>
          <w:szCs w:val="22"/>
        </w:rPr>
        <w:tab/>
      </w:r>
      <w:r w:rsidR="00F724E7" w:rsidRPr="00EB2395">
        <w:rPr>
          <w:noProof/>
          <w:sz w:val="22"/>
          <w:szCs w:val="22"/>
        </w:rPr>
        <w:fldChar w:fldCharType="begin"/>
      </w:r>
      <w:r w:rsidR="00F724E7" w:rsidRPr="00EB2395">
        <w:rPr>
          <w:noProof/>
          <w:sz w:val="22"/>
          <w:szCs w:val="22"/>
        </w:rPr>
        <w:instrText xml:space="preserve"> PAGEREF _Toc52529193 \h </w:instrText>
      </w:r>
      <w:r w:rsidR="00F724E7" w:rsidRPr="00EB2395">
        <w:rPr>
          <w:noProof/>
          <w:sz w:val="22"/>
          <w:szCs w:val="22"/>
        </w:rPr>
      </w:r>
      <w:r w:rsidR="00F724E7" w:rsidRPr="00EB2395">
        <w:rPr>
          <w:noProof/>
          <w:sz w:val="22"/>
          <w:szCs w:val="22"/>
        </w:rPr>
        <w:fldChar w:fldCharType="separate"/>
      </w:r>
      <w:r w:rsidR="001D254B" w:rsidRPr="00EB2395">
        <w:rPr>
          <w:noProof/>
          <w:sz w:val="22"/>
          <w:szCs w:val="22"/>
        </w:rPr>
        <w:t>3</w:t>
      </w:r>
      <w:r w:rsidR="00F724E7" w:rsidRPr="00EB2395">
        <w:rPr>
          <w:noProof/>
          <w:sz w:val="22"/>
          <w:szCs w:val="22"/>
        </w:rPr>
        <w:fldChar w:fldCharType="end"/>
      </w:r>
    </w:p>
    <w:p w14:paraId="7E06F9D7" w14:textId="1A2B053D" w:rsidR="00F724E7" w:rsidRPr="00EB2395" w:rsidRDefault="00F724E7" w:rsidP="00F4188C">
      <w:pPr>
        <w:pStyle w:val="TOC2"/>
        <w:tabs>
          <w:tab w:val="left" w:leader="dot" w:pos="9000"/>
        </w:tabs>
        <w:ind w:left="634" w:hanging="432"/>
        <w:rPr>
          <w:rFonts w:eastAsiaTheme="minorEastAsia" w:cstheme="minorBidi"/>
          <w:sz w:val="22"/>
          <w:szCs w:val="22"/>
        </w:rPr>
      </w:pPr>
      <w:r w:rsidRPr="00EB2395">
        <w:rPr>
          <w:sz w:val="22"/>
          <w:szCs w:val="22"/>
        </w:rPr>
        <w:t>A.</w:t>
      </w:r>
      <w:r w:rsidRPr="00EB2395">
        <w:rPr>
          <w:rFonts w:eastAsiaTheme="minorEastAsia" w:cstheme="minorBidi"/>
          <w:sz w:val="22"/>
          <w:szCs w:val="22"/>
        </w:rPr>
        <w:tab/>
      </w:r>
      <w:r w:rsidRPr="00EB2395">
        <w:rPr>
          <w:sz w:val="22"/>
          <w:szCs w:val="22"/>
        </w:rPr>
        <w:t>Purpose</w:t>
      </w:r>
      <w:r w:rsidR="004917CC" w:rsidRPr="00EB2395">
        <w:rPr>
          <w:sz w:val="22"/>
          <w:szCs w:val="22"/>
        </w:rPr>
        <w:t>:</w:t>
      </w:r>
      <w:r w:rsidRPr="00EB2395">
        <w:rPr>
          <w:sz w:val="22"/>
          <w:szCs w:val="22"/>
        </w:rPr>
        <w:tab/>
      </w:r>
      <w:r w:rsidRPr="00EB2395">
        <w:rPr>
          <w:sz w:val="22"/>
          <w:szCs w:val="22"/>
        </w:rPr>
        <w:fldChar w:fldCharType="begin"/>
      </w:r>
      <w:r w:rsidRPr="00EB2395">
        <w:rPr>
          <w:sz w:val="22"/>
          <w:szCs w:val="22"/>
        </w:rPr>
        <w:instrText xml:space="preserve"> PAGEREF _Toc52529194 \h </w:instrText>
      </w:r>
      <w:r w:rsidRPr="00EB2395">
        <w:rPr>
          <w:sz w:val="22"/>
          <w:szCs w:val="22"/>
        </w:rPr>
      </w:r>
      <w:r w:rsidRPr="00EB2395">
        <w:rPr>
          <w:sz w:val="22"/>
          <w:szCs w:val="22"/>
        </w:rPr>
        <w:fldChar w:fldCharType="separate"/>
      </w:r>
      <w:r w:rsidR="001D254B" w:rsidRPr="00EB2395">
        <w:rPr>
          <w:sz w:val="22"/>
          <w:szCs w:val="22"/>
        </w:rPr>
        <w:t>3</w:t>
      </w:r>
      <w:r w:rsidRPr="00EB2395">
        <w:rPr>
          <w:sz w:val="22"/>
          <w:szCs w:val="22"/>
        </w:rPr>
        <w:fldChar w:fldCharType="end"/>
      </w:r>
    </w:p>
    <w:p w14:paraId="6CAB9C39" w14:textId="048B89DC"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B.</w:t>
      </w:r>
      <w:r w:rsidRPr="00EB2395">
        <w:rPr>
          <w:rFonts w:eastAsiaTheme="minorEastAsia" w:cstheme="minorBidi"/>
          <w:sz w:val="22"/>
          <w:szCs w:val="22"/>
        </w:rPr>
        <w:tab/>
      </w:r>
      <w:r w:rsidRPr="00EB2395">
        <w:rPr>
          <w:sz w:val="22"/>
          <w:szCs w:val="22"/>
        </w:rPr>
        <w:t>Facility Location:</w:t>
      </w:r>
      <w:r w:rsidRPr="00EB2395">
        <w:rPr>
          <w:sz w:val="22"/>
          <w:szCs w:val="22"/>
        </w:rPr>
        <w:tab/>
      </w:r>
      <w:r w:rsidRPr="00EB2395">
        <w:rPr>
          <w:sz w:val="22"/>
          <w:szCs w:val="22"/>
        </w:rPr>
        <w:fldChar w:fldCharType="begin"/>
      </w:r>
      <w:r w:rsidRPr="00EB2395">
        <w:rPr>
          <w:sz w:val="22"/>
          <w:szCs w:val="22"/>
        </w:rPr>
        <w:instrText xml:space="preserve"> PAGEREF _Toc52529195 \h </w:instrText>
      </w:r>
      <w:r w:rsidRPr="00EB2395">
        <w:rPr>
          <w:sz w:val="22"/>
          <w:szCs w:val="22"/>
        </w:rPr>
      </w:r>
      <w:r w:rsidRPr="00EB2395">
        <w:rPr>
          <w:sz w:val="22"/>
          <w:szCs w:val="22"/>
        </w:rPr>
        <w:fldChar w:fldCharType="separate"/>
      </w:r>
      <w:r w:rsidR="001D254B" w:rsidRPr="00EB2395">
        <w:rPr>
          <w:sz w:val="22"/>
          <w:szCs w:val="22"/>
        </w:rPr>
        <w:t>3</w:t>
      </w:r>
      <w:r w:rsidRPr="00EB2395">
        <w:rPr>
          <w:sz w:val="22"/>
          <w:szCs w:val="22"/>
        </w:rPr>
        <w:fldChar w:fldCharType="end"/>
      </w:r>
    </w:p>
    <w:p w14:paraId="0E951EF0" w14:textId="10A5F543"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C.</w:t>
      </w:r>
      <w:r w:rsidRPr="00EB2395">
        <w:rPr>
          <w:rFonts w:eastAsiaTheme="minorEastAsia" w:cstheme="minorBidi"/>
          <w:sz w:val="22"/>
          <w:szCs w:val="22"/>
        </w:rPr>
        <w:tab/>
      </w:r>
      <w:r w:rsidRPr="00EB2395">
        <w:rPr>
          <w:sz w:val="22"/>
          <w:szCs w:val="22"/>
        </w:rPr>
        <w:t>Facility Background Information:</w:t>
      </w:r>
      <w:r w:rsidRPr="00EB2395">
        <w:rPr>
          <w:sz w:val="22"/>
          <w:szCs w:val="22"/>
        </w:rPr>
        <w:tab/>
      </w:r>
      <w:r w:rsidRPr="00EB2395">
        <w:rPr>
          <w:sz w:val="22"/>
          <w:szCs w:val="22"/>
        </w:rPr>
        <w:fldChar w:fldCharType="begin"/>
      </w:r>
      <w:r w:rsidRPr="00EB2395">
        <w:rPr>
          <w:sz w:val="22"/>
          <w:szCs w:val="22"/>
        </w:rPr>
        <w:instrText xml:space="preserve"> PAGEREF _Toc52529196 \h </w:instrText>
      </w:r>
      <w:r w:rsidRPr="00EB2395">
        <w:rPr>
          <w:sz w:val="22"/>
          <w:szCs w:val="22"/>
        </w:rPr>
      </w:r>
      <w:r w:rsidRPr="00EB2395">
        <w:rPr>
          <w:sz w:val="22"/>
          <w:szCs w:val="22"/>
        </w:rPr>
        <w:fldChar w:fldCharType="separate"/>
      </w:r>
      <w:r w:rsidR="001D254B" w:rsidRPr="00EB2395">
        <w:rPr>
          <w:sz w:val="22"/>
          <w:szCs w:val="22"/>
        </w:rPr>
        <w:t>3</w:t>
      </w:r>
      <w:r w:rsidRPr="00EB2395">
        <w:rPr>
          <w:sz w:val="22"/>
          <w:szCs w:val="22"/>
        </w:rPr>
        <w:fldChar w:fldCharType="end"/>
      </w:r>
    </w:p>
    <w:p w14:paraId="09D083C7" w14:textId="36911F41"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D.</w:t>
      </w:r>
      <w:r w:rsidRPr="00EB2395">
        <w:rPr>
          <w:rFonts w:eastAsiaTheme="minorEastAsia" w:cstheme="minorBidi"/>
          <w:sz w:val="22"/>
          <w:szCs w:val="22"/>
        </w:rPr>
        <w:tab/>
      </w:r>
      <w:r w:rsidRPr="00EB2395">
        <w:rPr>
          <w:sz w:val="22"/>
          <w:szCs w:val="22"/>
        </w:rPr>
        <w:t>Current Permit Action</w:t>
      </w:r>
      <w:r w:rsidRPr="00EB2395">
        <w:rPr>
          <w:sz w:val="22"/>
          <w:szCs w:val="22"/>
        </w:rPr>
        <w:tab/>
      </w:r>
      <w:r w:rsidRPr="00EB2395">
        <w:rPr>
          <w:sz w:val="22"/>
          <w:szCs w:val="22"/>
        </w:rPr>
        <w:fldChar w:fldCharType="begin"/>
      </w:r>
      <w:r w:rsidRPr="00EB2395">
        <w:rPr>
          <w:sz w:val="22"/>
          <w:szCs w:val="22"/>
        </w:rPr>
        <w:instrText xml:space="preserve"> PAGEREF _Toc52529197 \h </w:instrText>
      </w:r>
      <w:r w:rsidRPr="00EB2395">
        <w:rPr>
          <w:sz w:val="22"/>
          <w:szCs w:val="22"/>
        </w:rPr>
      </w:r>
      <w:r w:rsidRPr="00EB2395">
        <w:rPr>
          <w:sz w:val="22"/>
          <w:szCs w:val="22"/>
        </w:rPr>
        <w:fldChar w:fldCharType="separate"/>
      </w:r>
      <w:r w:rsidR="001D254B" w:rsidRPr="00EB2395">
        <w:rPr>
          <w:sz w:val="22"/>
          <w:szCs w:val="22"/>
        </w:rPr>
        <w:t>4</w:t>
      </w:r>
      <w:r w:rsidRPr="00EB2395">
        <w:rPr>
          <w:sz w:val="22"/>
          <w:szCs w:val="22"/>
        </w:rPr>
        <w:fldChar w:fldCharType="end"/>
      </w:r>
    </w:p>
    <w:p w14:paraId="1F5C31AD" w14:textId="66164DE7"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E.</w:t>
      </w:r>
      <w:r w:rsidRPr="00EB2395">
        <w:rPr>
          <w:rFonts w:eastAsiaTheme="minorEastAsia" w:cstheme="minorBidi"/>
          <w:sz w:val="22"/>
          <w:szCs w:val="22"/>
        </w:rPr>
        <w:tab/>
      </w:r>
      <w:r w:rsidRPr="00EB2395">
        <w:rPr>
          <w:sz w:val="22"/>
          <w:szCs w:val="22"/>
        </w:rPr>
        <w:t>Taking and Damaging Analysis:</w:t>
      </w:r>
      <w:r w:rsidRPr="00EB2395">
        <w:rPr>
          <w:sz w:val="22"/>
          <w:szCs w:val="22"/>
        </w:rPr>
        <w:tab/>
      </w:r>
      <w:r w:rsidRPr="00EB2395">
        <w:rPr>
          <w:sz w:val="22"/>
          <w:szCs w:val="22"/>
        </w:rPr>
        <w:fldChar w:fldCharType="begin"/>
      </w:r>
      <w:r w:rsidRPr="00EB2395">
        <w:rPr>
          <w:sz w:val="22"/>
          <w:szCs w:val="22"/>
        </w:rPr>
        <w:instrText xml:space="preserve"> PAGEREF _Toc52529198 \h </w:instrText>
      </w:r>
      <w:r w:rsidRPr="00EB2395">
        <w:rPr>
          <w:sz w:val="22"/>
          <w:szCs w:val="22"/>
        </w:rPr>
      </w:r>
      <w:r w:rsidRPr="00EB2395">
        <w:rPr>
          <w:sz w:val="22"/>
          <w:szCs w:val="22"/>
        </w:rPr>
        <w:fldChar w:fldCharType="separate"/>
      </w:r>
      <w:r w:rsidR="001D254B" w:rsidRPr="00EB2395">
        <w:rPr>
          <w:sz w:val="22"/>
          <w:szCs w:val="22"/>
        </w:rPr>
        <w:t>4</w:t>
      </w:r>
      <w:r w:rsidRPr="00EB2395">
        <w:rPr>
          <w:sz w:val="22"/>
          <w:szCs w:val="22"/>
        </w:rPr>
        <w:fldChar w:fldCharType="end"/>
      </w:r>
    </w:p>
    <w:p w14:paraId="2EEA7F28" w14:textId="1A170103"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F.</w:t>
      </w:r>
      <w:r w:rsidRPr="00EB2395">
        <w:rPr>
          <w:rFonts w:eastAsiaTheme="minorEastAsia" w:cstheme="minorBidi"/>
          <w:sz w:val="22"/>
          <w:szCs w:val="22"/>
        </w:rPr>
        <w:tab/>
      </w:r>
      <w:r w:rsidRPr="00EB2395">
        <w:rPr>
          <w:sz w:val="22"/>
          <w:szCs w:val="22"/>
        </w:rPr>
        <w:t>Compliance Designation:</w:t>
      </w:r>
      <w:r w:rsidRPr="00EB2395">
        <w:rPr>
          <w:sz w:val="22"/>
          <w:szCs w:val="22"/>
        </w:rPr>
        <w:tab/>
      </w:r>
      <w:r w:rsidRPr="00EB2395">
        <w:rPr>
          <w:sz w:val="22"/>
          <w:szCs w:val="22"/>
        </w:rPr>
        <w:fldChar w:fldCharType="begin"/>
      </w:r>
      <w:r w:rsidRPr="00EB2395">
        <w:rPr>
          <w:sz w:val="22"/>
          <w:szCs w:val="22"/>
        </w:rPr>
        <w:instrText xml:space="preserve"> PAGEREF _Toc52529199 \h </w:instrText>
      </w:r>
      <w:r w:rsidRPr="00EB2395">
        <w:rPr>
          <w:sz w:val="22"/>
          <w:szCs w:val="22"/>
        </w:rPr>
      </w:r>
      <w:r w:rsidRPr="00EB2395">
        <w:rPr>
          <w:sz w:val="22"/>
          <w:szCs w:val="22"/>
        </w:rPr>
        <w:fldChar w:fldCharType="separate"/>
      </w:r>
      <w:r w:rsidR="001D254B" w:rsidRPr="00EB2395">
        <w:rPr>
          <w:sz w:val="22"/>
          <w:szCs w:val="22"/>
        </w:rPr>
        <w:t>5</w:t>
      </w:r>
      <w:r w:rsidRPr="00EB2395">
        <w:rPr>
          <w:sz w:val="22"/>
          <w:szCs w:val="22"/>
        </w:rPr>
        <w:fldChar w:fldCharType="end"/>
      </w:r>
    </w:p>
    <w:p w14:paraId="751CFC0B" w14:textId="19DE68E7" w:rsidR="00F724E7" w:rsidRPr="00EB2395" w:rsidRDefault="00F724E7" w:rsidP="00F4188C">
      <w:pPr>
        <w:pStyle w:val="TOC1"/>
        <w:tabs>
          <w:tab w:val="left" w:leader="dot" w:pos="9000"/>
        </w:tabs>
        <w:rPr>
          <w:rFonts w:eastAsiaTheme="minorEastAsia" w:cstheme="minorBidi"/>
          <w:noProof/>
          <w:sz w:val="22"/>
          <w:szCs w:val="22"/>
        </w:rPr>
      </w:pPr>
      <w:r w:rsidRPr="00EB2395">
        <w:rPr>
          <w:noProof/>
          <w:sz w:val="22"/>
          <w:szCs w:val="22"/>
        </w:rPr>
        <w:t>SECTION II. SUMMARY OF EMISSION UNITS</w:t>
      </w:r>
      <w:r w:rsidRPr="00EB2395">
        <w:rPr>
          <w:noProof/>
          <w:sz w:val="22"/>
          <w:szCs w:val="22"/>
        </w:rPr>
        <w:tab/>
      </w:r>
      <w:r w:rsidRPr="00EB2395">
        <w:rPr>
          <w:noProof/>
          <w:sz w:val="22"/>
          <w:szCs w:val="22"/>
        </w:rPr>
        <w:fldChar w:fldCharType="begin"/>
      </w:r>
      <w:r w:rsidRPr="00EB2395">
        <w:rPr>
          <w:noProof/>
          <w:sz w:val="22"/>
          <w:szCs w:val="22"/>
        </w:rPr>
        <w:instrText xml:space="preserve"> PAGEREF _Toc52529200 \h </w:instrText>
      </w:r>
      <w:r w:rsidRPr="00EB2395">
        <w:rPr>
          <w:noProof/>
          <w:sz w:val="22"/>
          <w:szCs w:val="22"/>
        </w:rPr>
      </w:r>
      <w:r w:rsidRPr="00EB2395">
        <w:rPr>
          <w:noProof/>
          <w:sz w:val="22"/>
          <w:szCs w:val="22"/>
        </w:rPr>
        <w:fldChar w:fldCharType="separate"/>
      </w:r>
      <w:r w:rsidR="001D254B" w:rsidRPr="00EB2395">
        <w:rPr>
          <w:noProof/>
          <w:sz w:val="22"/>
          <w:szCs w:val="22"/>
        </w:rPr>
        <w:t>6</w:t>
      </w:r>
      <w:r w:rsidRPr="00EB2395">
        <w:rPr>
          <w:noProof/>
          <w:sz w:val="22"/>
          <w:szCs w:val="22"/>
        </w:rPr>
        <w:fldChar w:fldCharType="end"/>
      </w:r>
    </w:p>
    <w:p w14:paraId="73FE1C04" w14:textId="1E326CEA"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A.</w:t>
      </w:r>
      <w:r w:rsidRPr="00EB2395">
        <w:rPr>
          <w:rFonts w:eastAsiaTheme="minorEastAsia" w:cstheme="minorBidi"/>
          <w:sz w:val="22"/>
          <w:szCs w:val="22"/>
        </w:rPr>
        <w:tab/>
      </w:r>
      <w:r w:rsidRPr="00EB2395">
        <w:rPr>
          <w:sz w:val="22"/>
          <w:szCs w:val="22"/>
        </w:rPr>
        <w:t>Facility Process Description:</w:t>
      </w:r>
      <w:r w:rsidRPr="00EB2395">
        <w:rPr>
          <w:sz w:val="22"/>
          <w:szCs w:val="22"/>
        </w:rPr>
        <w:tab/>
      </w:r>
      <w:r w:rsidRPr="00EB2395">
        <w:rPr>
          <w:sz w:val="22"/>
          <w:szCs w:val="22"/>
        </w:rPr>
        <w:fldChar w:fldCharType="begin"/>
      </w:r>
      <w:r w:rsidRPr="00EB2395">
        <w:rPr>
          <w:sz w:val="22"/>
          <w:szCs w:val="22"/>
        </w:rPr>
        <w:instrText xml:space="preserve"> PAGEREF _Toc52529201 \h </w:instrText>
      </w:r>
      <w:r w:rsidRPr="00EB2395">
        <w:rPr>
          <w:sz w:val="22"/>
          <w:szCs w:val="22"/>
        </w:rPr>
      </w:r>
      <w:r w:rsidRPr="00EB2395">
        <w:rPr>
          <w:sz w:val="22"/>
          <w:szCs w:val="22"/>
        </w:rPr>
        <w:fldChar w:fldCharType="separate"/>
      </w:r>
      <w:r w:rsidR="001D254B" w:rsidRPr="00EB2395">
        <w:rPr>
          <w:sz w:val="22"/>
          <w:szCs w:val="22"/>
        </w:rPr>
        <w:t>6</w:t>
      </w:r>
      <w:r w:rsidRPr="00EB2395">
        <w:rPr>
          <w:sz w:val="22"/>
          <w:szCs w:val="22"/>
        </w:rPr>
        <w:fldChar w:fldCharType="end"/>
      </w:r>
    </w:p>
    <w:p w14:paraId="7685C68D" w14:textId="17EF8F2F"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B.</w:t>
      </w:r>
      <w:r w:rsidRPr="00EB2395">
        <w:rPr>
          <w:rFonts w:eastAsiaTheme="minorEastAsia" w:cstheme="minorBidi"/>
          <w:sz w:val="22"/>
          <w:szCs w:val="22"/>
        </w:rPr>
        <w:tab/>
      </w:r>
      <w:r w:rsidRPr="00EB2395">
        <w:rPr>
          <w:sz w:val="22"/>
          <w:szCs w:val="22"/>
        </w:rPr>
        <w:t>Emission Units and Pollution Control Device Identification:</w:t>
      </w:r>
      <w:r w:rsidRPr="00EB2395">
        <w:rPr>
          <w:sz w:val="22"/>
          <w:szCs w:val="22"/>
        </w:rPr>
        <w:tab/>
      </w:r>
      <w:r w:rsidRPr="00EB2395">
        <w:rPr>
          <w:sz w:val="22"/>
          <w:szCs w:val="22"/>
        </w:rPr>
        <w:fldChar w:fldCharType="begin"/>
      </w:r>
      <w:r w:rsidRPr="00EB2395">
        <w:rPr>
          <w:sz w:val="22"/>
          <w:szCs w:val="22"/>
        </w:rPr>
        <w:instrText xml:space="preserve"> PAGEREF _Toc52529202 \h </w:instrText>
      </w:r>
      <w:r w:rsidRPr="00EB2395">
        <w:rPr>
          <w:sz w:val="22"/>
          <w:szCs w:val="22"/>
        </w:rPr>
      </w:r>
      <w:r w:rsidRPr="00EB2395">
        <w:rPr>
          <w:sz w:val="22"/>
          <w:szCs w:val="22"/>
        </w:rPr>
        <w:fldChar w:fldCharType="separate"/>
      </w:r>
      <w:r w:rsidR="001D254B" w:rsidRPr="00EB2395">
        <w:rPr>
          <w:sz w:val="22"/>
          <w:szCs w:val="22"/>
        </w:rPr>
        <w:t>6</w:t>
      </w:r>
      <w:r w:rsidRPr="00EB2395">
        <w:rPr>
          <w:sz w:val="22"/>
          <w:szCs w:val="22"/>
        </w:rPr>
        <w:fldChar w:fldCharType="end"/>
      </w:r>
    </w:p>
    <w:p w14:paraId="051F0E3B" w14:textId="3AB022ED"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C.</w:t>
      </w:r>
      <w:r w:rsidRPr="00EB2395">
        <w:rPr>
          <w:rFonts w:eastAsiaTheme="minorEastAsia" w:cstheme="minorBidi"/>
          <w:sz w:val="22"/>
          <w:szCs w:val="22"/>
        </w:rPr>
        <w:tab/>
      </w:r>
      <w:r w:rsidRPr="00EB2395">
        <w:rPr>
          <w:sz w:val="22"/>
          <w:szCs w:val="22"/>
        </w:rPr>
        <w:t>Categorically Insignificant Sources/Activities:</w:t>
      </w:r>
      <w:r w:rsidRPr="00EB2395">
        <w:rPr>
          <w:sz w:val="22"/>
          <w:szCs w:val="22"/>
        </w:rPr>
        <w:tab/>
      </w:r>
      <w:r w:rsidRPr="00EB2395">
        <w:rPr>
          <w:sz w:val="22"/>
          <w:szCs w:val="22"/>
        </w:rPr>
        <w:fldChar w:fldCharType="begin"/>
      </w:r>
      <w:r w:rsidRPr="00EB2395">
        <w:rPr>
          <w:sz w:val="22"/>
          <w:szCs w:val="22"/>
        </w:rPr>
        <w:instrText xml:space="preserve"> PAGEREF _Toc52529203 \h </w:instrText>
      </w:r>
      <w:r w:rsidRPr="00EB2395">
        <w:rPr>
          <w:sz w:val="22"/>
          <w:szCs w:val="22"/>
        </w:rPr>
      </w:r>
      <w:r w:rsidRPr="00EB2395">
        <w:rPr>
          <w:sz w:val="22"/>
          <w:szCs w:val="22"/>
        </w:rPr>
        <w:fldChar w:fldCharType="separate"/>
      </w:r>
      <w:r w:rsidR="001D254B" w:rsidRPr="00EB2395">
        <w:rPr>
          <w:sz w:val="22"/>
          <w:szCs w:val="22"/>
        </w:rPr>
        <w:t>6</w:t>
      </w:r>
      <w:r w:rsidRPr="00EB2395">
        <w:rPr>
          <w:sz w:val="22"/>
          <w:szCs w:val="22"/>
        </w:rPr>
        <w:fldChar w:fldCharType="end"/>
      </w:r>
    </w:p>
    <w:p w14:paraId="13719C6B" w14:textId="248808C7" w:rsidR="00F724E7" w:rsidRPr="00EB2395" w:rsidRDefault="00F724E7" w:rsidP="00F4188C">
      <w:pPr>
        <w:pStyle w:val="TOC1"/>
        <w:tabs>
          <w:tab w:val="left" w:leader="dot" w:pos="9000"/>
        </w:tabs>
        <w:rPr>
          <w:rFonts w:eastAsiaTheme="minorEastAsia" w:cstheme="minorBidi"/>
          <w:noProof/>
          <w:sz w:val="22"/>
          <w:szCs w:val="22"/>
        </w:rPr>
      </w:pPr>
      <w:r w:rsidRPr="00EB2395">
        <w:rPr>
          <w:noProof/>
          <w:sz w:val="22"/>
          <w:szCs w:val="22"/>
        </w:rPr>
        <w:t>SECTION III. PERMIT CONDITIONS</w:t>
      </w:r>
      <w:r w:rsidRPr="00EB2395">
        <w:rPr>
          <w:noProof/>
          <w:sz w:val="22"/>
          <w:szCs w:val="22"/>
        </w:rPr>
        <w:tab/>
      </w:r>
      <w:r w:rsidRPr="00EB2395">
        <w:rPr>
          <w:noProof/>
          <w:sz w:val="22"/>
          <w:szCs w:val="22"/>
        </w:rPr>
        <w:fldChar w:fldCharType="begin"/>
      </w:r>
      <w:r w:rsidRPr="00EB2395">
        <w:rPr>
          <w:noProof/>
          <w:sz w:val="22"/>
          <w:szCs w:val="22"/>
        </w:rPr>
        <w:instrText xml:space="preserve"> PAGEREF _Toc52529204 \h </w:instrText>
      </w:r>
      <w:r w:rsidRPr="00EB2395">
        <w:rPr>
          <w:noProof/>
          <w:sz w:val="22"/>
          <w:szCs w:val="22"/>
        </w:rPr>
      </w:r>
      <w:r w:rsidRPr="00EB2395">
        <w:rPr>
          <w:noProof/>
          <w:sz w:val="22"/>
          <w:szCs w:val="22"/>
        </w:rPr>
        <w:fldChar w:fldCharType="separate"/>
      </w:r>
      <w:r w:rsidR="001D254B" w:rsidRPr="00EB2395">
        <w:rPr>
          <w:noProof/>
          <w:sz w:val="22"/>
          <w:szCs w:val="22"/>
        </w:rPr>
        <w:t>7</w:t>
      </w:r>
      <w:r w:rsidRPr="00EB2395">
        <w:rPr>
          <w:noProof/>
          <w:sz w:val="22"/>
          <w:szCs w:val="22"/>
        </w:rPr>
        <w:fldChar w:fldCharType="end"/>
      </w:r>
    </w:p>
    <w:p w14:paraId="088A6414" w14:textId="5E786B95"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A.</w:t>
      </w:r>
      <w:r w:rsidRPr="00EB2395">
        <w:rPr>
          <w:rFonts w:eastAsiaTheme="minorEastAsia" w:cstheme="minorBidi"/>
          <w:sz w:val="22"/>
          <w:szCs w:val="22"/>
        </w:rPr>
        <w:tab/>
      </w:r>
      <w:r w:rsidRPr="00EB2395">
        <w:rPr>
          <w:sz w:val="22"/>
          <w:szCs w:val="22"/>
        </w:rPr>
        <w:t>Emission Limits and Standards:</w:t>
      </w:r>
      <w:r w:rsidRPr="00EB2395">
        <w:rPr>
          <w:sz w:val="22"/>
          <w:szCs w:val="22"/>
        </w:rPr>
        <w:tab/>
      </w:r>
      <w:r w:rsidRPr="00EB2395">
        <w:rPr>
          <w:sz w:val="22"/>
          <w:szCs w:val="22"/>
        </w:rPr>
        <w:fldChar w:fldCharType="begin"/>
      </w:r>
      <w:r w:rsidRPr="00EB2395">
        <w:rPr>
          <w:sz w:val="22"/>
          <w:szCs w:val="22"/>
        </w:rPr>
        <w:instrText xml:space="preserve"> PAGEREF _Toc52529205 \h </w:instrText>
      </w:r>
      <w:r w:rsidRPr="00EB2395">
        <w:rPr>
          <w:sz w:val="22"/>
          <w:szCs w:val="22"/>
        </w:rPr>
      </w:r>
      <w:r w:rsidRPr="00EB2395">
        <w:rPr>
          <w:sz w:val="22"/>
          <w:szCs w:val="22"/>
        </w:rPr>
        <w:fldChar w:fldCharType="separate"/>
      </w:r>
      <w:r w:rsidR="001D254B" w:rsidRPr="00EB2395">
        <w:rPr>
          <w:sz w:val="22"/>
          <w:szCs w:val="22"/>
        </w:rPr>
        <w:t>7</w:t>
      </w:r>
      <w:r w:rsidRPr="00EB2395">
        <w:rPr>
          <w:sz w:val="22"/>
          <w:szCs w:val="22"/>
        </w:rPr>
        <w:fldChar w:fldCharType="end"/>
      </w:r>
    </w:p>
    <w:p w14:paraId="402E1760" w14:textId="18E48FC0"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B.</w:t>
      </w:r>
      <w:r w:rsidRPr="00EB2395">
        <w:rPr>
          <w:rFonts w:eastAsiaTheme="minorEastAsia" w:cstheme="minorBidi"/>
          <w:sz w:val="22"/>
          <w:szCs w:val="22"/>
        </w:rPr>
        <w:tab/>
      </w:r>
      <w:r w:rsidRPr="00EB2395">
        <w:rPr>
          <w:sz w:val="22"/>
          <w:szCs w:val="22"/>
        </w:rPr>
        <w:t>Monitoring Requirements:</w:t>
      </w:r>
      <w:r w:rsidRPr="00EB2395">
        <w:rPr>
          <w:sz w:val="22"/>
          <w:szCs w:val="22"/>
        </w:rPr>
        <w:tab/>
      </w:r>
      <w:r w:rsidRPr="00EB2395">
        <w:rPr>
          <w:sz w:val="22"/>
          <w:szCs w:val="22"/>
        </w:rPr>
        <w:fldChar w:fldCharType="begin"/>
      </w:r>
      <w:r w:rsidRPr="00EB2395">
        <w:rPr>
          <w:sz w:val="22"/>
          <w:szCs w:val="22"/>
        </w:rPr>
        <w:instrText xml:space="preserve"> PAGEREF _Toc52529206 \h </w:instrText>
      </w:r>
      <w:r w:rsidRPr="00EB2395">
        <w:rPr>
          <w:sz w:val="22"/>
          <w:szCs w:val="22"/>
        </w:rPr>
      </w:r>
      <w:r w:rsidRPr="00EB2395">
        <w:rPr>
          <w:sz w:val="22"/>
          <w:szCs w:val="22"/>
        </w:rPr>
        <w:fldChar w:fldCharType="separate"/>
      </w:r>
      <w:r w:rsidR="001D254B" w:rsidRPr="00EB2395">
        <w:rPr>
          <w:sz w:val="22"/>
          <w:szCs w:val="22"/>
        </w:rPr>
        <w:t>7</w:t>
      </w:r>
      <w:r w:rsidRPr="00EB2395">
        <w:rPr>
          <w:sz w:val="22"/>
          <w:szCs w:val="22"/>
        </w:rPr>
        <w:fldChar w:fldCharType="end"/>
      </w:r>
    </w:p>
    <w:p w14:paraId="43439BFC" w14:textId="1D06A905"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C.</w:t>
      </w:r>
      <w:r w:rsidRPr="00EB2395">
        <w:rPr>
          <w:rFonts w:eastAsiaTheme="minorEastAsia" w:cstheme="minorBidi"/>
          <w:sz w:val="22"/>
          <w:szCs w:val="22"/>
        </w:rPr>
        <w:tab/>
      </w:r>
      <w:r w:rsidRPr="00EB2395">
        <w:rPr>
          <w:sz w:val="22"/>
          <w:szCs w:val="22"/>
        </w:rPr>
        <w:t>Test Methods and Procedures:</w:t>
      </w:r>
      <w:r w:rsidRPr="00EB2395">
        <w:rPr>
          <w:sz w:val="22"/>
          <w:szCs w:val="22"/>
        </w:rPr>
        <w:tab/>
      </w:r>
      <w:r w:rsidRPr="00EB2395">
        <w:rPr>
          <w:sz w:val="22"/>
          <w:szCs w:val="22"/>
        </w:rPr>
        <w:fldChar w:fldCharType="begin"/>
      </w:r>
      <w:r w:rsidRPr="00EB2395">
        <w:rPr>
          <w:sz w:val="22"/>
          <w:szCs w:val="22"/>
        </w:rPr>
        <w:instrText xml:space="preserve"> PAGEREF _Toc52529207 \h </w:instrText>
      </w:r>
      <w:r w:rsidRPr="00EB2395">
        <w:rPr>
          <w:sz w:val="22"/>
          <w:szCs w:val="22"/>
        </w:rPr>
      </w:r>
      <w:r w:rsidRPr="00EB2395">
        <w:rPr>
          <w:sz w:val="22"/>
          <w:szCs w:val="22"/>
        </w:rPr>
        <w:fldChar w:fldCharType="separate"/>
      </w:r>
      <w:r w:rsidR="001D254B" w:rsidRPr="00EB2395">
        <w:rPr>
          <w:sz w:val="22"/>
          <w:szCs w:val="22"/>
        </w:rPr>
        <w:t>8</w:t>
      </w:r>
      <w:r w:rsidRPr="00EB2395">
        <w:rPr>
          <w:sz w:val="22"/>
          <w:szCs w:val="22"/>
        </w:rPr>
        <w:fldChar w:fldCharType="end"/>
      </w:r>
    </w:p>
    <w:p w14:paraId="13C3F1C9" w14:textId="39B64ACC"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D.</w:t>
      </w:r>
      <w:r w:rsidRPr="00EB2395">
        <w:rPr>
          <w:rFonts w:eastAsiaTheme="minorEastAsia" w:cstheme="minorBidi"/>
          <w:sz w:val="22"/>
          <w:szCs w:val="22"/>
        </w:rPr>
        <w:tab/>
      </w:r>
      <w:r w:rsidRPr="00EB2395">
        <w:rPr>
          <w:sz w:val="22"/>
          <w:szCs w:val="22"/>
        </w:rPr>
        <w:t>Record keeping Requirements:</w:t>
      </w:r>
      <w:r w:rsidRPr="00EB2395">
        <w:rPr>
          <w:sz w:val="22"/>
          <w:szCs w:val="22"/>
        </w:rPr>
        <w:tab/>
      </w:r>
      <w:r w:rsidRPr="00EB2395">
        <w:rPr>
          <w:sz w:val="22"/>
          <w:szCs w:val="22"/>
        </w:rPr>
        <w:fldChar w:fldCharType="begin"/>
      </w:r>
      <w:r w:rsidRPr="00EB2395">
        <w:rPr>
          <w:sz w:val="22"/>
          <w:szCs w:val="22"/>
        </w:rPr>
        <w:instrText xml:space="preserve"> PAGEREF _Toc52529208 \h </w:instrText>
      </w:r>
      <w:r w:rsidRPr="00EB2395">
        <w:rPr>
          <w:sz w:val="22"/>
          <w:szCs w:val="22"/>
        </w:rPr>
      </w:r>
      <w:r w:rsidRPr="00EB2395">
        <w:rPr>
          <w:sz w:val="22"/>
          <w:szCs w:val="22"/>
        </w:rPr>
        <w:fldChar w:fldCharType="separate"/>
      </w:r>
      <w:r w:rsidR="001D254B" w:rsidRPr="00EB2395">
        <w:rPr>
          <w:sz w:val="22"/>
          <w:szCs w:val="22"/>
        </w:rPr>
        <w:t>8</w:t>
      </w:r>
      <w:r w:rsidRPr="00EB2395">
        <w:rPr>
          <w:sz w:val="22"/>
          <w:szCs w:val="22"/>
        </w:rPr>
        <w:fldChar w:fldCharType="end"/>
      </w:r>
    </w:p>
    <w:p w14:paraId="5F1F5A53" w14:textId="07D1A6FC"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E.</w:t>
      </w:r>
      <w:r w:rsidRPr="00EB2395">
        <w:rPr>
          <w:rFonts w:eastAsiaTheme="minorEastAsia" w:cstheme="minorBidi"/>
          <w:sz w:val="22"/>
          <w:szCs w:val="22"/>
        </w:rPr>
        <w:tab/>
      </w:r>
      <w:r w:rsidRPr="00EB2395">
        <w:rPr>
          <w:sz w:val="22"/>
          <w:szCs w:val="22"/>
        </w:rPr>
        <w:t>Reporting Requirements:</w:t>
      </w:r>
      <w:r w:rsidRPr="00EB2395">
        <w:rPr>
          <w:sz w:val="22"/>
          <w:szCs w:val="22"/>
        </w:rPr>
        <w:tab/>
      </w:r>
      <w:r w:rsidRPr="00EB2395">
        <w:rPr>
          <w:sz w:val="22"/>
          <w:szCs w:val="22"/>
        </w:rPr>
        <w:fldChar w:fldCharType="begin"/>
      </w:r>
      <w:r w:rsidRPr="00EB2395">
        <w:rPr>
          <w:sz w:val="22"/>
          <w:szCs w:val="22"/>
        </w:rPr>
        <w:instrText xml:space="preserve"> PAGEREF _Toc52529209 \h </w:instrText>
      </w:r>
      <w:r w:rsidRPr="00EB2395">
        <w:rPr>
          <w:sz w:val="22"/>
          <w:szCs w:val="22"/>
        </w:rPr>
      </w:r>
      <w:r w:rsidRPr="00EB2395">
        <w:rPr>
          <w:sz w:val="22"/>
          <w:szCs w:val="22"/>
        </w:rPr>
        <w:fldChar w:fldCharType="separate"/>
      </w:r>
      <w:r w:rsidR="001D254B" w:rsidRPr="00EB2395">
        <w:rPr>
          <w:sz w:val="22"/>
          <w:szCs w:val="22"/>
        </w:rPr>
        <w:t>8</w:t>
      </w:r>
      <w:r w:rsidRPr="00EB2395">
        <w:rPr>
          <w:sz w:val="22"/>
          <w:szCs w:val="22"/>
        </w:rPr>
        <w:fldChar w:fldCharType="end"/>
      </w:r>
    </w:p>
    <w:p w14:paraId="50D905BB" w14:textId="416F6F3F"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F.</w:t>
      </w:r>
      <w:r w:rsidRPr="00EB2395">
        <w:rPr>
          <w:rFonts w:eastAsiaTheme="minorEastAsia" w:cstheme="minorBidi"/>
          <w:sz w:val="22"/>
          <w:szCs w:val="22"/>
        </w:rPr>
        <w:tab/>
      </w:r>
      <w:r w:rsidRPr="00EB2395">
        <w:rPr>
          <w:sz w:val="22"/>
          <w:szCs w:val="22"/>
        </w:rPr>
        <w:t>Public Notice:</w:t>
      </w:r>
      <w:r w:rsidRPr="00EB2395">
        <w:rPr>
          <w:sz w:val="22"/>
          <w:szCs w:val="22"/>
        </w:rPr>
        <w:tab/>
      </w:r>
      <w:r w:rsidRPr="00EB2395">
        <w:rPr>
          <w:sz w:val="22"/>
          <w:szCs w:val="22"/>
        </w:rPr>
        <w:fldChar w:fldCharType="begin"/>
      </w:r>
      <w:r w:rsidRPr="00EB2395">
        <w:rPr>
          <w:sz w:val="22"/>
          <w:szCs w:val="22"/>
        </w:rPr>
        <w:instrText xml:space="preserve"> PAGEREF _Toc52529210 \h </w:instrText>
      </w:r>
      <w:r w:rsidRPr="00EB2395">
        <w:rPr>
          <w:sz w:val="22"/>
          <w:szCs w:val="22"/>
        </w:rPr>
      </w:r>
      <w:r w:rsidRPr="00EB2395">
        <w:rPr>
          <w:sz w:val="22"/>
          <w:szCs w:val="22"/>
        </w:rPr>
        <w:fldChar w:fldCharType="separate"/>
      </w:r>
      <w:r w:rsidR="001D254B" w:rsidRPr="00EB2395">
        <w:rPr>
          <w:sz w:val="22"/>
          <w:szCs w:val="22"/>
        </w:rPr>
        <w:t>8</w:t>
      </w:r>
      <w:r w:rsidRPr="00EB2395">
        <w:rPr>
          <w:sz w:val="22"/>
          <w:szCs w:val="22"/>
        </w:rPr>
        <w:fldChar w:fldCharType="end"/>
      </w:r>
    </w:p>
    <w:p w14:paraId="30BDC022" w14:textId="3610CCDE"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G.</w:t>
      </w:r>
      <w:r w:rsidRPr="00EB2395">
        <w:rPr>
          <w:rFonts w:eastAsiaTheme="minorEastAsia" w:cstheme="minorBidi"/>
          <w:sz w:val="22"/>
          <w:szCs w:val="22"/>
        </w:rPr>
        <w:tab/>
      </w:r>
      <w:r w:rsidRPr="00EB2395">
        <w:rPr>
          <w:rFonts w:cs="Segoe UI"/>
          <w:bCs/>
          <w:sz w:val="22"/>
          <w:szCs w:val="22"/>
        </w:rPr>
        <w:t>Draft Permit Comments</w:t>
      </w:r>
      <w:r w:rsidRPr="00EB2395">
        <w:rPr>
          <w:sz w:val="22"/>
          <w:szCs w:val="22"/>
        </w:rPr>
        <w:tab/>
      </w:r>
      <w:r w:rsidRPr="00EB2395">
        <w:rPr>
          <w:sz w:val="22"/>
          <w:szCs w:val="22"/>
        </w:rPr>
        <w:fldChar w:fldCharType="begin"/>
      </w:r>
      <w:r w:rsidRPr="00EB2395">
        <w:rPr>
          <w:sz w:val="22"/>
          <w:szCs w:val="22"/>
        </w:rPr>
        <w:instrText xml:space="preserve"> PAGEREF _Toc52529211 \h </w:instrText>
      </w:r>
      <w:r w:rsidRPr="00EB2395">
        <w:rPr>
          <w:sz w:val="22"/>
          <w:szCs w:val="22"/>
        </w:rPr>
      </w:r>
      <w:r w:rsidRPr="00EB2395">
        <w:rPr>
          <w:sz w:val="22"/>
          <w:szCs w:val="22"/>
        </w:rPr>
        <w:fldChar w:fldCharType="separate"/>
      </w:r>
      <w:r w:rsidR="001D254B" w:rsidRPr="00EB2395">
        <w:rPr>
          <w:sz w:val="22"/>
          <w:szCs w:val="22"/>
        </w:rPr>
        <w:t>8</w:t>
      </w:r>
      <w:r w:rsidRPr="00EB2395">
        <w:rPr>
          <w:sz w:val="22"/>
          <w:szCs w:val="22"/>
        </w:rPr>
        <w:fldChar w:fldCharType="end"/>
      </w:r>
    </w:p>
    <w:p w14:paraId="7A80B316" w14:textId="5E0742C6" w:rsidR="00F724E7" w:rsidRPr="00EB2395" w:rsidRDefault="00F724E7" w:rsidP="00F4188C">
      <w:pPr>
        <w:pStyle w:val="TOC1"/>
        <w:tabs>
          <w:tab w:val="left" w:leader="dot" w:pos="9000"/>
        </w:tabs>
        <w:rPr>
          <w:rFonts w:eastAsiaTheme="minorEastAsia" w:cstheme="minorBidi"/>
          <w:noProof/>
          <w:sz w:val="22"/>
          <w:szCs w:val="22"/>
        </w:rPr>
      </w:pPr>
      <w:r w:rsidRPr="00EB2395">
        <w:rPr>
          <w:noProof/>
          <w:sz w:val="22"/>
          <w:szCs w:val="22"/>
        </w:rPr>
        <w:t>SECTION IV. NON-APPLICABLE REQUIREMENT ANALYSIS</w:t>
      </w:r>
      <w:r w:rsidRPr="00EB2395">
        <w:rPr>
          <w:noProof/>
          <w:sz w:val="22"/>
          <w:szCs w:val="22"/>
        </w:rPr>
        <w:tab/>
      </w:r>
      <w:r w:rsidRPr="00EB2395">
        <w:rPr>
          <w:noProof/>
          <w:sz w:val="22"/>
          <w:szCs w:val="22"/>
        </w:rPr>
        <w:fldChar w:fldCharType="begin"/>
      </w:r>
      <w:r w:rsidRPr="00EB2395">
        <w:rPr>
          <w:noProof/>
          <w:sz w:val="22"/>
          <w:szCs w:val="22"/>
        </w:rPr>
        <w:instrText xml:space="preserve"> PAGEREF _Toc52529212 \h </w:instrText>
      </w:r>
      <w:r w:rsidRPr="00EB2395">
        <w:rPr>
          <w:noProof/>
          <w:sz w:val="22"/>
          <w:szCs w:val="22"/>
        </w:rPr>
      </w:r>
      <w:r w:rsidRPr="00EB2395">
        <w:rPr>
          <w:noProof/>
          <w:sz w:val="22"/>
          <w:szCs w:val="22"/>
        </w:rPr>
        <w:fldChar w:fldCharType="separate"/>
      </w:r>
      <w:r w:rsidR="001D254B" w:rsidRPr="00EB2395">
        <w:rPr>
          <w:noProof/>
          <w:sz w:val="22"/>
          <w:szCs w:val="22"/>
        </w:rPr>
        <w:t>9</w:t>
      </w:r>
      <w:r w:rsidRPr="00EB2395">
        <w:rPr>
          <w:noProof/>
          <w:sz w:val="22"/>
          <w:szCs w:val="22"/>
        </w:rPr>
        <w:fldChar w:fldCharType="end"/>
      </w:r>
    </w:p>
    <w:p w14:paraId="366351EC" w14:textId="3A709014" w:rsidR="00F724E7" w:rsidRPr="00EB2395" w:rsidRDefault="00F724E7" w:rsidP="00F4188C">
      <w:pPr>
        <w:pStyle w:val="TOC1"/>
        <w:tabs>
          <w:tab w:val="left" w:leader="dot" w:pos="9000"/>
        </w:tabs>
        <w:rPr>
          <w:rFonts w:eastAsiaTheme="minorEastAsia" w:cstheme="minorBidi"/>
          <w:noProof/>
          <w:sz w:val="22"/>
          <w:szCs w:val="22"/>
        </w:rPr>
      </w:pPr>
      <w:r w:rsidRPr="00EB2395">
        <w:rPr>
          <w:noProof/>
          <w:sz w:val="22"/>
          <w:szCs w:val="22"/>
        </w:rPr>
        <w:t>SECTION V. FUTURE PERMIT CONSIDERATIONS</w:t>
      </w:r>
      <w:r w:rsidRPr="00EB2395">
        <w:rPr>
          <w:noProof/>
          <w:sz w:val="22"/>
          <w:szCs w:val="22"/>
        </w:rPr>
        <w:tab/>
      </w:r>
      <w:r w:rsidRPr="00EB2395">
        <w:rPr>
          <w:noProof/>
          <w:sz w:val="22"/>
          <w:szCs w:val="22"/>
        </w:rPr>
        <w:fldChar w:fldCharType="begin"/>
      </w:r>
      <w:r w:rsidRPr="00EB2395">
        <w:rPr>
          <w:noProof/>
          <w:sz w:val="22"/>
          <w:szCs w:val="22"/>
        </w:rPr>
        <w:instrText xml:space="preserve"> PAGEREF _Toc52529213 \h </w:instrText>
      </w:r>
      <w:r w:rsidRPr="00EB2395">
        <w:rPr>
          <w:noProof/>
          <w:sz w:val="22"/>
          <w:szCs w:val="22"/>
        </w:rPr>
      </w:r>
      <w:r w:rsidRPr="00EB2395">
        <w:rPr>
          <w:noProof/>
          <w:sz w:val="22"/>
          <w:szCs w:val="22"/>
        </w:rPr>
        <w:fldChar w:fldCharType="separate"/>
      </w:r>
      <w:r w:rsidR="001D254B" w:rsidRPr="00EB2395">
        <w:rPr>
          <w:noProof/>
          <w:sz w:val="22"/>
          <w:szCs w:val="22"/>
        </w:rPr>
        <w:t>10</w:t>
      </w:r>
      <w:r w:rsidRPr="00EB2395">
        <w:rPr>
          <w:noProof/>
          <w:sz w:val="22"/>
          <w:szCs w:val="22"/>
        </w:rPr>
        <w:fldChar w:fldCharType="end"/>
      </w:r>
    </w:p>
    <w:p w14:paraId="1B4A9930" w14:textId="368BC48D"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A.</w:t>
      </w:r>
      <w:r w:rsidRPr="00EB2395">
        <w:rPr>
          <w:rFonts w:eastAsiaTheme="minorEastAsia" w:cstheme="minorBidi"/>
          <w:sz w:val="22"/>
          <w:szCs w:val="22"/>
        </w:rPr>
        <w:tab/>
      </w:r>
      <w:r w:rsidRPr="00EB2395">
        <w:rPr>
          <w:sz w:val="22"/>
          <w:szCs w:val="22"/>
        </w:rPr>
        <w:t>MACT Standards:</w:t>
      </w:r>
      <w:r w:rsidRPr="00EB2395">
        <w:rPr>
          <w:sz w:val="22"/>
          <w:szCs w:val="22"/>
        </w:rPr>
        <w:tab/>
      </w:r>
      <w:r w:rsidRPr="00EB2395">
        <w:rPr>
          <w:sz w:val="22"/>
          <w:szCs w:val="22"/>
        </w:rPr>
        <w:fldChar w:fldCharType="begin"/>
      </w:r>
      <w:r w:rsidRPr="00EB2395">
        <w:rPr>
          <w:sz w:val="22"/>
          <w:szCs w:val="22"/>
        </w:rPr>
        <w:instrText xml:space="preserve"> PAGEREF _Toc52529214 \h </w:instrText>
      </w:r>
      <w:r w:rsidRPr="00EB2395">
        <w:rPr>
          <w:sz w:val="22"/>
          <w:szCs w:val="22"/>
        </w:rPr>
      </w:r>
      <w:r w:rsidRPr="00EB2395">
        <w:rPr>
          <w:sz w:val="22"/>
          <w:szCs w:val="22"/>
        </w:rPr>
        <w:fldChar w:fldCharType="separate"/>
      </w:r>
      <w:r w:rsidR="001D254B" w:rsidRPr="00EB2395">
        <w:rPr>
          <w:sz w:val="22"/>
          <w:szCs w:val="22"/>
        </w:rPr>
        <w:t>10</w:t>
      </w:r>
      <w:r w:rsidRPr="00EB2395">
        <w:rPr>
          <w:sz w:val="22"/>
          <w:szCs w:val="22"/>
        </w:rPr>
        <w:fldChar w:fldCharType="end"/>
      </w:r>
    </w:p>
    <w:p w14:paraId="17E380BC" w14:textId="3F6B1DE2"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B.</w:t>
      </w:r>
      <w:r w:rsidRPr="00EB2395">
        <w:rPr>
          <w:rFonts w:eastAsiaTheme="minorEastAsia" w:cstheme="minorBidi"/>
          <w:sz w:val="22"/>
          <w:szCs w:val="22"/>
        </w:rPr>
        <w:tab/>
      </w:r>
      <w:r w:rsidRPr="00EB2395">
        <w:rPr>
          <w:sz w:val="22"/>
          <w:szCs w:val="22"/>
        </w:rPr>
        <w:t>NESHAP Standards:</w:t>
      </w:r>
      <w:r w:rsidRPr="00EB2395">
        <w:rPr>
          <w:sz w:val="22"/>
          <w:szCs w:val="22"/>
        </w:rPr>
        <w:tab/>
      </w:r>
      <w:r w:rsidRPr="00EB2395">
        <w:rPr>
          <w:sz w:val="22"/>
          <w:szCs w:val="22"/>
        </w:rPr>
        <w:fldChar w:fldCharType="begin"/>
      </w:r>
      <w:r w:rsidRPr="00EB2395">
        <w:rPr>
          <w:sz w:val="22"/>
          <w:szCs w:val="22"/>
        </w:rPr>
        <w:instrText xml:space="preserve"> PAGEREF _Toc52529215 \h </w:instrText>
      </w:r>
      <w:r w:rsidRPr="00EB2395">
        <w:rPr>
          <w:sz w:val="22"/>
          <w:szCs w:val="22"/>
        </w:rPr>
      </w:r>
      <w:r w:rsidRPr="00EB2395">
        <w:rPr>
          <w:sz w:val="22"/>
          <w:szCs w:val="22"/>
        </w:rPr>
        <w:fldChar w:fldCharType="separate"/>
      </w:r>
      <w:r w:rsidR="001D254B" w:rsidRPr="00EB2395">
        <w:rPr>
          <w:sz w:val="22"/>
          <w:szCs w:val="22"/>
        </w:rPr>
        <w:t>10</w:t>
      </w:r>
      <w:r w:rsidRPr="00EB2395">
        <w:rPr>
          <w:sz w:val="22"/>
          <w:szCs w:val="22"/>
        </w:rPr>
        <w:fldChar w:fldCharType="end"/>
      </w:r>
    </w:p>
    <w:p w14:paraId="0DCE6BEA" w14:textId="6D6BA87F"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C.</w:t>
      </w:r>
      <w:r w:rsidRPr="00EB2395">
        <w:rPr>
          <w:rFonts w:eastAsiaTheme="minorEastAsia" w:cstheme="minorBidi"/>
          <w:sz w:val="22"/>
          <w:szCs w:val="22"/>
        </w:rPr>
        <w:tab/>
      </w:r>
      <w:r w:rsidRPr="00EB2395">
        <w:rPr>
          <w:sz w:val="22"/>
          <w:szCs w:val="22"/>
        </w:rPr>
        <w:t>NSPS Standards:</w:t>
      </w:r>
      <w:r w:rsidRPr="00EB2395">
        <w:rPr>
          <w:sz w:val="22"/>
          <w:szCs w:val="22"/>
        </w:rPr>
        <w:tab/>
      </w:r>
      <w:r w:rsidRPr="00EB2395">
        <w:rPr>
          <w:sz w:val="22"/>
          <w:szCs w:val="22"/>
        </w:rPr>
        <w:fldChar w:fldCharType="begin"/>
      </w:r>
      <w:r w:rsidRPr="00EB2395">
        <w:rPr>
          <w:sz w:val="22"/>
          <w:szCs w:val="22"/>
        </w:rPr>
        <w:instrText xml:space="preserve"> PAGEREF _Toc52529216 \h </w:instrText>
      </w:r>
      <w:r w:rsidRPr="00EB2395">
        <w:rPr>
          <w:sz w:val="22"/>
          <w:szCs w:val="22"/>
        </w:rPr>
      </w:r>
      <w:r w:rsidRPr="00EB2395">
        <w:rPr>
          <w:sz w:val="22"/>
          <w:szCs w:val="22"/>
        </w:rPr>
        <w:fldChar w:fldCharType="separate"/>
      </w:r>
      <w:r w:rsidR="001D254B" w:rsidRPr="00EB2395">
        <w:rPr>
          <w:sz w:val="22"/>
          <w:szCs w:val="22"/>
        </w:rPr>
        <w:t>10</w:t>
      </w:r>
      <w:r w:rsidRPr="00EB2395">
        <w:rPr>
          <w:sz w:val="22"/>
          <w:szCs w:val="22"/>
        </w:rPr>
        <w:fldChar w:fldCharType="end"/>
      </w:r>
    </w:p>
    <w:p w14:paraId="430EABA7" w14:textId="700C12EC"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D.</w:t>
      </w:r>
      <w:r w:rsidRPr="00EB2395">
        <w:rPr>
          <w:rFonts w:eastAsiaTheme="minorEastAsia" w:cstheme="minorBidi"/>
          <w:sz w:val="22"/>
          <w:szCs w:val="22"/>
        </w:rPr>
        <w:tab/>
      </w:r>
      <w:r w:rsidRPr="00EB2395">
        <w:rPr>
          <w:sz w:val="22"/>
          <w:szCs w:val="22"/>
        </w:rPr>
        <w:t>Risk Management Plan:</w:t>
      </w:r>
      <w:r w:rsidRPr="00EB2395">
        <w:rPr>
          <w:sz w:val="22"/>
          <w:szCs w:val="22"/>
        </w:rPr>
        <w:tab/>
      </w:r>
      <w:r w:rsidRPr="00EB2395">
        <w:rPr>
          <w:sz w:val="22"/>
          <w:szCs w:val="22"/>
        </w:rPr>
        <w:fldChar w:fldCharType="begin"/>
      </w:r>
      <w:r w:rsidRPr="00EB2395">
        <w:rPr>
          <w:sz w:val="22"/>
          <w:szCs w:val="22"/>
        </w:rPr>
        <w:instrText xml:space="preserve"> PAGEREF _Toc52529217 \h </w:instrText>
      </w:r>
      <w:r w:rsidRPr="00EB2395">
        <w:rPr>
          <w:sz w:val="22"/>
          <w:szCs w:val="22"/>
        </w:rPr>
      </w:r>
      <w:r w:rsidRPr="00EB2395">
        <w:rPr>
          <w:sz w:val="22"/>
          <w:szCs w:val="22"/>
        </w:rPr>
        <w:fldChar w:fldCharType="separate"/>
      </w:r>
      <w:r w:rsidR="001D254B" w:rsidRPr="00EB2395">
        <w:rPr>
          <w:sz w:val="22"/>
          <w:szCs w:val="22"/>
        </w:rPr>
        <w:t>10</w:t>
      </w:r>
      <w:r w:rsidRPr="00EB2395">
        <w:rPr>
          <w:sz w:val="22"/>
          <w:szCs w:val="22"/>
        </w:rPr>
        <w:fldChar w:fldCharType="end"/>
      </w:r>
    </w:p>
    <w:p w14:paraId="24DBEFA0" w14:textId="7A911124"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E.</w:t>
      </w:r>
      <w:r w:rsidRPr="00EB2395">
        <w:rPr>
          <w:rFonts w:eastAsiaTheme="minorEastAsia" w:cstheme="minorBidi"/>
          <w:sz w:val="22"/>
          <w:szCs w:val="22"/>
        </w:rPr>
        <w:tab/>
      </w:r>
      <w:r w:rsidRPr="00EB2395">
        <w:rPr>
          <w:sz w:val="22"/>
          <w:szCs w:val="22"/>
        </w:rPr>
        <w:t>CAM Applicability</w:t>
      </w:r>
      <w:r w:rsidRPr="00EB2395">
        <w:rPr>
          <w:sz w:val="22"/>
          <w:szCs w:val="22"/>
        </w:rPr>
        <w:tab/>
      </w:r>
      <w:r w:rsidRPr="00EB2395">
        <w:rPr>
          <w:sz w:val="22"/>
          <w:szCs w:val="22"/>
        </w:rPr>
        <w:fldChar w:fldCharType="begin"/>
      </w:r>
      <w:r w:rsidRPr="00EB2395">
        <w:rPr>
          <w:sz w:val="22"/>
          <w:szCs w:val="22"/>
        </w:rPr>
        <w:instrText xml:space="preserve"> PAGEREF _Toc52529218 \h </w:instrText>
      </w:r>
      <w:r w:rsidRPr="00EB2395">
        <w:rPr>
          <w:sz w:val="22"/>
          <w:szCs w:val="22"/>
        </w:rPr>
      </w:r>
      <w:r w:rsidRPr="00EB2395">
        <w:rPr>
          <w:sz w:val="22"/>
          <w:szCs w:val="22"/>
        </w:rPr>
        <w:fldChar w:fldCharType="separate"/>
      </w:r>
      <w:r w:rsidR="001D254B" w:rsidRPr="00EB2395">
        <w:rPr>
          <w:sz w:val="22"/>
          <w:szCs w:val="22"/>
        </w:rPr>
        <w:t>10</w:t>
      </w:r>
      <w:r w:rsidRPr="00EB2395">
        <w:rPr>
          <w:sz w:val="22"/>
          <w:szCs w:val="22"/>
        </w:rPr>
        <w:fldChar w:fldCharType="end"/>
      </w:r>
    </w:p>
    <w:p w14:paraId="24848B51" w14:textId="2EADD7B2" w:rsidR="00F724E7" w:rsidRPr="00EB2395" w:rsidRDefault="00F724E7" w:rsidP="00F4188C">
      <w:pPr>
        <w:pStyle w:val="TOC2"/>
        <w:tabs>
          <w:tab w:val="left" w:leader="dot" w:pos="9000"/>
        </w:tabs>
        <w:rPr>
          <w:rFonts w:eastAsiaTheme="minorEastAsia" w:cstheme="minorBidi"/>
          <w:sz w:val="22"/>
          <w:szCs w:val="22"/>
        </w:rPr>
      </w:pPr>
      <w:r w:rsidRPr="00EB2395">
        <w:rPr>
          <w:sz w:val="22"/>
          <w:szCs w:val="22"/>
        </w:rPr>
        <w:t>F.</w:t>
      </w:r>
      <w:r w:rsidRPr="00EB2395">
        <w:rPr>
          <w:rFonts w:eastAsiaTheme="minorEastAsia" w:cstheme="minorBidi"/>
          <w:sz w:val="22"/>
          <w:szCs w:val="22"/>
        </w:rPr>
        <w:tab/>
      </w:r>
      <w:r w:rsidRPr="00EB2395">
        <w:rPr>
          <w:sz w:val="22"/>
          <w:szCs w:val="22"/>
        </w:rPr>
        <w:t>PSD and Title V Greenhouse Gas Tailoring Rule</w:t>
      </w:r>
      <w:r w:rsidRPr="00EB2395">
        <w:rPr>
          <w:sz w:val="22"/>
          <w:szCs w:val="22"/>
        </w:rPr>
        <w:tab/>
      </w:r>
      <w:r w:rsidRPr="00EB2395">
        <w:rPr>
          <w:sz w:val="22"/>
          <w:szCs w:val="22"/>
        </w:rPr>
        <w:fldChar w:fldCharType="begin"/>
      </w:r>
      <w:r w:rsidRPr="00EB2395">
        <w:rPr>
          <w:sz w:val="22"/>
          <w:szCs w:val="22"/>
        </w:rPr>
        <w:instrText xml:space="preserve"> PAGEREF _Toc52529219 \h </w:instrText>
      </w:r>
      <w:r w:rsidRPr="00EB2395">
        <w:rPr>
          <w:sz w:val="22"/>
          <w:szCs w:val="22"/>
        </w:rPr>
      </w:r>
      <w:r w:rsidRPr="00EB2395">
        <w:rPr>
          <w:sz w:val="22"/>
          <w:szCs w:val="22"/>
        </w:rPr>
        <w:fldChar w:fldCharType="separate"/>
      </w:r>
      <w:r w:rsidR="001D254B" w:rsidRPr="00EB2395">
        <w:rPr>
          <w:sz w:val="22"/>
          <w:szCs w:val="22"/>
        </w:rPr>
        <w:t>10</w:t>
      </w:r>
      <w:r w:rsidRPr="00EB2395">
        <w:rPr>
          <w:sz w:val="22"/>
          <w:szCs w:val="22"/>
        </w:rPr>
        <w:fldChar w:fldCharType="end"/>
      </w:r>
    </w:p>
    <w:p w14:paraId="49A328D4" w14:textId="77777777" w:rsidR="002660F8" w:rsidRPr="00EB2395" w:rsidRDefault="002660F8" w:rsidP="003E4AC1">
      <w:pPr>
        <w:pStyle w:val="Header"/>
        <w:tabs>
          <w:tab w:val="clear" w:pos="4320"/>
          <w:tab w:val="clear" w:pos="8640"/>
          <w:tab w:val="left" w:pos="9180"/>
          <w:tab w:val="right" w:leader="dot" w:pos="9360"/>
        </w:tabs>
        <w:rPr>
          <w:rFonts w:ascii="Garamond" w:hAnsi="Garamond"/>
          <w:sz w:val="28"/>
          <w:szCs w:val="28"/>
        </w:rPr>
      </w:pPr>
      <w:r w:rsidRPr="00EB2395">
        <w:rPr>
          <w:rFonts w:ascii="Garamond" w:hAnsi="Garamond"/>
          <w:sz w:val="28"/>
          <w:szCs w:val="28"/>
        </w:rPr>
        <w:fldChar w:fldCharType="end"/>
      </w:r>
    </w:p>
    <w:p w14:paraId="13621F11" w14:textId="77777777" w:rsidR="002660F8" w:rsidRPr="00516267" w:rsidRDefault="002660F8">
      <w:pPr>
        <w:pStyle w:val="Heading1"/>
        <w:rPr>
          <w:rFonts w:ascii="Garamond" w:hAnsi="Garamond"/>
          <w:sz w:val="24"/>
          <w:szCs w:val="24"/>
        </w:rPr>
      </w:pPr>
      <w:r w:rsidRPr="00516267">
        <w:rPr>
          <w:rFonts w:ascii="Garamond" w:hAnsi="Garamond"/>
          <w:sz w:val="24"/>
          <w:szCs w:val="24"/>
        </w:rPr>
        <w:br w:type="page"/>
      </w:r>
      <w:r w:rsidRPr="00516267">
        <w:rPr>
          <w:rFonts w:ascii="Garamond" w:hAnsi="Garamond"/>
          <w:sz w:val="24"/>
          <w:szCs w:val="24"/>
        </w:rPr>
        <w:lastRenderedPageBreak/>
        <w:t xml:space="preserve">  </w:t>
      </w:r>
      <w:bookmarkStart w:id="0" w:name="_Toc52529193"/>
      <w:r w:rsidRPr="00516267">
        <w:rPr>
          <w:rFonts w:ascii="Garamond" w:hAnsi="Garamond"/>
          <w:sz w:val="24"/>
          <w:szCs w:val="24"/>
        </w:rPr>
        <w:t>GENERAL INFORMATION</w:t>
      </w:r>
      <w:bookmarkEnd w:id="0"/>
    </w:p>
    <w:p w14:paraId="364E7EAE" w14:textId="77777777" w:rsidR="002660F8" w:rsidRPr="00516267" w:rsidRDefault="002660F8">
      <w:pPr>
        <w:rPr>
          <w:rFonts w:ascii="Garamond" w:hAnsi="Garamond"/>
          <w:sz w:val="24"/>
          <w:szCs w:val="24"/>
        </w:rPr>
      </w:pPr>
    </w:p>
    <w:p w14:paraId="7C5EB931" w14:textId="77777777" w:rsidR="002660F8" w:rsidRPr="00516267" w:rsidRDefault="002660F8" w:rsidP="006C2D50">
      <w:pPr>
        <w:pStyle w:val="Heading2"/>
        <w:spacing w:before="0" w:beforeAutospacing="0" w:after="0" w:afterAutospacing="0"/>
        <w:rPr>
          <w:rFonts w:ascii="Garamond" w:hAnsi="Garamond"/>
          <w:sz w:val="24"/>
          <w:szCs w:val="24"/>
        </w:rPr>
      </w:pPr>
      <w:bookmarkStart w:id="1" w:name="_Toc52529194"/>
      <w:r w:rsidRPr="00516267">
        <w:rPr>
          <w:rFonts w:ascii="Garamond" w:hAnsi="Garamond"/>
          <w:sz w:val="24"/>
          <w:szCs w:val="24"/>
        </w:rPr>
        <w:t>Purpose</w:t>
      </w:r>
      <w:r w:rsidR="0000054D" w:rsidRPr="00516267">
        <w:rPr>
          <w:rFonts w:ascii="Garamond" w:hAnsi="Garamond"/>
          <w:sz w:val="24"/>
          <w:szCs w:val="24"/>
        </w:rPr>
        <w:t>:</w:t>
      </w:r>
      <w:bookmarkEnd w:id="1"/>
    </w:p>
    <w:p w14:paraId="58F380CA" w14:textId="77777777" w:rsidR="002660F8" w:rsidRPr="00516267" w:rsidRDefault="002660F8">
      <w:pPr>
        <w:pStyle w:val="Header"/>
        <w:tabs>
          <w:tab w:val="clear" w:pos="4320"/>
          <w:tab w:val="clear" w:pos="8640"/>
        </w:tabs>
        <w:rPr>
          <w:rFonts w:ascii="Garamond" w:hAnsi="Garamond"/>
          <w:sz w:val="24"/>
          <w:szCs w:val="24"/>
        </w:rPr>
      </w:pPr>
    </w:p>
    <w:p w14:paraId="10A0A61E" w14:textId="604485F5" w:rsidR="002660F8" w:rsidRPr="00516267" w:rsidRDefault="002660F8">
      <w:pPr>
        <w:ind w:left="360"/>
        <w:rPr>
          <w:rFonts w:ascii="Garamond" w:hAnsi="Garamond"/>
          <w:sz w:val="24"/>
          <w:szCs w:val="24"/>
        </w:rPr>
      </w:pPr>
      <w:r w:rsidRPr="00516267">
        <w:rPr>
          <w:rFonts w:ascii="Garamond" w:hAnsi="Garamond"/>
          <w:sz w:val="24"/>
          <w:szCs w:val="24"/>
        </w:rPr>
        <w:t>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original application submitted by Montana Silversmiths, Inc. (Montana Silversmiths) on February 4, 2005</w:t>
      </w:r>
      <w:r w:rsidR="00244C3A" w:rsidRPr="00516267">
        <w:rPr>
          <w:rFonts w:ascii="Garamond" w:hAnsi="Garamond"/>
          <w:sz w:val="24"/>
          <w:szCs w:val="24"/>
        </w:rPr>
        <w:t xml:space="preserve">; </w:t>
      </w:r>
      <w:r w:rsidR="0083629C" w:rsidRPr="00516267">
        <w:rPr>
          <w:rFonts w:ascii="Garamond" w:hAnsi="Garamond"/>
          <w:sz w:val="24"/>
          <w:szCs w:val="24"/>
        </w:rPr>
        <w:t>administrative amendment requests received September 12, 2010, and February 3, 2011</w:t>
      </w:r>
      <w:r w:rsidR="00842046">
        <w:rPr>
          <w:rFonts w:ascii="Garamond" w:hAnsi="Garamond"/>
          <w:sz w:val="24"/>
          <w:szCs w:val="24"/>
        </w:rPr>
        <w:t xml:space="preserve">; </w:t>
      </w:r>
      <w:r w:rsidR="00244C3A" w:rsidRPr="00516267">
        <w:rPr>
          <w:rFonts w:ascii="Garamond" w:hAnsi="Garamond"/>
          <w:sz w:val="24"/>
          <w:szCs w:val="24"/>
        </w:rPr>
        <w:t xml:space="preserve">the Title V renewal application received September </w:t>
      </w:r>
      <w:r w:rsidR="001F2EE0" w:rsidRPr="00516267">
        <w:rPr>
          <w:rFonts w:ascii="Garamond" w:hAnsi="Garamond"/>
          <w:sz w:val="24"/>
          <w:szCs w:val="24"/>
        </w:rPr>
        <w:t>4</w:t>
      </w:r>
      <w:r w:rsidR="00244C3A" w:rsidRPr="00516267">
        <w:rPr>
          <w:rFonts w:ascii="Garamond" w:hAnsi="Garamond"/>
          <w:sz w:val="24"/>
          <w:szCs w:val="24"/>
        </w:rPr>
        <w:t>, 2012</w:t>
      </w:r>
      <w:r w:rsidR="00FD336E">
        <w:rPr>
          <w:rFonts w:ascii="Garamond" w:hAnsi="Garamond"/>
          <w:sz w:val="24"/>
          <w:szCs w:val="24"/>
        </w:rPr>
        <w:t>,</w:t>
      </w:r>
      <w:r w:rsidR="00842046">
        <w:rPr>
          <w:rFonts w:ascii="Garamond" w:hAnsi="Garamond"/>
          <w:sz w:val="24"/>
          <w:szCs w:val="24"/>
        </w:rPr>
        <w:t xml:space="preserve"> the administrative amendment request received August 15, 2014</w:t>
      </w:r>
      <w:r w:rsidR="0034603E">
        <w:rPr>
          <w:rFonts w:ascii="Garamond" w:hAnsi="Garamond"/>
          <w:sz w:val="24"/>
          <w:szCs w:val="24"/>
        </w:rPr>
        <w:t>, and</w:t>
      </w:r>
      <w:r w:rsidR="001C7971">
        <w:rPr>
          <w:rFonts w:ascii="Garamond" w:hAnsi="Garamond"/>
          <w:sz w:val="24"/>
          <w:szCs w:val="24"/>
        </w:rPr>
        <w:t xml:space="preserve"> July 15, 2015</w:t>
      </w:r>
      <w:r w:rsidR="00AE50E0">
        <w:rPr>
          <w:rFonts w:ascii="Garamond" w:hAnsi="Garamond"/>
          <w:sz w:val="24"/>
          <w:szCs w:val="24"/>
        </w:rPr>
        <w:t xml:space="preserve">; the Title V renewal application received October 28, 2019, </w:t>
      </w:r>
      <w:r w:rsidR="0034603E">
        <w:rPr>
          <w:rFonts w:ascii="Garamond" w:hAnsi="Garamond"/>
          <w:sz w:val="24"/>
          <w:szCs w:val="24"/>
        </w:rPr>
        <w:t>the supporting requested potential to emit documentation submitted March 4, 2020</w:t>
      </w:r>
      <w:r w:rsidR="00EE4EF5">
        <w:rPr>
          <w:rFonts w:ascii="Garamond" w:hAnsi="Garamond"/>
          <w:sz w:val="24"/>
          <w:szCs w:val="24"/>
        </w:rPr>
        <w:t>, and the Title V renewal application received June 4, 2025</w:t>
      </w:r>
      <w:r w:rsidR="001C7971">
        <w:rPr>
          <w:rFonts w:ascii="Garamond" w:hAnsi="Garamond"/>
          <w:sz w:val="24"/>
          <w:szCs w:val="24"/>
        </w:rPr>
        <w:t>.</w:t>
      </w:r>
    </w:p>
    <w:p w14:paraId="7E11937A" w14:textId="77777777" w:rsidR="002660F8" w:rsidRPr="00516267" w:rsidRDefault="002660F8" w:rsidP="00C67C26">
      <w:pPr>
        <w:rPr>
          <w:rFonts w:ascii="Garamond" w:hAnsi="Garamond"/>
          <w:sz w:val="24"/>
          <w:szCs w:val="24"/>
        </w:rPr>
      </w:pPr>
    </w:p>
    <w:p w14:paraId="0353B393" w14:textId="77777777" w:rsidR="002660F8" w:rsidRPr="00516267" w:rsidRDefault="002660F8" w:rsidP="006C2D50">
      <w:pPr>
        <w:pStyle w:val="Heading2"/>
        <w:spacing w:before="0" w:beforeAutospacing="0" w:after="0" w:afterAutospacing="0"/>
        <w:rPr>
          <w:rFonts w:ascii="Garamond" w:hAnsi="Garamond"/>
          <w:sz w:val="24"/>
          <w:szCs w:val="24"/>
        </w:rPr>
      </w:pPr>
      <w:bookmarkStart w:id="2" w:name="_Toc52529195"/>
      <w:r w:rsidRPr="00516267">
        <w:rPr>
          <w:rFonts w:ascii="Garamond" w:hAnsi="Garamond"/>
          <w:sz w:val="24"/>
          <w:szCs w:val="24"/>
        </w:rPr>
        <w:t>Facility Location</w:t>
      </w:r>
      <w:r w:rsidR="0000054D" w:rsidRPr="00516267">
        <w:rPr>
          <w:rFonts w:ascii="Garamond" w:hAnsi="Garamond"/>
          <w:sz w:val="24"/>
          <w:szCs w:val="24"/>
        </w:rPr>
        <w:t>:</w:t>
      </w:r>
      <w:bookmarkEnd w:id="2"/>
    </w:p>
    <w:p w14:paraId="3D1CB272" w14:textId="77777777" w:rsidR="002660F8" w:rsidRPr="00516267" w:rsidRDefault="002660F8" w:rsidP="00C67C26">
      <w:pPr>
        <w:pStyle w:val="BodyTextIndent"/>
        <w:ind w:left="0"/>
        <w:rPr>
          <w:rFonts w:ascii="Garamond" w:hAnsi="Garamond"/>
          <w:sz w:val="24"/>
          <w:szCs w:val="24"/>
        </w:rPr>
      </w:pPr>
    </w:p>
    <w:p w14:paraId="10F6810F" w14:textId="448B186A" w:rsidR="002660F8" w:rsidRDefault="002660F8" w:rsidP="00516267">
      <w:pPr>
        <w:pStyle w:val="BodyTextIndent"/>
        <w:rPr>
          <w:rFonts w:ascii="Garamond" w:hAnsi="Garamond"/>
          <w:sz w:val="24"/>
          <w:szCs w:val="24"/>
        </w:rPr>
      </w:pPr>
      <w:r w:rsidRPr="00516267">
        <w:rPr>
          <w:rFonts w:ascii="Garamond" w:hAnsi="Garamond"/>
          <w:sz w:val="24"/>
          <w:szCs w:val="24"/>
        </w:rPr>
        <w:t xml:space="preserve">The Montana Silversmiths facility is located </w:t>
      </w:r>
      <w:r w:rsidR="00507673">
        <w:rPr>
          <w:rFonts w:ascii="Garamond" w:hAnsi="Garamond"/>
          <w:sz w:val="24"/>
          <w:szCs w:val="24"/>
        </w:rPr>
        <w:t>with</w:t>
      </w:r>
      <w:r w:rsidRPr="00516267">
        <w:rPr>
          <w:rFonts w:ascii="Garamond" w:hAnsi="Garamond"/>
          <w:sz w:val="24"/>
          <w:szCs w:val="24"/>
        </w:rPr>
        <w:t>in Section 28, Township 2 South, Range 20 East, Stillwater County.  The physical address is 1 Sterling Lane, Columbus, Montana.</w:t>
      </w:r>
    </w:p>
    <w:p w14:paraId="5BC1C50F" w14:textId="77777777" w:rsidR="0032518C" w:rsidRPr="00516267" w:rsidRDefault="0032518C" w:rsidP="00C67C26">
      <w:pPr>
        <w:pStyle w:val="BodyTextIndent"/>
        <w:ind w:left="0"/>
        <w:rPr>
          <w:rFonts w:ascii="Garamond" w:hAnsi="Garamond"/>
          <w:sz w:val="24"/>
          <w:szCs w:val="24"/>
        </w:rPr>
      </w:pPr>
    </w:p>
    <w:p w14:paraId="33B1BB86" w14:textId="77777777" w:rsidR="002660F8" w:rsidRDefault="002660F8" w:rsidP="00516267">
      <w:pPr>
        <w:pStyle w:val="Heading2"/>
        <w:spacing w:before="0" w:beforeAutospacing="0" w:after="0" w:afterAutospacing="0"/>
        <w:ind w:left="720" w:hanging="720"/>
        <w:rPr>
          <w:rFonts w:ascii="Garamond" w:hAnsi="Garamond"/>
          <w:sz w:val="24"/>
          <w:szCs w:val="24"/>
        </w:rPr>
      </w:pPr>
      <w:bookmarkStart w:id="3" w:name="_Toc52529196"/>
      <w:r w:rsidRPr="00516267">
        <w:rPr>
          <w:rFonts w:ascii="Garamond" w:hAnsi="Garamond"/>
          <w:sz w:val="24"/>
          <w:szCs w:val="24"/>
        </w:rPr>
        <w:t>Facility Background Information</w:t>
      </w:r>
      <w:r w:rsidR="0000054D" w:rsidRPr="00516267">
        <w:rPr>
          <w:rFonts w:ascii="Garamond" w:hAnsi="Garamond"/>
          <w:sz w:val="24"/>
          <w:szCs w:val="24"/>
        </w:rPr>
        <w:t>:</w:t>
      </w:r>
      <w:bookmarkEnd w:id="3"/>
    </w:p>
    <w:p w14:paraId="4473CCCF" w14:textId="77777777" w:rsidR="0032518C" w:rsidRPr="00C67C26" w:rsidRDefault="0032518C" w:rsidP="0032518C">
      <w:pPr>
        <w:rPr>
          <w:rFonts w:ascii="Garamond" w:hAnsi="Garamond"/>
          <w:sz w:val="24"/>
          <w:szCs w:val="24"/>
        </w:rPr>
      </w:pPr>
    </w:p>
    <w:p w14:paraId="298505D4" w14:textId="61679D03" w:rsidR="00C66BDE" w:rsidRPr="00516267" w:rsidRDefault="006E3C41" w:rsidP="00C66BDE">
      <w:pPr>
        <w:ind w:left="360"/>
        <w:rPr>
          <w:rFonts w:ascii="Garamond" w:hAnsi="Garamond"/>
          <w:sz w:val="24"/>
          <w:szCs w:val="24"/>
        </w:rPr>
      </w:pPr>
      <w:r w:rsidRPr="00516267">
        <w:rPr>
          <w:rFonts w:ascii="Garamond" w:hAnsi="Garamond"/>
          <w:sz w:val="24"/>
          <w:szCs w:val="24"/>
        </w:rPr>
        <w:t xml:space="preserve">On February 4, 2005, </w:t>
      </w:r>
      <w:r w:rsidR="000059FF" w:rsidRPr="00516267">
        <w:rPr>
          <w:rFonts w:ascii="Garamond" w:hAnsi="Garamond"/>
          <w:sz w:val="24"/>
          <w:szCs w:val="24"/>
        </w:rPr>
        <w:t>Montana</w:t>
      </w:r>
      <w:r w:rsidRPr="00516267">
        <w:rPr>
          <w:rFonts w:ascii="Garamond" w:hAnsi="Garamond"/>
          <w:sz w:val="24"/>
          <w:szCs w:val="24"/>
        </w:rPr>
        <w:t xml:space="preserve"> Silversmiths submitted the original Title V Permit Application.  </w:t>
      </w:r>
      <w:r w:rsidRPr="00516267">
        <w:rPr>
          <w:rFonts w:ascii="Garamond" w:hAnsi="Garamond"/>
          <w:b/>
          <w:sz w:val="24"/>
          <w:szCs w:val="24"/>
        </w:rPr>
        <w:t>Operating Permit #OP3395-00</w:t>
      </w:r>
      <w:r w:rsidRPr="00516267">
        <w:rPr>
          <w:rFonts w:ascii="Garamond" w:hAnsi="Garamond"/>
          <w:sz w:val="24"/>
          <w:szCs w:val="24"/>
        </w:rPr>
        <w:t xml:space="preserve"> was issued effective April 15, 2008.  Montana</w:t>
      </w:r>
      <w:r w:rsidR="002660F8" w:rsidRPr="00516267">
        <w:rPr>
          <w:rFonts w:ascii="Garamond" w:hAnsi="Garamond"/>
          <w:sz w:val="24"/>
          <w:szCs w:val="24"/>
        </w:rPr>
        <w:t xml:space="preserve"> Silversmiths was not required to obtain a Montana Air Quality Permit because the facility does not emit 25 tons per year of any regulated pollutant.  </w:t>
      </w:r>
      <w:r w:rsidR="00854D51" w:rsidRPr="00516267">
        <w:rPr>
          <w:rFonts w:ascii="Garamond" w:hAnsi="Garamond"/>
          <w:sz w:val="24"/>
          <w:szCs w:val="24"/>
        </w:rPr>
        <w:t>However, Montana Silversmiths is subject to the Title V Operating Permit program because it is a major source of Hazardous Air Pollutants (HAPs)</w:t>
      </w:r>
      <w:r w:rsidR="002660F8" w:rsidRPr="00516267">
        <w:rPr>
          <w:rFonts w:ascii="Garamond" w:hAnsi="Garamond"/>
          <w:sz w:val="24"/>
          <w:szCs w:val="24"/>
        </w:rPr>
        <w:t>.</w:t>
      </w:r>
      <w:r w:rsidRPr="00516267">
        <w:rPr>
          <w:rFonts w:ascii="Garamond" w:hAnsi="Garamond"/>
          <w:sz w:val="24"/>
          <w:szCs w:val="24"/>
        </w:rPr>
        <w:t xml:space="preserve">  </w:t>
      </w:r>
    </w:p>
    <w:p w14:paraId="6F3D6DAE" w14:textId="77777777" w:rsidR="002660F8" w:rsidRPr="00516267" w:rsidRDefault="002660F8" w:rsidP="006E3C41">
      <w:pPr>
        <w:rPr>
          <w:rFonts w:ascii="Garamond" w:hAnsi="Garamond"/>
          <w:sz w:val="24"/>
          <w:szCs w:val="24"/>
        </w:rPr>
      </w:pPr>
    </w:p>
    <w:p w14:paraId="22A599FC" w14:textId="1F17A1C3" w:rsidR="000B2C3A" w:rsidRDefault="000B2C3A" w:rsidP="00E7495C">
      <w:pPr>
        <w:ind w:left="360"/>
        <w:rPr>
          <w:rFonts w:ascii="Garamond" w:hAnsi="Garamond"/>
          <w:sz w:val="24"/>
          <w:szCs w:val="24"/>
        </w:rPr>
      </w:pPr>
      <w:r w:rsidRPr="00516267">
        <w:rPr>
          <w:rFonts w:ascii="Garamond" w:hAnsi="Garamond"/>
          <w:sz w:val="24"/>
          <w:szCs w:val="24"/>
        </w:rPr>
        <w:t xml:space="preserve">On September 12, 2010, and February 3, 2011, </w:t>
      </w:r>
      <w:r w:rsidR="00EE4EF5">
        <w:rPr>
          <w:rFonts w:ascii="Garamond" w:hAnsi="Garamond"/>
          <w:sz w:val="24"/>
          <w:szCs w:val="24"/>
        </w:rPr>
        <w:t>DEQ</w:t>
      </w:r>
      <w:r w:rsidRPr="00516267">
        <w:rPr>
          <w:rFonts w:ascii="Garamond" w:hAnsi="Garamond"/>
          <w:sz w:val="24"/>
          <w:szCs w:val="24"/>
        </w:rPr>
        <w:t xml:space="preserve"> received two administrative amendment requests for Montana Silversmiths.  Due to both administrative amendment requests being </w:t>
      </w:r>
      <w:proofErr w:type="gramStart"/>
      <w:r w:rsidRPr="00516267">
        <w:rPr>
          <w:rFonts w:ascii="Garamond" w:hAnsi="Garamond"/>
          <w:sz w:val="24"/>
          <w:szCs w:val="24"/>
        </w:rPr>
        <w:t>changes</w:t>
      </w:r>
      <w:proofErr w:type="gramEnd"/>
      <w:r w:rsidRPr="00516267">
        <w:rPr>
          <w:rFonts w:ascii="Garamond" w:hAnsi="Garamond"/>
          <w:sz w:val="24"/>
          <w:szCs w:val="24"/>
        </w:rPr>
        <w:t xml:space="preserve"> to the Responsible Official, only the request received February 3, 2011</w:t>
      </w:r>
      <w:r w:rsidR="00DB5A58">
        <w:rPr>
          <w:rFonts w:ascii="Garamond" w:hAnsi="Garamond"/>
          <w:sz w:val="24"/>
          <w:szCs w:val="24"/>
        </w:rPr>
        <w:t>,</w:t>
      </w:r>
      <w:r w:rsidRPr="00516267">
        <w:rPr>
          <w:rFonts w:ascii="Garamond" w:hAnsi="Garamond"/>
          <w:sz w:val="24"/>
          <w:szCs w:val="24"/>
        </w:rPr>
        <w:t xml:space="preserve"> incremented the permit.  </w:t>
      </w:r>
      <w:r w:rsidRPr="00516267">
        <w:rPr>
          <w:rFonts w:ascii="Garamond" w:hAnsi="Garamond"/>
          <w:b/>
          <w:sz w:val="24"/>
          <w:szCs w:val="24"/>
        </w:rPr>
        <w:t xml:space="preserve">Operating Permit #OP3395-01 </w:t>
      </w:r>
      <w:r w:rsidRPr="00516267">
        <w:rPr>
          <w:rFonts w:ascii="Garamond" w:hAnsi="Garamond"/>
          <w:sz w:val="24"/>
          <w:szCs w:val="24"/>
        </w:rPr>
        <w:t>replaced Operating Permit #OP3395-00.</w:t>
      </w:r>
    </w:p>
    <w:p w14:paraId="46111012" w14:textId="77777777" w:rsidR="00516267" w:rsidRDefault="00516267" w:rsidP="00516267">
      <w:pPr>
        <w:rPr>
          <w:rFonts w:ascii="Garamond" w:hAnsi="Garamond"/>
          <w:sz w:val="24"/>
          <w:szCs w:val="24"/>
        </w:rPr>
      </w:pPr>
    </w:p>
    <w:p w14:paraId="17A24CDF" w14:textId="30A2ED9C" w:rsidR="000B2C3A" w:rsidRDefault="00516267" w:rsidP="00516267">
      <w:pPr>
        <w:ind w:left="360"/>
        <w:rPr>
          <w:rFonts w:ascii="Garamond" w:hAnsi="Garamond"/>
          <w:sz w:val="24"/>
          <w:szCs w:val="24"/>
        </w:rPr>
      </w:pPr>
      <w:r w:rsidRPr="00516267">
        <w:rPr>
          <w:rFonts w:ascii="Garamond" w:hAnsi="Garamond"/>
          <w:sz w:val="24"/>
          <w:szCs w:val="24"/>
        </w:rPr>
        <w:t xml:space="preserve">On September 10, 2012, </w:t>
      </w:r>
      <w:r w:rsidR="00EE4EF5">
        <w:rPr>
          <w:rFonts w:ascii="Garamond" w:hAnsi="Garamond"/>
          <w:sz w:val="24"/>
          <w:szCs w:val="24"/>
        </w:rPr>
        <w:t>DEQ</w:t>
      </w:r>
      <w:r w:rsidRPr="00516267">
        <w:rPr>
          <w:rFonts w:ascii="Garamond" w:hAnsi="Garamond"/>
          <w:sz w:val="24"/>
          <w:szCs w:val="24"/>
        </w:rPr>
        <w:t xml:space="preserve"> received a Title V renewal application from Montana Silversmiths.  No changes in emitting units or production processes have occurred since the previous permit issuance.  </w:t>
      </w:r>
      <w:r w:rsidRPr="00516267">
        <w:rPr>
          <w:rFonts w:ascii="Garamond" w:hAnsi="Garamond"/>
          <w:b/>
          <w:sz w:val="24"/>
          <w:szCs w:val="24"/>
        </w:rPr>
        <w:t>Operating Permit #OP3395-02</w:t>
      </w:r>
      <w:r>
        <w:rPr>
          <w:rFonts w:ascii="Garamond" w:hAnsi="Garamond"/>
          <w:sz w:val="24"/>
          <w:szCs w:val="24"/>
        </w:rPr>
        <w:t xml:space="preserve"> replaced</w:t>
      </w:r>
      <w:r w:rsidRPr="00516267">
        <w:rPr>
          <w:rFonts w:ascii="Garamond" w:hAnsi="Garamond"/>
          <w:sz w:val="24"/>
          <w:szCs w:val="24"/>
        </w:rPr>
        <w:t xml:space="preserve"> Operating Permit #OP3395-01.  </w:t>
      </w:r>
    </w:p>
    <w:p w14:paraId="486BC1AE" w14:textId="77777777" w:rsidR="003E6C64" w:rsidRDefault="003E6C64" w:rsidP="00516267">
      <w:pPr>
        <w:ind w:left="360"/>
        <w:rPr>
          <w:rFonts w:ascii="Garamond" w:hAnsi="Garamond"/>
          <w:sz w:val="24"/>
          <w:szCs w:val="24"/>
        </w:rPr>
      </w:pPr>
    </w:p>
    <w:p w14:paraId="68F212AA" w14:textId="23FE57F0" w:rsidR="003C10F7" w:rsidRDefault="003E6C64" w:rsidP="003E6C64">
      <w:pPr>
        <w:ind w:left="360"/>
        <w:rPr>
          <w:rFonts w:ascii="Garamond" w:hAnsi="Garamond"/>
          <w:sz w:val="24"/>
          <w:szCs w:val="24"/>
        </w:rPr>
      </w:pPr>
      <w:r>
        <w:rPr>
          <w:rFonts w:ascii="Garamond" w:hAnsi="Garamond"/>
          <w:sz w:val="24"/>
          <w:szCs w:val="24"/>
        </w:rPr>
        <w:t xml:space="preserve">On August 14, 2014, </w:t>
      </w:r>
      <w:r w:rsidR="00EE4EF5">
        <w:rPr>
          <w:rFonts w:ascii="Garamond" w:hAnsi="Garamond"/>
          <w:sz w:val="24"/>
          <w:szCs w:val="24"/>
        </w:rPr>
        <w:t>DEQ</w:t>
      </w:r>
      <w:r>
        <w:rPr>
          <w:rFonts w:ascii="Garamond" w:hAnsi="Garamond"/>
          <w:sz w:val="24"/>
          <w:szCs w:val="24"/>
        </w:rPr>
        <w:t xml:space="preserve"> received a letter from Montana Silversmiths requesting a Responsible Official change in which Mr. Dave Stimmel replaced Mr. Kevin Johnson. </w:t>
      </w:r>
      <w:r w:rsidRPr="00516267">
        <w:rPr>
          <w:rFonts w:ascii="Garamond" w:hAnsi="Garamond"/>
          <w:b/>
          <w:sz w:val="24"/>
          <w:szCs w:val="24"/>
        </w:rPr>
        <w:t>Operating Permit #OP3395-03</w:t>
      </w:r>
      <w:r>
        <w:rPr>
          <w:rFonts w:ascii="Garamond" w:hAnsi="Garamond"/>
          <w:sz w:val="24"/>
          <w:szCs w:val="24"/>
        </w:rPr>
        <w:t xml:space="preserve"> replaced Operating Permit #OP3395-02.</w:t>
      </w:r>
    </w:p>
    <w:p w14:paraId="07A8097B" w14:textId="34A95411" w:rsidR="00A40CE0" w:rsidRDefault="00A40CE0" w:rsidP="003E6C64">
      <w:pPr>
        <w:ind w:left="360"/>
        <w:rPr>
          <w:rFonts w:ascii="Garamond" w:hAnsi="Garamond"/>
          <w:sz w:val="24"/>
          <w:szCs w:val="24"/>
        </w:rPr>
      </w:pPr>
    </w:p>
    <w:p w14:paraId="6C109F15" w14:textId="274DD8CF" w:rsidR="00A40CE0" w:rsidRDefault="00A40CE0" w:rsidP="00A40CE0">
      <w:pPr>
        <w:keepNext/>
        <w:ind w:left="360"/>
        <w:rPr>
          <w:rFonts w:ascii="Garamond" w:hAnsi="Garamond"/>
          <w:sz w:val="24"/>
          <w:szCs w:val="24"/>
        </w:rPr>
      </w:pPr>
      <w:r>
        <w:rPr>
          <w:rFonts w:ascii="Garamond" w:hAnsi="Garamond"/>
          <w:sz w:val="24"/>
          <w:szCs w:val="24"/>
        </w:rPr>
        <w:t xml:space="preserve">On July 15, 2015, </w:t>
      </w:r>
      <w:r w:rsidR="00EE4EF5">
        <w:rPr>
          <w:rFonts w:ascii="Garamond" w:hAnsi="Garamond"/>
          <w:sz w:val="24"/>
          <w:szCs w:val="24"/>
        </w:rPr>
        <w:t>DEQ</w:t>
      </w:r>
      <w:r>
        <w:rPr>
          <w:rFonts w:ascii="Garamond" w:hAnsi="Garamond"/>
          <w:sz w:val="24"/>
          <w:szCs w:val="24"/>
        </w:rPr>
        <w:t xml:space="preserve"> received a letter from Montana Silversmiths requesting a Responsible Official change in which Mr. Matt Weinmann replaces Mr. Dave Stimell. </w:t>
      </w:r>
      <w:r w:rsidRPr="007111AB">
        <w:rPr>
          <w:rFonts w:ascii="Garamond" w:hAnsi="Garamond"/>
          <w:b/>
          <w:sz w:val="24"/>
          <w:szCs w:val="24"/>
        </w:rPr>
        <w:t xml:space="preserve">Operating Permit #OP3395-04 </w:t>
      </w:r>
      <w:r>
        <w:rPr>
          <w:rFonts w:ascii="Garamond" w:hAnsi="Garamond"/>
          <w:sz w:val="24"/>
          <w:szCs w:val="24"/>
        </w:rPr>
        <w:t>replaces Operating Permit #OP3395-03.</w:t>
      </w:r>
    </w:p>
    <w:p w14:paraId="4E99EA98" w14:textId="77777777" w:rsidR="007A0C18" w:rsidRDefault="007A0C18" w:rsidP="00A40CE0">
      <w:pPr>
        <w:keepNext/>
        <w:ind w:left="360"/>
        <w:rPr>
          <w:rFonts w:ascii="Garamond" w:hAnsi="Garamond"/>
          <w:sz w:val="24"/>
          <w:szCs w:val="24"/>
        </w:rPr>
      </w:pPr>
    </w:p>
    <w:p w14:paraId="32F98029" w14:textId="3F9EFCFD" w:rsidR="007A0C18" w:rsidRDefault="007A0C18" w:rsidP="00A40CE0">
      <w:pPr>
        <w:keepNext/>
        <w:ind w:left="360"/>
        <w:rPr>
          <w:rFonts w:ascii="Garamond" w:hAnsi="Garamond"/>
          <w:sz w:val="24"/>
          <w:szCs w:val="24"/>
        </w:rPr>
      </w:pPr>
      <w:r w:rsidRPr="00AE50E0">
        <w:rPr>
          <w:rFonts w:ascii="Garamond" w:hAnsi="Garamond"/>
          <w:sz w:val="24"/>
          <w:szCs w:val="24"/>
        </w:rPr>
        <w:t>On October 29, 2019</w:t>
      </w:r>
      <w:r>
        <w:rPr>
          <w:rFonts w:ascii="Garamond" w:hAnsi="Garamond"/>
          <w:sz w:val="24"/>
          <w:szCs w:val="24"/>
        </w:rPr>
        <w:t xml:space="preserve">, </w:t>
      </w:r>
      <w:r w:rsidR="00EE4EF5">
        <w:rPr>
          <w:rFonts w:ascii="Garamond" w:hAnsi="Garamond"/>
          <w:sz w:val="24"/>
          <w:szCs w:val="24"/>
        </w:rPr>
        <w:t>DEQ</w:t>
      </w:r>
      <w:r>
        <w:rPr>
          <w:rFonts w:ascii="Garamond" w:hAnsi="Garamond"/>
          <w:sz w:val="24"/>
          <w:szCs w:val="24"/>
        </w:rPr>
        <w:t xml:space="preserve"> received an air quality permit application for renewal of Operating Permit #OP3395-04.  On January 22, 2020, </w:t>
      </w:r>
      <w:r w:rsidR="00EE4EF5">
        <w:rPr>
          <w:rFonts w:ascii="Garamond" w:hAnsi="Garamond"/>
          <w:sz w:val="24"/>
          <w:szCs w:val="24"/>
        </w:rPr>
        <w:t>DEQ</w:t>
      </w:r>
      <w:r>
        <w:rPr>
          <w:rFonts w:ascii="Garamond" w:hAnsi="Garamond"/>
          <w:sz w:val="24"/>
          <w:szCs w:val="24"/>
        </w:rPr>
        <w:t xml:space="preserve"> requested additional information including a </w:t>
      </w:r>
      <w:r>
        <w:rPr>
          <w:rFonts w:ascii="Garamond" w:hAnsi="Garamond"/>
          <w:sz w:val="24"/>
          <w:szCs w:val="24"/>
        </w:rPr>
        <w:lastRenderedPageBreak/>
        <w:t xml:space="preserve">demonstration of the facility’s potential to emit methylene chloride.  On March 4, 2020, Montana Silversmiths provided the requested information demonstrating the facility’s potential to emit methylene chloride is 18.58 tons per year.  </w:t>
      </w:r>
      <w:r>
        <w:rPr>
          <w:rFonts w:ascii="Garamond" w:hAnsi="Garamond"/>
          <w:b/>
          <w:sz w:val="24"/>
          <w:szCs w:val="24"/>
        </w:rPr>
        <w:t>Operating Permit #OP3395-05</w:t>
      </w:r>
      <w:r>
        <w:rPr>
          <w:rFonts w:ascii="Garamond" w:hAnsi="Garamond"/>
          <w:sz w:val="24"/>
          <w:szCs w:val="24"/>
        </w:rPr>
        <w:t xml:space="preserve"> replaced Operating Permit #OP3395-04</w:t>
      </w:r>
      <w:r w:rsidRPr="00AE50E0">
        <w:rPr>
          <w:rFonts w:ascii="Garamond" w:hAnsi="Garamond"/>
          <w:sz w:val="24"/>
          <w:szCs w:val="24"/>
        </w:rPr>
        <w:t>.</w:t>
      </w:r>
    </w:p>
    <w:p w14:paraId="5F0AD2C9" w14:textId="77777777" w:rsidR="00A40CE0" w:rsidRDefault="00A40CE0" w:rsidP="003E6C64">
      <w:pPr>
        <w:ind w:left="360"/>
        <w:rPr>
          <w:rFonts w:ascii="Garamond" w:hAnsi="Garamond"/>
          <w:sz w:val="24"/>
          <w:szCs w:val="24"/>
        </w:rPr>
      </w:pPr>
    </w:p>
    <w:p w14:paraId="29C2F786" w14:textId="7F5139E3" w:rsidR="00C66BDE" w:rsidRDefault="00C66BDE" w:rsidP="003C10F7">
      <w:pPr>
        <w:pStyle w:val="Heading2"/>
        <w:tabs>
          <w:tab w:val="clear" w:pos="720"/>
        </w:tabs>
        <w:spacing w:before="0" w:beforeAutospacing="0" w:after="0" w:afterAutospacing="0"/>
        <w:ind w:left="720" w:hanging="720"/>
        <w:rPr>
          <w:rFonts w:ascii="Garamond" w:hAnsi="Garamond"/>
          <w:sz w:val="24"/>
          <w:szCs w:val="24"/>
        </w:rPr>
      </w:pPr>
      <w:bookmarkStart w:id="4" w:name="_Toc52529197"/>
      <w:r w:rsidRPr="00516267">
        <w:rPr>
          <w:rFonts w:ascii="Garamond" w:hAnsi="Garamond"/>
          <w:sz w:val="24"/>
          <w:szCs w:val="24"/>
        </w:rPr>
        <w:t>Current Permit Action</w:t>
      </w:r>
      <w:bookmarkEnd w:id="4"/>
    </w:p>
    <w:p w14:paraId="6A26BD09" w14:textId="2438F885" w:rsidR="00AE50E0" w:rsidRDefault="00AE50E0" w:rsidP="00AE50E0"/>
    <w:p w14:paraId="379E9B82" w14:textId="7F74C16F" w:rsidR="0032518C" w:rsidRPr="004917CC" w:rsidRDefault="00AE50E0" w:rsidP="004917CC">
      <w:pPr>
        <w:ind w:left="360"/>
        <w:rPr>
          <w:rFonts w:ascii="Garamond" w:hAnsi="Garamond"/>
          <w:sz w:val="24"/>
          <w:szCs w:val="24"/>
        </w:rPr>
      </w:pPr>
      <w:bookmarkStart w:id="5" w:name="_Hlk211408010"/>
      <w:r w:rsidRPr="00AE50E0">
        <w:rPr>
          <w:rFonts w:ascii="Garamond" w:hAnsi="Garamond"/>
          <w:sz w:val="24"/>
          <w:szCs w:val="24"/>
        </w:rPr>
        <w:t xml:space="preserve">On </w:t>
      </w:r>
      <w:r w:rsidR="007A0C18">
        <w:rPr>
          <w:rFonts w:ascii="Garamond" w:hAnsi="Garamond"/>
          <w:sz w:val="24"/>
          <w:szCs w:val="24"/>
        </w:rPr>
        <w:t>June 4, 2025</w:t>
      </w:r>
      <w:r>
        <w:rPr>
          <w:rFonts w:ascii="Garamond" w:hAnsi="Garamond"/>
          <w:sz w:val="24"/>
          <w:szCs w:val="24"/>
        </w:rPr>
        <w:t xml:space="preserve">, </w:t>
      </w:r>
      <w:r w:rsidR="00EE4EF5">
        <w:rPr>
          <w:rFonts w:ascii="Garamond" w:hAnsi="Garamond"/>
          <w:sz w:val="24"/>
          <w:szCs w:val="24"/>
        </w:rPr>
        <w:t>DEQ</w:t>
      </w:r>
      <w:r>
        <w:rPr>
          <w:rFonts w:ascii="Garamond" w:hAnsi="Garamond"/>
          <w:sz w:val="24"/>
          <w:szCs w:val="24"/>
        </w:rPr>
        <w:t xml:space="preserve"> received an air quality permit application for renewal of Operating Permit #OP3395-0</w:t>
      </w:r>
      <w:r w:rsidR="007A0C18">
        <w:rPr>
          <w:rFonts w:ascii="Garamond" w:hAnsi="Garamond"/>
          <w:sz w:val="24"/>
          <w:szCs w:val="24"/>
        </w:rPr>
        <w:t>5</w:t>
      </w:r>
      <w:r>
        <w:rPr>
          <w:rFonts w:ascii="Garamond" w:hAnsi="Garamond"/>
          <w:sz w:val="24"/>
          <w:szCs w:val="24"/>
        </w:rPr>
        <w:t xml:space="preserve">. </w:t>
      </w:r>
      <w:r w:rsidR="007A0C18" w:rsidRPr="00516267">
        <w:rPr>
          <w:rFonts w:ascii="Garamond" w:hAnsi="Garamond"/>
          <w:sz w:val="24"/>
          <w:szCs w:val="24"/>
        </w:rPr>
        <w:t>No changes in emitting units or production processes have occurred since the previous permit issuance.</w:t>
      </w:r>
      <w:r>
        <w:rPr>
          <w:rFonts w:ascii="Garamond" w:hAnsi="Garamond"/>
          <w:sz w:val="24"/>
          <w:szCs w:val="24"/>
        </w:rPr>
        <w:t xml:space="preserve"> </w:t>
      </w:r>
      <w:r>
        <w:rPr>
          <w:rFonts w:ascii="Garamond" w:hAnsi="Garamond"/>
          <w:b/>
          <w:sz w:val="24"/>
          <w:szCs w:val="24"/>
        </w:rPr>
        <w:t>Operating Permit #OP3395-0</w:t>
      </w:r>
      <w:r w:rsidR="007A0C18">
        <w:rPr>
          <w:rFonts w:ascii="Garamond" w:hAnsi="Garamond"/>
          <w:b/>
          <w:sz w:val="24"/>
          <w:szCs w:val="24"/>
        </w:rPr>
        <w:t>6</w:t>
      </w:r>
      <w:r>
        <w:rPr>
          <w:rFonts w:ascii="Garamond" w:hAnsi="Garamond"/>
          <w:sz w:val="24"/>
          <w:szCs w:val="24"/>
        </w:rPr>
        <w:t xml:space="preserve"> replaces Operating Permit #OP3395-0</w:t>
      </w:r>
      <w:r w:rsidR="007A0C18">
        <w:rPr>
          <w:rFonts w:ascii="Garamond" w:hAnsi="Garamond"/>
          <w:sz w:val="24"/>
          <w:szCs w:val="24"/>
        </w:rPr>
        <w:t>5</w:t>
      </w:r>
      <w:r w:rsidRPr="00AE50E0">
        <w:rPr>
          <w:rFonts w:ascii="Garamond" w:hAnsi="Garamond"/>
          <w:sz w:val="24"/>
          <w:szCs w:val="24"/>
        </w:rPr>
        <w:t>.</w:t>
      </w:r>
      <w:bookmarkEnd w:id="5"/>
    </w:p>
    <w:p w14:paraId="2A5A7DBF" w14:textId="77777777" w:rsidR="0032518C" w:rsidRDefault="0032518C" w:rsidP="007111AB">
      <w:pPr>
        <w:keepNext/>
        <w:rPr>
          <w:rFonts w:ascii="Garamond" w:hAnsi="Garamond"/>
        </w:rPr>
      </w:pPr>
    </w:p>
    <w:p w14:paraId="6C96DD47" w14:textId="77777777" w:rsidR="002660F8" w:rsidRDefault="002660F8">
      <w:pPr>
        <w:pStyle w:val="Heading2"/>
        <w:spacing w:before="0" w:beforeAutospacing="0" w:after="0" w:afterAutospacing="0"/>
        <w:ind w:left="720" w:hanging="720"/>
        <w:rPr>
          <w:rFonts w:ascii="Garamond" w:hAnsi="Garamond"/>
          <w:sz w:val="24"/>
          <w:szCs w:val="24"/>
        </w:rPr>
      </w:pPr>
      <w:bookmarkStart w:id="6" w:name="_Toc52529198"/>
      <w:r w:rsidRPr="00516267">
        <w:rPr>
          <w:rFonts w:ascii="Garamond" w:hAnsi="Garamond"/>
          <w:sz w:val="24"/>
          <w:szCs w:val="24"/>
        </w:rPr>
        <w:t>Taking and Damaging Analysis</w:t>
      </w:r>
      <w:r w:rsidR="0000054D" w:rsidRPr="00516267">
        <w:rPr>
          <w:rFonts w:ascii="Garamond" w:hAnsi="Garamond"/>
          <w:sz w:val="24"/>
          <w:szCs w:val="24"/>
        </w:rPr>
        <w:t>:</w:t>
      </w:r>
      <w:bookmarkEnd w:id="6"/>
      <w:r w:rsidRPr="00516267">
        <w:rPr>
          <w:rFonts w:ascii="Garamond" w:hAnsi="Garamond"/>
          <w:sz w:val="24"/>
          <w:szCs w:val="24"/>
        </w:rPr>
        <w:t xml:space="preserve"> </w:t>
      </w:r>
    </w:p>
    <w:p w14:paraId="72B3E546" w14:textId="77777777" w:rsidR="0032518C" w:rsidRPr="00C67C26" w:rsidRDefault="0032518C" w:rsidP="0032518C">
      <w:pPr>
        <w:rPr>
          <w:rFonts w:ascii="Garamond" w:hAnsi="Garamond"/>
        </w:rPr>
      </w:pPr>
    </w:p>
    <w:p w14:paraId="417CC7CD" w14:textId="096BF060" w:rsidR="00F4188C" w:rsidRPr="00D72EE1" w:rsidRDefault="00F4188C" w:rsidP="00F4188C">
      <w:pPr>
        <w:ind w:left="360"/>
        <w:rPr>
          <w:rFonts w:ascii="Garamond" w:hAnsi="Garamond"/>
          <w:sz w:val="24"/>
          <w:szCs w:val="24"/>
        </w:rPr>
      </w:pPr>
      <w:r w:rsidRPr="00D72EE1">
        <w:rPr>
          <w:rFonts w:ascii="Garamond" w:hAnsi="Garamond"/>
          <w:sz w:val="24"/>
          <w:szCs w:val="24"/>
        </w:rPr>
        <w:t>As required by 2-10-105, MCA, DEQ conducted the following private property taking and damaging assessment.</w:t>
      </w:r>
      <w:r>
        <w:rPr>
          <w:rFonts w:ascii="Garamond" w:hAnsi="Garamond"/>
          <w:sz w:val="24"/>
          <w:szCs w:val="24"/>
        </w:rPr>
        <w:t xml:space="preserve"> </w:t>
      </w:r>
    </w:p>
    <w:p w14:paraId="7A6FB1A0" w14:textId="7079E544" w:rsidR="002660F8" w:rsidRPr="00516267" w:rsidRDefault="002660F8">
      <w:pPr>
        <w:ind w:left="360"/>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167BDE" w:rsidRPr="00DA6F73" w14:paraId="73BE6CC0" w14:textId="77777777" w:rsidTr="00806E73">
        <w:trPr>
          <w:tblHeader/>
          <w:jc w:val="center"/>
        </w:trPr>
        <w:tc>
          <w:tcPr>
            <w:tcW w:w="358" w:type="pct"/>
            <w:tcBorders>
              <w:bottom w:val="nil"/>
            </w:tcBorders>
            <w:shd w:val="clear" w:color="auto" w:fill="FFFFFF"/>
          </w:tcPr>
          <w:p w14:paraId="25361111" w14:textId="77777777" w:rsidR="00167BDE" w:rsidRPr="00167BDE" w:rsidRDefault="00167BDE" w:rsidP="00806E73">
            <w:pPr>
              <w:widowControl w:val="0"/>
              <w:rPr>
                <w:rFonts w:ascii="Garamond" w:hAnsi="Garamond"/>
                <w:b/>
                <w:snapToGrid w:val="0"/>
                <w:sz w:val="22"/>
                <w:szCs w:val="22"/>
              </w:rPr>
            </w:pPr>
            <w:r w:rsidRPr="00167BDE">
              <w:rPr>
                <w:rFonts w:ascii="Garamond" w:hAnsi="Garamond"/>
                <w:b/>
                <w:snapToGrid w:val="0"/>
                <w:sz w:val="22"/>
                <w:szCs w:val="22"/>
              </w:rPr>
              <w:t>YES</w:t>
            </w:r>
          </w:p>
        </w:tc>
        <w:tc>
          <w:tcPr>
            <w:tcW w:w="350" w:type="pct"/>
            <w:shd w:val="clear" w:color="auto" w:fill="CCCCCC"/>
          </w:tcPr>
          <w:p w14:paraId="26397EA3" w14:textId="77777777" w:rsidR="00167BDE" w:rsidRPr="00167BDE" w:rsidRDefault="00167BDE" w:rsidP="00806E73">
            <w:pPr>
              <w:widowControl w:val="0"/>
              <w:rPr>
                <w:rFonts w:ascii="Garamond" w:hAnsi="Garamond"/>
                <w:b/>
                <w:snapToGrid w:val="0"/>
                <w:sz w:val="22"/>
                <w:szCs w:val="22"/>
              </w:rPr>
            </w:pPr>
            <w:r w:rsidRPr="00167BDE">
              <w:rPr>
                <w:rFonts w:ascii="Garamond" w:hAnsi="Garamond"/>
                <w:b/>
                <w:snapToGrid w:val="0"/>
                <w:sz w:val="22"/>
                <w:szCs w:val="22"/>
              </w:rPr>
              <w:t>NO</w:t>
            </w:r>
          </w:p>
        </w:tc>
        <w:tc>
          <w:tcPr>
            <w:tcW w:w="4292" w:type="pct"/>
          </w:tcPr>
          <w:p w14:paraId="06BBF54E" w14:textId="77777777" w:rsidR="00167BDE" w:rsidRPr="00167BDE" w:rsidRDefault="00167BDE" w:rsidP="00806E73">
            <w:pPr>
              <w:widowControl w:val="0"/>
              <w:rPr>
                <w:rFonts w:ascii="Garamond" w:hAnsi="Garamond"/>
                <w:snapToGrid w:val="0"/>
                <w:sz w:val="22"/>
                <w:szCs w:val="22"/>
              </w:rPr>
            </w:pPr>
          </w:p>
        </w:tc>
      </w:tr>
      <w:tr w:rsidR="00167BDE" w:rsidRPr="00DA6F73" w14:paraId="79F0597E" w14:textId="77777777" w:rsidTr="00806E73">
        <w:trPr>
          <w:jc w:val="center"/>
        </w:trPr>
        <w:tc>
          <w:tcPr>
            <w:tcW w:w="358" w:type="pct"/>
            <w:tcBorders>
              <w:bottom w:val="nil"/>
            </w:tcBorders>
            <w:shd w:val="clear" w:color="auto" w:fill="FFFFFF"/>
            <w:vAlign w:val="center"/>
          </w:tcPr>
          <w:p w14:paraId="6B5F0386"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350" w:type="pct"/>
            <w:shd w:val="clear" w:color="auto" w:fill="CCCCCC"/>
            <w:vAlign w:val="center"/>
          </w:tcPr>
          <w:p w14:paraId="37171C99" w14:textId="77777777" w:rsidR="00167BDE" w:rsidRPr="00167BDE" w:rsidRDefault="00167BDE" w:rsidP="00806E73">
            <w:pPr>
              <w:widowControl w:val="0"/>
              <w:jc w:val="center"/>
              <w:rPr>
                <w:rFonts w:ascii="Garamond" w:hAnsi="Garamond"/>
                <w:snapToGrid w:val="0"/>
                <w:sz w:val="22"/>
                <w:szCs w:val="22"/>
              </w:rPr>
            </w:pPr>
          </w:p>
        </w:tc>
        <w:tc>
          <w:tcPr>
            <w:tcW w:w="4292" w:type="pct"/>
          </w:tcPr>
          <w:p w14:paraId="0CB0E93C"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1. Does the action pertain to land or water management or environmental regulation affecting private real property or water rights?</w:t>
            </w:r>
          </w:p>
        </w:tc>
      </w:tr>
      <w:tr w:rsidR="00167BDE" w:rsidRPr="00DA6F73" w14:paraId="674B7E9A" w14:textId="77777777" w:rsidTr="00806E73">
        <w:trPr>
          <w:jc w:val="center"/>
        </w:trPr>
        <w:tc>
          <w:tcPr>
            <w:tcW w:w="358" w:type="pct"/>
            <w:shd w:val="pct15" w:color="auto" w:fill="FFFFFF"/>
            <w:vAlign w:val="center"/>
          </w:tcPr>
          <w:p w14:paraId="14A6278B"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4547C135"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6CCBF38E"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2. Does the action result in either a permanent or indefinite physical occupation of private property?</w:t>
            </w:r>
          </w:p>
        </w:tc>
      </w:tr>
      <w:tr w:rsidR="00167BDE" w:rsidRPr="00DA6F73" w14:paraId="754DC01C" w14:textId="77777777" w:rsidTr="00806E73">
        <w:trPr>
          <w:jc w:val="center"/>
        </w:trPr>
        <w:tc>
          <w:tcPr>
            <w:tcW w:w="358" w:type="pct"/>
            <w:shd w:val="pct15" w:color="auto" w:fill="FFFFFF"/>
            <w:vAlign w:val="center"/>
          </w:tcPr>
          <w:p w14:paraId="5644C910"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27E252F7"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309593A4"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3. Does the action deny a fundamental attribute of ownership? (ex.</w:t>
            </w:r>
            <w:proofErr w:type="gramStart"/>
            <w:r w:rsidRPr="00167BDE">
              <w:rPr>
                <w:rFonts w:ascii="Garamond" w:hAnsi="Garamond"/>
                <w:snapToGrid w:val="0"/>
                <w:sz w:val="22"/>
                <w:szCs w:val="22"/>
              </w:rPr>
              <w:t>:  right</w:t>
            </w:r>
            <w:proofErr w:type="gramEnd"/>
            <w:r w:rsidRPr="00167BDE">
              <w:rPr>
                <w:rFonts w:ascii="Garamond" w:hAnsi="Garamond"/>
                <w:snapToGrid w:val="0"/>
                <w:sz w:val="22"/>
                <w:szCs w:val="22"/>
              </w:rPr>
              <w:t xml:space="preserve"> to exclude others, disposal of property)</w:t>
            </w:r>
          </w:p>
        </w:tc>
      </w:tr>
      <w:tr w:rsidR="00167BDE" w:rsidRPr="00DA6F73" w14:paraId="6A3833F2" w14:textId="77777777" w:rsidTr="00806E73">
        <w:trPr>
          <w:jc w:val="center"/>
        </w:trPr>
        <w:tc>
          <w:tcPr>
            <w:tcW w:w="358" w:type="pct"/>
            <w:shd w:val="pct15" w:color="auto" w:fill="FFFFFF"/>
            <w:vAlign w:val="center"/>
          </w:tcPr>
          <w:p w14:paraId="42CFE197"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3C0E3B97"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0910F29D"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4. Does the action deprive the owner of all economically viable uses of the property?</w:t>
            </w:r>
          </w:p>
        </w:tc>
      </w:tr>
      <w:tr w:rsidR="00167BDE" w:rsidRPr="00DA6F73" w14:paraId="5E2820A9" w14:textId="77777777" w:rsidTr="00806E73">
        <w:trPr>
          <w:jc w:val="center"/>
        </w:trPr>
        <w:tc>
          <w:tcPr>
            <w:tcW w:w="358" w:type="pct"/>
            <w:vAlign w:val="center"/>
          </w:tcPr>
          <w:p w14:paraId="092DACA0"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38442435"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292DD3EE"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5. Does the action require a property owner to dedicate a portion of property or to grant an easement? [If no, go to (6)].</w:t>
            </w:r>
          </w:p>
        </w:tc>
      </w:tr>
      <w:tr w:rsidR="00167BDE" w:rsidRPr="00DA6F73" w14:paraId="43742D2A" w14:textId="77777777" w:rsidTr="00806E73">
        <w:trPr>
          <w:jc w:val="center"/>
        </w:trPr>
        <w:tc>
          <w:tcPr>
            <w:tcW w:w="358" w:type="pct"/>
            <w:vAlign w:val="center"/>
          </w:tcPr>
          <w:p w14:paraId="4479CD02" w14:textId="77777777" w:rsidR="00167BDE" w:rsidRPr="00167BDE" w:rsidRDefault="00167BDE" w:rsidP="00806E73">
            <w:pPr>
              <w:widowControl w:val="0"/>
              <w:jc w:val="center"/>
              <w:rPr>
                <w:rFonts w:ascii="Garamond" w:hAnsi="Garamond"/>
                <w:snapToGrid w:val="0"/>
                <w:sz w:val="22"/>
                <w:szCs w:val="22"/>
              </w:rPr>
            </w:pPr>
          </w:p>
        </w:tc>
        <w:tc>
          <w:tcPr>
            <w:tcW w:w="350" w:type="pct"/>
            <w:shd w:val="pct15" w:color="auto" w:fill="FFFFFF"/>
            <w:vAlign w:val="center"/>
          </w:tcPr>
          <w:p w14:paraId="0FBAA8DC" w14:textId="77777777" w:rsidR="00167BDE" w:rsidRPr="00167BDE" w:rsidRDefault="00167BDE" w:rsidP="00806E73">
            <w:pPr>
              <w:widowControl w:val="0"/>
              <w:jc w:val="center"/>
              <w:rPr>
                <w:rFonts w:ascii="Garamond" w:hAnsi="Garamond"/>
                <w:snapToGrid w:val="0"/>
                <w:sz w:val="22"/>
                <w:szCs w:val="22"/>
              </w:rPr>
            </w:pPr>
          </w:p>
        </w:tc>
        <w:tc>
          <w:tcPr>
            <w:tcW w:w="4292" w:type="pct"/>
          </w:tcPr>
          <w:p w14:paraId="06ECBF51"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5a. Is there a reasonable, specific connection between the government requirement and legitimate state interests?</w:t>
            </w:r>
          </w:p>
        </w:tc>
      </w:tr>
      <w:tr w:rsidR="00167BDE" w:rsidRPr="00DA6F73" w14:paraId="6714808E" w14:textId="77777777" w:rsidTr="00806E73">
        <w:trPr>
          <w:jc w:val="center"/>
        </w:trPr>
        <w:tc>
          <w:tcPr>
            <w:tcW w:w="358" w:type="pct"/>
            <w:vAlign w:val="center"/>
          </w:tcPr>
          <w:p w14:paraId="5AF57A93" w14:textId="77777777" w:rsidR="00167BDE" w:rsidRPr="00167BDE" w:rsidRDefault="00167BDE" w:rsidP="00806E73">
            <w:pPr>
              <w:widowControl w:val="0"/>
              <w:jc w:val="center"/>
              <w:rPr>
                <w:rFonts w:ascii="Garamond" w:hAnsi="Garamond"/>
                <w:snapToGrid w:val="0"/>
                <w:sz w:val="22"/>
                <w:szCs w:val="22"/>
              </w:rPr>
            </w:pPr>
          </w:p>
        </w:tc>
        <w:tc>
          <w:tcPr>
            <w:tcW w:w="350" w:type="pct"/>
            <w:shd w:val="pct15" w:color="auto" w:fill="FFFFFF"/>
            <w:vAlign w:val="center"/>
          </w:tcPr>
          <w:p w14:paraId="166C3CD6" w14:textId="77777777" w:rsidR="00167BDE" w:rsidRPr="00167BDE" w:rsidRDefault="00167BDE" w:rsidP="00806E73">
            <w:pPr>
              <w:widowControl w:val="0"/>
              <w:jc w:val="center"/>
              <w:rPr>
                <w:rFonts w:ascii="Garamond" w:hAnsi="Garamond"/>
                <w:snapToGrid w:val="0"/>
                <w:sz w:val="22"/>
                <w:szCs w:val="22"/>
              </w:rPr>
            </w:pPr>
          </w:p>
        </w:tc>
        <w:tc>
          <w:tcPr>
            <w:tcW w:w="4292" w:type="pct"/>
          </w:tcPr>
          <w:p w14:paraId="516692A4"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5b. Is the government requirement roughly proportional to the impact of the proposed use of the property?</w:t>
            </w:r>
          </w:p>
        </w:tc>
      </w:tr>
      <w:tr w:rsidR="00167BDE" w:rsidRPr="00DA6F73" w14:paraId="579C7D12" w14:textId="77777777" w:rsidTr="00806E73">
        <w:trPr>
          <w:jc w:val="center"/>
        </w:trPr>
        <w:tc>
          <w:tcPr>
            <w:tcW w:w="358" w:type="pct"/>
            <w:shd w:val="pct15" w:color="auto" w:fill="FFFFFF"/>
            <w:vAlign w:val="center"/>
          </w:tcPr>
          <w:p w14:paraId="1894C5C5"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1E73C58C"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5A6E616D"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6. Does the action have a severe impact on the value of the property?  (consider economic impact, investment-backed expectations, character of government action)</w:t>
            </w:r>
          </w:p>
        </w:tc>
      </w:tr>
      <w:tr w:rsidR="00167BDE" w:rsidRPr="00DA6F73" w14:paraId="1C24AA0E" w14:textId="77777777" w:rsidTr="00806E73">
        <w:trPr>
          <w:jc w:val="center"/>
        </w:trPr>
        <w:tc>
          <w:tcPr>
            <w:tcW w:w="358" w:type="pct"/>
            <w:vAlign w:val="center"/>
          </w:tcPr>
          <w:p w14:paraId="2976F9A7"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5454348A"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3D7066CD"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 xml:space="preserve">7. Does the action damage the property by causing some physical disturbance with respect to the property </w:t>
            </w:r>
            <w:proofErr w:type="gramStart"/>
            <w:r w:rsidRPr="00167BDE">
              <w:rPr>
                <w:rFonts w:ascii="Garamond" w:hAnsi="Garamond"/>
                <w:snapToGrid w:val="0"/>
                <w:sz w:val="22"/>
                <w:szCs w:val="22"/>
              </w:rPr>
              <w:t>in excess of</w:t>
            </w:r>
            <w:proofErr w:type="gramEnd"/>
            <w:r w:rsidRPr="00167BDE">
              <w:rPr>
                <w:rFonts w:ascii="Garamond" w:hAnsi="Garamond"/>
                <w:snapToGrid w:val="0"/>
                <w:sz w:val="22"/>
                <w:szCs w:val="22"/>
              </w:rPr>
              <w:t xml:space="preserve"> that sustained by the public generally?</w:t>
            </w:r>
          </w:p>
        </w:tc>
      </w:tr>
      <w:tr w:rsidR="00167BDE" w:rsidRPr="00DA6F73" w14:paraId="6668BDFA" w14:textId="77777777" w:rsidTr="00806E73">
        <w:trPr>
          <w:jc w:val="center"/>
        </w:trPr>
        <w:tc>
          <w:tcPr>
            <w:tcW w:w="358" w:type="pct"/>
            <w:shd w:val="pct15" w:color="auto" w:fill="FFFFFF"/>
            <w:vAlign w:val="center"/>
          </w:tcPr>
          <w:p w14:paraId="459C9DEC"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24634179"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0ED39787"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 xml:space="preserve">7a. Is the impact of government action direct, peculiar, and significant?  </w:t>
            </w:r>
          </w:p>
        </w:tc>
      </w:tr>
      <w:tr w:rsidR="00167BDE" w:rsidRPr="00DA6F73" w14:paraId="5353C874" w14:textId="77777777" w:rsidTr="00806E73">
        <w:trPr>
          <w:jc w:val="center"/>
        </w:trPr>
        <w:tc>
          <w:tcPr>
            <w:tcW w:w="358" w:type="pct"/>
            <w:shd w:val="pct15" w:color="auto" w:fill="FFFFFF"/>
            <w:vAlign w:val="center"/>
          </w:tcPr>
          <w:p w14:paraId="5B4D18E7"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37C14423"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0C5FD3FA"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7b. Has government action resulted in the property becoming practically inaccessible, waterlogged or flooded?</w:t>
            </w:r>
          </w:p>
        </w:tc>
      </w:tr>
      <w:tr w:rsidR="00167BDE" w:rsidRPr="00DA6F73" w14:paraId="42547C5A" w14:textId="77777777" w:rsidTr="00806E73">
        <w:trPr>
          <w:jc w:val="center"/>
        </w:trPr>
        <w:tc>
          <w:tcPr>
            <w:tcW w:w="358" w:type="pct"/>
            <w:shd w:val="pct15" w:color="auto" w:fill="FFFFFF"/>
            <w:vAlign w:val="center"/>
          </w:tcPr>
          <w:p w14:paraId="503DF18A"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73682E72"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7ECABA28"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7c. Has government action lowered property values by more than 30% and necessitated the physical taking of adjacent property or property across a public way from the property in question?</w:t>
            </w:r>
          </w:p>
        </w:tc>
      </w:tr>
      <w:tr w:rsidR="00167BDE" w:rsidRPr="00DA6F73" w14:paraId="5B819804" w14:textId="77777777" w:rsidTr="00806E73">
        <w:trPr>
          <w:jc w:val="center"/>
        </w:trPr>
        <w:tc>
          <w:tcPr>
            <w:tcW w:w="358" w:type="pct"/>
            <w:vAlign w:val="center"/>
          </w:tcPr>
          <w:p w14:paraId="3E337139" w14:textId="77777777" w:rsidR="00167BDE" w:rsidRPr="00167BDE" w:rsidRDefault="00167BDE" w:rsidP="00806E73">
            <w:pPr>
              <w:widowControl w:val="0"/>
              <w:jc w:val="center"/>
              <w:rPr>
                <w:rFonts w:ascii="Garamond" w:hAnsi="Garamond"/>
                <w:snapToGrid w:val="0"/>
                <w:sz w:val="22"/>
                <w:szCs w:val="22"/>
              </w:rPr>
            </w:pPr>
          </w:p>
        </w:tc>
        <w:tc>
          <w:tcPr>
            <w:tcW w:w="350" w:type="pct"/>
            <w:vAlign w:val="center"/>
          </w:tcPr>
          <w:p w14:paraId="568B5A18" w14:textId="77777777" w:rsidR="00167BDE" w:rsidRPr="00167BDE" w:rsidRDefault="00167BDE" w:rsidP="00806E73">
            <w:pPr>
              <w:widowControl w:val="0"/>
              <w:jc w:val="center"/>
              <w:rPr>
                <w:rFonts w:ascii="Garamond" w:hAnsi="Garamond"/>
                <w:snapToGrid w:val="0"/>
                <w:sz w:val="22"/>
                <w:szCs w:val="22"/>
              </w:rPr>
            </w:pPr>
            <w:r w:rsidRPr="00167BDE">
              <w:rPr>
                <w:rFonts w:ascii="Garamond" w:hAnsi="Garamond"/>
                <w:snapToGrid w:val="0"/>
                <w:sz w:val="22"/>
                <w:szCs w:val="22"/>
              </w:rPr>
              <w:t>X</w:t>
            </w:r>
          </w:p>
        </w:tc>
        <w:tc>
          <w:tcPr>
            <w:tcW w:w="4292" w:type="pct"/>
          </w:tcPr>
          <w:p w14:paraId="3B0C2203" w14:textId="77777777" w:rsidR="00167BDE" w:rsidRPr="00167BDE" w:rsidRDefault="00167BDE" w:rsidP="00806E73">
            <w:pPr>
              <w:widowControl w:val="0"/>
              <w:rPr>
                <w:rFonts w:ascii="Garamond" w:hAnsi="Garamond"/>
                <w:snapToGrid w:val="0"/>
                <w:sz w:val="22"/>
                <w:szCs w:val="22"/>
              </w:rPr>
            </w:pPr>
            <w:r w:rsidRPr="00167BDE">
              <w:rPr>
                <w:rFonts w:ascii="Garamond" w:hAnsi="Garamond"/>
                <w:snapToGrid w:val="0"/>
                <w:sz w:val="22"/>
                <w:szCs w:val="22"/>
              </w:rPr>
              <w:t xml:space="preserve">Takings or damaging implications?  (Taking or damaging implications exist if YES is checked in response to question 1 </w:t>
            </w:r>
            <w:proofErr w:type="gramStart"/>
            <w:r w:rsidRPr="00167BDE">
              <w:rPr>
                <w:rFonts w:ascii="Garamond" w:hAnsi="Garamond"/>
                <w:snapToGrid w:val="0"/>
                <w:sz w:val="22"/>
                <w:szCs w:val="22"/>
              </w:rPr>
              <w:t>and also</w:t>
            </w:r>
            <w:proofErr w:type="gramEnd"/>
            <w:r w:rsidRPr="00167BDE">
              <w:rPr>
                <w:rFonts w:ascii="Garamond" w:hAnsi="Garamond"/>
                <w:snapToGrid w:val="0"/>
                <w:sz w:val="22"/>
                <w:szCs w:val="22"/>
              </w:rPr>
              <w:t xml:space="preserve"> to any one or more of the following questions</w:t>
            </w:r>
            <w:proofErr w:type="gramStart"/>
            <w:r w:rsidRPr="00167BDE">
              <w:rPr>
                <w:rFonts w:ascii="Garamond" w:hAnsi="Garamond"/>
                <w:snapToGrid w:val="0"/>
                <w:sz w:val="22"/>
                <w:szCs w:val="22"/>
              </w:rPr>
              <w:t>:  2</w:t>
            </w:r>
            <w:proofErr w:type="gramEnd"/>
            <w:r w:rsidRPr="00167BDE">
              <w:rPr>
                <w:rFonts w:ascii="Garamond" w:hAnsi="Garamond"/>
                <w:snapToGrid w:val="0"/>
                <w:sz w:val="22"/>
                <w:szCs w:val="22"/>
              </w:rPr>
              <w:t>, 3, 4, 6, 7a, 7b, 7c; or if NO is checked in response to questions 5a or 5b; the shaded areas)</w:t>
            </w:r>
          </w:p>
        </w:tc>
      </w:tr>
    </w:tbl>
    <w:p w14:paraId="34072C31" w14:textId="77777777" w:rsidR="00A1737C" w:rsidRPr="00C67C26" w:rsidRDefault="00A1737C">
      <w:pPr>
        <w:rPr>
          <w:rFonts w:ascii="Garamond" w:hAnsi="Garamond"/>
        </w:rPr>
      </w:pPr>
    </w:p>
    <w:p w14:paraId="12373403" w14:textId="23272DA9" w:rsidR="000B2C3A" w:rsidRDefault="000B2C3A" w:rsidP="00516267">
      <w:pPr>
        <w:ind w:left="360"/>
        <w:rPr>
          <w:rFonts w:ascii="Garamond" w:hAnsi="Garamond"/>
          <w:sz w:val="24"/>
          <w:szCs w:val="24"/>
        </w:rPr>
      </w:pPr>
      <w:r w:rsidRPr="00516267">
        <w:rPr>
          <w:rFonts w:ascii="Garamond" w:hAnsi="Garamond"/>
          <w:sz w:val="24"/>
          <w:szCs w:val="24"/>
        </w:rPr>
        <w:t xml:space="preserve">Based on this analysis, </w:t>
      </w:r>
      <w:r w:rsidR="00EE4EF5">
        <w:rPr>
          <w:rFonts w:ascii="Garamond" w:hAnsi="Garamond"/>
          <w:sz w:val="24"/>
          <w:szCs w:val="24"/>
        </w:rPr>
        <w:t>DEQ</w:t>
      </w:r>
      <w:r w:rsidRPr="00516267">
        <w:rPr>
          <w:rFonts w:ascii="Garamond" w:hAnsi="Garamond"/>
          <w:sz w:val="24"/>
          <w:szCs w:val="24"/>
        </w:rPr>
        <w:t xml:space="preserve"> determined there are no taking or damaging implications associated with this permit action.</w:t>
      </w:r>
    </w:p>
    <w:p w14:paraId="6AD31341" w14:textId="77777777" w:rsidR="0032518C" w:rsidRPr="00C67C26" w:rsidRDefault="0032518C" w:rsidP="00C67C26">
      <w:pPr>
        <w:rPr>
          <w:rFonts w:ascii="Garamond" w:hAnsi="Garamond"/>
        </w:rPr>
      </w:pPr>
    </w:p>
    <w:p w14:paraId="3E969F59" w14:textId="77777777" w:rsidR="002660F8" w:rsidRDefault="002660F8" w:rsidP="00114353">
      <w:pPr>
        <w:pStyle w:val="Heading2"/>
        <w:spacing w:before="0" w:beforeAutospacing="0" w:after="0" w:afterAutospacing="0"/>
        <w:ind w:left="720" w:hanging="720"/>
        <w:rPr>
          <w:rFonts w:ascii="Garamond" w:hAnsi="Garamond"/>
          <w:sz w:val="24"/>
          <w:szCs w:val="24"/>
        </w:rPr>
      </w:pPr>
      <w:bookmarkStart w:id="7" w:name="_Toc52529199"/>
      <w:r w:rsidRPr="00516267">
        <w:rPr>
          <w:rFonts w:ascii="Garamond" w:hAnsi="Garamond"/>
          <w:sz w:val="24"/>
          <w:szCs w:val="24"/>
        </w:rPr>
        <w:lastRenderedPageBreak/>
        <w:t>Compliance Designation</w:t>
      </w:r>
      <w:r w:rsidR="0000054D" w:rsidRPr="00516267">
        <w:rPr>
          <w:rFonts w:ascii="Garamond" w:hAnsi="Garamond"/>
          <w:sz w:val="24"/>
          <w:szCs w:val="24"/>
        </w:rPr>
        <w:t>:</w:t>
      </w:r>
      <w:bookmarkEnd w:id="7"/>
    </w:p>
    <w:p w14:paraId="336BE130" w14:textId="77777777" w:rsidR="0032518C" w:rsidRPr="00C67C26" w:rsidRDefault="0032518C" w:rsidP="00114353">
      <w:pPr>
        <w:keepNext/>
        <w:rPr>
          <w:rFonts w:ascii="Garamond" w:hAnsi="Garamond"/>
        </w:rPr>
      </w:pPr>
    </w:p>
    <w:p w14:paraId="4CAACFB2" w14:textId="08418E46" w:rsidR="002660F8" w:rsidRPr="00516267" w:rsidRDefault="00A1737C" w:rsidP="00114353">
      <w:pPr>
        <w:pStyle w:val="BodyTextIndent"/>
        <w:keepNext/>
        <w:rPr>
          <w:rFonts w:ascii="Garamond" w:hAnsi="Garamond"/>
          <w:sz w:val="24"/>
          <w:szCs w:val="24"/>
        </w:rPr>
      </w:pPr>
      <w:r w:rsidRPr="00516267">
        <w:rPr>
          <w:rFonts w:ascii="Garamond" w:hAnsi="Garamond"/>
          <w:sz w:val="24"/>
          <w:szCs w:val="24"/>
        </w:rPr>
        <w:t xml:space="preserve">On </w:t>
      </w:r>
      <w:r w:rsidR="00EE4EF5">
        <w:rPr>
          <w:rFonts w:ascii="Garamond" w:hAnsi="Garamond"/>
          <w:sz w:val="24"/>
          <w:szCs w:val="24"/>
        </w:rPr>
        <w:t xml:space="preserve">June 19, </w:t>
      </w:r>
      <w:r w:rsidR="00167BDE">
        <w:rPr>
          <w:rFonts w:ascii="Garamond" w:hAnsi="Garamond"/>
          <w:sz w:val="24"/>
          <w:szCs w:val="24"/>
        </w:rPr>
        <w:t>2023,</w:t>
      </w:r>
      <w:r w:rsidRPr="00516267">
        <w:rPr>
          <w:rFonts w:ascii="Garamond" w:hAnsi="Garamond"/>
          <w:sz w:val="24"/>
          <w:szCs w:val="24"/>
        </w:rPr>
        <w:t xml:space="preserve"> </w:t>
      </w:r>
      <w:r w:rsidR="00EE4EF5">
        <w:rPr>
          <w:rFonts w:ascii="Garamond" w:hAnsi="Garamond"/>
          <w:sz w:val="24"/>
          <w:szCs w:val="24"/>
        </w:rPr>
        <w:t>DEQ</w:t>
      </w:r>
      <w:r w:rsidRPr="00516267">
        <w:rPr>
          <w:rFonts w:ascii="Garamond" w:hAnsi="Garamond"/>
          <w:sz w:val="24"/>
          <w:szCs w:val="24"/>
        </w:rPr>
        <w:t xml:space="preserve"> completed a full compliance evaluation of Montana Silversmiths for the </w:t>
      </w:r>
      <w:r w:rsidR="00BE66C7" w:rsidRPr="00516267">
        <w:rPr>
          <w:rFonts w:ascii="Garamond" w:hAnsi="Garamond"/>
          <w:sz w:val="24"/>
          <w:szCs w:val="24"/>
        </w:rPr>
        <w:t>period</w:t>
      </w:r>
      <w:r w:rsidRPr="00516267">
        <w:rPr>
          <w:rFonts w:ascii="Garamond" w:hAnsi="Garamond"/>
          <w:sz w:val="24"/>
          <w:szCs w:val="24"/>
        </w:rPr>
        <w:t xml:space="preserve"> from </w:t>
      </w:r>
      <w:r w:rsidR="00EE4EF5">
        <w:rPr>
          <w:rFonts w:ascii="Garamond" w:hAnsi="Garamond"/>
          <w:sz w:val="24"/>
          <w:szCs w:val="24"/>
        </w:rPr>
        <w:t>August 6, 2021</w:t>
      </w:r>
      <w:r w:rsidR="00B77B1B" w:rsidRPr="00516267">
        <w:rPr>
          <w:rFonts w:ascii="Garamond" w:hAnsi="Garamond"/>
          <w:sz w:val="24"/>
          <w:szCs w:val="24"/>
        </w:rPr>
        <w:t>,</w:t>
      </w:r>
      <w:r w:rsidRPr="00516267">
        <w:rPr>
          <w:rFonts w:ascii="Garamond" w:hAnsi="Garamond"/>
          <w:sz w:val="24"/>
          <w:szCs w:val="24"/>
        </w:rPr>
        <w:t xml:space="preserve"> through </w:t>
      </w:r>
      <w:r w:rsidR="00132A77">
        <w:rPr>
          <w:rFonts w:ascii="Garamond" w:hAnsi="Garamond"/>
          <w:sz w:val="24"/>
          <w:szCs w:val="24"/>
        </w:rPr>
        <w:t>June 19, 2023</w:t>
      </w:r>
      <w:r w:rsidRPr="00516267">
        <w:rPr>
          <w:rFonts w:ascii="Garamond" w:hAnsi="Garamond"/>
          <w:sz w:val="24"/>
          <w:szCs w:val="24"/>
        </w:rPr>
        <w:t xml:space="preserve">.  Montana Silversmiths appeared to </w:t>
      </w:r>
      <w:proofErr w:type="gramStart"/>
      <w:r w:rsidRPr="00516267">
        <w:rPr>
          <w:rFonts w:ascii="Garamond" w:hAnsi="Garamond"/>
          <w:sz w:val="24"/>
          <w:szCs w:val="24"/>
        </w:rPr>
        <w:t>be in compliance with</w:t>
      </w:r>
      <w:proofErr w:type="gramEnd"/>
      <w:r w:rsidRPr="00516267">
        <w:rPr>
          <w:rFonts w:ascii="Garamond" w:hAnsi="Garamond"/>
          <w:sz w:val="24"/>
          <w:szCs w:val="24"/>
        </w:rPr>
        <w:t xml:space="preserve"> all applicable requirements during that </w:t>
      </w:r>
      <w:proofErr w:type="gramStart"/>
      <w:r w:rsidRPr="00516267">
        <w:rPr>
          <w:rFonts w:ascii="Garamond" w:hAnsi="Garamond"/>
          <w:sz w:val="24"/>
          <w:szCs w:val="24"/>
        </w:rPr>
        <w:t>time period</w:t>
      </w:r>
      <w:proofErr w:type="gramEnd"/>
      <w:r w:rsidRPr="00516267">
        <w:rPr>
          <w:rFonts w:ascii="Garamond" w:hAnsi="Garamond"/>
          <w:sz w:val="24"/>
          <w:szCs w:val="24"/>
        </w:rPr>
        <w:t xml:space="preserve">.  </w:t>
      </w:r>
    </w:p>
    <w:p w14:paraId="4FEEB0A9" w14:textId="77777777" w:rsidR="002660F8" w:rsidRPr="00516267" w:rsidRDefault="002660F8">
      <w:pPr>
        <w:rPr>
          <w:rFonts w:ascii="Garamond" w:hAnsi="Garamond"/>
          <w:sz w:val="24"/>
          <w:szCs w:val="24"/>
        </w:rPr>
      </w:pPr>
    </w:p>
    <w:p w14:paraId="12FC2ACC" w14:textId="77777777" w:rsidR="002660F8" w:rsidRPr="00516267" w:rsidRDefault="002660F8">
      <w:pPr>
        <w:pStyle w:val="Heading1"/>
        <w:rPr>
          <w:rFonts w:ascii="Garamond" w:hAnsi="Garamond"/>
          <w:sz w:val="24"/>
          <w:szCs w:val="24"/>
        </w:rPr>
        <w:sectPr w:rsidR="002660F8" w:rsidRPr="00516267" w:rsidSect="00C67C26">
          <w:footerReference w:type="even" r:id="rId7"/>
          <w:footerReference w:type="default" r:id="rId8"/>
          <w:pgSz w:w="12240" w:h="15840" w:code="1"/>
          <w:pgMar w:top="1152" w:right="1440" w:bottom="810" w:left="1440" w:header="720" w:footer="537" w:gutter="0"/>
          <w:pgNumType w:start="1"/>
          <w:cols w:space="720"/>
        </w:sectPr>
      </w:pPr>
    </w:p>
    <w:p w14:paraId="6F02A10F" w14:textId="77777777" w:rsidR="002660F8" w:rsidRPr="006B15F7" w:rsidRDefault="00C67C26" w:rsidP="00842046">
      <w:pPr>
        <w:pStyle w:val="Heading1"/>
        <w:rPr>
          <w:rFonts w:ascii="Garamond" w:hAnsi="Garamond"/>
          <w:sz w:val="24"/>
          <w:szCs w:val="24"/>
        </w:rPr>
      </w:pPr>
      <w:r>
        <w:rPr>
          <w:rFonts w:ascii="Garamond" w:hAnsi="Garamond"/>
          <w:sz w:val="24"/>
          <w:szCs w:val="24"/>
        </w:rPr>
        <w:lastRenderedPageBreak/>
        <w:t xml:space="preserve">  </w:t>
      </w:r>
      <w:bookmarkStart w:id="8" w:name="_Toc52529200"/>
      <w:r w:rsidR="002660F8" w:rsidRPr="006B15F7">
        <w:rPr>
          <w:rFonts w:ascii="Garamond" w:hAnsi="Garamond"/>
          <w:sz w:val="24"/>
          <w:szCs w:val="24"/>
        </w:rPr>
        <w:t>SUMMARY OF EMISSION UNITS</w:t>
      </w:r>
      <w:bookmarkEnd w:id="8"/>
    </w:p>
    <w:p w14:paraId="52E9AB31" w14:textId="77777777" w:rsidR="00064089" w:rsidRPr="006B15F7" w:rsidRDefault="00064089" w:rsidP="00064089">
      <w:pPr>
        <w:rPr>
          <w:rFonts w:ascii="Garamond" w:hAnsi="Garamond"/>
          <w:sz w:val="24"/>
          <w:szCs w:val="24"/>
        </w:rPr>
      </w:pPr>
    </w:p>
    <w:p w14:paraId="6959629F" w14:textId="77777777" w:rsidR="002660F8" w:rsidRPr="006B15F7" w:rsidRDefault="002660F8" w:rsidP="00516267">
      <w:pPr>
        <w:pStyle w:val="Heading2"/>
        <w:numPr>
          <w:ilvl w:val="0"/>
          <w:numId w:val="21"/>
        </w:numPr>
        <w:spacing w:before="0" w:beforeAutospacing="0" w:after="0" w:afterAutospacing="0"/>
        <w:rPr>
          <w:rFonts w:ascii="Garamond" w:hAnsi="Garamond"/>
          <w:sz w:val="24"/>
          <w:szCs w:val="24"/>
        </w:rPr>
      </w:pPr>
      <w:bookmarkStart w:id="9" w:name="_Toc52529201"/>
      <w:r w:rsidRPr="006B15F7">
        <w:rPr>
          <w:rFonts w:ascii="Garamond" w:hAnsi="Garamond"/>
          <w:sz w:val="24"/>
          <w:szCs w:val="24"/>
        </w:rPr>
        <w:t>Facility Process Description</w:t>
      </w:r>
      <w:r w:rsidR="00581E4D" w:rsidRPr="006B15F7">
        <w:rPr>
          <w:rFonts w:ascii="Garamond" w:hAnsi="Garamond"/>
          <w:sz w:val="24"/>
          <w:szCs w:val="24"/>
        </w:rPr>
        <w:t>:</w:t>
      </w:r>
      <w:bookmarkEnd w:id="9"/>
    </w:p>
    <w:p w14:paraId="25295637" w14:textId="77777777" w:rsidR="00064089" w:rsidRPr="006B15F7" w:rsidRDefault="00064089" w:rsidP="00064089">
      <w:pPr>
        <w:rPr>
          <w:rFonts w:ascii="Garamond" w:hAnsi="Garamond"/>
          <w:sz w:val="24"/>
          <w:szCs w:val="24"/>
        </w:rPr>
      </w:pPr>
    </w:p>
    <w:p w14:paraId="3DDD3766" w14:textId="77777777" w:rsidR="002660F8" w:rsidRPr="006B15F7" w:rsidRDefault="002660F8" w:rsidP="00516267">
      <w:pPr>
        <w:ind w:left="360"/>
        <w:rPr>
          <w:rFonts w:ascii="Garamond" w:hAnsi="Garamond"/>
          <w:sz w:val="24"/>
          <w:szCs w:val="24"/>
        </w:rPr>
      </w:pPr>
      <w:r w:rsidRPr="006B15F7">
        <w:rPr>
          <w:rFonts w:ascii="Garamond" w:hAnsi="Garamond"/>
          <w:sz w:val="24"/>
          <w:szCs w:val="24"/>
        </w:rPr>
        <w:t xml:space="preserve">The facility includes a process building where tanks of methylene chloride are used in the manufacturing process.  </w:t>
      </w:r>
      <w:r w:rsidR="00307FC2" w:rsidRPr="006B15F7">
        <w:rPr>
          <w:rFonts w:ascii="Garamond" w:hAnsi="Garamond"/>
          <w:sz w:val="24"/>
          <w:szCs w:val="24"/>
        </w:rPr>
        <w:t xml:space="preserve">HAPs </w:t>
      </w:r>
      <w:r w:rsidRPr="006B15F7">
        <w:rPr>
          <w:rFonts w:ascii="Garamond" w:hAnsi="Garamond"/>
          <w:sz w:val="24"/>
          <w:szCs w:val="24"/>
        </w:rPr>
        <w:t>emissions result from the product manufacturing process.  Methylene chloride is a listed</w:t>
      </w:r>
      <w:r w:rsidR="00307FC2" w:rsidRPr="006B15F7">
        <w:rPr>
          <w:rFonts w:ascii="Garamond" w:hAnsi="Garamond"/>
          <w:sz w:val="24"/>
          <w:szCs w:val="24"/>
        </w:rPr>
        <w:t xml:space="preserve"> HAP</w:t>
      </w:r>
      <w:r w:rsidR="00854D51" w:rsidRPr="006B15F7">
        <w:rPr>
          <w:rFonts w:ascii="Garamond" w:hAnsi="Garamond"/>
          <w:sz w:val="24"/>
          <w:szCs w:val="24"/>
        </w:rPr>
        <w:t xml:space="preserve"> in the Federal Clean Air Act</w:t>
      </w:r>
      <w:r w:rsidRPr="006B15F7">
        <w:rPr>
          <w:rFonts w:ascii="Garamond" w:hAnsi="Garamond"/>
          <w:sz w:val="24"/>
          <w:szCs w:val="24"/>
        </w:rPr>
        <w:t>.</w:t>
      </w:r>
    </w:p>
    <w:p w14:paraId="6AA31F77" w14:textId="77777777" w:rsidR="00064089" w:rsidRPr="006B15F7" w:rsidRDefault="00064089" w:rsidP="00C67C26">
      <w:pPr>
        <w:rPr>
          <w:rFonts w:ascii="Garamond" w:hAnsi="Garamond"/>
          <w:sz w:val="24"/>
          <w:szCs w:val="24"/>
        </w:rPr>
      </w:pPr>
    </w:p>
    <w:p w14:paraId="0EFB0927" w14:textId="77777777" w:rsidR="002660F8" w:rsidRPr="006B15F7" w:rsidRDefault="002660F8" w:rsidP="00516267">
      <w:pPr>
        <w:pStyle w:val="Heading2"/>
        <w:spacing w:before="0" w:beforeAutospacing="0" w:after="0" w:afterAutospacing="0"/>
        <w:rPr>
          <w:rFonts w:ascii="Garamond" w:hAnsi="Garamond"/>
          <w:sz w:val="24"/>
          <w:szCs w:val="24"/>
        </w:rPr>
      </w:pPr>
      <w:bookmarkStart w:id="10" w:name="_Toc52529202"/>
      <w:r w:rsidRPr="006B15F7">
        <w:rPr>
          <w:rFonts w:ascii="Garamond" w:hAnsi="Garamond"/>
          <w:sz w:val="24"/>
          <w:szCs w:val="24"/>
        </w:rPr>
        <w:t>Emission Units and Pollution Control Device Identification</w:t>
      </w:r>
      <w:r w:rsidR="00581E4D" w:rsidRPr="006B15F7">
        <w:rPr>
          <w:rFonts w:ascii="Garamond" w:hAnsi="Garamond"/>
          <w:sz w:val="24"/>
          <w:szCs w:val="24"/>
        </w:rPr>
        <w:t>:</w:t>
      </w:r>
      <w:bookmarkEnd w:id="10"/>
    </w:p>
    <w:p w14:paraId="4F9AC661" w14:textId="77777777" w:rsidR="00064089" w:rsidRPr="006B15F7" w:rsidRDefault="00064089" w:rsidP="00064089">
      <w:pPr>
        <w:rPr>
          <w:rFonts w:ascii="Garamond" w:hAnsi="Garamond"/>
          <w:sz w:val="24"/>
          <w:szCs w:val="24"/>
        </w:rPr>
      </w:pPr>
    </w:p>
    <w:p w14:paraId="42CDD066" w14:textId="1CC4EAD3" w:rsidR="009B36D6" w:rsidRPr="009B36D6" w:rsidRDefault="002660F8" w:rsidP="00FA68DE">
      <w:pPr>
        <w:pStyle w:val="BodyTextIndent"/>
        <w:rPr>
          <w:rFonts w:ascii="Garamond" w:hAnsi="Garamond"/>
          <w:sz w:val="24"/>
          <w:szCs w:val="24"/>
        </w:rPr>
      </w:pPr>
      <w:r w:rsidRPr="006B15F7">
        <w:rPr>
          <w:rFonts w:ascii="Garamond" w:hAnsi="Garamond"/>
          <w:sz w:val="24"/>
          <w:szCs w:val="24"/>
        </w:rPr>
        <w:t>The emission units regulated by this permit are the exhaust fans.  Currently, Montana Silversmiths is not required to install or operate any air pollution control equipment.</w:t>
      </w:r>
    </w:p>
    <w:p w14:paraId="02D88468" w14:textId="77777777" w:rsidR="00064089" w:rsidRPr="006B15F7" w:rsidRDefault="00064089" w:rsidP="00C67C26">
      <w:pPr>
        <w:pStyle w:val="BodyTextIndent"/>
        <w:ind w:left="0"/>
        <w:rPr>
          <w:rFonts w:ascii="Garamond" w:hAnsi="Garamond"/>
          <w:sz w:val="24"/>
          <w:szCs w:val="24"/>
        </w:rPr>
      </w:pPr>
    </w:p>
    <w:p w14:paraId="475C4B0B" w14:textId="77777777" w:rsidR="002660F8" w:rsidRPr="006B15F7" w:rsidRDefault="002660F8" w:rsidP="00516267">
      <w:pPr>
        <w:pStyle w:val="Heading2"/>
        <w:spacing w:before="0" w:beforeAutospacing="0" w:after="0" w:afterAutospacing="0"/>
        <w:rPr>
          <w:rFonts w:ascii="Garamond" w:hAnsi="Garamond"/>
          <w:sz w:val="24"/>
          <w:szCs w:val="24"/>
        </w:rPr>
      </w:pPr>
      <w:bookmarkStart w:id="11" w:name="_Toc52529203"/>
      <w:r w:rsidRPr="006B15F7">
        <w:rPr>
          <w:rFonts w:ascii="Garamond" w:hAnsi="Garamond"/>
          <w:sz w:val="24"/>
          <w:szCs w:val="24"/>
        </w:rPr>
        <w:t>Categorically Insignificant Sources/Activities</w:t>
      </w:r>
      <w:r w:rsidR="00581E4D" w:rsidRPr="006B15F7">
        <w:rPr>
          <w:rFonts w:ascii="Garamond" w:hAnsi="Garamond"/>
          <w:sz w:val="24"/>
          <w:szCs w:val="24"/>
        </w:rPr>
        <w:t>:</w:t>
      </w:r>
      <w:bookmarkEnd w:id="11"/>
    </w:p>
    <w:p w14:paraId="3AB7C6DB" w14:textId="77777777" w:rsidR="00064089" w:rsidRPr="006B15F7" w:rsidRDefault="00064089" w:rsidP="00064089">
      <w:pPr>
        <w:rPr>
          <w:rFonts w:ascii="Garamond" w:hAnsi="Garamond"/>
          <w:sz w:val="24"/>
          <w:szCs w:val="24"/>
        </w:rPr>
      </w:pPr>
    </w:p>
    <w:p w14:paraId="37549294" w14:textId="77777777" w:rsidR="002660F8" w:rsidRPr="006B15F7" w:rsidRDefault="002660F8">
      <w:pPr>
        <w:ind w:left="360"/>
        <w:rPr>
          <w:rFonts w:ascii="Garamond" w:hAnsi="Garamond"/>
          <w:sz w:val="24"/>
          <w:szCs w:val="24"/>
        </w:rPr>
      </w:pPr>
      <w:r w:rsidRPr="006B15F7">
        <w:rPr>
          <w:rFonts w:ascii="Garamond" w:hAnsi="Garamond"/>
          <w:sz w:val="24"/>
          <w:szCs w:val="24"/>
        </w:rPr>
        <w:t>The Administrative Rules of Montana (ARM) 17.8.1201(22)(a) defines an insignificant emissions unit as one that emits less than 5 tons per year of any regulated pollutant, has the potential to emit less than 500 pounds per year of lead or any hazardous air pollutant, and is not regulated by an applicable requirement other than a generally applicable requirement.</w:t>
      </w:r>
    </w:p>
    <w:p w14:paraId="42881B7F" w14:textId="77777777" w:rsidR="002660F8" w:rsidRPr="006B15F7" w:rsidRDefault="002660F8">
      <w:pPr>
        <w:rPr>
          <w:rFonts w:ascii="Garamond" w:hAnsi="Garamond"/>
          <w:sz w:val="24"/>
          <w:szCs w:val="24"/>
        </w:rPr>
      </w:pPr>
    </w:p>
    <w:p w14:paraId="7A93A7E8" w14:textId="77777777" w:rsidR="002660F8" w:rsidRPr="006B15F7" w:rsidRDefault="002660F8">
      <w:pPr>
        <w:pStyle w:val="BodyTextIndent"/>
        <w:rPr>
          <w:rFonts w:ascii="Garamond" w:hAnsi="Garamond"/>
          <w:sz w:val="24"/>
          <w:szCs w:val="24"/>
        </w:rPr>
      </w:pPr>
      <w:r w:rsidRPr="006B15F7">
        <w:rPr>
          <w:rFonts w:ascii="Garamond" w:hAnsi="Garamond"/>
          <w:sz w:val="24"/>
          <w:szCs w:val="24"/>
        </w:rPr>
        <w:t>Montana Silversmiths did not provide a list of insignificant sources and/or activities.  Therefore, this permit identifies no insignificant activities.  Because there are no requirements to update such a list, the status of such emission units and/or activities may change.</w:t>
      </w:r>
    </w:p>
    <w:p w14:paraId="0D9D6825" w14:textId="77777777" w:rsidR="002660F8" w:rsidRPr="00516267" w:rsidRDefault="002660F8">
      <w:pPr>
        <w:rPr>
          <w:rFonts w:ascii="Garamond" w:hAnsi="Garamond"/>
          <w:sz w:val="24"/>
          <w:szCs w:val="24"/>
        </w:rPr>
      </w:pPr>
    </w:p>
    <w:p w14:paraId="6AB10677" w14:textId="77777777" w:rsidR="002660F8" w:rsidRPr="00516267" w:rsidRDefault="002660F8">
      <w:pPr>
        <w:pStyle w:val="Heading1"/>
        <w:rPr>
          <w:rFonts w:ascii="Garamond" w:hAnsi="Garamond"/>
          <w:sz w:val="24"/>
          <w:szCs w:val="24"/>
        </w:rPr>
        <w:sectPr w:rsidR="002660F8" w:rsidRPr="00516267" w:rsidSect="008D0830">
          <w:pgSz w:w="12240" w:h="15840" w:code="1"/>
          <w:pgMar w:top="1152" w:right="1440" w:bottom="1008" w:left="1440" w:header="720" w:footer="720" w:gutter="0"/>
          <w:cols w:space="720"/>
        </w:sectPr>
      </w:pPr>
    </w:p>
    <w:p w14:paraId="2451F7D2" w14:textId="77777777" w:rsidR="002660F8" w:rsidRPr="00B51FD9" w:rsidRDefault="00C67C26">
      <w:pPr>
        <w:pStyle w:val="Heading1"/>
        <w:rPr>
          <w:rFonts w:ascii="Garamond" w:hAnsi="Garamond"/>
          <w:sz w:val="24"/>
          <w:szCs w:val="24"/>
        </w:rPr>
      </w:pPr>
      <w:r>
        <w:rPr>
          <w:rFonts w:ascii="Garamond" w:hAnsi="Garamond"/>
          <w:sz w:val="24"/>
          <w:szCs w:val="24"/>
        </w:rPr>
        <w:lastRenderedPageBreak/>
        <w:t xml:space="preserve">  </w:t>
      </w:r>
      <w:bookmarkStart w:id="12" w:name="_Toc52529204"/>
      <w:r w:rsidR="002660F8" w:rsidRPr="00B51FD9">
        <w:rPr>
          <w:rFonts w:ascii="Garamond" w:hAnsi="Garamond"/>
          <w:sz w:val="24"/>
          <w:szCs w:val="24"/>
        </w:rPr>
        <w:t>PERMIT CONDITIONS</w:t>
      </w:r>
      <w:bookmarkEnd w:id="12"/>
    </w:p>
    <w:p w14:paraId="779CFF0A" w14:textId="77777777" w:rsidR="002660F8" w:rsidRDefault="002660F8">
      <w:pPr>
        <w:rPr>
          <w:rFonts w:ascii="Garamond" w:hAnsi="Garamond"/>
          <w:sz w:val="24"/>
          <w:szCs w:val="24"/>
        </w:rPr>
      </w:pPr>
    </w:p>
    <w:p w14:paraId="27BE757E" w14:textId="77777777" w:rsidR="002660F8" w:rsidRPr="00B51FD9" w:rsidRDefault="002660F8" w:rsidP="00516267">
      <w:pPr>
        <w:pStyle w:val="Heading2"/>
        <w:numPr>
          <w:ilvl w:val="0"/>
          <w:numId w:val="22"/>
        </w:numPr>
        <w:spacing w:before="0" w:beforeAutospacing="0" w:after="0" w:afterAutospacing="0"/>
        <w:rPr>
          <w:rFonts w:ascii="Garamond" w:hAnsi="Garamond"/>
          <w:sz w:val="24"/>
          <w:szCs w:val="24"/>
        </w:rPr>
      </w:pPr>
      <w:bookmarkStart w:id="13" w:name="_Toc52529205"/>
      <w:r w:rsidRPr="00B51FD9">
        <w:rPr>
          <w:rFonts w:ascii="Garamond" w:hAnsi="Garamond"/>
          <w:sz w:val="24"/>
          <w:szCs w:val="24"/>
        </w:rPr>
        <w:t>Emission Limits and Standards</w:t>
      </w:r>
      <w:r w:rsidR="00E52506" w:rsidRPr="00B51FD9">
        <w:rPr>
          <w:rFonts w:ascii="Garamond" w:hAnsi="Garamond"/>
          <w:sz w:val="24"/>
          <w:szCs w:val="24"/>
        </w:rPr>
        <w:t>:</w:t>
      </w:r>
      <w:bookmarkEnd w:id="13"/>
    </w:p>
    <w:p w14:paraId="50AE1EDE" w14:textId="77777777" w:rsidR="00B51FD9" w:rsidRPr="003C10F7" w:rsidRDefault="00B51FD9" w:rsidP="00B51FD9">
      <w:pPr>
        <w:rPr>
          <w:rFonts w:ascii="Garamond" w:hAnsi="Garamond"/>
          <w:sz w:val="24"/>
          <w:szCs w:val="24"/>
        </w:rPr>
      </w:pPr>
    </w:p>
    <w:p w14:paraId="42E2F80D" w14:textId="7DBB895F" w:rsidR="002660F8" w:rsidRDefault="00307FC2" w:rsidP="00516267">
      <w:pPr>
        <w:pStyle w:val="BodyTextInden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B51FD9">
        <w:rPr>
          <w:rFonts w:ascii="Garamond" w:hAnsi="Garamond"/>
          <w:sz w:val="24"/>
          <w:szCs w:val="24"/>
        </w:rPr>
        <w:t xml:space="preserve">Montana Silversmiths is required to </w:t>
      </w:r>
      <w:r w:rsidR="00854D51" w:rsidRPr="00B51FD9">
        <w:rPr>
          <w:rFonts w:ascii="Garamond" w:hAnsi="Garamond"/>
          <w:sz w:val="24"/>
          <w:szCs w:val="24"/>
        </w:rPr>
        <w:t>comply with the requirements of 40 Code of Federal Regulations (CFR) 63, Subpart T.</w:t>
      </w:r>
    </w:p>
    <w:p w14:paraId="1E920C48" w14:textId="77777777" w:rsidR="00695343" w:rsidRDefault="00695343" w:rsidP="00516267">
      <w:pPr>
        <w:pStyle w:val="BodyTextInden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DA197F" w14:textId="224CA73F" w:rsidR="00695343" w:rsidRPr="009B36D6" w:rsidRDefault="00695343" w:rsidP="00695343">
      <w:pPr>
        <w:pStyle w:val="BodyTextInden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r w:rsidRPr="009B36D6">
        <w:rPr>
          <w:rFonts w:ascii="Garamond" w:hAnsi="Garamond"/>
          <w:color w:val="000000"/>
          <w:sz w:val="24"/>
          <w:szCs w:val="24"/>
        </w:rPr>
        <w:t xml:space="preserve">Per </w:t>
      </w:r>
      <w:r>
        <w:rPr>
          <w:rFonts w:ascii="Garamond" w:hAnsi="Garamond"/>
          <w:color w:val="000000"/>
        </w:rPr>
        <w:t>§63.465(e), a</w:t>
      </w:r>
      <w:r w:rsidRPr="009B36D6">
        <w:rPr>
          <w:rFonts w:ascii="Garamond" w:hAnsi="Garamond"/>
          <w:color w:val="000000"/>
          <w:sz w:val="24"/>
          <w:szCs w:val="24"/>
        </w:rPr>
        <w:t>n owner or operator of a source shall determine their potential to emit from all solvent cleaning operations using the procedures described in this section. A facility’s total potential to emit is the sum of all solvent cleaning operations, plus all Hazardous Air Pollutant emissions from other sources within the facility. The potential to emit from an individual solvent cleaning machine is found using Equation 4.</w:t>
      </w:r>
    </w:p>
    <w:p w14:paraId="2C110630" w14:textId="77777777" w:rsidR="00695343" w:rsidRPr="00B847AA" w:rsidRDefault="00695343" w:rsidP="00695343">
      <w:pPr>
        <w:pStyle w:val="NormalWeb"/>
        <w:spacing w:beforeAutospacing="0" w:afterAutospacing="0"/>
        <w:jc w:val="center"/>
        <w:rPr>
          <w:rFonts w:ascii="Garamond" w:hAnsi="Garamond"/>
          <w:color w:val="000000"/>
        </w:rPr>
      </w:pPr>
      <w:r w:rsidRPr="00B847AA">
        <w:rPr>
          <w:rFonts w:ascii="Cambria Math" w:hAnsi="Cambria Math" w:cs="Cambria Math"/>
          <w:color w:val="000000"/>
        </w:rPr>
        <w:t>𝑃𝑇𝐸</w:t>
      </w:r>
      <w:r w:rsidRPr="00B847AA">
        <w:rPr>
          <w:rFonts w:ascii="Cambria Math" w:hAnsi="Cambria Math" w:cs="Cambria Math"/>
          <w:color w:val="000000"/>
          <w:vertAlign w:val="subscript"/>
        </w:rPr>
        <w:t>𝑖</w:t>
      </w:r>
      <w:r w:rsidRPr="00B847AA">
        <w:rPr>
          <w:rFonts w:ascii="Garamond" w:hAnsi="Garamond"/>
          <w:color w:val="000000"/>
        </w:rPr>
        <w:t>=</w:t>
      </w:r>
      <w:r w:rsidRPr="00B847AA">
        <w:rPr>
          <w:rFonts w:ascii="Cambria Math" w:hAnsi="Cambria Math" w:cs="Cambria Math"/>
          <w:color w:val="000000"/>
        </w:rPr>
        <w:t>𝐻</w:t>
      </w:r>
      <w:r w:rsidRPr="00B847AA">
        <w:rPr>
          <w:rFonts w:ascii="Cambria Math" w:hAnsi="Cambria Math" w:cs="Cambria Math"/>
          <w:color w:val="000000"/>
          <w:vertAlign w:val="subscript"/>
        </w:rPr>
        <w:t>𝑖</w:t>
      </w:r>
      <w:r w:rsidRPr="00B847AA">
        <w:rPr>
          <w:rFonts w:ascii="Garamond" w:hAnsi="Garamond"/>
          <w:color w:val="000000"/>
        </w:rPr>
        <w:t>×</w:t>
      </w:r>
      <w:r w:rsidRPr="00B847AA">
        <w:rPr>
          <w:rFonts w:ascii="Cambria Math" w:hAnsi="Cambria Math" w:cs="Cambria Math"/>
          <w:color w:val="000000"/>
        </w:rPr>
        <w:t>𝑊</w:t>
      </w:r>
      <w:r w:rsidRPr="00B847AA">
        <w:rPr>
          <w:rFonts w:ascii="Cambria Math" w:hAnsi="Cambria Math" w:cs="Cambria Math"/>
          <w:color w:val="000000"/>
          <w:vertAlign w:val="subscript"/>
        </w:rPr>
        <w:t>𝑖</w:t>
      </w:r>
      <w:r w:rsidRPr="00B847AA">
        <w:rPr>
          <w:rFonts w:ascii="Garamond" w:hAnsi="Garamond"/>
          <w:color w:val="000000"/>
        </w:rPr>
        <w:t>×</w:t>
      </w:r>
      <w:r w:rsidRPr="00B847AA">
        <w:rPr>
          <w:rFonts w:ascii="Cambria Math" w:hAnsi="Cambria Math" w:cs="Cambria Math"/>
          <w:color w:val="000000"/>
        </w:rPr>
        <w:t>𝑆𝐴𝐼</w:t>
      </w:r>
      <w:r w:rsidRPr="00B847AA">
        <w:rPr>
          <w:rFonts w:ascii="Cambria Math" w:hAnsi="Cambria Math" w:cs="Cambria Math"/>
          <w:color w:val="000000"/>
          <w:vertAlign w:val="subscript"/>
        </w:rPr>
        <w:t>𝑖</w:t>
      </w:r>
      <w:r w:rsidRPr="00B847AA">
        <w:rPr>
          <w:rFonts w:ascii="Garamond" w:hAnsi="Garamond"/>
          <w:color w:val="000000"/>
        </w:rPr>
        <w:t xml:space="preserve"> </w:t>
      </w:r>
      <w:r>
        <w:rPr>
          <w:rFonts w:ascii="Garamond" w:hAnsi="Garamond"/>
          <w:color w:val="000000"/>
        </w:rPr>
        <w:tab/>
        <w:t xml:space="preserve">Eqn </w:t>
      </w:r>
      <w:r w:rsidRPr="00B847AA">
        <w:rPr>
          <w:rFonts w:ascii="Garamond" w:hAnsi="Garamond"/>
          <w:color w:val="000000"/>
        </w:rPr>
        <w:t>(4)</w:t>
      </w:r>
    </w:p>
    <w:p w14:paraId="24272C3E" w14:textId="77777777" w:rsidR="00695343" w:rsidRPr="00B847AA" w:rsidRDefault="00695343" w:rsidP="00695343">
      <w:pPr>
        <w:pStyle w:val="NormalWeb"/>
        <w:spacing w:beforeAutospacing="0" w:afterAutospacing="0"/>
        <w:ind w:left="360"/>
        <w:rPr>
          <w:rFonts w:ascii="Garamond" w:hAnsi="Garamond"/>
          <w:color w:val="000000"/>
        </w:rPr>
      </w:pPr>
      <w:r w:rsidRPr="00B847AA">
        <w:rPr>
          <w:rFonts w:ascii="Garamond" w:hAnsi="Garamond"/>
          <w:color w:val="000000"/>
        </w:rPr>
        <w:t>Where:</w:t>
      </w:r>
    </w:p>
    <w:p w14:paraId="0DD900F9" w14:textId="77777777" w:rsidR="00695343" w:rsidRPr="00B847AA" w:rsidRDefault="00695343" w:rsidP="00695343">
      <w:pPr>
        <w:pStyle w:val="NormalWeb"/>
        <w:ind w:left="360"/>
        <w:rPr>
          <w:rFonts w:ascii="Garamond" w:hAnsi="Garamond"/>
          <w:color w:val="000000"/>
        </w:rPr>
      </w:pPr>
      <w:r w:rsidRPr="00B847AA">
        <w:rPr>
          <w:rFonts w:ascii="Garamond" w:hAnsi="Garamond"/>
          <w:color w:val="000000"/>
        </w:rPr>
        <w:t>PTE</w:t>
      </w:r>
      <w:r w:rsidRPr="00B847AA">
        <w:rPr>
          <w:rFonts w:ascii="Garamond" w:hAnsi="Garamond"/>
          <w:color w:val="000000"/>
          <w:vertAlign w:val="subscript"/>
        </w:rPr>
        <w:t>i</w:t>
      </w:r>
      <w:r w:rsidRPr="00B847AA">
        <w:rPr>
          <w:rFonts w:ascii="Garamond" w:hAnsi="Garamond"/>
          <w:color w:val="000000"/>
        </w:rPr>
        <w:t xml:space="preserve"> </w:t>
      </w:r>
      <w:r>
        <w:rPr>
          <w:rFonts w:ascii="Garamond" w:hAnsi="Garamond"/>
          <w:color w:val="000000"/>
        </w:rPr>
        <w:tab/>
      </w:r>
      <w:r w:rsidRPr="00B847AA">
        <w:rPr>
          <w:rFonts w:ascii="Garamond" w:hAnsi="Garamond"/>
          <w:color w:val="000000"/>
        </w:rPr>
        <w:t>= the potential to emit for the solvent cleaning machine i (kg/year)</w:t>
      </w:r>
    </w:p>
    <w:p w14:paraId="5906F7A5" w14:textId="77777777" w:rsidR="00695343" w:rsidRPr="00B847AA" w:rsidRDefault="00695343" w:rsidP="00695343">
      <w:pPr>
        <w:pStyle w:val="NormalWeb"/>
        <w:ind w:left="360"/>
        <w:rPr>
          <w:rFonts w:ascii="Garamond" w:hAnsi="Garamond"/>
          <w:color w:val="000000"/>
        </w:rPr>
      </w:pPr>
      <w:r w:rsidRPr="00B847AA">
        <w:rPr>
          <w:rFonts w:ascii="Garamond" w:hAnsi="Garamond"/>
          <w:color w:val="000000"/>
        </w:rPr>
        <w:t>H</w:t>
      </w:r>
      <w:r w:rsidRPr="00B847AA">
        <w:rPr>
          <w:rFonts w:ascii="Garamond" w:hAnsi="Garamond"/>
          <w:color w:val="000000"/>
          <w:vertAlign w:val="subscript"/>
        </w:rPr>
        <w:t>i</w:t>
      </w:r>
      <w:r>
        <w:rPr>
          <w:rFonts w:ascii="Garamond" w:hAnsi="Garamond"/>
          <w:color w:val="000000"/>
          <w:vertAlign w:val="subscript"/>
        </w:rPr>
        <w:tab/>
      </w:r>
      <w:r>
        <w:rPr>
          <w:rFonts w:ascii="Garamond" w:hAnsi="Garamond"/>
          <w:color w:val="000000"/>
          <w:vertAlign w:val="subscript"/>
        </w:rPr>
        <w:tab/>
      </w:r>
      <w:r w:rsidRPr="00B847AA">
        <w:rPr>
          <w:rFonts w:ascii="Garamond" w:hAnsi="Garamond"/>
          <w:color w:val="000000"/>
        </w:rPr>
        <w:t>= hours of operation for solvent machine i (hours/year)</w:t>
      </w:r>
    </w:p>
    <w:p w14:paraId="7B574EB4" w14:textId="77777777" w:rsidR="00695343" w:rsidRPr="00B847AA" w:rsidRDefault="00695343" w:rsidP="00695343">
      <w:pPr>
        <w:pStyle w:val="NormalWeb"/>
        <w:ind w:left="1080" w:firstLine="360"/>
        <w:rPr>
          <w:rFonts w:ascii="Garamond" w:hAnsi="Garamond"/>
          <w:color w:val="000000"/>
        </w:rPr>
      </w:pPr>
      <w:r w:rsidRPr="00B847AA">
        <w:rPr>
          <w:rFonts w:ascii="Garamond" w:hAnsi="Garamond"/>
          <w:color w:val="000000"/>
        </w:rPr>
        <w:t>=8760 hours, unless otherwise restricted by Federally enforceable requirement</w:t>
      </w:r>
    </w:p>
    <w:p w14:paraId="5F734075" w14:textId="77777777" w:rsidR="00695343" w:rsidRPr="00B847AA" w:rsidRDefault="00695343" w:rsidP="00695343">
      <w:pPr>
        <w:pStyle w:val="NormalWeb"/>
        <w:ind w:left="360"/>
        <w:rPr>
          <w:rFonts w:ascii="Garamond" w:hAnsi="Garamond"/>
          <w:color w:val="000000"/>
        </w:rPr>
      </w:pPr>
      <w:r w:rsidRPr="00B847AA">
        <w:rPr>
          <w:rFonts w:ascii="Garamond" w:hAnsi="Garamond"/>
          <w:color w:val="000000"/>
        </w:rPr>
        <w:t>W</w:t>
      </w:r>
      <w:r w:rsidRPr="00B847AA">
        <w:rPr>
          <w:rFonts w:ascii="Garamond" w:hAnsi="Garamond"/>
          <w:color w:val="000000"/>
          <w:vertAlign w:val="subscript"/>
        </w:rPr>
        <w:t>i</w:t>
      </w:r>
      <w:r w:rsidRPr="00B847AA">
        <w:rPr>
          <w:rFonts w:ascii="Garamond" w:hAnsi="Garamond"/>
          <w:color w:val="000000"/>
        </w:rPr>
        <w:t xml:space="preserve"> </w:t>
      </w:r>
      <w:r>
        <w:rPr>
          <w:rFonts w:ascii="Garamond" w:hAnsi="Garamond"/>
          <w:color w:val="000000"/>
        </w:rPr>
        <w:tab/>
      </w:r>
      <w:r>
        <w:rPr>
          <w:rFonts w:ascii="Garamond" w:hAnsi="Garamond"/>
          <w:color w:val="000000"/>
        </w:rPr>
        <w:tab/>
      </w:r>
      <w:r w:rsidRPr="00B847AA">
        <w:rPr>
          <w:rFonts w:ascii="Garamond" w:hAnsi="Garamond"/>
          <w:color w:val="000000"/>
        </w:rPr>
        <w:t>= the working mode uncontrolled emission rate (kg/m</w:t>
      </w:r>
      <w:r w:rsidRPr="00B847AA">
        <w:rPr>
          <w:rFonts w:ascii="Garamond" w:hAnsi="Garamond"/>
          <w:color w:val="000000"/>
          <w:vertAlign w:val="superscript"/>
        </w:rPr>
        <w:t>2</w:t>
      </w:r>
      <w:r w:rsidRPr="00B847AA">
        <w:rPr>
          <w:rFonts w:ascii="Garamond" w:hAnsi="Garamond"/>
          <w:color w:val="000000"/>
        </w:rPr>
        <w:t xml:space="preserve"> × hour)</w:t>
      </w:r>
    </w:p>
    <w:p w14:paraId="637CA616" w14:textId="77777777" w:rsidR="00695343" w:rsidRPr="00B847AA" w:rsidRDefault="00695343" w:rsidP="00695343">
      <w:pPr>
        <w:pStyle w:val="NormalWeb"/>
        <w:ind w:left="1080" w:firstLine="360"/>
        <w:rPr>
          <w:rFonts w:ascii="Garamond" w:hAnsi="Garamond"/>
          <w:color w:val="000000"/>
        </w:rPr>
      </w:pPr>
      <w:r w:rsidRPr="00B847AA">
        <w:rPr>
          <w:rFonts w:ascii="Garamond" w:hAnsi="Garamond"/>
          <w:color w:val="000000"/>
        </w:rPr>
        <w:t>= 1.95 kg/m</w:t>
      </w:r>
      <w:r w:rsidRPr="00B847AA">
        <w:rPr>
          <w:rFonts w:ascii="Garamond" w:hAnsi="Garamond"/>
          <w:color w:val="000000"/>
          <w:vertAlign w:val="superscript"/>
        </w:rPr>
        <w:t>2</w:t>
      </w:r>
      <w:r w:rsidRPr="00B847AA">
        <w:rPr>
          <w:rFonts w:ascii="Garamond" w:hAnsi="Garamond"/>
          <w:color w:val="000000"/>
        </w:rPr>
        <w:t xml:space="preserve"> × hour for batch cold cleaning machines</w:t>
      </w:r>
    </w:p>
    <w:p w14:paraId="3FFC952D" w14:textId="77777777" w:rsidR="00695343" w:rsidRPr="00B847AA" w:rsidRDefault="00695343" w:rsidP="00695343">
      <w:pPr>
        <w:pStyle w:val="NormalWeb"/>
        <w:ind w:left="360"/>
        <w:rPr>
          <w:rFonts w:ascii="Garamond" w:hAnsi="Garamond"/>
          <w:color w:val="000000"/>
        </w:rPr>
      </w:pPr>
      <w:r w:rsidRPr="00B847AA">
        <w:rPr>
          <w:rFonts w:ascii="Garamond" w:hAnsi="Garamond"/>
          <w:color w:val="000000"/>
        </w:rPr>
        <w:t>SAI</w:t>
      </w:r>
      <w:r w:rsidRPr="00B847AA">
        <w:rPr>
          <w:rFonts w:ascii="Garamond" w:hAnsi="Garamond"/>
          <w:color w:val="000000"/>
          <w:vertAlign w:val="subscript"/>
        </w:rPr>
        <w:t>i</w:t>
      </w:r>
      <w:r w:rsidRPr="00B847AA">
        <w:rPr>
          <w:rFonts w:ascii="Garamond" w:hAnsi="Garamond"/>
          <w:color w:val="000000"/>
        </w:rPr>
        <w:t xml:space="preserve"> </w:t>
      </w:r>
      <w:r>
        <w:rPr>
          <w:rFonts w:ascii="Garamond" w:hAnsi="Garamond"/>
          <w:color w:val="000000"/>
        </w:rPr>
        <w:tab/>
      </w:r>
      <w:r w:rsidRPr="00B847AA">
        <w:rPr>
          <w:rFonts w:ascii="Garamond" w:hAnsi="Garamond"/>
          <w:color w:val="000000"/>
        </w:rPr>
        <w:t>= the solvent/air interface area of machine I (square meters)</w:t>
      </w:r>
    </w:p>
    <w:p w14:paraId="57F3AA80" w14:textId="77777777" w:rsidR="00695343" w:rsidRPr="00B847AA" w:rsidRDefault="00695343" w:rsidP="00695343">
      <w:pPr>
        <w:pStyle w:val="NormalWeb"/>
        <w:ind w:left="1080" w:firstLine="360"/>
        <w:rPr>
          <w:rFonts w:ascii="Garamond" w:hAnsi="Garamond"/>
          <w:color w:val="000000"/>
        </w:rPr>
      </w:pPr>
      <w:r w:rsidRPr="00B847AA">
        <w:rPr>
          <w:rFonts w:ascii="Garamond" w:hAnsi="Garamond"/>
          <w:color w:val="000000"/>
        </w:rPr>
        <w:t>= 0.987 square meters for Montana Silversmiths’ machine</w:t>
      </w:r>
    </w:p>
    <w:p w14:paraId="39E0D175" w14:textId="77777777" w:rsidR="00695343" w:rsidRPr="00B847AA" w:rsidRDefault="00695343" w:rsidP="00695343">
      <w:pPr>
        <w:pStyle w:val="NormalWeb"/>
        <w:ind w:left="360"/>
        <w:rPr>
          <w:rFonts w:ascii="Garamond" w:hAnsi="Garamond"/>
          <w:color w:val="000000"/>
        </w:rPr>
      </w:pPr>
      <w:r w:rsidRPr="00B847AA">
        <w:rPr>
          <w:rFonts w:ascii="Garamond" w:hAnsi="Garamond"/>
          <w:color w:val="000000"/>
        </w:rPr>
        <w:t>The potential to emit calculation is performed</w:t>
      </w:r>
      <w:r>
        <w:rPr>
          <w:rFonts w:ascii="Garamond" w:hAnsi="Garamond"/>
          <w:color w:val="000000"/>
        </w:rPr>
        <w:t xml:space="preserve"> </w:t>
      </w:r>
      <w:r w:rsidRPr="00B847AA">
        <w:rPr>
          <w:rFonts w:ascii="Garamond" w:hAnsi="Garamond"/>
          <w:color w:val="000000"/>
        </w:rPr>
        <w:t>below:</w:t>
      </w:r>
    </w:p>
    <w:p w14:paraId="00D050FF" w14:textId="77777777" w:rsidR="00695343" w:rsidRPr="00B847AA" w:rsidRDefault="00695343" w:rsidP="00695343">
      <w:pPr>
        <w:pStyle w:val="NormalWeb"/>
        <w:ind w:left="360"/>
        <w:rPr>
          <w:rFonts w:ascii="Garamond" w:hAnsi="Garamond"/>
          <w:color w:val="000000"/>
        </w:rPr>
      </w:pPr>
      <w:r w:rsidRPr="00B847AA">
        <w:rPr>
          <w:rFonts w:ascii="Cambria Math" w:hAnsi="Cambria Math" w:cs="Cambria Math"/>
          <w:color w:val="000000"/>
        </w:rPr>
        <w:t>𝑃𝑇𝐸</w:t>
      </w:r>
      <w:r w:rsidRPr="00B847AA">
        <w:rPr>
          <w:rFonts w:ascii="Cambria Math" w:hAnsi="Cambria Math" w:cs="Cambria Math"/>
          <w:color w:val="000000"/>
          <w:vertAlign w:val="subscript"/>
        </w:rPr>
        <w:t>𝑖</w:t>
      </w:r>
      <w:r w:rsidRPr="00B847AA">
        <w:rPr>
          <w:rFonts w:ascii="Garamond" w:hAnsi="Garamond"/>
          <w:color w:val="000000"/>
        </w:rPr>
        <w:t>=8760(</w:t>
      </w:r>
      <w:r w:rsidRPr="00B847AA">
        <w:rPr>
          <w:color w:val="000000"/>
        </w:rPr>
        <w:t>ℎ</w:t>
      </w:r>
      <w:r w:rsidRPr="00B847AA">
        <w:rPr>
          <w:rFonts w:ascii="Cambria Math" w:hAnsi="Cambria Math" w:cs="Cambria Math"/>
          <w:color w:val="000000"/>
        </w:rPr>
        <w:t>𝑟𝑠</w:t>
      </w:r>
      <w:r w:rsidRPr="00B847AA">
        <w:rPr>
          <w:rFonts w:ascii="Garamond" w:hAnsi="Garamond"/>
          <w:color w:val="000000"/>
        </w:rPr>
        <w:t>/</w:t>
      </w:r>
      <w:proofErr w:type="gramStart"/>
      <w:r w:rsidRPr="00B847AA">
        <w:rPr>
          <w:rFonts w:ascii="Cambria Math" w:hAnsi="Cambria Math" w:cs="Cambria Math"/>
          <w:color w:val="000000"/>
        </w:rPr>
        <w:t>𝑦𝑒𝑎𝑟</w:t>
      </w:r>
      <w:r w:rsidRPr="00B847AA">
        <w:rPr>
          <w:rFonts w:ascii="Garamond" w:hAnsi="Garamond"/>
          <w:color w:val="000000"/>
        </w:rPr>
        <w:t>)×</w:t>
      </w:r>
      <w:proofErr w:type="gramEnd"/>
      <w:r w:rsidRPr="00B847AA">
        <w:rPr>
          <w:rFonts w:ascii="Garamond" w:hAnsi="Garamond"/>
          <w:color w:val="000000"/>
        </w:rPr>
        <w:t>1.95(</w:t>
      </w:r>
      <w:r w:rsidRPr="00B847AA">
        <w:rPr>
          <w:rFonts w:ascii="Cambria Math" w:hAnsi="Cambria Math" w:cs="Cambria Math"/>
          <w:color w:val="000000"/>
        </w:rPr>
        <w:t>𝑘𝑔</w:t>
      </w:r>
      <w:r>
        <w:rPr>
          <w:rFonts w:ascii="Cambria Math" w:hAnsi="Cambria Math" w:cs="Cambria Math"/>
          <w:color w:val="000000"/>
        </w:rPr>
        <w:t>/</w:t>
      </w:r>
      <w:r w:rsidRPr="00B847AA">
        <w:rPr>
          <w:rFonts w:ascii="Cambria Math" w:hAnsi="Cambria Math" w:cs="Cambria Math"/>
          <w:color w:val="000000"/>
        </w:rPr>
        <w:t>𝑚</w:t>
      </w:r>
      <w:r w:rsidRPr="00B847AA">
        <w:rPr>
          <w:rFonts w:ascii="Garamond" w:hAnsi="Garamond"/>
          <w:color w:val="000000"/>
          <w:vertAlign w:val="superscript"/>
        </w:rPr>
        <w:t>2</w:t>
      </w:r>
      <w:r w:rsidRPr="00B847AA">
        <w:rPr>
          <w:rFonts w:ascii="Garamond" w:hAnsi="Garamond"/>
          <w:color w:val="000000"/>
        </w:rPr>
        <w:t>×</w:t>
      </w:r>
      <w:proofErr w:type="gramStart"/>
      <w:r w:rsidRPr="00B847AA">
        <w:rPr>
          <w:color w:val="000000"/>
        </w:rPr>
        <w:t>ℎ</w:t>
      </w:r>
      <w:r w:rsidRPr="00B847AA">
        <w:rPr>
          <w:rFonts w:ascii="Cambria Math" w:hAnsi="Cambria Math" w:cs="Cambria Math"/>
          <w:color w:val="000000"/>
        </w:rPr>
        <w:t>𝑟</w:t>
      </w:r>
      <w:r w:rsidRPr="00B847AA">
        <w:rPr>
          <w:rFonts w:ascii="Garamond" w:hAnsi="Garamond"/>
          <w:color w:val="000000"/>
        </w:rPr>
        <w:t>)×</w:t>
      </w:r>
      <w:proofErr w:type="gramEnd"/>
      <w:r w:rsidRPr="00B847AA">
        <w:rPr>
          <w:rFonts w:ascii="Garamond" w:hAnsi="Garamond"/>
          <w:color w:val="000000"/>
        </w:rPr>
        <w:t>0.987(</w:t>
      </w:r>
      <w:r w:rsidRPr="00B847AA">
        <w:rPr>
          <w:rFonts w:ascii="Cambria Math" w:hAnsi="Cambria Math" w:cs="Cambria Math"/>
          <w:color w:val="000000"/>
        </w:rPr>
        <w:t>𝑚</w:t>
      </w:r>
      <w:proofErr w:type="gramStart"/>
      <w:r w:rsidRPr="00B847AA">
        <w:rPr>
          <w:rFonts w:ascii="Garamond" w:hAnsi="Garamond"/>
          <w:color w:val="000000"/>
          <w:vertAlign w:val="superscript"/>
        </w:rPr>
        <w:t>2</w:t>
      </w:r>
      <w:r w:rsidRPr="00B847AA">
        <w:rPr>
          <w:rFonts w:ascii="Garamond" w:hAnsi="Garamond"/>
          <w:color w:val="000000"/>
        </w:rPr>
        <w:t>)=</w:t>
      </w:r>
      <w:proofErr w:type="gramEnd"/>
      <w:r w:rsidRPr="00B847AA">
        <w:rPr>
          <w:rFonts w:ascii="Garamond" w:hAnsi="Garamond"/>
          <w:color w:val="000000"/>
        </w:rPr>
        <w:t>16,859.9(</w:t>
      </w:r>
      <w:r w:rsidRPr="00B847AA">
        <w:rPr>
          <w:rFonts w:ascii="Cambria Math" w:hAnsi="Cambria Math" w:cs="Cambria Math"/>
          <w:color w:val="000000"/>
        </w:rPr>
        <w:t>𝑘𝑔</w:t>
      </w:r>
      <w:r w:rsidRPr="00B847AA">
        <w:rPr>
          <w:rFonts w:ascii="Garamond" w:hAnsi="Garamond"/>
          <w:color w:val="000000"/>
        </w:rPr>
        <w:t>)</w:t>
      </w:r>
    </w:p>
    <w:p w14:paraId="6044A53E" w14:textId="7683A795" w:rsidR="00695343" w:rsidRPr="00695343" w:rsidRDefault="00695343" w:rsidP="003E4AC1">
      <w:pPr>
        <w:pStyle w:val="NormalWeb"/>
        <w:spacing w:before="0" w:beforeAutospacing="0" w:after="0" w:afterAutospacing="0"/>
        <w:ind w:left="360"/>
        <w:rPr>
          <w:rFonts w:ascii="Garamond" w:hAnsi="Garamond"/>
          <w:color w:val="000000"/>
        </w:rPr>
      </w:pPr>
      <w:r w:rsidRPr="00B847AA">
        <w:rPr>
          <w:rFonts w:ascii="Garamond" w:hAnsi="Garamond"/>
          <w:color w:val="000000"/>
        </w:rPr>
        <w:t xml:space="preserve">As shown, the total calculated potential to </w:t>
      </w:r>
      <w:proofErr w:type="gramStart"/>
      <w:r w:rsidRPr="00B847AA">
        <w:rPr>
          <w:rFonts w:ascii="Garamond" w:hAnsi="Garamond"/>
          <w:color w:val="000000"/>
        </w:rPr>
        <w:t>emit for</w:t>
      </w:r>
      <w:proofErr w:type="gramEnd"/>
      <w:r w:rsidRPr="00B847AA">
        <w:rPr>
          <w:rFonts w:ascii="Garamond" w:hAnsi="Garamond"/>
          <w:color w:val="000000"/>
        </w:rPr>
        <w:t xml:space="preserve"> Montana Silversmiths is 16,589.9 kilograms per year. This converts to 18.58 US tons</w:t>
      </w:r>
      <w:r>
        <w:rPr>
          <w:rFonts w:ascii="Garamond" w:hAnsi="Garamond"/>
          <w:color w:val="000000"/>
        </w:rPr>
        <w:t xml:space="preserve"> which exceeds the 10 </w:t>
      </w:r>
      <w:proofErr w:type="gramStart"/>
      <w:r>
        <w:rPr>
          <w:rFonts w:ascii="Garamond" w:hAnsi="Garamond"/>
          <w:color w:val="000000"/>
        </w:rPr>
        <w:t>ton</w:t>
      </w:r>
      <w:proofErr w:type="gramEnd"/>
      <w:r>
        <w:rPr>
          <w:rFonts w:ascii="Garamond" w:hAnsi="Garamond"/>
          <w:color w:val="000000"/>
        </w:rPr>
        <w:t xml:space="preserve"> per year threshold for a major source of HAPs.</w:t>
      </w:r>
    </w:p>
    <w:p w14:paraId="1852D68E" w14:textId="77777777" w:rsidR="00B51FD9" w:rsidRPr="003C10F7" w:rsidRDefault="00B51FD9" w:rsidP="00C67C26">
      <w:pPr>
        <w:pStyle w:val="BodyTextInden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sz w:val="24"/>
          <w:szCs w:val="24"/>
        </w:rPr>
      </w:pPr>
    </w:p>
    <w:p w14:paraId="3CFDB22B" w14:textId="77777777" w:rsidR="002660F8" w:rsidRPr="00B51FD9" w:rsidRDefault="002660F8" w:rsidP="00516267">
      <w:pPr>
        <w:pStyle w:val="Heading2"/>
        <w:spacing w:before="0" w:beforeAutospacing="0" w:after="0" w:afterAutospacing="0"/>
        <w:rPr>
          <w:rFonts w:ascii="Garamond" w:hAnsi="Garamond"/>
          <w:sz w:val="24"/>
          <w:szCs w:val="24"/>
        </w:rPr>
      </w:pPr>
      <w:bookmarkStart w:id="14" w:name="_Toc52529206"/>
      <w:r w:rsidRPr="00B51FD9">
        <w:rPr>
          <w:rFonts w:ascii="Garamond" w:hAnsi="Garamond"/>
          <w:sz w:val="24"/>
          <w:szCs w:val="24"/>
        </w:rPr>
        <w:t>Monitoring Requirements</w:t>
      </w:r>
      <w:r w:rsidR="00E52506" w:rsidRPr="00B51FD9">
        <w:rPr>
          <w:rFonts w:ascii="Garamond" w:hAnsi="Garamond"/>
          <w:sz w:val="24"/>
          <w:szCs w:val="24"/>
        </w:rPr>
        <w:t>:</w:t>
      </w:r>
      <w:bookmarkEnd w:id="14"/>
    </w:p>
    <w:p w14:paraId="6BA8F861" w14:textId="77777777" w:rsidR="00B51FD9" w:rsidRPr="003C10F7" w:rsidRDefault="00B51FD9" w:rsidP="00B51FD9">
      <w:pPr>
        <w:rPr>
          <w:rFonts w:ascii="Garamond" w:hAnsi="Garamond"/>
          <w:sz w:val="24"/>
          <w:szCs w:val="24"/>
        </w:rPr>
      </w:pPr>
    </w:p>
    <w:p w14:paraId="4C4D9C7F" w14:textId="77777777" w:rsidR="002660F8" w:rsidRPr="00B51FD9" w:rsidRDefault="002660F8">
      <w:pPr>
        <w:pStyle w:val="BodyText"/>
        <w:ind w:left="360"/>
        <w:rPr>
          <w:rFonts w:ascii="Garamond" w:hAnsi="Garamond"/>
          <w:sz w:val="24"/>
          <w:szCs w:val="24"/>
        </w:rPr>
      </w:pPr>
      <w:r w:rsidRPr="00B51FD9">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proofErr w:type="gramStart"/>
      <w:r w:rsidRPr="00B51FD9">
        <w:rPr>
          <w:rFonts w:ascii="Garamond" w:hAnsi="Garamond"/>
          <w:sz w:val="24"/>
          <w:szCs w:val="24"/>
        </w:rPr>
        <w:t>time period</w:t>
      </w:r>
      <w:proofErr w:type="gramEnd"/>
      <w:r w:rsidRPr="00B51FD9">
        <w:rPr>
          <w:rFonts w:ascii="Garamond" w:hAnsi="Garamond"/>
          <w:sz w:val="24"/>
          <w:szCs w:val="24"/>
        </w:rPr>
        <w:t xml:space="preserve"> that is representative of the source's compliance with the permit.</w:t>
      </w:r>
    </w:p>
    <w:p w14:paraId="58798655" w14:textId="77777777" w:rsidR="002660F8" w:rsidRPr="003C10F7" w:rsidRDefault="002660F8">
      <w:pPr>
        <w:rPr>
          <w:rFonts w:ascii="Garamond" w:hAnsi="Garamond"/>
          <w:sz w:val="24"/>
          <w:szCs w:val="24"/>
        </w:rPr>
      </w:pPr>
    </w:p>
    <w:p w14:paraId="49234EAF" w14:textId="77777777" w:rsidR="002660F8" w:rsidRPr="00B51FD9" w:rsidRDefault="002660F8">
      <w:pPr>
        <w:ind w:left="360"/>
        <w:rPr>
          <w:rFonts w:ascii="Garamond" w:hAnsi="Garamond"/>
          <w:sz w:val="24"/>
          <w:szCs w:val="24"/>
        </w:rPr>
      </w:pPr>
      <w:r w:rsidRPr="00B51FD9">
        <w:rPr>
          <w:rFonts w:ascii="Garamond" w:hAnsi="Garamond"/>
          <w:sz w:val="24"/>
          <w:szCs w:val="24"/>
        </w:rPr>
        <w:t xml:space="preserve">The requirements for testing, monitoring, </w:t>
      </w:r>
      <w:r w:rsidR="00E52506" w:rsidRPr="00B51FD9">
        <w:rPr>
          <w:rFonts w:ascii="Garamond" w:hAnsi="Garamond"/>
          <w:sz w:val="24"/>
          <w:szCs w:val="24"/>
        </w:rPr>
        <w:t>record keeping</w:t>
      </w:r>
      <w:r w:rsidRPr="00B51FD9">
        <w:rPr>
          <w:rFonts w:ascii="Garamond" w:hAnsi="Garamond"/>
          <w:sz w:val="24"/>
          <w:szCs w:val="24"/>
        </w:rPr>
        <w:t xml:space="preserve">, reporting, and compliance certification sufficient to </w:t>
      </w:r>
      <w:proofErr w:type="gramStart"/>
      <w:r w:rsidRPr="00B51FD9">
        <w:rPr>
          <w:rFonts w:ascii="Garamond" w:hAnsi="Garamond"/>
          <w:sz w:val="24"/>
          <w:szCs w:val="24"/>
        </w:rPr>
        <w:t>assure</w:t>
      </w:r>
      <w:proofErr w:type="gramEnd"/>
      <w:r w:rsidRPr="00B51FD9">
        <w:rPr>
          <w:rFonts w:ascii="Garamond" w:hAnsi="Garamond"/>
          <w:sz w:val="24"/>
          <w:szCs w:val="24"/>
        </w:rPr>
        <w:t xml:space="preserve"> compliance does not require the permit to impose the same level of rigor for all emission units.  Furthermore, it does not require extensive testing or monitoring to assure compliance with the applicable requirements for emission units that do not have </w:t>
      </w:r>
      <w:r w:rsidRPr="00B51FD9">
        <w:rPr>
          <w:rFonts w:ascii="Garamond" w:hAnsi="Garamond"/>
          <w:sz w:val="24"/>
          <w:szCs w:val="24"/>
        </w:rPr>
        <w:lastRenderedPageBreak/>
        <w:t xml:space="preserve">significant potential to violate emission limitations or other requirements under normal operating conditions.  When compliance with the underlying applicable requirement for </w:t>
      </w:r>
      <w:r w:rsidR="001B6833" w:rsidRPr="00B51FD9">
        <w:rPr>
          <w:rFonts w:ascii="Garamond" w:hAnsi="Garamond"/>
          <w:sz w:val="24"/>
          <w:szCs w:val="24"/>
        </w:rPr>
        <w:t>an</w:t>
      </w:r>
      <w:r w:rsidRPr="00B51FD9">
        <w:rPr>
          <w:rFonts w:ascii="Garamond" w:hAnsi="Garamond"/>
          <w:sz w:val="24"/>
          <w:szCs w:val="24"/>
        </w:rPr>
        <w:t xml:space="preserve"> insignificant emissions unit is not threatened by lack of regular monitoring and when periodic testing or monitoring is not otherwise required by the applicable requirement, the status quo </w:t>
      </w:r>
      <w:r w:rsidRPr="00B51FD9">
        <w:rPr>
          <w:rFonts w:ascii="Garamond" w:hAnsi="Garamond"/>
          <w:b/>
          <w:sz w:val="24"/>
          <w:szCs w:val="24"/>
        </w:rPr>
        <w:t>(i.e., no monitoring)</w:t>
      </w:r>
      <w:r w:rsidRPr="00B51FD9">
        <w:rPr>
          <w:rFonts w:ascii="Garamond" w:hAnsi="Garamond"/>
          <w:sz w:val="24"/>
          <w:szCs w:val="24"/>
        </w:rPr>
        <w:t xml:space="preserve"> will meet the requirements of ARM 17.8.1212(1).  Therefore, the permit does not include monitoring for insignificant emission units.</w:t>
      </w:r>
    </w:p>
    <w:p w14:paraId="6A8E6750" w14:textId="77777777" w:rsidR="002660F8" w:rsidRPr="003C10F7" w:rsidRDefault="002660F8">
      <w:pPr>
        <w:rPr>
          <w:rFonts w:ascii="Garamond" w:hAnsi="Garamond"/>
          <w:sz w:val="24"/>
          <w:szCs w:val="24"/>
        </w:rPr>
      </w:pPr>
    </w:p>
    <w:p w14:paraId="741E5CCC" w14:textId="392AD9AA" w:rsidR="002660F8" w:rsidRPr="00B51FD9" w:rsidRDefault="002660F8" w:rsidP="00516267">
      <w:pPr>
        <w:ind w:left="360"/>
        <w:rPr>
          <w:rFonts w:ascii="Garamond" w:hAnsi="Garamond"/>
          <w:sz w:val="24"/>
          <w:szCs w:val="24"/>
        </w:rPr>
      </w:pPr>
      <w:r w:rsidRPr="00B51FD9">
        <w:rPr>
          <w:rFonts w:ascii="Garamond" w:hAnsi="Garamond"/>
          <w:sz w:val="24"/>
          <w:szCs w:val="24"/>
        </w:rPr>
        <w:t xml:space="preserve">The permit includes periodic monitoring or </w:t>
      </w:r>
      <w:r w:rsidR="00E52506" w:rsidRPr="00B51FD9">
        <w:rPr>
          <w:rFonts w:ascii="Garamond" w:hAnsi="Garamond"/>
          <w:sz w:val="24"/>
          <w:szCs w:val="24"/>
        </w:rPr>
        <w:t>record keeping</w:t>
      </w:r>
      <w:r w:rsidRPr="00B51FD9">
        <w:rPr>
          <w:rFonts w:ascii="Garamond" w:hAnsi="Garamond"/>
          <w:sz w:val="24"/>
          <w:szCs w:val="24"/>
        </w:rPr>
        <w:t xml:space="preserve"> for each applicable requirement.  The information obtained from the monitoring and </w:t>
      </w:r>
      <w:r w:rsidR="00E52506" w:rsidRPr="00B51FD9">
        <w:rPr>
          <w:rFonts w:ascii="Garamond" w:hAnsi="Garamond"/>
          <w:sz w:val="24"/>
          <w:szCs w:val="24"/>
        </w:rPr>
        <w:t>record keeping</w:t>
      </w:r>
      <w:r w:rsidRPr="00B51FD9">
        <w:rPr>
          <w:rFonts w:ascii="Garamond" w:hAnsi="Garamond"/>
          <w:sz w:val="24"/>
          <w:szCs w:val="24"/>
        </w:rPr>
        <w:t xml:space="preserve"> will be used by the permittee to periodically certify compliance with the emission limits and standards.  However, </w:t>
      </w:r>
      <w:r w:rsidR="00EE4EF5">
        <w:rPr>
          <w:rFonts w:ascii="Garamond" w:hAnsi="Garamond"/>
          <w:sz w:val="24"/>
          <w:szCs w:val="24"/>
        </w:rPr>
        <w:t>DEQ</w:t>
      </w:r>
      <w:r w:rsidRPr="00B51FD9">
        <w:rPr>
          <w:rFonts w:ascii="Garamond" w:hAnsi="Garamond"/>
          <w:sz w:val="24"/>
          <w:szCs w:val="24"/>
        </w:rPr>
        <w:t xml:space="preserve"> may request additional testing to determine compliance with the emission limits and standards.</w:t>
      </w:r>
    </w:p>
    <w:p w14:paraId="4BDAFE29" w14:textId="77777777" w:rsidR="00B51FD9" w:rsidRPr="003C10F7" w:rsidRDefault="00B51FD9" w:rsidP="00C67C26">
      <w:pPr>
        <w:rPr>
          <w:rFonts w:ascii="Garamond" w:hAnsi="Garamond"/>
          <w:sz w:val="24"/>
          <w:szCs w:val="24"/>
        </w:rPr>
      </w:pPr>
    </w:p>
    <w:p w14:paraId="2B555512" w14:textId="77777777" w:rsidR="002660F8" w:rsidRPr="00B51FD9" w:rsidRDefault="002660F8" w:rsidP="00516267">
      <w:pPr>
        <w:pStyle w:val="Heading2"/>
        <w:spacing w:before="0" w:beforeAutospacing="0" w:after="0" w:afterAutospacing="0"/>
        <w:rPr>
          <w:rFonts w:ascii="Garamond" w:hAnsi="Garamond"/>
          <w:sz w:val="24"/>
          <w:szCs w:val="24"/>
        </w:rPr>
      </w:pPr>
      <w:bookmarkStart w:id="15" w:name="_Toc52529207"/>
      <w:r w:rsidRPr="00B51FD9">
        <w:rPr>
          <w:rFonts w:ascii="Garamond" w:hAnsi="Garamond"/>
          <w:sz w:val="24"/>
          <w:szCs w:val="24"/>
        </w:rPr>
        <w:t>Test Methods and Procedures</w:t>
      </w:r>
      <w:r w:rsidR="00E52506" w:rsidRPr="00B51FD9">
        <w:rPr>
          <w:rFonts w:ascii="Garamond" w:hAnsi="Garamond"/>
          <w:sz w:val="24"/>
          <w:szCs w:val="24"/>
        </w:rPr>
        <w:t>:</w:t>
      </w:r>
      <w:bookmarkEnd w:id="15"/>
    </w:p>
    <w:p w14:paraId="03AD55C8" w14:textId="77777777" w:rsidR="00B51FD9" w:rsidRPr="003C10F7" w:rsidRDefault="00B51FD9" w:rsidP="00B51FD9">
      <w:pPr>
        <w:rPr>
          <w:rFonts w:ascii="Garamond" w:hAnsi="Garamond"/>
          <w:sz w:val="24"/>
          <w:szCs w:val="24"/>
        </w:rPr>
      </w:pPr>
    </w:p>
    <w:p w14:paraId="2BC07CA6" w14:textId="10D16E92" w:rsidR="002660F8" w:rsidRPr="00B51FD9" w:rsidRDefault="002660F8" w:rsidP="00516267">
      <w:pPr>
        <w:ind w:left="360"/>
        <w:rPr>
          <w:rFonts w:ascii="Garamond" w:hAnsi="Garamond"/>
          <w:sz w:val="24"/>
          <w:szCs w:val="24"/>
        </w:rPr>
      </w:pPr>
      <w:r w:rsidRPr="00B51FD9">
        <w:rPr>
          <w:rFonts w:ascii="Garamond" w:hAnsi="Garamond"/>
          <w:sz w:val="24"/>
          <w:szCs w:val="24"/>
        </w:rPr>
        <w:t xml:space="preserve">The operating permit may not require testing for all sources if routine monitoring is used to determine compliance, but </w:t>
      </w:r>
      <w:r w:rsidR="00EE4EF5">
        <w:rPr>
          <w:rFonts w:ascii="Garamond" w:hAnsi="Garamond"/>
          <w:sz w:val="24"/>
          <w:szCs w:val="24"/>
        </w:rPr>
        <w:t>DEQ</w:t>
      </w:r>
      <w:r w:rsidRPr="00B51FD9">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127ABF7A" w14:textId="77777777" w:rsidR="00B51FD9" w:rsidRPr="003C10F7" w:rsidRDefault="00B51FD9" w:rsidP="00C67C26">
      <w:pPr>
        <w:rPr>
          <w:rFonts w:ascii="Garamond" w:hAnsi="Garamond"/>
          <w:sz w:val="24"/>
          <w:szCs w:val="24"/>
        </w:rPr>
      </w:pPr>
    </w:p>
    <w:p w14:paraId="0A1076A0" w14:textId="77777777" w:rsidR="002660F8" w:rsidRPr="00B51FD9" w:rsidRDefault="00E52506" w:rsidP="00516267">
      <w:pPr>
        <w:pStyle w:val="Heading2"/>
        <w:spacing w:before="0" w:beforeAutospacing="0" w:after="0" w:afterAutospacing="0"/>
        <w:rPr>
          <w:rFonts w:ascii="Garamond" w:hAnsi="Garamond"/>
          <w:sz w:val="24"/>
          <w:szCs w:val="24"/>
        </w:rPr>
      </w:pPr>
      <w:bookmarkStart w:id="16" w:name="_Toc52529208"/>
      <w:r w:rsidRPr="00B51FD9">
        <w:rPr>
          <w:rFonts w:ascii="Garamond" w:hAnsi="Garamond"/>
          <w:sz w:val="24"/>
          <w:szCs w:val="24"/>
        </w:rPr>
        <w:t>Record keeping</w:t>
      </w:r>
      <w:r w:rsidR="002660F8" w:rsidRPr="00B51FD9">
        <w:rPr>
          <w:rFonts w:ascii="Garamond" w:hAnsi="Garamond"/>
          <w:sz w:val="24"/>
          <w:szCs w:val="24"/>
        </w:rPr>
        <w:t xml:space="preserve"> Requirements</w:t>
      </w:r>
      <w:r w:rsidRPr="00B51FD9">
        <w:rPr>
          <w:rFonts w:ascii="Garamond" w:hAnsi="Garamond"/>
          <w:sz w:val="24"/>
          <w:szCs w:val="24"/>
        </w:rPr>
        <w:t>:</w:t>
      </w:r>
      <w:bookmarkEnd w:id="16"/>
    </w:p>
    <w:p w14:paraId="34A3A0A8" w14:textId="77777777" w:rsidR="00B51FD9" w:rsidRPr="003C10F7" w:rsidRDefault="00B51FD9" w:rsidP="00B51FD9">
      <w:pPr>
        <w:rPr>
          <w:rFonts w:ascii="Garamond" w:hAnsi="Garamond"/>
          <w:sz w:val="24"/>
          <w:szCs w:val="24"/>
        </w:rPr>
      </w:pPr>
    </w:p>
    <w:p w14:paraId="04572048" w14:textId="77777777" w:rsidR="002660F8" w:rsidRDefault="002660F8" w:rsidP="00516267">
      <w:pPr>
        <w:pStyle w:val="BodyText"/>
        <w:ind w:left="360"/>
        <w:rPr>
          <w:rFonts w:ascii="Garamond" w:hAnsi="Garamond"/>
          <w:sz w:val="24"/>
          <w:szCs w:val="24"/>
        </w:rPr>
      </w:pPr>
      <w:r w:rsidRPr="00B51FD9">
        <w:rPr>
          <w:rFonts w:ascii="Garamond" w:hAnsi="Garamond"/>
          <w:sz w:val="24"/>
          <w:szCs w:val="24"/>
        </w:rPr>
        <w:t xml:space="preserve">The permittee is required to keep all records listed in the operating permit as a permanent business record for at least </w:t>
      </w:r>
      <w:r w:rsidR="00C52E7A" w:rsidRPr="00B51FD9">
        <w:rPr>
          <w:rFonts w:ascii="Garamond" w:hAnsi="Garamond"/>
          <w:sz w:val="24"/>
          <w:szCs w:val="24"/>
        </w:rPr>
        <w:t>5</w:t>
      </w:r>
      <w:r w:rsidRPr="00B51FD9">
        <w:rPr>
          <w:rFonts w:ascii="Garamond" w:hAnsi="Garamond"/>
          <w:sz w:val="24"/>
          <w:szCs w:val="24"/>
        </w:rPr>
        <w:t xml:space="preserve"> years following the date of the generation of the record.</w:t>
      </w:r>
    </w:p>
    <w:p w14:paraId="6A845A7F" w14:textId="77777777" w:rsidR="003E4AC1" w:rsidRPr="00B51FD9" w:rsidRDefault="003E4AC1" w:rsidP="00516267">
      <w:pPr>
        <w:pStyle w:val="BodyText"/>
        <w:ind w:left="360"/>
        <w:rPr>
          <w:rFonts w:ascii="Garamond" w:hAnsi="Garamond"/>
          <w:sz w:val="24"/>
          <w:szCs w:val="24"/>
        </w:rPr>
      </w:pPr>
    </w:p>
    <w:p w14:paraId="5DD0A41C" w14:textId="77777777" w:rsidR="002660F8" w:rsidRPr="00B51FD9" w:rsidRDefault="002660F8" w:rsidP="00516267">
      <w:pPr>
        <w:pStyle w:val="Heading2"/>
        <w:spacing w:before="0" w:beforeAutospacing="0" w:after="0" w:afterAutospacing="0"/>
        <w:rPr>
          <w:rFonts w:ascii="Garamond" w:hAnsi="Garamond"/>
          <w:sz w:val="24"/>
          <w:szCs w:val="24"/>
        </w:rPr>
      </w:pPr>
      <w:bookmarkStart w:id="17" w:name="_Toc52529209"/>
      <w:r w:rsidRPr="00B51FD9">
        <w:rPr>
          <w:rFonts w:ascii="Garamond" w:hAnsi="Garamond"/>
          <w:sz w:val="24"/>
          <w:szCs w:val="24"/>
        </w:rPr>
        <w:t>Reporting Requirements</w:t>
      </w:r>
      <w:r w:rsidR="00E52506" w:rsidRPr="00B51FD9">
        <w:rPr>
          <w:rFonts w:ascii="Garamond" w:hAnsi="Garamond"/>
          <w:sz w:val="24"/>
          <w:szCs w:val="24"/>
        </w:rPr>
        <w:t>:</w:t>
      </w:r>
      <w:bookmarkEnd w:id="17"/>
    </w:p>
    <w:p w14:paraId="2834BB49" w14:textId="77777777" w:rsidR="00B51FD9" w:rsidRPr="003C10F7" w:rsidRDefault="00B51FD9" w:rsidP="00B51FD9">
      <w:pPr>
        <w:rPr>
          <w:rFonts w:ascii="Garamond" w:hAnsi="Garamond"/>
          <w:sz w:val="24"/>
          <w:szCs w:val="24"/>
        </w:rPr>
      </w:pPr>
    </w:p>
    <w:p w14:paraId="0A01B5B1" w14:textId="010250F4" w:rsidR="002660F8" w:rsidRDefault="002660F8" w:rsidP="00516267">
      <w:pPr>
        <w:ind w:left="360"/>
        <w:rPr>
          <w:rFonts w:ascii="Garamond" w:hAnsi="Garamond"/>
          <w:sz w:val="24"/>
          <w:szCs w:val="24"/>
        </w:rPr>
      </w:pPr>
      <w:r w:rsidRPr="00B51FD9">
        <w:rPr>
          <w:rFonts w:ascii="Garamond" w:hAnsi="Garamond"/>
          <w:sz w:val="24"/>
          <w:szCs w:val="24"/>
        </w:rPr>
        <w:t>Reporting requirements are included in the permit for each emissions unit and Section V of the operating permit "General Conditions" explains the reporting requirements.  However, the permi</w:t>
      </w:r>
      <w:r w:rsidR="00E52506" w:rsidRPr="00B51FD9">
        <w:rPr>
          <w:rFonts w:ascii="Garamond" w:hAnsi="Garamond"/>
          <w:sz w:val="24"/>
          <w:szCs w:val="24"/>
        </w:rPr>
        <w:t xml:space="preserve">ttee is required to submit </w:t>
      </w:r>
      <w:r w:rsidR="00E1513F">
        <w:rPr>
          <w:rFonts w:ascii="Garamond" w:hAnsi="Garamond"/>
          <w:sz w:val="24"/>
          <w:szCs w:val="24"/>
        </w:rPr>
        <w:t>semi</w:t>
      </w:r>
      <w:r w:rsidR="002C1E98" w:rsidRPr="00B51FD9">
        <w:rPr>
          <w:rFonts w:ascii="Garamond" w:hAnsi="Garamond"/>
          <w:sz w:val="24"/>
          <w:szCs w:val="24"/>
        </w:rPr>
        <w:t>annual</w:t>
      </w:r>
      <w:r w:rsidRPr="00B51FD9">
        <w:rPr>
          <w:rFonts w:ascii="Garamond" w:hAnsi="Garamond"/>
          <w:sz w:val="24"/>
          <w:szCs w:val="24"/>
        </w:rPr>
        <w:t xml:space="preserve"> monitoring reports to </w:t>
      </w:r>
      <w:r w:rsidR="00EE4EF5">
        <w:rPr>
          <w:rFonts w:ascii="Garamond" w:hAnsi="Garamond"/>
          <w:sz w:val="24"/>
          <w:szCs w:val="24"/>
        </w:rPr>
        <w:t>DEQ</w:t>
      </w:r>
      <w:r w:rsidRPr="00B51FD9">
        <w:rPr>
          <w:rFonts w:ascii="Garamond" w:hAnsi="Garamond"/>
          <w:sz w:val="24"/>
          <w:szCs w:val="24"/>
        </w:rPr>
        <w:t xml:space="preserve"> and to </w:t>
      </w:r>
      <w:proofErr w:type="gramStart"/>
      <w:r w:rsidR="00E1513F">
        <w:rPr>
          <w:rFonts w:ascii="Garamond" w:hAnsi="Garamond"/>
          <w:sz w:val="24"/>
          <w:szCs w:val="24"/>
        </w:rPr>
        <w:t>semi</w:t>
      </w:r>
      <w:r w:rsidRPr="00B51FD9">
        <w:rPr>
          <w:rFonts w:ascii="Garamond" w:hAnsi="Garamond"/>
          <w:sz w:val="24"/>
          <w:szCs w:val="24"/>
        </w:rPr>
        <w:t>annually</w:t>
      </w:r>
      <w:proofErr w:type="gramEnd"/>
      <w:r w:rsidRPr="00B51FD9">
        <w:rPr>
          <w:rFonts w:ascii="Garamond" w:hAnsi="Garamond"/>
          <w:sz w:val="24"/>
          <w:szCs w:val="24"/>
        </w:rPr>
        <w:t xml:space="preserve"> certify compliance with the applicable requirements contained in the permit.  The reports must include a list of all emission limit and monitoring deviations, the reason for any deviation, and the corrective action taken </w:t>
      </w:r>
      <w:proofErr w:type="gramStart"/>
      <w:r w:rsidRPr="00B51FD9">
        <w:rPr>
          <w:rFonts w:ascii="Garamond" w:hAnsi="Garamond"/>
          <w:sz w:val="24"/>
          <w:szCs w:val="24"/>
        </w:rPr>
        <w:t>as a result of</w:t>
      </w:r>
      <w:proofErr w:type="gramEnd"/>
      <w:r w:rsidRPr="00B51FD9">
        <w:rPr>
          <w:rFonts w:ascii="Garamond" w:hAnsi="Garamond"/>
          <w:sz w:val="24"/>
          <w:szCs w:val="24"/>
        </w:rPr>
        <w:t xml:space="preserve"> any deviation.</w:t>
      </w:r>
    </w:p>
    <w:p w14:paraId="7EA3F66D" w14:textId="77777777" w:rsidR="00B51FD9" w:rsidRPr="00B51FD9" w:rsidRDefault="00B51FD9" w:rsidP="000E5515">
      <w:pPr>
        <w:rPr>
          <w:rFonts w:ascii="Garamond" w:hAnsi="Garamond"/>
          <w:sz w:val="24"/>
          <w:szCs w:val="24"/>
        </w:rPr>
      </w:pPr>
    </w:p>
    <w:p w14:paraId="7331BD77" w14:textId="5AA398DF" w:rsidR="00516267" w:rsidRPr="0041685C" w:rsidRDefault="002660F8" w:rsidP="00516267">
      <w:pPr>
        <w:pStyle w:val="Heading2"/>
        <w:spacing w:before="0" w:beforeAutospacing="0" w:after="0" w:afterAutospacing="0"/>
        <w:rPr>
          <w:rFonts w:ascii="Garamond" w:hAnsi="Garamond"/>
          <w:sz w:val="24"/>
          <w:szCs w:val="24"/>
        </w:rPr>
      </w:pPr>
      <w:bookmarkStart w:id="18" w:name="_Toc52529210"/>
      <w:r w:rsidRPr="0041685C">
        <w:rPr>
          <w:rFonts w:ascii="Garamond" w:hAnsi="Garamond"/>
          <w:sz w:val="24"/>
          <w:szCs w:val="24"/>
        </w:rPr>
        <w:t>Public Notice</w:t>
      </w:r>
      <w:r w:rsidR="00636325" w:rsidRPr="0041685C">
        <w:rPr>
          <w:rFonts w:ascii="Garamond" w:hAnsi="Garamond"/>
          <w:sz w:val="24"/>
          <w:szCs w:val="24"/>
        </w:rPr>
        <w:t>:</w:t>
      </w:r>
      <w:bookmarkEnd w:id="18"/>
      <w:r w:rsidRPr="0041685C">
        <w:rPr>
          <w:rFonts w:ascii="Garamond" w:hAnsi="Garamond"/>
          <w:sz w:val="24"/>
          <w:szCs w:val="24"/>
        </w:rPr>
        <w:t xml:space="preserve"> </w:t>
      </w:r>
    </w:p>
    <w:p w14:paraId="3FD209E5" w14:textId="6B6244BF" w:rsidR="001F5D39" w:rsidRPr="0041685C" w:rsidRDefault="001F5D39" w:rsidP="00516267">
      <w:pPr>
        <w:tabs>
          <w:tab w:val="left" w:pos="360"/>
        </w:tabs>
        <w:rPr>
          <w:rFonts w:ascii="Garamond" w:hAnsi="Garamond"/>
          <w:sz w:val="24"/>
          <w:szCs w:val="24"/>
        </w:rPr>
      </w:pPr>
    </w:p>
    <w:p w14:paraId="52A0C7D3" w14:textId="4966AF9B" w:rsidR="001F5D39" w:rsidRDefault="001F5D39" w:rsidP="00D64E33">
      <w:pPr>
        <w:tabs>
          <w:tab w:val="left" w:pos="360"/>
        </w:tabs>
        <w:ind w:left="360"/>
        <w:rPr>
          <w:rFonts w:ascii="Garamond" w:hAnsi="Garamond"/>
          <w:sz w:val="24"/>
          <w:szCs w:val="24"/>
        </w:rPr>
      </w:pPr>
      <w:r w:rsidRPr="0041685C">
        <w:rPr>
          <w:rFonts w:ascii="Garamond" w:hAnsi="Garamond"/>
          <w:sz w:val="24"/>
          <w:szCs w:val="24"/>
        </w:rPr>
        <w:t xml:space="preserve">In accordance with ARM 17.8.1232, a public notice was published in the </w:t>
      </w:r>
      <w:r w:rsidRPr="0041685C">
        <w:rPr>
          <w:rFonts w:ascii="Garamond" w:hAnsi="Garamond"/>
          <w:i/>
          <w:iCs/>
          <w:sz w:val="24"/>
          <w:szCs w:val="24"/>
        </w:rPr>
        <w:t xml:space="preserve">Billings Gazette </w:t>
      </w:r>
      <w:r w:rsidRPr="0041685C">
        <w:rPr>
          <w:rFonts w:ascii="Garamond" w:hAnsi="Garamond"/>
          <w:sz w:val="24"/>
          <w:szCs w:val="24"/>
        </w:rPr>
        <w:t xml:space="preserve">newspaper on or before </w:t>
      </w:r>
      <w:r w:rsidR="00EC7AB5">
        <w:rPr>
          <w:rFonts w:ascii="Garamond" w:hAnsi="Garamond"/>
          <w:sz w:val="24"/>
          <w:szCs w:val="24"/>
        </w:rPr>
        <w:t>November 10</w:t>
      </w:r>
      <w:r w:rsidR="00BF5E6F">
        <w:rPr>
          <w:rFonts w:ascii="Garamond" w:hAnsi="Garamond"/>
          <w:sz w:val="24"/>
          <w:szCs w:val="24"/>
        </w:rPr>
        <w:t>, 2025</w:t>
      </w:r>
      <w:r w:rsidRPr="0041685C">
        <w:rPr>
          <w:rFonts w:ascii="Garamond" w:hAnsi="Garamond"/>
          <w:sz w:val="24"/>
          <w:szCs w:val="24"/>
        </w:rPr>
        <w:t xml:space="preserve">. </w:t>
      </w:r>
      <w:r w:rsidR="00EE4EF5">
        <w:rPr>
          <w:rFonts w:ascii="Garamond" w:hAnsi="Garamond"/>
          <w:sz w:val="24"/>
          <w:szCs w:val="24"/>
        </w:rPr>
        <w:t>DEQ</w:t>
      </w:r>
      <w:r w:rsidRPr="0041685C">
        <w:rPr>
          <w:rFonts w:ascii="Garamond" w:hAnsi="Garamond"/>
          <w:sz w:val="24"/>
          <w:szCs w:val="24"/>
        </w:rPr>
        <w:t xml:space="preserve"> </w:t>
      </w:r>
      <w:r w:rsidR="006B3519">
        <w:rPr>
          <w:rFonts w:ascii="Garamond" w:hAnsi="Garamond"/>
          <w:sz w:val="24"/>
          <w:szCs w:val="24"/>
        </w:rPr>
        <w:t>is providing</w:t>
      </w:r>
      <w:r w:rsidR="006B3519" w:rsidRPr="0041685C">
        <w:rPr>
          <w:rFonts w:ascii="Garamond" w:hAnsi="Garamond"/>
          <w:sz w:val="24"/>
          <w:szCs w:val="24"/>
        </w:rPr>
        <w:t xml:space="preserve"> </w:t>
      </w:r>
      <w:r w:rsidRPr="0041685C">
        <w:rPr>
          <w:rFonts w:ascii="Garamond" w:hAnsi="Garamond"/>
          <w:sz w:val="24"/>
          <w:szCs w:val="24"/>
        </w:rPr>
        <w:t xml:space="preserve">a 30-day public comment period on the draft operating permit from </w:t>
      </w:r>
      <w:r w:rsidR="00EC7AB5">
        <w:rPr>
          <w:rFonts w:ascii="Garamond" w:hAnsi="Garamond"/>
          <w:sz w:val="24"/>
          <w:szCs w:val="24"/>
        </w:rPr>
        <w:t>November 10</w:t>
      </w:r>
      <w:r w:rsidR="00BF5E6F">
        <w:rPr>
          <w:rFonts w:ascii="Garamond" w:hAnsi="Garamond"/>
          <w:sz w:val="24"/>
          <w:szCs w:val="24"/>
        </w:rPr>
        <w:t xml:space="preserve">, </w:t>
      </w:r>
      <w:proofErr w:type="gramStart"/>
      <w:r w:rsidR="00BF5E6F">
        <w:rPr>
          <w:rFonts w:ascii="Garamond" w:hAnsi="Garamond"/>
          <w:sz w:val="24"/>
          <w:szCs w:val="24"/>
        </w:rPr>
        <w:t>2025</w:t>
      </w:r>
      <w:proofErr w:type="gramEnd"/>
      <w:r w:rsidR="002F5913" w:rsidRPr="0041685C">
        <w:rPr>
          <w:rFonts w:ascii="Garamond" w:hAnsi="Garamond"/>
          <w:sz w:val="24"/>
          <w:szCs w:val="24"/>
        </w:rPr>
        <w:t xml:space="preserve"> to </w:t>
      </w:r>
      <w:r w:rsidR="00EC7AB5">
        <w:rPr>
          <w:rFonts w:ascii="Garamond" w:hAnsi="Garamond"/>
          <w:sz w:val="24"/>
          <w:szCs w:val="24"/>
        </w:rPr>
        <w:t>December 10, 2025</w:t>
      </w:r>
      <w:r w:rsidRPr="0041685C">
        <w:rPr>
          <w:rFonts w:ascii="Garamond" w:hAnsi="Garamond"/>
          <w:sz w:val="24"/>
          <w:szCs w:val="24"/>
        </w:rPr>
        <w:t xml:space="preserve">. ARM 17.8.1232 requires </w:t>
      </w:r>
      <w:r w:rsidR="00EE4EF5">
        <w:rPr>
          <w:rFonts w:ascii="Garamond" w:hAnsi="Garamond"/>
          <w:sz w:val="24"/>
          <w:szCs w:val="24"/>
        </w:rPr>
        <w:t>DEQ</w:t>
      </w:r>
      <w:r w:rsidRPr="0041685C">
        <w:rPr>
          <w:rFonts w:ascii="Garamond" w:hAnsi="Garamond"/>
          <w:sz w:val="24"/>
          <w:szCs w:val="24"/>
        </w:rPr>
        <w:t xml:space="preserve"> to keep a record of both comments and issues raised during the public participation process. </w:t>
      </w:r>
    </w:p>
    <w:p w14:paraId="2C7BEB50" w14:textId="77777777" w:rsidR="00D64E33" w:rsidRDefault="00D64E33" w:rsidP="00D64E33">
      <w:pPr>
        <w:tabs>
          <w:tab w:val="left" w:pos="360"/>
        </w:tabs>
        <w:ind w:left="360"/>
        <w:rPr>
          <w:rFonts w:ascii="Garamond" w:hAnsi="Garamond"/>
          <w:sz w:val="24"/>
          <w:szCs w:val="24"/>
        </w:rPr>
      </w:pPr>
    </w:p>
    <w:p w14:paraId="5FD74876" w14:textId="2BB4452C" w:rsidR="006535E5" w:rsidRPr="007740AB" w:rsidRDefault="006535E5" w:rsidP="00912B23">
      <w:pPr>
        <w:pStyle w:val="Heading2"/>
        <w:spacing w:before="0" w:beforeAutospacing="0" w:after="0" w:afterAutospacing="0"/>
        <w:ind w:right="-90"/>
        <w:rPr>
          <w:rFonts w:ascii="Garamond" w:hAnsi="Garamond"/>
          <w:sz w:val="24"/>
          <w:szCs w:val="24"/>
        </w:rPr>
      </w:pPr>
      <w:bookmarkStart w:id="19" w:name="_Toc52529211"/>
      <w:r w:rsidRPr="007740AB">
        <w:rPr>
          <w:rFonts w:ascii="Garamond" w:hAnsi="Garamond" w:cs="Segoe UI"/>
          <w:bCs/>
          <w:sz w:val="24"/>
          <w:szCs w:val="24"/>
        </w:rPr>
        <w:t>Draft Permit Comments</w:t>
      </w:r>
      <w:bookmarkEnd w:id="19"/>
    </w:p>
    <w:p w14:paraId="70848670" w14:textId="3CA47F60" w:rsidR="004D598B" w:rsidRDefault="004D598B" w:rsidP="00D16FA6">
      <w:pPr>
        <w:tabs>
          <w:tab w:val="left" w:pos="360"/>
        </w:tabs>
        <w:ind w:left="360"/>
        <w:rPr>
          <w:rFonts w:ascii="Garamond" w:hAnsi="Garamond" w:cs="Segoe UI"/>
          <w:sz w:val="24"/>
          <w:szCs w:val="24"/>
        </w:rPr>
      </w:pPr>
    </w:p>
    <w:p w14:paraId="11C13896" w14:textId="565D5208" w:rsidR="00D16FA6" w:rsidRPr="0041685C" w:rsidRDefault="00D16FA6" w:rsidP="00D16FA6">
      <w:pPr>
        <w:tabs>
          <w:tab w:val="left" w:pos="360"/>
        </w:tabs>
        <w:ind w:left="360"/>
        <w:rPr>
          <w:rFonts w:ascii="Garamond" w:hAnsi="Garamond"/>
          <w:sz w:val="24"/>
          <w:szCs w:val="24"/>
        </w:rPr>
      </w:pPr>
      <w:r>
        <w:rPr>
          <w:rFonts w:ascii="Garamond" w:hAnsi="Garamond" w:cs="Segoe UI"/>
          <w:sz w:val="24"/>
          <w:szCs w:val="24"/>
        </w:rPr>
        <w:t xml:space="preserve">No comments were received on the Draft operating permit.  </w:t>
      </w:r>
    </w:p>
    <w:p w14:paraId="020A02E9" w14:textId="01880A45" w:rsidR="006535E5" w:rsidRPr="00F57379" w:rsidRDefault="006535E5" w:rsidP="00F57379">
      <w:pPr>
        <w:ind w:left="360"/>
        <w:textAlignment w:val="baseline"/>
        <w:rPr>
          <w:rFonts w:ascii="Garamond" w:hAnsi="Garamond"/>
          <w:sz w:val="24"/>
          <w:szCs w:val="24"/>
        </w:rPr>
      </w:pPr>
    </w:p>
    <w:p w14:paraId="258DF95C" w14:textId="2426DD71" w:rsidR="006535E5" w:rsidRPr="0041685C" w:rsidRDefault="006535E5" w:rsidP="00516267">
      <w:pPr>
        <w:tabs>
          <w:tab w:val="left" w:pos="360"/>
        </w:tabs>
        <w:rPr>
          <w:rFonts w:ascii="Garamond" w:hAnsi="Garamond"/>
          <w:sz w:val="24"/>
          <w:szCs w:val="24"/>
        </w:rPr>
        <w:sectPr w:rsidR="006535E5" w:rsidRPr="0041685C" w:rsidSect="003C10F7">
          <w:pgSz w:w="12240" w:h="15840" w:code="1"/>
          <w:pgMar w:top="1152" w:right="1440" w:bottom="1008" w:left="1440" w:header="720" w:footer="720" w:gutter="0"/>
          <w:cols w:space="720"/>
        </w:sectPr>
      </w:pPr>
    </w:p>
    <w:p w14:paraId="620C30A1" w14:textId="77777777" w:rsidR="002660F8" w:rsidRPr="00516267" w:rsidRDefault="000E5515">
      <w:pPr>
        <w:pStyle w:val="Heading1"/>
        <w:rPr>
          <w:rFonts w:ascii="Garamond" w:hAnsi="Garamond"/>
          <w:sz w:val="24"/>
          <w:szCs w:val="24"/>
        </w:rPr>
      </w:pPr>
      <w:r>
        <w:rPr>
          <w:rFonts w:ascii="Garamond" w:hAnsi="Garamond"/>
          <w:sz w:val="24"/>
          <w:szCs w:val="24"/>
        </w:rPr>
        <w:lastRenderedPageBreak/>
        <w:t xml:space="preserve">  </w:t>
      </w:r>
      <w:bookmarkStart w:id="20" w:name="_Toc52529212"/>
      <w:r w:rsidR="002660F8" w:rsidRPr="00516267">
        <w:rPr>
          <w:rFonts w:ascii="Garamond" w:hAnsi="Garamond"/>
          <w:sz w:val="24"/>
          <w:szCs w:val="24"/>
        </w:rPr>
        <w:t>NON-APPLICABLE REQUIREMENT ANALYSIS</w:t>
      </w:r>
      <w:bookmarkEnd w:id="20"/>
    </w:p>
    <w:p w14:paraId="08B2848E" w14:textId="77777777" w:rsidR="002660F8" w:rsidRPr="00516267" w:rsidRDefault="002660F8">
      <w:pPr>
        <w:rPr>
          <w:rFonts w:ascii="Garamond" w:hAnsi="Garamond"/>
          <w:sz w:val="24"/>
          <w:szCs w:val="24"/>
        </w:rPr>
      </w:pPr>
    </w:p>
    <w:p w14:paraId="4393FCEC" w14:textId="77777777" w:rsidR="002660F8" w:rsidRPr="00516267" w:rsidRDefault="002660F8">
      <w:pPr>
        <w:pStyle w:val="BodyText"/>
        <w:rPr>
          <w:rFonts w:ascii="Garamond" w:hAnsi="Garamond"/>
          <w:sz w:val="24"/>
          <w:szCs w:val="24"/>
        </w:rPr>
      </w:pPr>
      <w:r w:rsidRPr="00516267">
        <w:rPr>
          <w:rFonts w:ascii="Garamond" w:hAnsi="Garamond"/>
          <w:sz w:val="24"/>
          <w:szCs w:val="24"/>
        </w:rPr>
        <w:t>Montana Silversmiths did not request a shield from any of the air quality Administrative Rules of Montana (ARM) or federal regulations (pursuant to ARM 17.8.1214).  Therefore, no further analysis of non-applicable requirements is necessary.</w:t>
      </w:r>
    </w:p>
    <w:p w14:paraId="1F5AD290" w14:textId="77777777" w:rsidR="002660F8" w:rsidRPr="00516267" w:rsidRDefault="002660F8">
      <w:pPr>
        <w:pStyle w:val="Header"/>
        <w:tabs>
          <w:tab w:val="clear" w:pos="4320"/>
          <w:tab w:val="clear" w:pos="8640"/>
        </w:tabs>
        <w:rPr>
          <w:rFonts w:ascii="Garamond" w:hAnsi="Garamond"/>
          <w:sz w:val="24"/>
          <w:szCs w:val="24"/>
        </w:rPr>
        <w:sectPr w:rsidR="002660F8" w:rsidRPr="00516267" w:rsidSect="008D0830">
          <w:pgSz w:w="12240" w:h="15840" w:code="1"/>
          <w:pgMar w:top="1152" w:right="1440" w:bottom="1008" w:left="1440" w:header="720" w:footer="720" w:gutter="0"/>
          <w:cols w:space="720"/>
        </w:sectPr>
      </w:pPr>
    </w:p>
    <w:p w14:paraId="7A4C9635" w14:textId="77777777" w:rsidR="002660F8" w:rsidRPr="00516267" w:rsidRDefault="000E5515">
      <w:pPr>
        <w:pStyle w:val="Heading1"/>
        <w:rPr>
          <w:rFonts w:ascii="Garamond" w:hAnsi="Garamond"/>
          <w:sz w:val="24"/>
          <w:szCs w:val="24"/>
        </w:rPr>
      </w:pPr>
      <w:r>
        <w:rPr>
          <w:rFonts w:ascii="Garamond" w:hAnsi="Garamond"/>
          <w:sz w:val="24"/>
          <w:szCs w:val="24"/>
        </w:rPr>
        <w:lastRenderedPageBreak/>
        <w:t xml:space="preserve">  </w:t>
      </w:r>
      <w:bookmarkStart w:id="21" w:name="_Toc52529213"/>
      <w:r w:rsidR="002660F8" w:rsidRPr="00516267">
        <w:rPr>
          <w:rFonts w:ascii="Garamond" w:hAnsi="Garamond"/>
          <w:sz w:val="24"/>
          <w:szCs w:val="24"/>
        </w:rPr>
        <w:t>FUTURE PERMIT CONSIDERATIONS</w:t>
      </w:r>
      <w:bookmarkEnd w:id="21"/>
    </w:p>
    <w:p w14:paraId="672B5C6C" w14:textId="77777777" w:rsidR="002660F8" w:rsidRPr="00516267" w:rsidRDefault="002660F8">
      <w:pPr>
        <w:rPr>
          <w:rFonts w:ascii="Garamond" w:hAnsi="Garamond"/>
          <w:sz w:val="24"/>
          <w:szCs w:val="24"/>
        </w:rPr>
      </w:pPr>
    </w:p>
    <w:p w14:paraId="05858E1A" w14:textId="77777777" w:rsidR="002660F8" w:rsidRPr="00516267" w:rsidRDefault="002660F8">
      <w:pPr>
        <w:pStyle w:val="Heading2"/>
        <w:numPr>
          <w:ilvl w:val="0"/>
          <w:numId w:val="23"/>
        </w:numPr>
        <w:spacing w:before="0" w:beforeAutospacing="0" w:after="0" w:afterAutospacing="0"/>
        <w:rPr>
          <w:rFonts w:ascii="Garamond" w:hAnsi="Garamond"/>
          <w:sz w:val="24"/>
          <w:szCs w:val="24"/>
        </w:rPr>
      </w:pPr>
      <w:bookmarkStart w:id="22" w:name="_Toc52529214"/>
      <w:r w:rsidRPr="00516267">
        <w:rPr>
          <w:rFonts w:ascii="Garamond" w:hAnsi="Garamond"/>
          <w:sz w:val="24"/>
          <w:szCs w:val="24"/>
        </w:rPr>
        <w:t>MACT Standards</w:t>
      </w:r>
      <w:r w:rsidR="00636325" w:rsidRPr="00516267">
        <w:rPr>
          <w:rFonts w:ascii="Garamond" w:hAnsi="Garamond"/>
          <w:sz w:val="24"/>
          <w:szCs w:val="24"/>
        </w:rPr>
        <w:t>:</w:t>
      </w:r>
      <w:bookmarkEnd w:id="22"/>
    </w:p>
    <w:p w14:paraId="6FA94060" w14:textId="77777777" w:rsidR="002660F8" w:rsidRPr="00516267" w:rsidRDefault="002660F8">
      <w:pPr>
        <w:rPr>
          <w:rFonts w:ascii="Garamond" w:hAnsi="Garamond"/>
          <w:sz w:val="24"/>
          <w:szCs w:val="24"/>
        </w:rPr>
      </w:pPr>
    </w:p>
    <w:p w14:paraId="4B17A746" w14:textId="437EF1AA" w:rsidR="002660F8" w:rsidRPr="00516267" w:rsidRDefault="002660F8">
      <w:pPr>
        <w:pStyle w:val="BodyTextIndent"/>
        <w:rPr>
          <w:rFonts w:ascii="Garamond" w:hAnsi="Garamond"/>
          <w:sz w:val="24"/>
          <w:szCs w:val="24"/>
        </w:rPr>
      </w:pPr>
      <w:r w:rsidRPr="00516267">
        <w:rPr>
          <w:rFonts w:ascii="Garamond" w:hAnsi="Garamond"/>
          <w:sz w:val="24"/>
          <w:szCs w:val="24"/>
        </w:rPr>
        <w:t xml:space="preserve">As of </w:t>
      </w:r>
      <w:r w:rsidR="00E7495C" w:rsidRPr="00516267">
        <w:rPr>
          <w:rFonts w:ascii="Garamond" w:hAnsi="Garamond"/>
          <w:sz w:val="24"/>
          <w:szCs w:val="24"/>
        </w:rPr>
        <w:t>the date of issuance of this permit</w:t>
      </w:r>
      <w:r w:rsidRPr="00516267">
        <w:rPr>
          <w:rFonts w:ascii="Garamond" w:hAnsi="Garamond"/>
          <w:sz w:val="24"/>
          <w:szCs w:val="24"/>
        </w:rPr>
        <w:t xml:space="preserve">, </w:t>
      </w:r>
      <w:r w:rsidR="00EE4EF5">
        <w:rPr>
          <w:rFonts w:ascii="Garamond" w:hAnsi="Garamond"/>
          <w:sz w:val="24"/>
          <w:szCs w:val="24"/>
        </w:rPr>
        <w:t>DEQ</w:t>
      </w:r>
      <w:r w:rsidRPr="00516267">
        <w:rPr>
          <w:rFonts w:ascii="Garamond" w:hAnsi="Garamond"/>
          <w:sz w:val="24"/>
          <w:szCs w:val="24"/>
        </w:rPr>
        <w:t xml:space="preserve"> is unaware of any currently applicable or future MACT Standards, other than 40 CFR 63, Subpart </w:t>
      </w:r>
      <w:r w:rsidR="00CE62BF" w:rsidRPr="00516267">
        <w:rPr>
          <w:rFonts w:ascii="Garamond" w:hAnsi="Garamond"/>
          <w:sz w:val="24"/>
          <w:szCs w:val="24"/>
        </w:rPr>
        <w:t>T</w:t>
      </w:r>
      <w:r w:rsidR="00307FC2" w:rsidRPr="00516267">
        <w:rPr>
          <w:rFonts w:ascii="Garamond" w:hAnsi="Garamond"/>
          <w:sz w:val="24"/>
          <w:szCs w:val="24"/>
        </w:rPr>
        <w:t>,</w:t>
      </w:r>
      <w:r w:rsidRPr="00516267">
        <w:rPr>
          <w:rFonts w:ascii="Garamond" w:hAnsi="Garamond"/>
          <w:sz w:val="24"/>
          <w:szCs w:val="24"/>
        </w:rPr>
        <w:t xml:space="preserve"> that may be promulgated that will affect this facility.</w:t>
      </w:r>
    </w:p>
    <w:p w14:paraId="657900C5" w14:textId="77777777" w:rsidR="002660F8" w:rsidRPr="00516267" w:rsidRDefault="002660F8" w:rsidP="000E5515">
      <w:pPr>
        <w:pStyle w:val="BodyTextIndent"/>
        <w:ind w:left="0"/>
        <w:rPr>
          <w:rFonts w:ascii="Garamond" w:hAnsi="Garamond"/>
          <w:sz w:val="24"/>
          <w:szCs w:val="24"/>
        </w:rPr>
      </w:pPr>
    </w:p>
    <w:p w14:paraId="6E1F6553" w14:textId="77777777" w:rsidR="002660F8" w:rsidRPr="00516267" w:rsidRDefault="002660F8">
      <w:pPr>
        <w:pStyle w:val="Heading2"/>
        <w:spacing w:before="0" w:beforeAutospacing="0" w:after="0" w:afterAutospacing="0"/>
        <w:rPr>
          <w:rFonts w:ascii="Garamond" w:hAnsi="Garamond"/>
          <w:sz w:val="24"/>
          <w:szCs w:val="24"/>
        </w:rPr>
      </w:pPr>
      <w:bookmarkStart w:id="23" w:name="_Toc52529215"/>
      <w:r w:rsidRPr="00516267">
        <w:rPr>
          <w:rFonts w:ascii="Garamond" w:hAnsi="Garamond"/>
          <w:sz w:val="24"/>
          <w:szCs w:val="24"/>
        </w:rPr>
        <w:t>NESHAP Standards</w:t>
      </w:r>
      <w:r w:rsidR="00636325" w:rsidRPr="00516267">
        <w:rPr>
          <w:rFonts w:ascii="Garamond" w:hAnsi="Garamond"/>
          <w:sz w:val="24"/>
          <w:szCs w:val="24"/>
        </w:rPr>
        <w:t>:</w:t>
      </w:r>
      <w:bookmarkEnd w:id="23"/>
    </w:p>
    <w:p w14:paraId="457F003D" w14:textId="77777777" w:rsidR="002660F8" w:rsidRPr="00516267" w:rsidRDefault="002660F8" w:rsidP="000E5515">
      <w:pPr>
        <w:pStyle w:val="BodyTextIndent"/>
        <w:ind w:left="0"/>
        <w:rPr>
          <w:rFonts w:ascii="Garamond" w:hAnsi="Garamond"/>
          <w:sz w:val="24"/>
          <w:szCs w:val="24"/>
        </w:rPr>
      </w:pPr>
    </w:p>
    <w:p w14:paraId="3438EAF8" w14:textId="2BE09770" w:rsidR="002660F8" w:rsidRPr="00516267" w:rsidRDefault="002660F8">
      <w:pPr>
        <w:pStyle w:val="BodyTextIndent"/>
        <w:rPr>
          <w:rFonts w:ascii="Garamond" w:hAnsi="Garamond"/>
          <w:sz w:val="24"/>
          <w:szCs w:val="24"/>
        </w:rPr>
      </w:pPr>
      <w:r w:rsidRPr="00516267">
        <w:rPr>
          <w:rFonts w:ascii="Garamond" w:hAnsi="Garamond"/>
          <w:sz w:val="24"/>
          <w:szCs w:val="24"/>
        </w:rPr>
        <w:t xml:space="preserve">As </w:t>
      </w:r>
      <w:proofErr w:type="gramStart"/>
      <w:r w:rsidRPr="00516267">
        <w:rPr>
          <w:rFonts w:ascii="Garamond" w:hAnsi="Garamond"/>
          <w:sz w:val="24"/>
          <w:szCs w:val="24"/>
        </w:rPr>
        <w:t>of</w:t>
      </w:r>
      <w:proofErr w:type="gramEnd"/>
      <w:r w:rsidRPr="00516267">
        <w:rPr>
          <w:rFonts w:ascii="Garamond" w:hAnsi="Garamond"/>
          <w:sz w:val="24"/>
          <w:szCs w:val="24"/>
        </w:rPr>
        <w:t xml:space="preserve"> </w:t>
      </w:r>
      <w:r w:rsidR="00E7495C" w:rsidRPr="00516267">
        <w:rPr>
          <w:rFonts w:ascii="Garamond" w:hAnsi="Garamond"/>
          <w:sz w:val="24"/>
          <w:szCs w:val="24"/>
        </w:rPr>
        <w:t xml:space="preserve">the date of issuance of this permit, </w:t>
      </w:r>
      <w:r w:rsidR="00EE4EF5">
        <w:rPr>
          <w:rFonts w:ascii="Garamond" w:hAnsi="Garamond"/>
          <w:sz w:val="24"/>
          <w:szCs w:val="24"/>
        </w:rPr>
        <w:t>DEQ</w:t>
      </w:r>
      <w:r w:rsidRPr="00516267">
        <w:rPr>
          <w:rFonts w:ascii="Garamond" w:hAnsi="Garamond"/>
          <w:sz w:val="24"/>
          <w:szCs w:val="24"/>
        </w:rPr>
        <w:t xml:space="preserve"> is unaware of any currently applicable or future NESHAPS Standards</w:t>
      </w:r>
      <w:r w:rsidR="00307FC2" w:rsidRPr="00516267">
        <w:rPr>
          <w:rFonts w:ascii="Garamond" w:hAnsi="Garamond"/>
          <w:sz w:val="24"/>
          <w:szCs w:val="24"/>
        </w:rPr>
        <w:t>, other than 40 CFR 63, Subpart T,</w:t>
      </w:r>
      <w:r w:rsidRPr="00516267">
        <w:rPr>
          <w:rFonts w:ascii="Garamond" w:hAnsi="Garamond"/>
          <w:sz w:val="24"/>
          <w:szCs w:val="24"/>
        </w:rPr>
        <w:t xml:space="preserve"> that may be promulgated that will affect this facility.</w:t>
      </w:r>
    </w:p>
    <w:p w14:paraId="069AF886" w14:textId="77777777" w:rsidR="002660F8" w:rsidRPr="00516267" w:rsidRDefault="002660F8">
      <w:pPr>
        <w:rPr>
          <w:rFonts w:ascii="Garamond" w:hAnsi="Garamond"/>
          <w:sz w:val="24"/>
          <w:szCs w:val="24"/>
        </w:rPr>
      </w:pPr>
    </w:p>
    <w:p w14:paraId="023CEAA6" w14:textId="77777777" w:rsidR="002660F8" w:rsidRPr="00516267" w:rsidRDefault="002660F8">
      <w:pPr>
        <w:pStyle w:val="Heading2"/>
        <w:spacing w:before="0" w:beforeAutospacing="0" w:after="0" w:afterAutospacing="0"/>
        <w:rPr>
          <w:rFonts w:ascii="Garamond" w:hAnsi="Garamond"/>
          <w:sz w:val="24"/>
          <w:szCs w:val="24"/>
        </w:rPr>
      </w:pPr>
      <w:bookmarkStart w:id="24" w:name="_Toc52529216"/>
      <w:r w:rsidRPr="00516267">
        <w:rPr>
          <w:rFonts w:ascii="Garamond" w:hAnsi="Garamond"/>
          <w:sz w:val="24"/>
          <w:szCs w:val="24"/>
        </w:rPr>
        <w:t>NSPS Standards</w:t>
      </w:r>
      <w:r w:rsidR="00636325" w:rsidRPr="00516267">
        <w:rPr>
          <w:rFonts w:ascii="Garamond" w:hAnsi="Garamond"/>
          <w:sz w:val="24"/>
          <w:szCs w:val="24"/>
        </w:rPr>
        <w:t>:</w:t>
      </w:r>
      <w:bookmarkEnd w:id="24"/>
    </w:p>
    <w:p w14:paraId="76029E18" w14:textId="77777777" w:rsidR="002660F8" w:rsidRPr="00516267" w:rsidRDefault="002660F8">
      <w:pPr>
        <w:rPr>
          <w:rFonts w:ascii="Garamond" w:hAnsi="Garamond"/>
          <w:sz w:val="24"/>
          <w:szCs w:val="24"/>
        </w:rPr>
      </w:pPr>
    </w:p>
    <w:p w14:paraId="5D77FCF9" w14:textId="4735708B" w:rsidR="002660F8" w:rsidRPr="00516267" w:rsidRDefault="002660F8">
      <w:pPr>
        <w:pStyle w:val="BodyTextIndent"/>
        <w:rPr>
          <w:rFonts w:ascii="Garamond" w:hAnsi="Garamond"/>
          <w:sz w:val="24"/>
          <w:szCs w:val="24"/>
        </w:rPr>
      </w:pPr>
      <w:r w:rsidRPr="00516267">
        <w:rPr>
          <w:rFonts w:ascii="Garamond" w:hAnsi="Garamond"/>
          <w:sz w:val="24"/>
          <w:szCs w:val="24"/>
        </w:rPr>
        <w:t xml:space="preserve">As of </w:t>
      </w:r>
      <w:r w:rsidR="00E7495C" w:rsidRPr="00516267">
        <w:rPr>
          <w:rFonts w:ascii="Garamond" w:hAnsi="Garamond"/>
          <w:sz w:val="24"/>
          <w:szCs w:val="24"/>
        </w:rPr>
        <w:t xml:space="preserve">the date of issuance of this permit, </w:t>
      </w:r>
      <w:r w:rsidR="00EE4EF5">
        <w:rPr>
          <w:rFonts w:ascii="Garamond" w:hAnsi="Garamond"/>
          <w:sz w:val="24"/>
          <w:szCs w:val="24"/>
        </w:rPr>
        <w:t>DEQ</w:t>
      </w:r>
      <w:r w:rsidRPr="00516267">
        <w:rPr>
          <w:rFonts w:ascii="Garamond" w:hAnsi="Garamond"/>
          <w:sz w:val="24"/>
          <w:szCs w:val="24"/>
        </w:rPr>
        <w:t xml:space="preserve"> is unaware of any currently applicable or future NSPS Standards that may be promulgated that will affect this facility.</w:t>
      </w:r>
    </w:p>
    <w:p w14:paraId="5F30CFC5" w14:textId="77777777" w:rsidR="002660F8" w:rsidRPr="00516267" w:rsidRDefault="002660F8" w:rsidP="000E5515">
      <w:pPr>
        <w:rPr>
          <w:rFonts w:ascii="Garamond" w:hAnsi="Garamond"/>
          <w:sz w:val="24"/>
          <w:szCs w:val="24"/>
        </w:rPr>
      </w:pPr>
    </w:p>
    <w:p w14:paraId="6E9FA74F" w14:textId="77777777" w:rsidR="003E0818" w:rsidRPr="00516267" w:rsidRDefault="002660F8" w:rsidP="003E0818">
      <w:pPr>
        <w:pStyle w:val="Heading2"/>
        <w:spacing w:before="0" w:beforeAutospacing="0" w:after="0" w:afterAutospacing="0"/>
        <w:rPr>
          <w:rFonts w:ascii="Garamond" w:hAnsi="Garamond"/>
          <w:sz w:val="24"/>
          <w:szCs w:val="24"/>
        </w:rPr>
      </w:pPr>
      <w:bookmarkStart w:id="25" w:name="_Toc52529217"/>
      <w:r w:rsidRPr="00516267">
        <w:rPr>
          <w:rFonts w:ascii="Garamond" w:hAnsi="Garamond"/>
          <w:sz w:val="24"/>
          <w:szCs w:val="24"/>
        </w:rPr>
        <w:t>Risk Management Plan</w:t>
      </w:r>
      <w:r w:rsidR="00636325" w:rsidRPr="00516267">
        <w:rPr>
          <w:rFonts w:ascii="Garamond" w:hAnsi="Garamond"/>
          <w:sz w:val="24"/>
          <w:szCs w:val="24"/>
        </w:rPr>
        <w:t>:</w:t>
      </w:r>
      <w:bookmarkEnd w:id="25"/>
    </w:p>
    <w:p w14:paraId="7DE26D5E" w14:textId="77777777" w:rsidR="002660F8" w:rsidRPr="00516267" w:rsidRDefault="002660F8">
      <w:pPr>
        <w:rPr>
          <w:rFonts w:ascii="Garamond" w:hAnsi="Garamond"/>
          <w:b/>
          <w:sz w:val="24"/>
          <w:szCs w:val="24"/>
        </w:rPr>
      </w:pPr>
    </w:p>
    <w:p w14:paraId="728AB019" w14:textId="77777777" w:rsidR="002660F8" w:rsidRPr="00516267" w:rsidRDefault="002660F8">
      <w:pPr>
        <w:ind w:left="360"/>
        <w:rPr>
          <w:rFonts w:ascii="Garamond" w:hAnsi="Garamond"/>
          <w:sz w:val="24"/>
          <w:szCs w:val="24"/>
        </w:rPr>
      </w:pPr>
      <w:r w:rsidRPr="00516267">
        <w:rPr>
          <w:rFonts w:ascii="Garamond" w:hAnsi="Garamond"/>
          <w:sz w:val="24"/>
          <w:szCs w:val="24"/>
        </w:rPr>
        <w:t xml:space="preserve">As of </w:t>
      </w:r>
      <w:r w:rsidR="00E7495C" w:rsidRPr="00516267">
        <w:rPr>
          <w:rFonts w:ascii="Garamond" w:hAnsi="Garamond"/>
          <w:sz w:val="24"/>
          <w:szCs w:val="24"/>
        </w:rPr>
        <w:t xml:space="preserve">the date of issuance of this permit, </w:t>
      </w:r>
      <w:r w:rsidRPr="00516267">
        <w:rPr>
          <w:rFonts w:ascii="Garamond" w:hAnsi="Garamond"/>
          <w:sz w:val="24"/>
          <w:szCs w:val="24"/>
        </w:rPr>
        <w:t>this facility does not exceed the minimum threshold quantities for any regulated substance listed in 40 CFR 68.115 for any facility process.  Consequently, this facility is not required to submit a Risk Management Plan.</w:t>
      </w:r>
    </w:p>
    <w:p w14:paraId="4D92A026" w14:textId="77777777" w:rsidR="002660F8" w:rsidRPr="00516267" w:rsidRDefault="002660F8" w:rsidP="000E5515">
      <w:pPr>
        <w:rPr>
          <w:rFonts w:ascii="Garamond" w:hAnsi="Garamond"/>
          <w:sz w:val="24"/>
          <w:szCs w:val="24"/>
        </w:rPr>
      </w:pPr>
    </w:p>
    <w:p w14:paraId="0D16AF65" w14:textId="77777777" w:rsidR="003E0818" w:rsidRDefault="002660F8" w:rsidP="00842046">
      <w:pPr>
        <w:pStyle w:val="BodyTextIndent"/>
        <w:rPr>
          <w:rFonts w:ascii="Garamond" w:hAnsi="Garamond"/>
          <w:sz w:val="24"/>
          <w:szCs w:val="24"/>
        </w:rPr>
      </w:pPr>
      <w:r w:rsidRPr="00516267">
        <w:rPr>
          <w:rFonts w:ascii="Garamond" w:hAnsi="Garamond"/>
          <w:sz w:val="24"/>
          <w:szCs w:val="24"/>
        </w:rPr>
        <w:t xml:space="preserve">If a facility has more than a threshold quantity of a regulated substance in a process, the facility must comply with 40 CFR 68 requirements no later than </w:t>
      </w:r>
      <w:r w:rsidR="0011225A" w:rsidRPr="00516267">
        <w:rPr>
          <w:rFonts w:ascii="Garamond" w:hAnsi="Garamond"/>
          <w:sz w:val="24"/>
          <w:szCs w:val="24"/>
        </w:rPr>
        <w:t>3</w:t>
      </w:r>
      <w:r w:rsidRPr="00516267">
        <w:rPr>
          <w:rFonts w:ascii="Garamond" w:hAnsi="Garamond"/>
          <w:sz w:val="24"/>
          <w:szCs w:val="24"/>
        </w:rPr>
        <w:t xml:space="preserve"> years after the date on which a regulated substance is first listed under 40 CFR 68.130; or the date on which a regulated substance is first present in more than a threshold quantity in a process, whichever is later.</w:t>
      </w:r>
    </w:p>
    <w:p w14:paraId="3A536426" w14:textId="77777777" w:rsidR="000E5515" w:rsidRPr="00516267" w:rsidRDefault="000E5515" w:rsidP="000E5515">
      <w:pPr>
        <w:pStyle w:val="BodyTextIndent"/>
        <w:ind w:left="0"/>
        <w:rPr>
          <w:rFonts w:ascii="Garamond" w:hAnsi="Garamond"/>
          <w:sz w:val="24"/>
          <w:szCs w:val="24"/>
        </w:rPr>
      </w:pPr>
    </w:p>
    <w:p w14:paraId="2C35D0F6" w14:textId="77777777" w:rsidR="00E7495C" w:rsidRDefault="00E7495C" w:rsidP="000E5515">
      <w:pPr>
        <w:pStyle w:val="Heading2"/>
        <w:spacing w:before="0" w:beforeAutospacing="0" w:after="0" w:afterAutospacing="0"/>
        <w:rPr>
          <w:rFonts w:ascii="Garamond" w:hAnsi="Garamond"/>
          <w:sz w:val="24"/>
          <w:szCs w:val="24"/>
        </w:rPr>
      </w:pPr>
      <w:bookmarkStart w:id="26" w:name="_Toc52529218"/>
      <w:bookmarkStart w:id="27" w:name="_Toc277676895"/>
      <w:bookmarkStart w:id="28" w:name="_Toc278272488"/>
      <w:bookmarkStart w:id="29" w:name="_Toc287002117"/>
      <w:r w:rsidRPr="00516267">
        <w:rPr>
          <w:rFonts w:ascii="Garamond" w:hAnsi="Garamond"/>
          <w:sz w:val="24"/>
          <w:szCs w:val="24"/>
        </w:rPr>
        <w:t>CAM Applicability</w:t>
      </w:r>
      <w:bookmarkEnd w:id="26"/>
    </w:p>
    <w:p w14:paraId="279E27F7" w14:textId="77777777" w:rsidR="000E5515" w:rsidRPr="000E5515" w:rsidRDefault="000E5515" w:rsidP="000E5515">
      <w:pPr>
        <w:rPr>
          <w:rFonts w:ascii="Garamond" w:hAnsi="Garamond"/>
          <w:sz w:val="24"/>
          <w:szCs w:val="24"/>
        </w:rPr>
      </w:pPr>
    </w:p>
    <w:p w14:paraId="796FE3DA" w14:textId="77777777" w:rsidR="00E7495C" w:rsidRPr="00516267" w:rsidRDefault="00E7495C" w:rsidP="000E5515">
      <w:pPr>
        <w:ind w:left="360"/>
        <w:rPr>
          <w:rFonts w:ascii="Garamond" w:hAnsi="Garamond"/>
          <w:color w:val="000000"/>
          <w:sz w:val="24"/>
          <w:szCs w:val="24"/>
        </w:rPr>
      </w:pPr>
      <w:r w:rsidRPr="00516267">
        <w:rPr>
          <w:rFonts w:ascii="Garamond" w:hAnsi="Garamond"/>
          <w:color w:val="000000"/>
          <w:sz w:val="24"/>
          <w:szCs w:val="24"/>
        </w:rPr>
        <w:t xml:space="preserve">An emitting unit located at a Title V facility that meets the following criteria listed in ARM 17.8.1503 is subject to Subchapter 15 and must develop a CAM Plan for that unit: </w:t>
      </w:r>
    </w:p>
    <w:p w14:paraId="54851A14" w14:textId="77777777" w:rsidR="00E7495C" w:rsidRPr="00516267" w:rsidRDefault="00E7495C" w:rsidP="000E5515">
      <w:pPr>
        <w:rPr>
          <w:rFonts w:ascii="Garamond" w:hAnsi="Garamond"/>
          <w:color w:val="000000"/>
          <w:sz w:val="24"/>
          <w:szCs w:val="24"/>
        </w:rPr>
      </w:pPr>
    </w:p>
    <w:p w14:paraId="11466316" w14:textId="2BD3C3F4" w:rsidR="00E7495C" w:rsidRPr="00516267" w:rsidRDefault="00E7495C" w:rsidP="00E7495C">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516267">
        <w:rPr>
          <w:rFonts w:ascii="Garamond" w:hAnsi="Garamond"/>
          <w:color w:val="000000"/>
          <w:sz w:val="24"/>
          <w:szCs w:val="24"/>
        </w:rPr>
        <w:t xml:space="preserve">The emitting unit is subject to an emission limitation or standard for the applicable regulated air pollutant (unless the limitation or standard that is exempt under ARM 17.8.1503(2); </w:t>
      </w:r>
    </w:p>
    <w:p w14:paraId="5453F318" w14:textId="77777777" w:rsidR="00E7495C" w:rsidRPr="00516267" w:rsidRDefault="00E7495C" w:rsidP="00E7495C">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516267">
        <w:rPr>
          <w:rFonts w:ascii="Garamond" w:hAnsi="Garamond"/>
          <w:color w:val="000000"/>
          <w:sz w:val="24"/>
          <w:szCs w:val="24"/>
        </w:rPr>
        <w:t xml:space="preserve">The emitting unit uses a control device to achieve compliance with such limit; and </w:t>
      </w:r>
    </w:p>
    <w:p w14:paraId="33A1D116" w14:textId="77777777" w:rsidR="00E7495C" w:rsidRPr="00516267" w:rsidRDefault="00E7495C" w:rsidP="00E7495C">
      <w:pPr>
        <w:pStyle w:val="Default"/>
        <w:numPr>
          <w:ilvl w:val="0"/>
          <w:numId w:val="24"/>
        </w:numPr>
        <w:tabs>
          <w:tab w:val="clear" w:pos="1440"/>
          <w:tab w:val="left" w:pos="720"/>
        </w:tabs>
        <w:ind w:left="720"/>
        <w:rPr>
          <w:rFonts w:ascii="Garamond" w:hAnsi="Garamond"/>
        </w:rPr>
      </w:pPr>
      <w:r w:rsidRPr="00516267">
        <w:rPr>
          <w:rFonts w:ascii="Garamond" w:hAnsi="Garamond"/>
        </w:rPr>
        <w:t xml:space="preserve">The emitting unit has potential pre-control device emission of the applicable regulated air pollutant that is greater than major source thresholds. </w:t>
      </w:r>
    </w:p>
    <w:p w14:paraId="61DF0C03" w14:textId="77777777" w:rsidR="00E7495C" w:rsidRPr="00516267" w:rsidRDefault="00E7495C" w:rsidP="000E5515">
      <w:pPr>
        <w:pStyle w:val="Default"/>
        <w:tabs>
          <w:tab w:val="left" w:pos="720"/>
        </w:tabs>
        <w:rPr>
          <w:rFonts w:ascii="Garamond" w:hAnsi="Garamond"/>
        </w:rPr>
      </w:pPr>
    </w:p>
    <w:p w14:paraId="44DCB2D2" w14:textId="4DDECC17" w:rsidR="00E7495C" w:rsidRDefault="00E7495C" w:rsidP="000E5515">
      <w:pPr>
        <w:ind w:left="360"/>
        <w:rPr>
          <w:rFonts w:ascii="Garamond" w:hAnsi="Garamond"/>
          <w:color w:val="000000"/>
          <w:sz w:val="24"/>
          <w:szCs w:val="24"/>
        </w:rPr>
      </w:pPr>
      <w:r w:rsidRPr="00516267">
        <w:rPr>
          <w:rFonts w:ascii="Garamond" w:hAnsi="Garamond"/>
          <w:color w:val="000000"/>
          <w:sz w:val="24"/>
          <w:szCs w:val="24"/>
        </w:rPr>
        <w:t>This facility does not have any emitting units that meet these criteria</w:t>
      </w:r>
      <w:r w:rsidR="00167BDE">
        <w:rPr>
          <w:rFonts w:ascii="Garamond" w:hAnsi="Garamond"/>
          <w:color w:val="000000"/>
          <w:sz w:val="24"/>
          <w:szCs w:val="24"/>
        </w:rPr>
        <w:t xml:space="preserve"> set forth in ARM 17.8.1503</w:t>
      </w:r>
      <w:r w:rsidRPr="00516267">
        <w:rPr>
          <w:rFonts w:ascii="Garamond" w:hAnsi="Garamond"/>
          <w:color w:val="000000"/>
          <w:sz w:val="24"/>
          <w:szCs w:val="24"/>
        </w:rPr>
        <w:t>; therefore, CAM is not applicable.</w:t>
      </w:r>
    </w:p>
    <w:p w14:paraId="61C4F30F" w14:textId="77777777" w:rsidR="000E5515" w:rsidRPr="00516267" w:rsidRDefault="000E5515" w:rsidP="000E5515">
      <w:pPr>
        <w:rPr>
          <w:rFonts w:ascii="Garamond" w:hAnsi="Garamond"/>
          <w:sz w:val="24"/>
          <w:szCs w:val="24"/>
        </w:rPr>
      </w:pPr>
    </w:p>
    <w:p w14:paraId="5BAD7F4F" w14:textId="77777777" w:rsidR="003E0818" w:rsidRDefault="003E0818" w:rsidP="000E5515">
      <w:pPr>
        <w:pStyle w:val="Heading2"/>
        <w:spacing w:before="0" w:beforeAutospacing="0" w:after="0" w:afterAutospacing="0"/>
        <w:rPr>
          <w:rFonts w:ascii="Garamond" w:hAnsi="Garamond"/>
          <w:sz w:val="24"/>
          <w:szCs w:val="24"/>
        </w:rPr>
      </w:pPr>
      <w:bookmarkStart w:id="30" w:name="_Toc52529219"/>
      <w:r w:rsidRPr="00516267">
        <w:rPr>
          <w:rFonts w:ascii="Garamond" w:hAnsi="Garamond"/>
          <w:sz w:val="24"/>
          <w:szCs w:val="24"/>
        </w:rPr>
        <w:t>PSD and Title V Greenhouse Gas Tailoring Rule</w:t>
      </w:r>
      <w:bookmarkEnd w:id="27"/>
      <w:bookmarkEnd w:id="28"/>
      <w:bookmarkEnd w:id="29"/>
      <w:bookmarkEnd w:id="30"/>
    </w:p>
    <w:p w14:paraId="29F9D304" w14:textId="77777777" w:rsidR="000E5515" w:rsidRPr="000E5515" w:rsidRDefault="000E5515" w:rsidP="000E5515">
      <w:pPr>
        <w:rPr>
          <w:rFonts w:ascii="Garamond" w:hAnsi="Garamond"/>
          <w:sz w:val="24"/>
          <w:szCs w:val="24"/>
        </w:rPr>
      </w:pPr>
    </w:p>
    <w:p w14:paraId="702107B5" w14:textId="77777777" w:rsidR="003E0818" w:rsidRPr="00516267" w:rsidRDefault="003E0818" w:rsidP="000E5515">
      <w:pPr>
        <w:ind w:left="360"/>
        <w:rPr>
          <w:rFonts w:ascii="Garamond" w:hAnsi="Garamond"/>
          <w:sz w:val="24"/>
          <w:szCs w:val="24"/>
        </w:rPr>
      </w:pPr>
      <w:r w:rsidRPr="00516267">
        <w:rPr>
          <w:rFonts w:ascii="Garamond" w:hAnsi="Garamond"/>
          <w:sz w:val="24"/>
          <w:szCs w:val="24"/>
        </w:rPr>
        <w:t>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w:t>
      </w:r>
      <w:r w:rsidRPr="00516267">
        <w:rPr>
          <w:rFonts w:ascii="Garamond" w:hAnsi="Garamond"/>
          <w:sz w:val="24"/>
          <w:szCs w:val="24"/>
        </w:rPr>
        <w:lastRenderedPageBreak/>
        <w:t xml:space="preserve">2009-0517, 75 FR 31514) which modified 40 CFR Parts 51, 52, 70, and 71 to specify which facilities are subject to GHG permitting requirements and when such facilities become subject to regulation for GHG under the PSD and Title V programs.  </w:t>
      </w:r>
    </w:p>
    <w:p w14:paraId="3E31A0FE" w14:textId="77777777" w:rsidR="003E0818" w:rsidRPr="00516267" w:rsidRDefault="003E0818" w:rsidP="000E5515">
      <w:pPr>
        <w:rPr>
          <w:rFonts w:ascii="Garamond" w:hAnsi="Garamond"/>
          <w:sz w:val="24"/>
          <w:szCs w:val="24"/>
        </w:rPr>
      </w:pPr>
    </w:p>
    <w:p w14:paraId="10F9FC07" w14:textId="77777777" w:rsidR="003E0818" w:rsidRPr="00516267" w:rsidRDefault="003E0818" w:rsidP="003E0818">
      <w:pPr>
        <w:ind w:left="360"/>
        <w:rPr>
          <w:rFonts w:ascii="Garamond" w:hAnsi="Garamond"/>
          <w:sz w:val="24"/>
          <w:szCs w:val="24"/>
        </w:rPr>
      </w:pPr>
      <w:r w:rsidRPr="00516267">
        <w:rPr>
          <w:rFonts w:ascii="Garamond" w:hAnsi="Garamond"/>
          <w:sz w:val="24"/>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516267">
        <w:rPr>
          <w:rFonts w:ascii="Garamond" w:hAnsi="Garamond"/>
          <w:sz w:val="24"/>
          <w:szCs w:val="24"/>
          <w:vertAlign w:val="subscript"/>
        </w:rPr>
        <w:t>2</w:t>
      </w:r>
      <w:r w:rsidRPr="00516267">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61466485" w14:textId="77777777" w:rsidR="003E0818" w:rsidRPr="00516267" w:rsidRDefault="003E0818" w:rsidP="000E5515">
      <w:pPr>
        <w:rPr>
          <w:rFonts w:ascii="Garamond" w:hAnsi="Garamond"/>
          <w:sz w:val="24"/>
          <w:szCs w:val="24"/>
        </w:rPr>
      </w:pPr>
    </w:p>
    <w:p w14:paraId="648B2332" w14:textId="77777777" w:rsidR="003E0818" w:rsidRPr="00516267" w:rsidRDefault="003E0818" w:rsidP="003E0818">
      <w:pPr>
        <w:ind w:left="360"/>
        <w:rPr>
          <w:rFonts w:ascii="Garamond" w:hAnsi="Garamond"/>
          <w:sz w:val="24"/>
          <w:szCs w:val="24"/>
        </w:rPr>
      </w:pPr>
      <w:r w:rsidRPr="00516267">
        <w:rPr>
          <w:rFonts w:ascii="Garamond" w:hAnsi="Garamond"/>
          <w:sz w:val="24"/>
          <w:szCs w:val="24"/>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516267">
        <w:rPr>
          <w:rFonts w:ascii="Garamond" w:hAnsi="Garamond"/>
          <w:sz w:val="24"/>
          <w:szCs w:val="24"/>
          <w:vertAlign w:val="subscript"/>
        </w:rPr>
        <w:t>2</w:t>
      </w:r>
      <w:r w:rsidRPr="00516267">
        <w:rPr>
          <w:rFonts w:ascii="Garamond" w:hAnsi="Garamond"/>
          <w:sz w:val="24"/>
          <w:szCs w:val="24"/>
        </w:rPr>
        <w:t>e and 100 or 250 TPY of GHG on a mass basis depending on their listed status in ARM 17.8.801(22) and they undertook a permitting action with increases of 75,000 TPY or more of CO</w:t>
      </w:r>
      <w:r w:rsidRPr="00516267">
        <w:rPr>
          <w:rFonts w:ascii="Garamond" w:hAnsi="Garamond"/>
          <w:sz w:val="24"/>
          <w:szCs w:val="24"/>
          <w:vertAlign w:val="subscript"/>
        </w:rPr>
        <w:t>2</w:t>
      </w:r>
      <w:r w:rsidRPr="00516267">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516267">
        <w:rPr>
          <w:rFonts w:ascii="Garamond" w:hAnsi="Garamond"/>
          <w:sz w:val="24"/>
          <w:szCs w:val="24"/>
          <w:vertAlign w:val="subscript"/>
        </w:rPr>
        <w:t>2</w:t>
      </w:r>
      <w:r w:rsidRPr="00516267">
        <w:rPr>
          <w:rFonts w:ascii="Garamond" w:hAnsi="Garamond"/>
          <w:sz w:val="24"/>
          <w:szCs w:val="24"/>
        </w:rPr>
        <w:t>e and 100 TPY of GHG on a mass basis would be required to obtain a Title V Operating Permit.</w:t>
      </w:r>
    </w:p>
    <w:p w14:paraId="48D2300C" w14:textId="77777777" w:rsidR="003E0818" w:rsidRPr="00516267" w:rsidRDefault="003E0818" w:rsidP="000E5515">
      <w:pPr>
        <w:rPr>
          <w:rFonts w:ascii="Garamond" w:hAnsi="Garamond"/>
          <w:sz w:val="24"/>
          <w:szCs w:val="24"/>
        </w:rPr>
      </w:pPr>
    </w:p>
    <w:p w14:paraId="76497809" w14:textId="77777777" w:rsidR="0035028A" w:rsidRPr="00516267" w:rsidRDefault="0035028A" w:rsidP="003E0818">
      <w:pPr>
        <w:pStyle w:val="Default"/>
        <w:ind w:left="360"/>
        <w:rPr>
          <w:rFonts w:ascii="Garamond" w:hAnsi="Garamond"/>
        </w:rPr>
      </w:pPr>
      <w:r w:rsidRPr="00F82CFD">
        <w:rPr>
          <w:rFonts w:ascii="Garamond" w:hAnsi="Garamond"/>
        </w:rPr>
        <w:t xml:space="preserve">The Supreme Court of the United States (SCOTUS), in its </w:t>
      </w:r>
      <w:r w:rsidRPr="00F82CFD">
        <w:rPr>
          <w:rFonts w:ascii="Garamond" w:hAnsi="Garamond"/>
          <w:i/>
          <w:iCs/>
        </w:rPr>
        <w:t>Utility Air Regulatory Group v. EPA</w:t>
      </w:r>
      <w:r w:rsidRPr="00F82CFD">
        <w:rPr>
          <w:rFonts w:ascii="Garamond" w:hAnsi="Garamond"/>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F82CFD">
        <w:rPr>
          <w:rFonts w:ascii="Garamond" w:hAnsi="Garamond"/>
          <w:vertAlign w:val="subscript"/>
        </w:rPr>
        <w:t>2</w:t>
      </w:r>
      <w:r w:rsidRPr="00F82CFD">
        <w:rPr>
          <w:rFonts w:ascii="Garamond" w:hAnsi="Garamond"/>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w:t>
      </w:r>
      <w:proofErr w:type="gramStart"/>
      <w:r w:rsidRPr="00F82CFD">
        <w:rPr>
          <w:rFonts w:ascii="Garamond" w:hAnsi="Garamond"/>
        </w:rPr>
        <w:t>invalid</w:t>
      </w:r>
      <w:proofErr w:type="gramEnd"/>
      <w:r w:rsidRPr="00F82CFD">
        <w:rPr>
          <w:rFonts w:ascii="Garamond" w:hAnsi="Garamond"/>
        </w:rPr>
        <w:t xml:space="preserve"> and sources cannot become subject to PSD or Title V regulations based on GHG emissions alone.  Sources that must undergo PSD permitting due to pollutant emissions other than </w:t>
      </w:r>
      <w:r>
        <w:rPr>
          <w:rFonts w:ascii="Garamond" w:hAnsi="Garamond"/>
        </w:rPr>
        <w:t>GHG</w:t>
      </w:r>
      <w:r w:rsidRPr="00F82CFD">
        <w:rPr>
          <w:rFonts w:ascii="Garamond" w:hAnsi="Garamond"/>
        </w:rPr>
        <w:t xml:space="preserve"> may still be required to comply with BACT for GHG emissions.</w:t>
      </w:r>
    </w:p>
    <w:p w14:paraId="7B8EF73D" w14:textId="77777777" w:rsidR="003E0818" w:rsidRPr="00516267" w:rsidRDefault="003E0818" w:rsidP="00842046">
      <w:pPr>
        <w:rPr>
          <w:rFonts w:ascii="Garamond" w:hAnsi="Garamond"/>
          <w:sz w:val="24"/>
          <w:szCs w:val="24"/>
        </w:rPr>
      </w:pPr>
    </w:p>
    <w:p w14:paraId="36AFD6AC" w14:textId="77777777" w:rsidR="003E0818" w:rsidRPr="00516267" w:rsidRDefault="003E0818" w:rsidP="00E7495C">
      <w:pPr>
        <w:rPr>
          <w:rFonts w:ascii="Garamond" w:hAnsi="Garamond"/>
          <w:sz w:val="24"/>
          <w:szCs w:val="24"/>
        </w:rPr>
      </w:pPr>
    </w:p>
    <w:sectPr w:rsidR="003E0818" w:rsidRPr="00516267" w:rsidSect="008D0830">
      <w:pgSz w:w="12240" w:h="15840" w:code="1"/>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C66E" w14:textId="77777777" w:rsidR="009F39A9" w:rsidRDefault="009F39A9">
      <w:r>
        <w:separator/>
      </w:r>
    </w:p>
  </w:endnote>
  <w:endnote w:type="continuationSeparator" w:id="0">
    <w:p w14:paraId="658F4DD5" w14:textId="77777777" w:rsidR="009F39A9" w:rsidRDefault="009F39A9">
      <w:r>
        <w:continuationSeparator/>
      </w:r>
    </w:p>
  </w:endnote>
  <w:endnote w:type="continuationNotice" w:id="1">
    <w:p w14:paraId="1FE9EE5E" w14:textId="77777777" w:rsidR="009F39A9" w:rsidRDefault="009F3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A6BF" w14:textId="77777777" w:rsidR="00E679AF" w:rsidRDefault="00E679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BB325" w14:textId="77777777" w:rsidR="00E679AF" w:rsidRDefault="00E67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7965" w14:textId="4087CA7A" w:rsidR="00E679AF" w:rsidRPr="00C67C26" w:rsidRDefault="00A42552" w:rsidP="003C10F7">
    <w:pPr>
      <w:pStyle w:val="Footer"/>
      <w:tabs>
        <w:tab w:val="clear" w:pos="8640"/>
        <w:tab w:val="right" w:pos="9360"/>
      </w:tabs>
      <w:rPr>
        <w:rFonts w:ascii="Garamond" w:hAnsi="Garamond"/>
        <w:sz w:val="18"/>
        <w:szCs w:val="18"/>
      </w:rPr>
    </w:pPr>
    <w:r>
      <w:rPr>
        <w:rFonts w:ascii="Garamond" w:hAnsi="Garamond"/>
        <w:sz w:val="18"/>
        <w:szCs w:val="18"/>
      </w:rPr>
      <w:t>TRD3395-</w:t>
    </w:r>
    <w:r w:rsidRPr="00B84EC3">
      <w:rPr>
        <w:rFonts w:ascii="Garamond" w:hAnsi="Garamond"/>
        <w:sz w:val="18"/>
        <w:szCs w:val="18"/>
      </w:rPr>
      <w:t>0</w:t>
    </w:r>
    <w:r w:rsidR="00EE119E">
      <w:rPr>
        <w:rFonts w:ascii="Garamond" w:hAnsi="Garamond"/>
        <w:sz w:val="18"/>
        <w:szCs w:val="18"/>
      </w:rPr>
      <w:t>6</w:t>
    </w:r>
    <w:r w:rsidRPr="00B84EC3">
      <w:rPr>
        <w:rFonts w:ascii="Garamond" w:hAnsi="Garamond"/>
        <w:sz w:val="18"/>
        <w:szCs w:val="18"/>
      </w:rPr>
      <w:ptab w:relativeTo="margin" w:alignment="center" w:leader="none"/>
    </w:r>
    <w:r w:rsidRPr="00B84EC3">
      <w:rPr>
        <w:rFonts w:ascii="Garamond" w:eastAsiaTheme="majorEastAsia" w:hAnsi="Garamond" w:cstheme="majorBidi"/>
        <w:sz w:val="18"/>
        <w:szCs w:val="18"/>
      </w:rPr>
      <w:t xml:space="preserve"> </w:t>
    </w:r>
    <w:r w:rsidRPr="00B84EC3">
      <w:rPr>
        <w:rFonts w:ascii="Garamond" w:eastAsiaTheme="minorEastAsia" w:hAnsi="Garamond" w:cstheme="minorBidi"/>
        <w:sz w:val="18"/>
        <w:szCs w:val="18"/>
      </w:rPr>
      <w:fldChar w:fldCharType="begin"/>
    </w:r>
    <w:r w:rsidRPr="00B84EC3">
      <w:rPr>
        <w:rFonts w:ascii="Garamond" w:hAnsi="Garamond"/>
        <w:sz w:val="18"/>
        <w:szCs w:val="18"/>
      </w:rPr>
      <w:instrText xml:space="preserve"> PAGE    \* MERGEFORMAT </w:instrText>
    </w:r>
    <w:r w:rsidRPr="00B84EC3">
      <w:rPr>
        <w:rFonts w:ascii="Garamond" w:eastAsiaTheme="minorEastAsia" w:hAnsi="Garamond" w:cstheme="minorBidi"/>
        <w:sz w:val="18"/>
        <w:szCs w:val="18"/>
      </w:rPr>
      <w:fldChar w:fldCharType="separate"/>
    </w:r>
    <w:r w:rsidR="006F798D" w:rsidRPr="006F798D">
      <w:rPr>
        <w:rFonts w:ascii="Garamond" w:eastAsiaTheme="majorEastAsia" w:hAnsi="Garamond" w:cstheme="majorBidi"/>
        <w:noProof/>
        <w:sz w:val="18"/>
        <w:szCs w:val="18"/>
      </w:rPr>
      <w:t>12</w:t>
    </w:r>
    <w:r w:rsidRPr="00B84EC3">
      <w:rPr>
        <w:rFonts w:ascii="Garamond" w:eastAsiaTheme="majorEastAsia" w:hAnsi="Garamond" w:cstheme="majorBidi"/>
        <w:noProof/>
        <w:sz w:val="18"/>
        <w:szCs w:val="18"/>
      </w:rPr>
      <w:fldChar w:fldCharType="end"/>
    </w:r>
    <w:r w:rsidRPr="00B84EC3">
      <w:rPr>
        <w:rFonts w:ascii="Garamond" w:hAnsi="Garamond"/>
        <w:sz w:val="18"/>
        <w:szCs w:val="18"/>
      </w:rPr>
      <w:ptab w:relativeTo="margin" w:alignment="right" w:leader="none"/>
    </w:r>
    <w:r w:rsidR="00AD4950">
      <w:rPr>
        <w:rFonts w:ascii="Garamond" w:hAnsi="Garamond"/>
        <w:sz w:val="18"/>
        <w:szCs w:val="18"/>
      </w:rPr>
      <w:t>Final</w:t>
    </w:r>
    <w:r w:rsidR="002875CC">
      <w:rPr>
        <w:rFonts w:ascii="Garamond" w:hAnsi="Garamond"/>
        <w:sz w:val="18"/>
        <w:szCs w:val="18"/>
      </w:rPr>
      <w:t>:</w:t>
    </w:r>
    <w:r>
      <w:rPr>
        <w:rFonts w:ascii="Garamond" w:hAnsi="Garamond"/>
        <w:sz w:val="18"/>
        <w:szCs w:val="18"/>
      </w:rPr>
      <w:t xml:space="preserve"> </w:t>
    </w:r>
    <w:r w:rsidR="006041CC">
      <w:rPr>
        <w:rFonts w:ascii="Garamond" w:hAnsi="Garamond"/>
        <w:sz w:val="18"/>
        <w:szCs w:val="18"/>
      </w:rPr>
      <w:t>0</w:t>
    </w:r>
    <w:r w:rsidR="00AD4950">
      <w:rPr>
        <w:rFonts w:ascii="Garamond" w:hAnsi="Garamond"/>
        <w:sz w:val="18"/>
        <w:szCs w:val="18"/>
      </w:rPr>
      <w:t>5</w:t>
    </w:r>
    <w:r w:rsidR="006041CC">
      <w:rPr>
        <w:rFonts w:ascii="Garamond" w:hAnsi="Garamond"/>
        <w:sz w:val="18"/>
        <w:szCs w:val="18"/>
      </w:rPr>
      <w:t>/0</w:t>
    </w:r>
    <w:r w:rsidR="00AD4950">
      <w:rPr>
        <w:rFonts w:ascii="Garamond" w:hAnsi="Garamond"/>
        <w:sz w:val="18"/>
        <w:szCs w:val="18"/>
      </w:rPr>
      <w:t>8</w:t>
    </w:r>
    <w:r w:rsidR="007A0C18">
      <w:rPr>
        <w:rFonts w:ascii="Garamond" w:hAnsi="Garamond"/>
        <w:sz w:val="18"/>
        <w:szCs w:val="18"/>
      </w:rPr>
      <w:t>/202</w:t>
    </w:r>
    <w:r w:rsidR="007C5452">
      <w:rPr>
        <w:rFonts w:ascii="Garamond" w:hAnsi="Garamond"/>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7C21" w14:textId="77777777" w:rsidR="009F39A9" w:rsidRDefault="009F39A9">
      <w:r>
        <w:separator/>
      </w:r>
    </w:p>
  </w:footnote>
  <w:footnote w:type="continuationSeparator" w:id="0">
    <w:p w14:paraId="44DE5035" w14:textId="77777777" w:rsidR="009F39A9" w:rsidRDefault="009F39A9">
      <w:r>
        <w:continuationSeparator/>
      </w:r>
    </w:p>
  </w:footnote>
  <w:footnote w:type="continuationNotice" w:id="1">
    <w:p w14:paraId="6D5122E3" w14:textId="77777777" w:rsidR="009F39A9" w:rsidRDefault="009F3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1" w15:restartNumberingAfterBreak="0">
    <w:nsid w:val="07C54F65"/>
    <w:multiLevelType w:val="multilevel"/>
    <w:tmpl w:val="797860BA"/>
    <w:lvl w:ilvl="0">
      <w:start w:val="1"/>
      <w:numFmt w:val="upperRoman"/>
      <w:pStyle w:val="Heading1"/>
      <w:suff w:val="space"/>
      <w:lvlText w:val="SECTION %1."/>
      <w:lvlJc w:val="left"/>
      <w:pPr>
        <w:ind w:left="0" w:firstLine="0"/>
      </w:pPr>
      <w:rPr>
        <w:rFonts w:ascii="Garamond" w:hAnsi="Garamond" w:hint="default"/>
        <w:b/>
        <w:i w:val="0"/>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3"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4"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5"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6"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7"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8"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9"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10"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11"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12"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hint="default"/>
        <w:b/>
        <w:i w:val="0"/>
        <w:color w:val="000000"/>
        <w:sz w:val="22"/>
        <w:u w:val="none"/>
      </w:rPr>
    </w:lvl>
  </w:abstractNum>
  <w:abstractNum w:abstractNumId="13" w15:restartNumberingAfterBreak="0">
    <w:nsid w:val="59CC22D5"/>
    <w:multiLevelType w:val="hybridMultilevel"/>
    <w:tmpl w:val="0AE2D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BFA4C4B"/>
    <w:multiLevelType w:val="multilevel"/>
    <w:tmpl w:val="2D7E9912"/>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16"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17"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18" w15:restartNumberingAfterBreak="0">
    <w:nsid w:val="69DB56FB"/>
    <w:multiLevelType w:val="hybridMultilevel"/>
    <w:tmpl w:val="E39A0DE6"/>
    <w:lvl w:ilvl="0" w:tplc="855A2E80">
      <w:start w:val="1"/>
      <w:numFmt w:val="upperLetter"/>
      <w:pStyle w:val="Heading2"/>
      <w:lvlText w:val="%1."/>
      <w:lvlJc w:val="left"/>
      <w:pPr>
        <w:tabs>
          <w:tab w:val="num" w:pos="360"/>
        </w:tabs>
        <w:ind w:left="360" w:hanging="360"/>
      </w:pPr>
      <w:rPr>
        <w:rFonts w:ascii="Garamond" w:hAnsi="Garamond" w:hint="default"/>
        <w:b/>
        <w:i w:val="0"/>
        <w:sz w:val="24"/>
        <w:szCs w:val="24"/>
      </w:rPr>
    </w:lvl>
    <w:lvl w:ilvl="1" w:tplc="9FF27F64" w:tentative="1">
      <w:start w:val="1"/>
      <w:numFmt w:val="lowerLetter"/>
      <w:lvlText w:val="%2."/>
      <w:lvlJc w:val="left"/>
      <w:pPr>
        <w:tabs>
          <w:tab w:val="num" w:pos="1440"/>
        </w:tabs>
        <w:ind w:left="1440" w:hanging="360"/>
      </w:pPr>
    </w:lvl>
    <w:lvl w:ilvl="2" w:tplc="ADFE8434" w:tentative="1">
      <w:start w:val="1"/>
      <w:numFmt w:val="lowerRoman"/>
      <w:lvlText w:val="%3."/>
      <w:lvlJc w:val="right"/>
      <w:pPr>
        <w:tabs>
          <w:tab w:val="num" w:pos="2160"/>
        </w:tabs>
        <w:ind w:left="2160" w:hanging="180"/>
      </w:pPr>
    </w:lvl>
    <w:lvl w:ilvl="3" w:tplc="352EA67A" w:tentative="1">
      <w:start w:val="1"/>
      <w:numFmt w:val="decimal"/>
      <w:lvlText w:val="%4."/>
      <w:lvlJc w:val="left"/>
      <w:pPr>
        <w:tabs>
          <w:tab w:val="num" w:pos="2880"/>
        </w:tabs>
        <w:ind w:left="2880" w:hanging="360"/>
      </w:pPr>
    </w:lvl>
    <w:lvl w:ilvl="4" w:tplc="2EACCAC8" w:tentative="1">
      <w:start w:val="1"/>
      <w:numFmt w:val="lowerLetter"/>
      <w:lvlText w:val="%5."/>
      <w:lvlJc w:val="left"/>
      <w:pPr>
        <w:tabs>
          <w:tab w:val="num" w:pos="3600"/>
        </w:tabs>
        <w:ind w:left="3600" w:hanging="360"/>
      </w:pPr>
    </w:lvl>
    <w:lvl w:ilvl="5" w:tplc="D0260068" w:tentative="1">
      <w:start w:val="1"/>
      <w:numFmt w:val="lowerRoman"/>
      <w:lvlText w:val="%6."/>
      <w:lvlJc w:val="right"/>
      <w:pPr>
        <w:tabs>
          <w:tab w:val="num" w:pos="4320"/>
        </w:tabs>
        <w:ind w:left="4320" w:hanging="180"/>
      </w:pPr>
    </w:lvl>
    <w:lvl w:ilvl="6" w:tplc="EDBA7C40" w:tentative="1">
      <w:start w:val="1"/>
      <w:numFmt w:val="decimal"/>
      <w:lvlText w:val="%7."/>
      <w:lvlJc w:val="left"/>
      <w:pPr>
        <w:tabs>
          <w:tab w:val="num" w:pos="5040"/>
        </w:tabs>
        <w:ind w:left="5040" w:hanging="360"/>
      </w:pPr>
    </w:lvl>
    <w:lvl w:ilvl="7" w:tplc="37C86FA4" w:tentative="1">
      <w:start w:val="1"/>
      <w:numFmt w:val="lowerLetter"/>
      <w:lvlText w:val="%8."/>
      <w:lvlJc w:val="left"/>
      <w:pPr>
        <w:tabs>
          <w:tab w:val="num" w:pos="5760"/>
        </w:tabs>
        <w:ind w:left="5760" w:hanging="360"/>
      </w:pPr>
    </w:lvl>
    <w:lvl w:ilvl="8" w:tplc="779C3E44" w:tentative="1">
      <w:start w:val="1"/>
      <w:numFmt w:val="lowerRoman"/>
      <w:lvlText w:val="%9."/>
      <w:lvlJc w:val="right"/>
      <w:pPr>
        <w:tabs>
          <w:tab w:val="num" w:pos="6480"/>
        </w:tabs>
        <w:ind w:left="6480" w:hanging="180"/>
      </w:pPr>
    </w:lvl>
  </w:abstractNum>
  <w:abstractNum w:abstractNumId="19"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hint="default"/>
        <w:b/>
        <w:i w:val="0"/>
        <w:color w:val="000000"/>
        <w:u w:val="none"/>
      </w:rPr>
    </w:lvl>
  </w:abstractNum>
  <w:abstractNum w:abstractNumId="20"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1979143733">
    <w:abstractNumId w:val="1"/>
  </w:num>
  <w:num w:numId="2" w16cid:durableId="1021853995">
    <w:abstractNumId w:val="8"/>
  </w:num>
  <w:num w:numId="3" w16cid:durableId="295720004">
    <w:abstractNumId w:val="5"/>
  </w:num>
  <w:num w:numId="4" w16cid:durableId="1192917661">
    <w:abstractNumId w:val="12"/>
  </w:num>
  <w:num w:numId="5" w16cid:durableId="417100547">
    <w:abstractNumId w:val="4"/>
  </w:num>
  <w:num w:numId="6" w16cid:durableId="1381396411">
    <w:abstractNumId w:val="6"/>
  </w:num>
  <w:num w:numId="7" w16cid:durableId="2002392353">
    <w:abstractNumId w:val="7"/>
  </w:num>
  <w:num w:numId="8" w16cid:durableId="1977487297">
    <w:abstractNumId w:val="1"/>
  </w:num>
  <w:num w:numId="9" w16cid:durableId="577792568">
    <w:abstractNumId w:val="20"/>
  </w:num>
  <w:num w:numId="10" w16cid:durableId="411926123">
    <w:abstractNumId w:val="3"/>
  </w:num>
  <w:num w:numId="11" w16cid:durableId="1503541789">
    <w:abstractNumId w:val="0"/>
  </w:num>
  <w:num w:numId="12" w16cid:durableId="1993290012">
    <w:abstractNumId w:val="16"/>
  </w:num>
  <w:num w:numId="13" w16cid:durableId="1396196336">
    <w:abstractNumId w:val="15"/>
  </w:num>
  <w:num w:numId="14" w16cid:durableId="2144080571">
    <w:abstractNumId w:val="17"/>
  </w:num>
  <w:num w:numId="15" w16cid:durableId="811749536">
    <w:abstractNumId w:val="9"/>
  </w:num>
  <w:num w:numId="16" w16cid:durableId="1716733836">
    <w:abstractNumId w:val="19"/>
  </w:num>
  <w:num w:numId="17" w16cid:durableId="778183179">
    <w:abstractNumId w:val="2"/>
  </w:num>
  <w:num w:numId="18" w16cid:durableId="386032087">
    <w:abstractNumId w:val="10"/>
  </w:num>
  <w:num w:numId="19" w16cid:durableId="521747833">
    <w:abstractNumId w:val="11"/>
  </w:num>
  <w:num w:numId="20" w16cid:durableId="2007510769">
    <w:abstractNumId w:val="18"/>
  </w:num>
  <w:num w:numId="21" w16cid:durableId="427774354">
    <w:abstractNumId w:val="18"/>
    <w:lvlOverride w:ilvl="0">
      <w:startOverride w:val="1"/>
    </w:lvlOverride>
  </w:num>
  <w:num w:numId="22" w16cid:durableId="592206055">
    <w:abstractNumId w:val="18"/>
    <w:lvlOverride w:ilvl="0">
      <w:startOverride w:val="1"/>
    </w:lvlOverride>
  </w:num>
  <w:num w:numId="23" w16cid:durableId="215626939">
    <w:abstractNumId w:val="18"/>
    <w:lvlOverride w:ilvl="0">
      <w:startOverride w:val="1"/>
    </w:lvlOverride>
  </w:num>
  <w:num w:numId="24" w16cid:durableId="1621719856">
    <w:abstractNumId w:val="13"/>
  </w:num>
  <w:num w:numId="25" w16cid:durableId="903225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FaZUp386ScIhICxHfrIHCwkutyJ4ONSzreGgl+EJq32nUNuANcKDsTJLAOyRc5JRRIp08mCnm1vu9ufVKl/OQ==" w:salt="4z+e+yU7cskNKocHIPJDw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0A"/>
    <w:rsid w:val="0000054D"/>
    <w:rsid w:val="000059FF"/>
    <w:rsid w:val="0000735A"/>
    <w:rsid w:val="00013A2C"/>
    <w:rsid w:val="00016D40"/>
    <w:rsid w:val="00027F86"/>
    <w:rsid w:val="0004107F"/>
    <w:rsid w:val="00044205"/>
    <w:rsid w:val="00064089"/>
    <w:rsid w:val="00074398"/>
    <w:rsid w:val="00075DD5"/>
    <w:rsid w:val="000A142C"/>
    <w:rsid w:val="000A285B"/>
    <w:rsid w:val="000A3D66"/>
    <w:rsid w:val="000B14AC"/>
    <w:rsid w:val="000B2A93"/>
    <w:rsid w:val="000B2C3A"/>
    <w:rsid w:val="000B4C6D"/>
    <w:rsid w:val="000C4319"/>
    <w:rsid w:val="000C79A7"/>
    <w:rsid w:val="000E0AC6"/>
    <w:rsid w:val="000E14D6"/>
    <w:rsid w:val="000E5515"/>
    <w:rsid w:val="00102CC9"/>
    <w:rsid w:val="0011225A"/>
    <w:rsid w:val="00114353"/>
    <w:rsid w:val="00115DD2"/>
    <w:rsid w:val="00132A77"/>
    <w:rsid w:val="0013647B"/>
    <w:rsid w:val="0013713E"/>
    <w:rsid w:val="00137ECD"/>
    <w:rsid w:val="00150890"/>
    <w:rsid w:val="0016023F"/>
    <w:rsid w:val="001605E5"/>
    <w:rsid w:val="00161E39"/>
    <w:rsid w:val="00167BDE"/>
    <w:rsid w:val="001851FD"/>
    <w:rsid w:val="001B6833"/>
    <w:rsid w:val="001C17EA"/>
    <w:rsid w:val="001C7971"/>
    <w:rsid w:val="001D254B"/>
    <w:rsid w:val="001E11D5"/>
    <w:rsid w:val="001F2EE0"/>
    <w:rsid w:val="001F5D39"/>
    <w:rsid w:val="0021075A"/>
    <w:rsid w:val="00240A25"/>
    <w:rsid w:val="0024130A"/>
    <w:rsid w:val="00244C3A"/>
    <w:rsid w:val="00254A33"/>
    <w:rsid w:val="002576BA"/>
    <w:rsid w:val="002660F8"/>
    <w:rsid w:val="00266588"/>
    <w:rsid w:val="002804ED"/>
    <w:rsid w:val="0028352F"/>
    <w:rsid w:val="002875CC"/>
    <w:rsid w:val="002A7A78"/>
    <w:rsid w:val="002C1E98"/>
    <w:rsid w:val="002C7C93"/>
    <w:rsid w:val="002E07D3"/>
    <w:rsid w:val="002E5DB1"/>
    <w:rsid w:val="002F5913"/>
    <w:rsid w:val="002F63B2"/>
    <w:rsid w:val="00307FC2"/>
    <w:rsid w:val="0032518C"/>
    <w:rsid w:val="00341871"/>
    <w:rsid w:val="0034321B"/>
    <w:rsid w:val="0034603E"/>
    <w:rsid w:val="0035028A"/>
    <w:rsid w:val="00372E28"/>
    <w:rsid w:val="003775BF"/>
    <w:rsid w:val="003B4D9E"/>
    <w:rsid w:val="003C10F7"/>
    <w:rsid w:val="003C1FEA"/>
    <w:rsid w:val="003D10CA"/>
    <w:rsid w:val="003D470A"/>
    <w:rsid w:val="003D730D"/>
    <w:rsid w:val="003E0818"/>
    <w:rsid w:val="003E2F14"/>
    <w:rsid w:val="003E3C2F"/>
    <w:rsid w:val="003E4AC1"/>
    <w:rsid w:val="003E6C64"/>
    <w:rsid w:val="00403922"/>
    <w:rsid w:val="00404BFA"/>
    <w:rsid w:val="00413AD4"/>
    <w:rsid w:val="0041685C"/>
    <w:rsid w:val="004254DB"/>
    <w:rsid w:val="004275A2"/>
    <w:rsid w:val="00472F91"/>
    <w:rsid w:val="004917CC"/>
    <w:rsid w:val="004967D1"/>
    <w:rsid w:val="004A6225"/>
    <w:rsid w:val="004C6602"/>
    <w:rsid w:val="004D1DE0"/>
    <w:rsid w:val="004D598B"/>
    <w:rsid w:val="00507673"/>
    <w:rsid w:val="00516267"/>
    <w:rsid w:val="00516809"/>
    <w:rsid w:val="00531252"/>
    <w:rsid w:val="0053450C"/>
    <w:rsid w:val="00565431"/>
    <w:rsid w:val="00565F76"/>
    <w:rsid w:val="00581644"/>
    <w:rsid w:val="00581E4D"/>
    <w:rsid w:val="005A1493"/>
    <w:rsid w:val="005B44FA"/>
    <w:rsid w:val="005E0013"/>
    <w:rsid w:val="005E0DC6"/>
    <w:rsid w:val="005E3B34"/>
    <w:rsid w:val="005F3FD8"/>
    <w:rsid w:val="005F7F1C"/>
    <w:rsid w:val="006041CC"/>
    <w:rsid w:val="00614B01"/>
    <w:rsid w:val="00636325"/>
    <w:rsid w:val="0065351D"/>
    <w:rsid w:val="006535E5"/>
    <w:rsid w:val="00660CF7"/>
    <w:rsid w:val="00664662"/>
    <w:rsid w:val="00666E9A"/>
    <w:rsid w:val="00680CFC"/>
    <w:rsid w:val="00695343"/>
    <w:rsid w:val="00695747"/>
    <w:rsid w:val="006A0B78"/>
    <w:rsid w:val="006A793B"/>
    <w:rsid w:val="006B15F7"/>
    <w:rsid w:val="006B3519"/>
    <w:rsid w:val="006C23C0"/>
    <w:rsid w:val="006C2D50"/>
    <w:rsid w:val="006E3C41"/>
    <w:rsid w:val="006F5B14"/>
    <w:rsid w:val="006F798D"/>
    <w:rsid w:val="007111AB"/>
    <w:rsid w:val="007251B9"/>
    <w:rsid w:val="007740AB"/>
    <w:rsid w:val="00785978"/>
    <w:rsid w:val="007A0670"/>
    <w:rsid w:val="007A0C18"/>
    <w:rsid w:val="007A4B7E"/>
    <w:rsid w:val="007B7C4D"/>
    <w:rsid w:val="007C498B"/>
    <w:rsid w:val="007C5452"/>
    <w:rsid w:val="007E28EE"/>
    <w:rsid w:val="00804ACD"/>
    <w:rsid w:val="008274BD"/>
    <w:rsid w:val="008353E2"/>
    <w:rsid w:val="0083629C"/>
    <w:rsid w:val="00842046"/>
    <w:rsid w:val="0085007F"/>
    <w:rsid w:val="00852044"/>
    <w:rsid w:val="00854D51"/>
    <w:rsid w:val="0085635C"/>
    <w:rsid w:val="0086039D"/>
    <w:rsid w:val="0087608E"/>
    <w:rsid w:val="00895B50"/>
    <w:rsid w:val="008A1981"/>
    <w:rsid w:val="008A6C96"/>
    <w:rsid w:val="008B7F90"/>
    <w:rsid w:val="008D0830"/>
    <w:rsid w:val="008D3D5F"/>
    <w:rsid w:val="00912B23"/>
    <w:rsid w:val="00914990"/>
    <w:rsid w:val="00920C47"/>
    <w:rsid w:val="00930720"/>
    <w:rsid w:val="00937083"/>
    <w:rsid w:val="009372FF"/>
    <w:rsid w:val="00941A94"/>
    <w:rsid w:val="00955A99"/>
    <w:rsid w:val="00963ED4"/>
    <w:rsid w:val="00987CFC"/>
    <w:rsid w:val="009954CA"/>
    <w:rsid w:val="00997D7E"/>
    <w:rsid w:val="009A3E26"/>
    <w:rsid w:val="009A6C8D"/>
    <w:rsid w:val="009B36D6"/>
    <w:rsid w:val="009B7D94"/>
    <w:rsid w:val="009D3EC5"/>
    <w:rsid w:val="009F39A9"/>
    <w:rsid w:val="009F4C8C"/>
    <w:rsid w:val="00A04888"/>
    <w:rsid w:val="00A04C34"/>
    <w:rsid w:val="00A13639"/>
    <w:rsid w:val="00A17096"/>
    <w:rsid w:val="00A1737C"/>
    <w:rsid w:val="00A40CE0"/>
    <w:rsid w:val="00A42552"/>
    <w:rsid w:val="00A55E63"/>
    <w:rsid w:val="00A709B7"/>
    <w:rsid w:val="00A8287C"/>
    <w:rsid w:val="00A8326E"/>
    <w:rsid w:val="00A86CA3"/>
    <w:rsid w:val="00A95384"/>
    <w:rsid w:val="00AA5298"/>
    <w:rsid w:val="00AA52D0"/>
    <w:rsid w:val="00AB6F27"/>
    <w:rsid w:val="00AD4950"/>
    <w:rsid w:val="00AE50E0"/>
    <w:rsid w:val="00AF2AA1"/>
    <w:rsid w:val="00AF628E"/>
    <w:rsid w:val="00AF7B28"/>
    <w:rsid w:val="00B44EA1"/>
    <w:rsid w:val="00B51FD9"/>
    <w:rsid w:val="00B530EF"/>
    <w:rsid w:val="00B77B1B"/>
    <w:rsid w:val="00B82811"/>
    <w:rsid w:val="00B847AA"/>
    <w:rsid w:val="00B84EC3"/>
    <w:rsid w:val="00BB68B5"/>
    <w:rsid w:val="00BC740E"/>
    <w:rsid w:val="00BC7CC5"/>
    <w:rsid w:val="00BD087C"/>
    <w:rsid w:val="00BE16C5"/>
    <w:rsid w:val="00BE1AFB"/>
    <w:rsid w:val="00BE212D"/>
    <w:rsid w:val="00BE25D4"/>
    <w:rsid w:val="00BE66C7"/>
    <w:rsid w:val="00BF5E6F"/>
    <w:rsid w:val="00C04D0D"/>
    <w:rsid w:val="00C073F6"/>
    <w:rsid w:val="00C16A7A"/>
    <w:rsid w:val="00C20466"/>
    <w:rsid w:val="00C2151A"/>
    <w:rsid w:val="00C265EF"/>
    <w:rsid w:val="00C44780"/>
    <w:rsid w:val="00C52E7A"/>
    <w:rsid w:val="00C6354F"/>
    <w:rsid w:val="00C66BDE"/>
    <w:rsid w:val="00C67C26"/>
    <w:rsid w:val="00C87F68"/>
    <w:rsid w:val="00C97F6D"/>
    <w:rsid w:val="00CB58F5"/>
    <w:rsid w:val="00CB60A8"/>
    <w:rsid w:val="00CC1D06"/>
    <w:rsid w:val="00CC5CE1"/>
    <w:rsid w:val="00CD75E9"/>
    <w:rsid w:val="00CE0709"/>
    <w:rsid w:val="00CE4572"/>
    <w:rsid w:val="00CE62BF"/>
    <w:rsid w:val="00CF6B1F"/>
    <w:rsid w:val="00D0312E"/>
    <w:rsid w:val="00D16FA6"/>
    <w:rsid w:val="00D1727D"/>
    <w:rsid w:val="00D64E33"/>
    <w:rsid w:val="00D94E43"/>
    <w:rsid w:val="00DB5A58"/>
    <w:rsid w:val="00DC62E5"/>
    <w:rsid w:val="00DC68CF"/>
    <w:rsid w:val="00DF2CAE"/>
    <w:rsid w:val="00DF46EB"/>
    <w:rsid w:val="00E0727C"/>
    <w:rsid w:val="00E1513F"/>
    <w:rsid w:val="00E301F9"/>
    <w:rsid w:val="00E34355"/>
    <w:rsid w:val="00E503D2"/>
    <w:rsid w:val="00E52506"/>
    <w:rsid w:val="00E608D8"/>
    <w:rsid w:val="00E679AF"/>
    <w:rsid w:val="00E7495C"/>
    <w:rsid w:val="00E839B7"/>
    <w:rsid w:val="00E864C7"/>
    <w:rsid w:val="00E8726B"/>
    <w:rsid w:val="00EB01C5"/>
    <w:rsid w:val="00EB2395"/>
    <w:rsid w:val="00EC25AA"/>
    <w:rsid w:val="00EC7AB5"/>
    <w:rsid w:val="00EE119E"/>
    <w:rsid w:val="00EE1A13"/>
    <w:rsid w:val="00EE4EF5"/>
    <w:rsid w:val="00F058D5"/>
    <w:rsid w:val="00F06557"/>
    <w:rsid w:val="00F23F08"/>
    <w:rsid w:val="00F24E55"/>
    <w:rsid w:val="00F254A4"/>
    <w:rsid w:val="00F320DB"/>
    <w:rsid w:val="00F3640D"/>
    <w:rsid w:val="00F36CE9"/>
    <w:rsid w:val="00F40553"/>
    <w:rsid w:val="00F40E57"/>
    <w:rsid w:val="00F4188C"/>
    <w:rsid w:val="00F4254D"/>
    <w:rsid w:val="00F57379"/>
    <w:rsid w:val="00F64100"/>
    <w:rsid w:val="00F724E7"/>
    <w:rsid w:val="00FA68DE"/>
    <w:rsid w:val="00FB1540"/>
    <w:rsid w:val="00FB50B2"/>
    <w:rsid w:val="00FB7793"/>
    <w:rsid w:val="00FC48DB"/>
    <w:rsid w:val="00FC6FB0"/>
    <w:rsid w:val="00FD336E"/>
    <w:rsid w:val="00FD46C1"/>
    <w:rsid w:val="00FD7526"/>
    <w:rsid w:val="00FE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2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8"/>
      </w:numPr>
      <w:jc w:val="center"/>
      <w:outlineLvl w:val="0"/>
    </w:pPr>
    <w:rPr>
      <w:rFonts w:ascii="Times New Roman Bold" w:hAnsi="Times New Roman Bold"/>
      <w:b/>
      <w:sz w:val="22"/>
    </w:rPr>
  </w:style>
  <w:style w:type="paragraph" w:styleId="Heading2">
    <w:name w:val="heading 2"/>
    <w:basedOn w:val="Normal"/>
    <w:next w:val="Normal"/>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qFormat/>
    <w:pPr>
      <w:keepNext/>
      <w:numPr>
        <w:numId w:val="9"/>
      </w:numPr>
      <w:outlineLvl w:val="3"/>
    </w:pPr>
    <w:rPr>
      <w:rFonts w:ascii="Univers" w:hAnsi="Univers"/>
      <w:b/>
    </w:rPr>
  </w:style>
  <w:style w:type="paragraph" w:styleId="Heading5">
    <w:name w:val="heading 5"/>
    <w:basedOn w:val="Normal"/>
    <w:next w:val="Normal"/>
    <w:qFormat/>
    <w:pPr>
      <w:keepNext/>
      <w:numPr>
        <w:numId w:val="16"/>
      </w:numPr>
      <w:outlineLvl w:val="4"/>
    </w:pPr>
    <w:rPr>
      <w:rFonts w:ascii="Univers" w:hAnsi="Univers"/>
      <w:b/>
    </w:rPr>
  </w:style>
  <w:style w:type="paragraph" w:styleId="Heading6">
    <w:name w:val="heading 6"/>
    <w:basedOn w:val="Normal"/>
    <w:next w:val="Normal"/>
    <w:qFormat/>
    <w:pPr>
      <w:keepNext/>
      <w:numPr>
        <w:numId w:val="4"/>
      </w:numPr>
      <w:tabs>
        <w:tab w:val="left" w:pos="720"/>
      </w:tabs>
      <w:outlineLvl w:val="5"/>
    </w:pPr>
    <w:rPr>
      <w:b/>
      <w:bCs/>
      <w:sz w:val="21"/>
    </w:rPr>
  </w:style>
  <w:style w:type="paragraph" w:styleId="Heading7">
    <w:name w:val="heading 7"/>
    <w:basedOn w:val="Normal"/>
    <w:next w:val="Normal"/>
    <w:qFormat/>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Header">
    <w:name w:val="header"/>
    <w:basedOn w:val="Normal"/>
    <w:pPr>
      <w:tabs>
        <w:tab w:val="center" w:pos="4320"/>
        <w:tab w:val="right" w:pos="8640"/>
      </w:tabs>
    </w:pPr>
    <w:rPr>
      <w:rFonts w:ascii="Univers" w:hAnsi="Univers"/>
    </w:rPr>
  </w:style>
  <w:style w:type="paragraph" w:styleId="TOC1">
    <w:name w:val="toc 1"/>
    <w:basedOn w:val="Normal"/>
    <w:next w:val="Normal"/>
    <w:autoRedefine/>
    <w:uiPriority w:val="39"/>
    <w:rsid w:val="003E4AC1"/>
    <w:pPr>
      <w:tabs>
        <w:tab w:val="right" w:leader="dot" w:pos="9270"/>
      </w:tabs>
      <w:spacing w:before="120" w:after="120"/>
    </w:pPr>
    <w:rPr>
      <w:b/>
      <w:caps/>
    </w:rPr>
  </w:style>
  <w:style w:type="paragraph" w:styleId="TOC2">
    <w:name w:val="toc 2"/>
    <w:basedOn w:val="Normal"/>
    <w:next w:val="Normal"/>
    <w:autoRedefine/>
    <w:uiPriority w:val="39"/>
    <w:rsid w:val="003E4AC1"/>
    <w:pPr>
      <w:tabs>
        <w:tab w:val="left" w:pos="600"/>
        <w:tab w:val="left" w:pos="9000"/>
        <w:tab w:val="right" w:leader="dot" w:pos="936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BodyTextIndent">
    <w:name w:val="Body Text Indent"/>
    <w:basedOn w:val="Normal"/>
    <w:pPr>
      <w:ind w:left="360"/>
    </w:pPr>
    <w:rPr>
      <w:sz w:val="22"/>
    </w:rPr>
  </w:style>
  <w:style w:type="paragraph" w:styleId="BodyTextIndent2">
    <w:name w:val="Body Text Indent 2"/>
    <w:basedOn w:val="Normal"/>
    <w:pPr>
      <w:ind w:left="360"/>
    </w:pPr>
    <w:rPr>
      <w:rFonts w:ascii="Univers" w:hAnsi="Univers"/>
      <w:u w:val="single"/>
    </w:rPr>
  </w:style>
  <w:style w:type="paragraph" w:styleId="Subtitle">
    <w:name w:val="Subtitle"/>
    <w:basedOn w:val="Normal"/>
    <w:qFormat/>
    <w:pPr>
      <w:jc w:val="center"/>
    </w:pPr>
    <w:rPr>
      <w:b/>
      <w:sz w:val="22"/>
    </w:rPr>
  </w:style>
  <w:style w:type="character" w:styleId="CommentReference">
    <w:name w:val="annotation reference"/>
    <w:basedOn w:val="DefaultParagraphFont"/>
    <w:rsid w:val="00266588"/>
    <w:rPr>
      <w:sz w:val="16"/>
      <w:szCs w:val="16"/>
    </w:rPr>
  </w:style>
  <w:style w:type="paragraph" w:styleId="CommentText">
    <w:name w:val="annotation text"/>
    <w:basedOn w:val="Normal"/>
    <w:link w:val="CommentTextChar"/>
    <w:rsid w:val="00266588"/>
  </w:style>
  <w:style w:type="character" w:customStyle="1" w:styleId="CommentTextChar">
    <w:name w:val="Comment Text Char"/>
    <w:basedOn w:val="DefaultParagraphFont"/>
    <w:link w:val="CommentText"/>
    <w:rsid w:val="00266588"/>
  </w:style>
  <w:style w:type="paragraph" w:styleId="CommentSubject">
    <w:name w:val="annotation subject"/>
    <w:basedOn w:val="CommentText"/>
    <w:next w:val="CommentText"/>
    <w:link w:val="CommentSubjectChar"/>
    <w:rsid w:val="00266588"/>
    <w:rPr>
      <w:b/>
      <w:bCs/>
    </w:rPr>
  </w:style>
  <w:style w:type="character" w:customStyle="1" w:styleId="CommentSubjectChar">
    <w:name w:val="Comment Subject Char"/>
    <w:basedOn w:val="CommentTextChar"/>
    <w:link w:val="CommentSubject"/>
    <w:rsid w:val="00266588"/>
    <w:rPr>
      <w:b/>
      <w:bCs/>
    </w:rPr>
  </w:style>
  <w:style w:type="paragraph" w:styleId="BalloonText">
    <w:name w:val="Balloon Text"/>
    <w:basedOn w:val="Normal"/>
    <w:link w:val="BalloonTextChar"/>
    <w:rsid w:val="00266588"/>
    <w:rPr>
      <w:rFonts w:ascii="Tahoma" w:hAnsi="Tahoma" w:cs="Tahoma"/>
      <w:sz w:val="16"/>
      <w:szCs w:val="16"/>
    </w:rPr>
  </w:style>
  <w:style w:type="character" w:customStyle="1" w:styleId="BalloonTextChar">
    <w:name w:val="Balloon Text Char"/>
    <w:basedOn w:val="DefaultParagraphFont"/>
    <w:link w:val="BalloonText"/>
    <w:rsid w:val="00266588"/>
    <w:rPr>
      <w:rFonts w:ascii="Tahoma" w:hAnsi="Tahoma" w:cs="Tahoma"/>
      <w:sz w:val="16"/>
      <w:szCs w:val="16"/>
    </w:rPr>
  </w:style>
  <w:style w:type="paragraph" w:customStyle="1" w:styleId="Default">
    <w:name w:val="Default"/>
    <w:rsid w:val="003E0818"/>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6F5B14"/>
  </w:style>
  <w:style w:type="paragraph" w:customStyle="1" w:styleId="TableParagraph">
    <w:name w:val="Table Paragraph"/>
    <w:basedOn w:val="Normal"/>
    <w:uiPriority w:val="1"/>
    <w:qFormat/>
    <w:rsid w:val="001F5D39"/>
    <w:pPr>
      <w:autoSpaceDE w:val="0"/>
      <w:autoSpaceDN w:val="0"/>
      <w:adjustRightInd w:val="0"/>
    </w:pPr>
    <w:rPr>
      <w:sz w:val="24"/>
      <w:szCs w:val="24"/>
    </w:rPr>
  </w:style>
  <w:style w:type="paragraph" w:styleId="NormalWeb">
    <w:name w:val="Normal (Web)"/>
    <w:basedOn w:val="Normal"/>
    <w:uiPriority w:val="99"/>
    <w:unhideWhenUsed/>
    <w:rsid w:val="009B36D6"/>
    <w:pPr>
      <w:spacing w:before="100" w:beforeAutospacing="1" w:after="100" w:afterAutospacing="1"/>
    </w:pPr>
    <w:rPr>
      <w:sz w:val="24"/>
      <w:szCs w:val="24"/>
    </w:rPr>
  </w:style>
  <w:style w:type="paragraph" w:styleId="Revision">
    <w:name w:val="Revision"/>
    <w:hidden/>
    <w:uiPriority w:val="99"/>
    <w:semiHidden/>
    <w:rsid w:val="00B847AA"/>
  </w:style>
  <w:style w:type="paragraph" w:customStyle="1" w:styleId="paragraph">
    <w:name w:val="paragraph"/>
    <w:basedOn w:val="Normal"/>
    <w:rsid w:val="006535E5"/>
    <w:pPr>
      <w:spacing w:before="100" w:beforeAutospacing="1" w:after="100" w:afterAutospacing="1"/>
    </w:pPr>
    <w:rPr>
      <w:sz w:val="24"/>
      <w:szCs w:val="24"/>
    </w:rPr>
  </w:style>
  <w:style w:type="character" w:customStyle="1" w:styleId="normaltextrun">
    <w:name w:val="normaltextrun"/>
    <w:basedOn w:val="DefaultParagraphFont"/>
    <w:rsid w:val="006535E5"/>
  </w:style>
  <w:style w:type="character" w:customStyle="1" w:styleId="eop">
    <w:name w:val="eop"/>
    <w:basedOn w:val="DefaultParagraphFont"/>
    <w:rsid w:val="0065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721858">
      <w:bodyDiv w:val="1"/>
      <w:marLeft w:val="0"/>
      <w:marRight w:val="0"/>
      <w:marTop w:val="0"/>
      <w:marBottom w:val="0"/>
      <w:divBdr>
        <w:top w:val="none" w:sz="0" w:space="0" w:color="auto"/>
        <w:left w:val="none" w:sz="0" w:space="0" w:color="auto"/>
        <w:bottom w:val="none" w:sz="0" w:space="0" w:color="auto"/>
        <w:right w:val="none" w:sz="0" w:space="0" w:color="auto"/>
      </w:divBdr>
    </w:div>
    <w:div w:id="1587226564">
      <w:bodyDiv w:val="1"/>
      <w:marLeft w:val="0"/>
      <w:marRight w:val="0"/>
      <w:marTop w:val="0"/>
      <w:marBottom w:val="0"/>
      <w:divBdr>
        <w:top w:val="none" w:sz="0" w:space="0" w:color="auto"/>
        <w:left w:val="none" w:sz="0" w:space="0" w:color="auto"/>
        <w:bottom w:val="none" w:sz="0" w:space="0" w:color="auto"/>
        <w:right w:val="none" w:sz="0" w:space="0" w:color="auto"/>
      </w:divBdr>
      <w:divsChild>
        <w:div w:id="897058323">
          <w:marLeft w:val="0"/>
          <w:marRight w:val="0"/>
          <w:marTop w:val="0"/>
          <w:marBottom w:val="0"/>
          <w:divBdr>
            <w:top w:val="none" w:sz="0" w:space="0" w:color="auto"/>
            <w:left w:val="none" w:sz="0" w:space="0" w:color="auto"/>
            <w:bottom w:val="none" w:sz="0" w:space="0" w:color="auto"/>
            <w:right w:val="none" w:sz="0" w:space="0" w:color="auto"/>
          </w:divBdr>
          <w:divsChild>
            <w:div w:id="1636909040">
              <w:marLeft w:val="0"/>
              <w:marRight w:val="0"/>
              <w:marTop w:val="0"/>
              <w:marBottom w:val="0"/>
              <w:divBdr>
                <w:top w:val="none" w:sz="0" w:space="0" w:color="auto"/>
                <w:left w:val="none" w:sz="0" w:space="0" w:color="auto"/>
                <w:bottom w:val="none" w:sz="0" w:space="0" w:color="auto"/>
                <w:right w:val="none" w:sz="0" w:space="0" w:color="auto"/>
              </w:divBdr>
            </w:div>
            <w:div w:id="44988936">
              <w:marLeft w:val="0"/>
              <w:marRight w:val="0"/>
              <w:marTop w:val="0"/>
              <w:marBottom w:val="0"/>
              <w:divBdr>
                <w:top w:val="none" w:sz="0" w:space="0" w:color="auto"/>
                <w:left w:val="none" w:sz="0" w:space="0" w:color="auto"/>
                <w:bottom w:val="none" w:sz="0" w:space="0" w:color="auto"/>
                <w:right w:val="none" w:sz="0" w:space="0" w:color="auto"/>
              </w:divBdr>
            </w:div>
            <w:div w:id="1123965299">
              <w:marLeft w:val="0"/>
              <w:marRight w:val="0"/>
              <w:marTop w:val="0"/>
              <w:marBottom w:val="0"/>
              <w:divBdr>
                <w:top w:val="none" w:sz="0" w:space="0" w:color="auto"/>
                <w:left w:val="none" w:sz="0" w:space="0" w:color="auto"/>
                <w:bottom w:val="none" w:sz="0" w:space="0" w:color="auto"/>
                <w:right w:val="none" w:sz="0" w:space="0" w:color="auto"/>
              </w:divBdr>
            </w:div>
            <w:div w:id="674570627">
              <w:marLeft w:val="0"/>
              <w:marRight w:val="0"/>
              <w:marTop w:val="0"/>
              <w:marBottom w:val="0"/>
              <w:divBdr>
                <w:top w:val="none" w:sz="0" w:space="0" w:color="auto"/>
                <w:left w:val="none" w:sz="0" w:space="0" w:color="auto"/>
                <w:bottom w:val="none" w:sz="0" w:space="0" w:color="auto"/>
                <w:right w:val="none" w:sz="0" w:space="0" w:color="auto"/>
              </w:divBdr>
            </w:div>
          </w:divsChild>
        </w:div>
        <w:div w:id="2063552503">
          <w:marLeft w:val="0"/>
          <w:marRight w:val="0"/>
          <w:marTop w:val="0"/>
          <w:marBottom w:val="0"/>
          <w:divBdr>
            <w:top w:val="none" w:sz="0" w:space="0" w:color="auto"/>
            <w:left w:val="none" w:sz="0" w:space="0" w:color="auto"/>
            <w:bottom w:val="none" w:sz="0" w:space="0" w:color="auto"/>
            <w:right w:val="none" w:sz="0" w:space="0" w:color="auto"/>
          </w:divBdr>
          <w:divsChild>
            <w:div w:id="898056506">
              <w:marLeft w:val="0"/>
              <w:marRight w:val="0"/>
              <w:marTop w:val="30"/>
              <w:marBottom w:val="30"/>
              <w:divBdr>
                <w:top w:val="none" w:sz="0" w:space="0" w:color="auto"/>
                <w:left w:val="none" w:sz="0" w:space="0" w:color="auto"/>
                <w:bottom w:val="none" w:sz="0" w:space="0" w:color="auto"/>
                <w:right w:val="none" w:sz="0" w:space="0" w:color="auto"/>
              </w:divBdr>
              <w:divsChild>
                <w:div w:id="98767069">
                  <w:marLeft w:val="0"/>
                  <w:marRight w:val="0"/>
                  <w:marTop w:val="0"/>
                  <w:marBottom w:val="0"/>
                  <w:divBdr>
                    <w:top w:val="none" w:sz="0" w:space="0" w:color="auto"/>
                    <w:left w:val="none" w:sz="0" w:space="0" w:color="auto"/>
                    <w:bottom w:val="none" w:sz="0" w:space="0" w:color="auto"/>
                    <w:right w:val="none" w:sz="0" w:space="0" w:color="auto"/>
                  </w:divBdr>
                  <w:divsChild>
                    <w:div w:id="255528140">
                      <w:marLeft w:val="0"/>
                      <w:marRight w:val="0"/>
                      <w:marTop w:val="0"/>
                      <w:marBottom w:val="0"/>
                      <w:divBdr>
                        <w:top w:val="none" w:sz="0" w:space="0" w:color="auto"/>
                        <w:left w:val="none" w:sz="0" w:space="0" w:color="auto"/>
                        <w:bottom w:val="none" w:sz="0" w:space="0" w:color="auto"/>
                        <w:right w:val="none" w:sz="0" w:space="0" w:color="auto"/>
                      </w:divBdr>
                    </w:div>
                  </w:divsChild>
                </w:div>
                <w:div w:id="792867761">
                  <w:marLeft w:val="0"/>
                  <w:marRight w:val="0"/>
                  <w:marTop w:val="0"/>
                  <w:marBottom w:val="0"/>
                  <w:divBdr>
                    <w:top w:val="none" w:sz="0" w:space="0" w:color="auto"/>
                    <w:left w:val="none" w:sz="0" w:space="0" w:color="auto"/>
                    <w:bottom w:val="none" w:sz="0" w:space="0" w:color="auto"/>
                    <w:right w:val="none" w:sz="0" w:space="0" w:color="auto"/>
                  </w:divBdr>
                  <w:divsChild>
                    <w:div w:id="2089497595">
                      <w:marLeft w:val="0"/>
                      <w:marRight w:val="0"/>
                      <w:marTop w:val="0"/>
                      <w:marBottom w:val="0"/>
                      <w:divBdr>
                        <w:top w:val="none" w:sz="0" w:space="0" w:color="auto"/>
                        <w:left w:val="none" w:sz="0" w:space="0" w:color="auto"/>
                        <w:bottom w:val="none" w:sz="0" w:space="0" w:color="auto"/>
                        <w:right w:val="none" w:sz="0" w:space="0" w:color="auto"/>
                      </w:divBdr>
                    </w:div>
                  </w:divsChild>
                </w:div>
                <w:div w:id="1883059682">
                  <w:marLeft w:val="0"/>
                  <w:marRight w:val="0"/>
                  <w:marTop w:val="0"/>
                  <w:marBottom w:val="0"/>
                  <w:divBdr>
                    <w:top w:val="none" w:sz="0" w:space="0" w:color="auto"/>
                    <w:left w:val="none" w:sz="0" w:space="0" w:color="auto"/>
                    <w:bottom w:val="none" w:sz="0" w:space="0" w:color="auto"/>
                    <w:right w:val="none" w:sz="0" w:space="0" w:color="auto"/>
                  </w:divBdr>
                  <w:divsChild>
                    <w:div w:id="624897250">
                      <w:marLeft w:val="0"/>
                      <w:marRight w:val="0"/>
                      <w:marTop w:val="0"/>
                      <w:marBottom w:val="0"/>
                      <w:divBdr>
                        <w:top w:val="none" w:sz="0" w:space="0" w:color="auto"/>
                        <w:left w:val="none" w:sz="0" w:space="0" w:color="auto"/>
                        <w:bottom w:val="none" w:sz="0" w:space="0" w:color="auto"/>
                        <w:right w:val="none" w:sz="0" w:space="0" w:color="auto"/>
                      </w:divBdr>
                    </w:div>
                  </w:divsChild>
                </w:div>
                <w:div w:id="1498381348">
                  <w:marLeft w:val="0"/>
                  <w:marRight w:val="0"/>
                  <w:marTop w:val="0"/>
                  <w:marBottom w:val="0"/>
                  <w:divBdr>
                    <w:top w:val="none" w:sz="0" w:space="0" w:color="auto"/>
                    <w:left w:val="none" w:sz="0" w:space="0" w:color="auto"/>
                    <w:bottom w:val="none" w:sz="0" w:space="0" w:color="auto"/>
                    <w:right w:val="none" w:sz="0" w:space="0" w:color="auto"/>
                  </w:divBdr>
                  <w:divsChild>
                    <w:div w:id="805318898">
                      <w:marLeft w:val="0"/>
                      <w:marRight w:val="0"/>
                      <w:marTop w:val="0"/>
                      <w:marBottom w:val="0"/>
                      <w:divBdr>
                        <w:top w:val="none" w:sz="0" w:space="0" w:color="auto"/>
                        <w:left w:val="none" w:sz="0" w:space="0" w:color="auto"/>
                        <w:bottom w:val="none" w:sz="0" w:space="0" w:color="auto"/>
                        <w:right w:val="none" w:sz="0" w:space="0" w:color="auto"/>
                      </w:divBdr>
                    </w:div>
                  </w:divsChild>
                </w:div>
                <w:div w:id="878200674">
                  <w:marLeft w:val="0"/>
                  <w:marRight w:val="0"/>
                  <w:marTop w:val="0"/>
                  <w:marBottom w:val="0"/>
                  <w:divBdr>
                    <w:top w:val="none" w:sz="0" w:space="0" w:color="auto"/>
                    <w:left w:val="none" w:sz="0" w:space="0" w:color="auto"/>
                    <w:bottom w:val="none" w:sz="0" w:space="0" w:color="auto"/>
                    <w:right w:val="none" w:sz="0" w:space="0" w:color="auto"/>
                  </w:divBdr>
                  <w:divsChild>
                    <w:div w:id="219677057">
                      <w:marLeft w:val="0"/>
                      <w:marRight w:val="0"/>
                      <w:marTop w:val="0"/>
                      <w:marBottom w:val="0"/>
                      <w:divBdr>
                        <w:top w:val="none" w:sz="0" w:space="0" w:color="auto"/>
                        <w:left w:val="none" w:sz="0" w:space="0" w:color="auto"/>
                        <w:bottom w:val="none" w:sz="0" w:space="0" w:color="auto"/>
                        <w:right w:val="none" w:sz="0" w:space="0" w:color="auto"/>
                      </w:divBdr>
                    </w:div>
                  </w:divsChild>
                </w:div>
                <w:div w:id="2002276045">
                  <w:marLeft w:val="0"/>
                  <w:marRight w:val="0"/>
                  <w:marTop w:val="0"/>
                  <w:marBottom w:val="0"/>
                  <w:divBdr>
                    <w:top w:val="none" w:sz="0" w:space="0" w:color="auto"/>
                    <w:left w:val="none" w:sz="0" w:space="0" w:color="auto"/>
                    <w:bottom w:val="none" w:sz="0" w:space="0" w:color="auto"/>
                    <w:right w:val="none" w:sz="0" w:space="0" w:color="auto"/>
                  </w:divBdr>
                  <w:divsChild>
                    <w:div w:id="4612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5711">
          <w:marLeft w:val="0"/>
          <w:marRight w:val="0"/>
          <w:marTop w:val="0"/>
          <w:marBottom w:val="0"/>
          <w:divBdr>
            <w:top w:val="none" w:sz="0" w:space="0" w:color="auto"/>
            <w:left w:val="none" w:sz="0" w:space="0" w:color="auto"/>
            <w:bottom w:val="none" w:sz="0" w:space="0" w:color="auto"/>
            <w:right w:val="none" w:sz="0" w:space="0" w:color="auto"/>
          </w:divBdr>
        </w:div>
        <w:div w:id="1014306104">
          <w:marLeft w:val="0"/>
          <w:marRight w:val="0"/>
          <w:marTop w:val="0"/>
          <w:marBottom w:val="0"/>
          <w:divBdr>
            <w:top w:val="none" w:sz="0" w:space="0" w:color="auto"/>
            <w:left w:val="none" w:sz="0" w:space="0" w:color="auto"/>
            <w:bottom w:val="none" w:sz="0" w:space="0" w:color="auto"/>
            <w:right w:val="none" w:sz="0" w:space="0" w:color="auto"/>
          </w:divBdr>
        </w:div>
        <w:div w:id="587033447">
          <w:marLeft w:val="0"/>
          <w:marRight w:val="0"/>
          <w:marTop w:val="0"/>
          <w:marBottom w:val="0"/>
          <w:divBdr>
            <w:top w:val="none" w:sz="0" w:space="0" w:color="auto"/>
            <w:left w:val="none" w:sz="0" w:space="0" w:color="auto"/>
            <w:bottom w:val="none" w:sz="0" w:space="0" w:color="auto"/>
            <w:right w:val="none" w:sz="0" w:space="0" w:color="auto"/>
          </w:divBdr>
        </w:div>
        <w:div w:id="1764447834">
          <w:marLeft w:val="0"/>
          <w:marRight w:val="0"/>
          <w:marTop w:val="0"/>
          <w:marBottom w:val="0"/>
          <w:divBdr>
            <w:top w:val="none" w:sz="0" w:space="0" w:color="auto"/>
            <w:left w:val="none" w:sz="0" w:space="0" w:color="auto"/>
            <w:bottom w:val="none" w:sz="0" w:space="0" w:color="auto"/>
            <w:right w:val="none" w:sz="0" w:space="0" w:color="auto"/>
          </w:divBdr>
        </w:div>
        <w:div w:id="596523892">
          <w:marLeft w:val="0"/>
          <w:marRight w:val="0"/>
          <w:marTop w:val="0"/>
          <w:marBottom w:val="0"/>
          <w:divBdr>
            <w:top w:val="none" w:sz="0" w:space="0" w:color="auto"/>
            <w:left w:val="none" w:sz="0" w:space="0" w:color="auto"/>
            <w:bottom w:val="none" w:sz="0" w:space="0" w:color="auto"/>
            <w:right w:val="none" w:sz="0" w:space="0" w:color="auto"/>
          </w:divBdr>
          <w:divsChild>
            <w:div w:id="1918900240">
              <w:marLeft w:val="0"/>
              <w:marRight w:val="0"/>
              <w:marTop w:val="30"/>
              <w:marBottom w:val="30"/>
              <w:divBdr>
                <w:top w:val="none" w:sz="0" w:space="0" w:color="auto"/>
                <w:left w:val="none" w:sz="0" w:space="0" w:color="auto"/>
                <w:bottom w:val="none" w:sz="0" w:space="0" w:color="auto"/>
                <w:right w:val="none" w:sz="0" w:space="0" w:color="auto"/>
              </w:divBdr>
              <w:divsChild>
                <w:div w:id="2107336371">
                  <w:marLeft w:val="0"/>
                  <w:marRight w:val="0"/>
                  <w:marTop w:val="0"/>
                  <w:marBottom w:val="0"/>
                  <w:divBdr>
                    <w:top w:val="none" w:sz="0" w:space="0" w:color="auto"/>
                    <w:left w:val="none" w:sz="0" w:space="0" w:color="auto"/>
                    <w:bottom w:val="none" w:sz="0" w:space="0" w:color="auto"/>
                    <w:right w:val="none" w:sz="0" w:space="0" w:color="auto"/>
                  </w:divBdr>
                  <w:divsChild>
                    <w:div w:id="1833988754">
                      <w:marLeft w:val="0"/>
                      <w:marRight w:val="0"/>
                      <w:marTop w:val="0"/>
                      <w:marBottom w:val="0"/>
                      <w:divBdr>
                        <w:top w:val="none" w:sz="0" w:space="0" w:color="auto"/>
                        <w:left w:val="none" w:sz="0" w:space="0" w:color="auto"/>
                        <w:bottom w:val="none" w:sz="0" w:space="0" w:color="auto"/>
                        <w:right w:val="none" w:sz="0" w:space="0" w:color="auto"/>
                      </w:divBdr>
                    </w:div>
                  </w:divsChild>
                </w:div>
                <w:div w:id="1247232612">
                  <w:marLeft w:val="0"/>
                  <w:marRight w:val="0"/>
                  <w:marTop w:val="0"/>
                  <w:marBottom w:val="0"/>
                  <w:divBdr>
                    <w:top w:val="none" w:sz="0" w:space="0" w:color="auto"/>
                    <w:left w:val="none" w:sz="0" w:space="0" w:color="auto"/>
                    <w:bottom w:val="none" w:sz="0" w:space="0" w:color="auto"/>
                    <w:right w:val="none" w:sz="0" w:space="0" w:color="auto"/>
                  </w:divBdr>
                  <w:divsChild>
                    <w:div w:id="1957059709">
                      <w:marLeft w:val="0"/>
                      <w:marRight w:val="0"/>
                      <w:marTop w:val="0"/>
                      <w:marBottom w:val="0"/>
                      <w:divBdr>
                        <w:top w:val="none" w:sz="0" w:space="0" w:color="auto"/>
                        <w:left w:val="none" w:sz="0" w:space="0" w:color="auto"/>
                        <w:bottom w:val="none" w:sz="0" w:space="0" w:color="auto"/>
                        <w:right w:val="none" w:sz="0" w:space="0" w:color="auto"/>
                      </w:divBdr>
                    </w:div>
                  </w:divsChild>
                </w:div>
                <w:div w:id="1549106425">
                  <w:marLeft w:val="0"/>
                  <w:marRight w:val="0"/>
                  <w:marTop w:val="0"/>
                  <w:marBottom w:val="0"/>
                  <w:divBdr>
                    <w:top w:val="none" w:sz="0" w:space="0" w:color="auto"/>
                    <w:left w:val="none" w:sz="0" w:space="0" w:color="auto"/>
                    <w:bottom w:val="none" w:sz="0" w:space="0" w:color="auto"/>
                    <w:right w:val="none" w:sz="0" w:space="0" w:color="auto"/>
                  </w:divBdr>
                  <w:divsChild>
                    <w:div w:id="29569450">
                      <w:marLeft w:val="0"/>
                      <w:marRight w:val="0"/>
                      <w:marTop w:val="0"/>
                      <w:marBottom w:val="0"/>
                      <w:divBdr>
                        <w:top w:val="none" w:sz="0" w:space="0" w:color="auto"/>
                        <w:left w:val="none" w:sz="0" w:space="0" w:color="auto"/>
                        <w:bottom w:val="none" w:sz="0" w:space="0" w:color="auto"/>
                        <w:right w:val="none" w:sz="0" w:space="0" w:color="auto"/>
                      </w:divBdr>
                    </w:div>
                  </w:divsChild>
                </w:div>
                <w:div w:id="1428236665">
                  <w:marLeft w:val="0"/>
                  <w:marRight w:val="0"/>
                  <w:marTop w:val="0"/>
                  <w:marBottom w:val="0"/>
                  <w:divBdr>
                    <w:top w:val="none" w:sz="0" w:space="0" w:color="auto"/>
                    <w:left w:val="none" w:sz="0" w:space="0" w:color="auto"/>
                    <w:bottom w:val="none" w:sz="0" w:space="0" w:color="auto"/>
                    <w:right w:val="none" w:sz="0" w:space="0" w:color="auto"/>
                  </w:divBdr>
                  <w:divsChild>
                    <w:div w:id="167527201">
                      <w:marLeft w:val="0"/>
                      <w:marRight w:val="0"/>
                      <w:marTop w:val="0"/>
                      <w:marBottom w:val="0"/>
                      <w:divBdr>
                        <w:top w:val="none" w:sz="0" w:space="0" w:color="auto"/>
                        <w:left w:val="none" w:sz="0" w:space="0" w:color="auto"/>
                        <w:bottom w:val="none" w:sz="0" w:space="0" w:color="auto"/>
                        <w:right w:val="none" w:sz="0" w:space="0" w:color="auto"/>
                      </w:divBdr>
                    </w:div>
                  </w:divsChild>
                </w:div>
                <w:div w:id="1493985534">
                  <w:marLeft w:val="0"/>
                  <w:marRight w:val="0"/>
                  <w:marTop w:val="0"/>
                  <w:marBottom w:val="0"/>
                  <w:divBdr>
                    <w:top w:val="none" w:sz="0" w:space="0" w:color="auto"/>
                    <w:left w:val="none" w:sz="0" w:space="0" w:color="auto"/>
                    <w:bottom w:val="none" w:sz="0" w:space="0" w:color="auto"/>
                    <w:right w:val="none" w:sz="0" w:space="0" w:color="auto"/>
                  </w:divBdr>
                  <w:divsChild>
                    <w:div w:id="691566676">
                      <w:marLeft w:val="0"/>
                      <w:marRight w:val="0"/>
                      <w:marTop w:val="0"/>
                      <w:marBottom w:val="0"/>
                      <w:divBdr>
                        <w:top w:val="none" w:sz="0" w:space="0" w:color="auto"/>
                        <w:left w:val="none" w:sz="0" w:space="0" w:color="auto"/>
                        <w:bottom w:val="none" w:sz="0" w:space="0" w:color="auto"/>
                        <w:right w:val="none" w:sz="0" w:space="0" w:color="auto"/>
                      </w:divBdr>
                    </w:div>
                  </w:divsChild>
                </w:div>
                <w:div w:id="685406235">
                  <w:marLeft w:val="0"/>
                  <w:marRight w:val="0"/>
                  <w:marTop w:val="0"/>
                  <w:marBottom w:val="0"/>
                  <w:divBdr>
                    <w:top w:val="none" w:sz="0" w:space="0" w:color="auto"/>
                    <w:left w:val="none" w:sz="0" w:space="0" w:color="auto"/>
                    <w:bottom w:val="none" w:sz="0" w:space="0" w:color="auto"/>
                    <w:right w:val="none" w:sz="0" w:space="0" w:color="auto"/>
                  </w:divBdr>
                  <w:divsChild>
                    <w:div w:id="20076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17795</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2026-05-08T20:23:00Z</dcterms:created>
  <dcterms:modified xsi:type="dcterms:W3CDTF">2026-05-08T20:25:00Z</dcterms:modified>
</cp:coreProperties>
</file>