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2CCF" w14:textId="77777777" w:rsidR="001057A0" w:rsidRPr="00294111" w:rsidRDefault="001057A0" w:rsidP="00294111">
      <w:pPr>
        <w:pStyle w:val="Title"/>
        <w:rPr>
          <w:b/>
          <w:bCs/>
          <w:szCs w:val="24"/>
        </w:rPr>
      </w:pPr>
      <w:r w:rsidRPr="00294111">
        <w:rPr>
          <w:b/>
          <w:bCs/>
          <w:szCs w:val="24"/>
        </w:rPr>
        <w:t>MONTANA DEPARTMENT OF ENVIRONMENTAL QUALITY</w:t>
      </w:r>
    </w:p>
    <w:p w14:paraId="62BDA4B7" w14:textId="77777777" w:rsidR="001057A0" w:rsidRDefault="001057A0" w:rsidP="001057A0">
      <w:pPr>
        <w:jc w:val="center"/>
        <w:rPr>
          <w:rFonts w:ascii="Garamond" w:hAnsi="Garamond"/>
          <w:b/>
          <w:sz w:val="24"/>
          <w:szCs w:val="24"/>
        </w:rPr>
      </w:pPr>
      <w:r>
        <w:rPr>
          <w:rFonts w:ascii="Garamond" w:hAnsi="Garamond"/>
          <w:b/>
          <w:sz w:val="24"/>
          <w:szCs w:val="24"/>
        </w:rPr>
        <w:t>OPERATING PERMIT TECHNICAL REVIEW DOCUMENT</w:t>
      </w:r>
    </w:p>
    <w:p w14:paraId="2064DE12" w14:textId="77777777" w:rsidR="001057A0" w:rsidRDefault="001057A0" w:rsidP="001057A0">
      <w:pPr>
        <w:jc w:val="center"/>
        <w:rPr>
          <w:rFonts w:ascii="Garamond" w:hAnsi="Garamond"/>
          <w:b/>
          <w:sz w:val="24"/>
          <w:szCs w:val="24"/>
        </w:rPr>
      </w:pPr>
    </w:p>
    <w:p w14:paraId="58A81275" w14:textId="77777777" w:rsidR="001057A0" w:rsidRDefault="001057A0" w:rsidP="001057A0">
      <w:pPr>
        <w:jc w:val="center"/>
        <w:rPr>
          <w:rFonts w:ascii="Garamond" w:hAnsi="Garamond"/>
          <w:b/>
          <w:sz w:val="24"/>
          <w:szCs w:val="24"/>
        </w:rPr>
      </w:pPr>
      <w:r>
        <w:rPr>
          <w:rFonts w:ascii="Garamond" w:hAnsi="Garamond"/>
          <w:b/>
          <w:sz w:val="24"/>
          <w:szCs w:val="24"/>
        </w:rPr>
        <w:t>Air, Energy &amp; Mining Division</w:t>
      </w:r>
    </w:p>
    <w:p w14:paraId="42D8FC01" w14:textId="77777777" w:rsidR="001057A0" w:rsidRDefault="001057A0" w:rsidP="001057A0">
      <w:pPr>
        <w:jc w:val="center"/>
        <w:rPr>
          <w:rFonts w:ascii="Garamond" w:hAnsi="Garamond"/>
          <w:b/>
          <w:sz w:val="24"/>
          <w:szCs w:val="24"/>
        </w:rPr>
      </w:pPr>
      <w:r>
        <w:rPr>
          <w:rFonts w:ascii="Garamond" w:hAnsi="Garamond"/>
          <w:b/>
          <w:sz w:val="24"/>
          <w:szCs w:val="24"/>
        </w:rPr>
        <w:t>P.O. Box 200901</w:t>
      </w:r>
    </w:p>
    <w:p w14:paraId="1948829D" w14:textId="77777777" w:rsidR="001057A0" w:rsidRDefault="001057A0" w:rsidP="001057A0">
      <w:pPr>
        <w:jc w:val="center"/>
        <w:rPr>
          <w:rFonts w:ascii="Garamond" w:hAnsi="Garamond"/>
          <w:sz w:val="24"/>
          <w:szCs w:val="24"/>
        </w:rPr>
      </w:pPr>
      <w:r>
        <w:rPr>
          <w:rFonts w:ascii="Garamond" w:hAnsi="Garamond"/>
          <w:b/>
          <w:sz w:val="24"/>
          <w:szCs w:val="24"/>
        </w:rPr>
        <w:t>Helena, Montana 59620-0901</w:t>
      </w:r>
    </w:p>
    <w:p w14:paraId="0DC7891F" w14:textId="77777777" w:rsidR="001057A0" w:rsidRDefault="001057A0" w:rsidP="001057A0">
      <w:pPr>
        <w:jc w:val="center"/>
        <w:rPr>
          <w:rFonts w:ascii="Garamond" w:hAnsi="Garamond"/>
          <w:sz w:val="24"/>
          <w:szCs w:val="24"/>
        </w:rPr>
      </w:pPr>
    </w:p>
    <w:p w14:paraId="3AE413B3" w14:textId="77777777" w:rsidR="001057A0" w:rsidRDefault="001057A0" w:rsidP="001057A0">
      <w:pPr>
        <w:jc w:val="center"/>
        <w:rPr>
          <w:rFonts w:ascii="Garamond" w:hAnsi="Garamond"/>
          <w:b/>
          <w:bCs/>
          <w:sz w:val="24"/>
          <w:szCs w:val="24"/>
        </w:rPr>
      </w:pPr>
      <w:r>
        <w:rPr>
          <w:rFonts w:ascii="Garamond" w:hAnsi="Garamond"/>
          <w:b/>
          <w:bCs/>
          <w:sz w:val="24"/>
          <w:szCs w:val="24"/>
        </w:rPr>
        <w:t>Northern Border Pipeline Company</w:t>
      </w:r>
    </w:p>
    <w:p w14:paraId="5AD47EA9" w14:textId="77777777" w:rsidR="001057A0" w:rsidRDefault="001057A0" w:rsidP="001057A0">
      <w:pPr>
        <w:pStyle w:val="Default"/>
        <w:jc w:val="center"/>
        <w:rPr>
          <w:rFonts w:ascii="Garamond" w:hAnsi="Garamond"/>
          <w:b/>
          <w:bCs/>
        </w:rPr>
      </w:pPr>
      <w:r>
        <w:rPr>
          <w:rFonts w:ascii="Garamond" w:hAnsi="Garamond"/>
          <w:b/>
          <w:bCs/>
        </w:rPr>
        <w:t>Compressor Station No. 1</w:t>
      </w:r>
    </w:p>
    <w:p w14:paraId="250C01EC" w14:textId="77777777" w:rsidR="001057A0" w:rsidRDefault="001057A0" w:rsidP="001057A0">
      <w:pPr>
        <w:pStyle w:val="Default"/>
        <w:jc w:val="center"/>
        <w:rPr>
          <w:rFonts w:ascii="Garamond" w:hAnsi="Garamond"/>
          <w:b/>
          <w:bCs/>
        </w:rPr>
      </w:pPr>
      <w:r>
        <w:rPr>
          <w:rFonts w:ascii="Garamond" w:hAnsi="Garamond"/>
          <w:b/>
          <w:bCs/>
        </w:rPr>
        <w:t>NE¼ of the SE¼, of Section 12, Township 33 North, Range 38 East</w:t>
      </w:r>
    </w:p>
    <w:p w14:paraId="58B27D1F" w14:textId="77777777" w:rsidR="001057A0" w:rsidRDefault="001057A0" w:rsidP="001057A0">
      <w:pPr>
        <w:jc w:val="center"/>
        <w:rPr>
          <w:rFonts w:ascii="Garamond" w:hAnsi="Garamond"/>
          <w:b/>
          <w:bCs/>
          <w:sz w:val="24"/>
          <w:szCs w:val="24"/>
        </w:rPr>
      </w:pPr>
      <w:r>
        <w:rPr>
          <w:rFonts w:ascii="Garamond" w:hAnsi="Garamond"/>
          <w:b/>
          <w:bCs/>
          <w:sz w:val="24"/>
          <w:szCs w:val="24"/>
        </w:rPr>
        <w:t>Valley County, Montana</w:t>
      </w:r>
    </w:p>
    <w:p w14:paraId="5276E58D" w14:textId="77777777" w:rsidR="001057A0" w:rsidRDefault="001057A0" w:rsidP="001057A0">
      <w:pPr>
        <w:rPr>
          <w:rFonts w:ascii="Garamond" w:hAnsi="Garamond"/>
          <w:sz w:val="24"/>
          <w:szCs w:val="24"/>
        </w:rPr>
      </w:pPr>
      <w:r>
        <w:rPr>
          <w:rFonts w:ascii="Garamond" w:hAnsi="Garamond"/>
          <w:sz w:val="24"/>
          <w:szCs w:val="24"/>
        </w:rPr>
        <w:t>The following table summarizes the air quality programs testing, monitoring, and reporting requirements applicable to this facility.</w:t>
      </w:r>
    </w:p>
    <w:p w14:paraId="36514384" w14:textId="77777777" w:rsidR="001057A0" w:rsidRDefault="001057A0" w:rsidP="001057A0">
      <w:pPr>
        <w:rPr>
          <w:rFonts w:ascii="Garamond" w:hAnsi="Garamond"/>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0"/>
        <w:gridCol w:w="630"/>
        <w:gridCol w:w="540"/>
        <w:gridCol w:w="1620"/>
      </w:tblGrid>
      <w:tr w:rsidR="001057A0" w14:paraId="4AC82D67" w14:textId="77777777" w:rsidTr="001057A0">
        <w:trPr>
          <w:trHeight w:val="400"/>
        </w:trPr>
        <w:tc>
          <w:tcPr>
            <w:tcW w:w="6570" w:type="dxa"/>
            <w:tcBorders>
              <w:top w:val="double" w:sz="4" w:space="0" w:color="auto"/>
              <w:left w:val="double" w:sz="4" w:space="0" w:color="auto"/>
              <w:bottom w:val="double" w:sz="4" w:space="0" w:color="auto"/>
              <w:right w:val="single" w:sz="4" w:space="0" w:color="auto"/>
            </w:tcBorders>
            <w:hideMark/>
          </w:tcPr>
          <w:p w14:paraId="6697EB01" w14:textId="77777777" w:rsidR="001057A0" w:rsidRDefault="001057A0">
            <w:pPr>
              <w:pStyle w:val="Title"/>
              <w:rPr>
                <w:szCs w:val="24"/>
              </w:rPr>
            </w:pPr>
            <w:r>
              <w:rPr>
                <w:szCs w:val="24"/>
              </w:rPr>
              <w:t>Facility Compliance Requirements</w:t>
            </w:r>
          </w:p>
        </w:tc>
        <w:tc>
          <w:tcPr>
            <w:tcW w:w="630" w:type="dxa"/>
            <w:tcBorders>
              <w:top w:val="double" w:sz="4" w:space="0" w:color="auto"/>
              <w:left w:val="single" w:sz="4" w:space="0" w:color="auto"/>
              <w:bottom w:val="double" w:sz="4" w:space="0" w:color="auto"/>
              <w:right w:val="single" w:sz="4" w:space="0" w:color="auto"/>
            </w:tcBorders>
            <w:hideMark/>
          </w:tcPr>
          <w:p w14:paraId="6D1F6D36" w14:textId="77777777" w:rsidR="001057A0" w:rsidRDefault="001057A0">
            <w:pPr>
              <w:rPr>
                <w:rFonts w:ascii="Garamond" w:hAnsi="Garamond"/>
                <w:sz w:val="24"/>
                <w:szCs w:val="24"/>
              </w:rPr>
            </w:pPr>
            <w:r>
              <w:rPr>
                <w:rFonts w:ascii="Garamond" w:hAnsi="Garamond"/>
                <w:sz w:val="24"/>
                <w:szCs w:val="24"/>
              </w:rPr>
              <w:t>Yes</w:t>
            </w:r>
          </w:p>
        </w:tc>
        <w:tc>
          <w:tcPr>
            <w:tcW w:w="540" w:type="dxa"/>
            <w:tcBorders>
              <w:top w:val="double" w:sz="4" w:space="0" w:color="auto"/>
              <w:left w:val="single" w:sz="4" w:space="0" w:color="auto"/>
              <w:bottom w:val="double" w:sz="4" w:space="0" w:color="auto"/>
              <w:right w:val="single" w:sz="4" w:space="0" w:color="auto"/>
            </w:tcBorders>
            <w:hideMark/>
          </w:tcPr>
          <w:p w14:paraId="69ADA760" w14:textId="77777777" w:rsidR="001057A0" w:rsidRDefault="001057A0">
            <w:pPr>
              <w:rPr>
                <w:rFonts w:ascii="Garamond" w:hAnsi="Garamond"/>
                <w:sz w:val="24"/>
                <w:szCs w:val="24"/>
              </w:rPr>
            </w:pPr>
            <w:r>
              <w:rPr>
                <w:rFonts w:ascii="Garamond" w:hAnsi="Garamond"/>
                <w:sz w:val="24"/>
                <w:szCs w:val="24"/>
              </w:rPr>
              <w:t>No</w:t>
            </w:r>
          </w:p>
        </w:tc>
        <w:tc>
          <w:tcPr>
            <w:tcW w:w="1620" w:type="dxa"/>
            <w:tcBorders>
              <w:top w:val="double" w:sz="4" w:space="0" w:color="auto"/>
              <w:left w:val="single" w:sz="4" w:space="0" w:color="auto"/>
              <w:bottom w:val="double" w:sz="4" w:space="0" w:color="auto"/>
              <w:right w:val="double" w:sz="4" w:space="0" w:color="auto"/>
            </w:tcBorders>
            <w:hideMark/>
          </w:tcPr>
          <w:p w14:paraId="45FB0A55" w14:textId="77777777" w:rsidR="001057A0" w:rsidRDefault="001057A0">
            <w:pPr>
              <w:jc w:val="center"/>
              <w:rPr>
                <w:rFonts w:ascii="Garamond" w:hAnsi="Garamond"/>
                <w:sz w:val="24"/>
                <w:szCs w:val="24"/>
              </w:rPr>
            </w:pPr>
            <w:r>
              <w:rPr>
                <w:rFonts w:ascii="Garamond" w:hAnsi="Garamond"/>
                <w:sz w:val="24"/>
                <w:szCs w:val="24"/>
              </w:rPr>
              <w:t>Comments</w:t>
            </w:r>
          </w:p>
        </w:tc>
      </w:tr>
      <w:tr w:rsidR="001057A0" w14:paraId="0FAAF443" w14:textId="77777777" w:rsidTr="001057A0">
        <w:trPr>
          <w:trHeight w:val="400"/>
        </w:trPr>
        <w:tc>
          <w:tcPr>
            <w:tcW w:w="6570" w:type="dxa"/>
            <w:tcBorders>
              <w:top w:val="double" w:sz="4" w:space="0" w:color="auto"/>
              <w:left w:val="double" w:sz="4" w:space="0" w:color="auto"/>
              <w:bottom w:val="single" w:sz="4" w:space="0" w:color="auto"/>
              <w:right w:val="single" w:sz="4" w:space="0" w:color="auto"/>
            </w:tcBorders>
            <w:hideMark/>
          </w:tcPr>
          <w:p w14:paraId="7C82B00A" w14:textId="77777777" w:rsidR="001057A0" w:rsidRDefault="001057A0">
            <w:pPr>
              <w:rPr>
                <w:rFonts w:ascii="Garamond" w:hAnsi="Garamond"/>
                <w:sz w:val="24"/>
                <w:szCs w:val="24"/>
              </w:rPr>
            </w:pPr>
            <w:r>
              <w:rPr>
                <w:rFonts w:ascii="Garamond" w:hAnsi="Garamond"/>
                <w:sz w:val="24"/>
                <w:szCs w:val="24"/>
              </w:rPr>
              <w:t>Source Tests Required</w:t>
            </w:r>
          </w:p>
        </w:tc>
        <w:tc>
          <w:tcPr>
            <w:tcW w:w="630" w:type="dxa"/>
            <w:tcBorders>
              <w:top w:val="double" w:sz="4" w:space="0" w:color="auto"/>
              <w:left w:val="single" w:sz="4" w:space="0" w:color="auto"/>
              <w:bottom w:val="single" w:sz="4" w:space="0" w:color="auto"/>
              <w:right w:val="single" w:sz="4" w:space="0" w:color="auto"/>
            </w:tcBorders>
            <w:vAlign w:val="center"/>
            <w:hideMark/>
          </w:tcPr>
          <w:p w14:paraId="3CA877DA"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double" w:sz="4" w:space="0" w:color="auto"/>
              <w:left w:val="single" w:sz="4" w:space="0" w:color="auto"/>
              <w:bottom w:val="single" w:sz="4" w:space="0" w:color="auto"/>
              <w:right w:val="single" w:sz="4" w:space="0" w:color="auto"/>
            </w:tcBorders>
            <w:vAlign w:val="center"/>
          </w:tcPr>
          <w:p w14:paraId="260AC8BA" w14:textId="77777777" w:rsidR="001057A0" w:rsidRDefault="001057A0">
            <w:pPr>
              <w:jc w:val="center"/>
              <w:rPr>
                <w:rFonts w:ascii="Garamond" w:hAnsi="Garamond"/>
                <w:sz w:val="24"/>
                <w:szCs w:val="24"/>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06C35BF2" w14:textId="77777777" w:rsidR="001057A0" w:rsidRDefault="001057A0">
            <w:pPr>
              <w:rPr>
                <w:rFonts w:ascii="Garamond" w:hAnsi="Garamond"/>
                <w:sz w:val="24"/>
                <w:szCs w:val="24"/>
              </w:rPr>
            </w:pPr>
            <w:r>
              <w:rPr>
                <w:rFonts w:ascii="Garamond" w:hAnsi="Garamond"/>
                <w:sz w:val="24"/>
                <w:szCs w:val="24"/>
              </w:rPr>
              <w:t>Portable Analyzer</w:t>
            </w:r>
          </w:p>
        </w:tc>
      </w:tr>
      <w:tr w:rsidR="001057A0" w14:paraId="42AF1039"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C695B4C" w14:textId="77777777" w:rsidR="001057A0" w:rsidRDefault="001057A0">
            <w:pPr>
              <w:rPr>
                <w:rFonts w:ascii="Garamond" w:hAnsi="Garamond"/>
                <w:sz w:val="24"/>
                <w:szCs w:val="24"/>
              </w:rPr>
            </w:pPr>
            <w:r>
              <w:rPr>
                <w:rFonts w:ascii="Garamond" w:hAnsi="Garamond"/>
                <w:sz w:val="24"/>
                <w:szCs w:val="24"/>
              </w:rPr>
              <w:t>Ambient Monitoring Required</w:t>
            </w:r>
          </w:p>
        </w:tc>
        <w:tc>
          <w:tcPr>
            <w:tcW w:w="630" w:type="dxa"/>
            <w:tcBorders>
              <w:top w:val="single" w:sz="4" w:space="0" w:color="auto"/>
              <w:left w:val="single" w:sz="4" w:space="0" w:color="auto"/>
              <w:bottom w:val="single" w:sz="4" w:space="0" w:color="auto"/>
              <w:right w:val="single" w:sz="4" w:space="0" w:color="auto"/>
            </w:tcBorders>
            <w:vAlign w:val="center"/>
          </w:tcPr>
          <w:p w14:paraId="60E04BD9"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7CAAA7D"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4FB2B0A" w14:textId="77777777" w:rsidR="001057A0" w:rsidRDefault="001057A0">
            <w:pPr>
              <w:rPr>
                <w:rFonts w:ascii="Garamond" w:hAnsi="Garamond"/>
                <w:sz w:val="24"/>
                <w:szCs w:val="24"/>
              </w:rPr>
            </w:pPr>
          </w:p>
        </w:tc>
      </w:tr>
      <w:tr w:rsidR="001057A0" w14:paraId="59AFB25D"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510E42A2" w14:textId="77777777" w:rsidR="001057A0" w:rsidRDefault="001057A0">
            <w:pPr>
              <w:rPr>
                <w:rFonts w:ascii="Garamond" w:hAnsi="Garamond"/>
                <w:sz w:val="24"/>
                <w:szCs w:val="24"/>
              </w:rPr>
            </w:pPr>
            <w:r>
              <w:rPr>
                <w:rFonts w:ascii="Garamond" w:hAnsi="Garamond"/>
                <w:sz w:val="24"/>
                <w:szCs w:val="24"/>
              </w:rPr>
              <w:t>COMS Required</w:t>
            </w:r>
          </w:p>
        </w:tc>
        <w:tc>
          <w:tcPr>
            <w:tcW w:w="630" w:type="dxa"/>
            <w:tcBorders>
              <w:top w:val="single" w:sz="4" w:space="0" w:color="auto"/>
              <w:left w:val="single" w:sz="4" w:space="0" w:color="auto"/>
              <w:bottom w:val="single" w:sz="4" w:space="0" w:color="auto"/>
              <w:right w:val="single" w:sz="4" w:space="0" w:color="auto"/>
            </w:tcBorders>
            <w:vAlign w:val="center"/>
          </w:tcPr>
          <w:p w14:paraId="2B1F1838"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2F0EE3D"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4FF08874" w14:textId="77777777" w:rsidR="001057A0" w:rsidRDefault="001057A0">
            <w:pPr>
              <w:rPr>
                <w:rFonts w:ascii="Garamond" w:hAnsi="Garamond"/>
                <w:sz w:val="24"/>
                <w:szCs w:val="24"/>
              </w:rPr>
            </w:pPr>
          </w:p>
        </w:tc>
      </w:tr>
      <w:tr w:rsidR="001057A0" w14:paraId="5DAF4669"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445A8D06" w14:textId="77777777" w:rsidR="001057A0" w:rsidRDefault="001057A0">
            <w:pPr>
              <w:rPr>
                <w:rFonts w:ascii="Garamond" w:hAnsi="Garamond"/>
                <w:sz w:val="24"/>
                <w:szCs w:val="24"/>
              </w:rPr>
            </w:pPr>
            <w:r>
              <w:rPr>
                <w:rFonts w:ascii="Garamond" w:hAnsi="Garamond"/>
                <w:sz w:val="24"/>
                <w:szCs w:val="24"/>
              </w:rPr>
              <w:t>CEMS Required</w:t>
            </w:r>
          </w:p>
        </w:tc>
        <w:tc>
          <w:tcPr>
            <w:tcW w:w="630" w:type="dxa"/>
            <w:tcBorders>
              <w:top w:val="single" w:sz="4" w:space="0" w:color="auto"/>
              <w:left w:val="single" w:sz="4" w:space="0" w:color="auto"/>
              <w:bottom w:val="single" w:sz="4" w:space="0" w:color="auto"/>
              <w:right w:val="single" w:sz="4" w:space="0" w:color="auto"/>
            </w:tcBorders>
            <w:vAlign w:val="center"/>
          </w:tcPr>
          <w:p w14:paraId="60E106F4"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3D4AE6F"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0134B278" w14:textId="77777777" w:rsidR="001057A0" w:rsidRDefault="001057A0">
            <w:pPr>
              <w:rPr>
                <w:rFonts w:ascii="Garamond" w:hAnsi="Garamond"/>
                <w:sz w:val="24"/>
                <w:szCs w:val="24"/>
              </w:rPr>
            </w:pPr>
          </w:p>
        </w:tc>
      </w:tr>
      <w:tr w:rsidR="001057A0" w14:paraId="077B7DFE"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82D196A" w14:textId="77777777" w:rsidR="001057A0" w:rsidRDefault="001057A0">
            <w:pPr>
              <w:rPr>
                <w:rFonts w:ascii="Garamond" w:hAnsi="Garamond"/>
                <w:sz w:val="24"/>
                <w:szCs w:val="24"/>
              </w:rPr>
            </w:pPr>
            <w:r>
              <w:rPr>
                <w:rFonts w:ascii="Garamond" w:hAnsi="Garamond"/>
                <w:sz w:val="24"/>
                <w:szCs w:val="24"/>
              </w:rPr>
              <w:t>Schedule of Compliance Required</w:t>
            </w:r>
          </w:p>
        </w:tc>
        <w:tc>
          <w:tcPr>
            <w:tcW w:w="630" w:type="dxa"/>
            <w:tcBorders>
              <w:top w:val="single" w:sz="4" w:space="0" w:color="auto"/>
              <w:left w:val="single" w:sz="4" w:space="0" w:color="auto"/>
              <w:bottom w:val="single" w:sz="4" w:space="0" w:color="auto"/>
              <w:right w:val="single" w:sz="4" w:space="0" w:color="auto"/>
            </w:tcBorders>
            <w:vAlign w:val="center"/>
          </w:tcPr>
          <w:p w14:paraId="6534D2B2"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683D2AD"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7A3612C8" w14:textId="77777777" w:rsidR="001057A0" w:rsidRDefault="001057A0">
            <w:pPr>
              <w:rPr>
                <w:rFonts w:ascii="Garamond" w:hAnsi="Garamond"/>
                <w:sz w:val="24"/>
                <w:szCs w:val="24"/>
              </w:rPr>
            </w:pPr>
          </w:p>
        </w:tc>
      </w:tr>
      <w:tr w:rsidR="001057A0" w14:paraId="77A05C7E"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79D2C27" w14:textId="77777777" w:rsidR="001057A0" w:rsidRDefault="001057A0">
            <w:pPr>
              <w:rPr>
                <w:rFonts w:ascii="Garamond" w:hAnsi="Garamond"/>
                <w:sz w:val="24"/>
                <w:szCs w:val="24"/>
              </w:rPr>
            </w:pPr>
            <w:r>
              <w:rPr>
                <w:rFonts w:ascii="Garamond" w:hAnsi="Garamond"/>
                <w:sz w:val="24"/>
                <w:szCs w:val="24"/>
              </w:rPr>
              <w:t>Annual Compliance Certification and Semiannual Reporting Required</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B39475"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single" w:sz="4" w:space="0" w:color="auto"/>
              <w:right w:val="single" w:sz="4" w:space="0" w:color="auto"/>
            </w:tcBorders>
            <w:vAlign w:val="center"/>
          </w:tcPr>
          <w:p w14:paraId="2B532080"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single" w:sz="4" w:space="0" w:color="auto"/>
              <w:right w:val="double" w:sz="4" w:space="0" w:color="auto"/>
            </w:tcBorders>
            <w:vAlign w:val="center"/>
          </w:tcPr>
          <w:p w14:paraId="2F1299BB" w14:textId="77777777" w:rsidR="001057A0" w:rsidRDefault="001057A0">
            <w:pPr>
              <w:rPr>
                <w:rFonts w:ascii="Garamond" w:hAnsi="Garamond"/>
                <w:sz w:val="24"/>
                <w:szCs w:val="24"/>
              </w:rPr>
            </w:pPr>
          </w:p>
        </w:tc>
      </w:tr>
      <w:tr w:rsidR="001057A0" w14:paraId="7C696B06"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5E094B80" w14:textId="77777777" w:rsidR="001057A0" w:rsidRDefault="001057A0">
            <w:pPr>
              <w:rPr>
                <w:rFonts w:ascii="Garamond" w:hAnsi="Garamond"/>
                <w:sz w:val="24"/>
                <w:szCs w:val="24"/>
              </w:rPr>
            </w:pPr>
            <w:r>
              <w:rPr>
                <w:rFonts w:ascii="Garamond" w:hAnsi="Garamond"/>
                <w:sz w:val="24"/>
                <w:szCs w:val="24"/>
              </w:rPr>
              <w:t>Monthly Reporting Required</w:t>
            </w:r>
          </w:p>
        </w:tc>
        <w:tc>
          <w:tcPr>
            <w:tcW w:w="630" w:type="dxa"/>
            <w:tcBorders>
              <w:top w:val="single" w:sz="4" w:space="0" w:color="auto"/>
              <w:left w:val="single" w:sz="4" w:space="0" w:color="auto"/>
              <w:bottom w:val="single" w:sz="4" w:space="0" w:color="auto"/>
              <w:right w:val="single" w:sz="4" w:space="0" w:color="auto"/>
            </w:tcBorders>
            <w:vAlign w:val="center"/>
          </w:tcPr>
          <w:p w14:paraId="25A265E9"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22C7183"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E0B8E92" w14:textId="77777777" w:rsidR="001057A0" w:rsidRDefault="001057A0">
            <w:pPr>
              <w:rPr>
                <w:rFonts w:ascii="Garamond" w:hAnsi="Garamond"/>
                <w:sz w:val="24"/>
                <w:szCs w:val="24"/>
              </w:rPr>
            </w:pPr>
          </w:p>
        </w:tc>
      </w:tr>
      <w:tr w:rsidR="001057A0" w14:paraId="212B01C0" w14:textId="77777777" w:rsidTr="001057A0">
        <w:trPr>
          <w:trHeight w:val="400"/>
        </w:trPr>
        <w:tc>
          <w:tcPr>
            <w:tcW w:w="6570" w:type="dxa"/>
            <w:tcBorders>
              <w:top w:val="single" w:sz="4" w:space="0" w:color="auto"/>
              <w:left w:val="double" w:sz="4" w:space="0" w:color="auto"/>
              <w:bottom w:val="double" w:sz="4" w:space="0" w:color="auto"/>
              <w:right w:val="single" w:sz="4" w:space="0" w:color="auto"/>
            </w:tcBorders>
            <w:hideMark/>
          </w:tcPr>
          <w:p w14:paraId="733BCC46" w14:textId="77777777" w:rsidR="001057A0" w:rsidRDefault="001057A0">
            <w:pPr>
              <w:rPr>
                <w:rFonts w:ascii="Garamond" w:hAnsi="Garamond"/>
                <w:sz w:val="24"/>
                <w:szCs w:val="24"/>
              </w:rPr>
            </w:pPr>
            <w:r>
              <w:rPr>
                <w:rFonts w:ascii="Garamond" w:hAnsi="Garamond"/>
                <w:sz w:val="24"/>
                <w:szCs w:val="24"/>
              </w:rPr>
              <w:t>Quarterly Reporting Required</w:t>
            </w:r>
          </w:p>
        </w:tc>
        <w:tc>
          <w:tcPr>
            <w:tcW w:w="630" w:type="dxa"/>
            <w:tcBorders>
              <w:top w:val="single" w:sz="4" w:space="0" w:color="auto"/>
              <w:left w:val="single" w:sz="4" w:space="0" w:color="auto"/>
              <w:bottom w:val="double" w:sz="4" w:space="0" w:color="auto"/>
              <w:right w:val="single" w:sz="4" w:space="0" w:color="auto"/>
            </w:tcBorders>
            <w:vAlign w:val="center"/>
          </w:tcPr>
          <w:p w14:paraId="58188673"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double" w:sz="4" w:space="0" w:color="auto"/>
              <w:right w:val="single" w:sz="4" w:space="0" w:color="auto"/>
            </w:tcBorders>
            <w:vAlign w:val="center"/>
            <w:hideMark/>
          </w:tcPr>
          <w:p w14:paraId="3FEACEB5"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double" w:sz="4" w:space="0" w:color="auto"/>
              <w:right w:val="double" w:sz="4" w:space="0" w:color="auto"/>
            </w:tcBorders>
            <w:vAlign w:val="center"/>
          </w:tcPr>
          <w:p w14:paraId="2E08C2EE" w14:textId="77777777" w:rsidR="001057A0" w:rsidRDefault="001057A0">
            <w:pPr>
              <w:rPr>
                <w:rFonts w:ascii="Garamond" w:hAnsi="Garamond"/>
                <w:sz w:val="24"/>
                <w:szCs w:val="24"/>
              </w:rPr>
            </w:pPr>
          </w:p>
        </w:tc>
      </w:tr>
      <w:tr w:rsidR="001057A0" w14:paraId="0C9FF3FD" w14:textId="77777777" w:rsidTr="001057A0">
        <w:trPr>
          <w:trHeight w:val="400"/>
        </w:trPr>
        <w:tc>
          <w:tcPr>
            <w:tcW w:w="6570" w:type="dxa"/>
            <w:tcBorders>
              <w:top w:val="double" w:sz="4" w:space="0" w:color="auto"/>
              <w:left w:val="double" w:sz="4" w:space="0" w:color="auto"/>
              <w:bottom w:val="double" w:sz="4" w:space="0" w:color="auto"/>
              <w:right w:val="single" w:sz="4" w:space="0" w:color="auto"/>
            </w:tcBorders>
            <w:hideMark/>
          </w:tcPr>
          <w:p w14:paraId="09EEDBB3" w14:textId="77777777" w:rsidR="001057A0" w:rsidRDefault="001057A0">
            <w:pPr>
              <w:pStyle w:val="Title"/>
              <w:rPr>
                <w:szCs w:val="24"/>
              </w:rPr>
            </w:pPr>
            <w:r>
              <w:rPr>
                <w:szCs w:val="24"/>
              </w:rPr>
              <w:t>Applicable Air Quality Programs</w:t>
            </w:r>
          </w:p>
        </w:tc>
        <w:tc>
          <w:tcPr>
            <w:tcW w:w="630" w:type="dxa"/>
            <w:tcBorders>
              <w:top w:val="double" w:sz="4" w:space="0" w:color="auto"/>
              <w:left w:val="single" w:sz="4" w:space="0" w:color="auto"/>
              <w:bottom w:val="double" w:sz="4" w:space="0" w:color="auto"/>
              <w:right w:val="single" w:sz="4" w:space="0" w:color="auto"/>
            </w:tcBorders>
            <w:vAlign w:val="center"/>
          </w:tcPr>
          <w:p w14:paraId="2B6F174E" w14:textId="77777777" w:rsidR="001057A0" w:rsidRDefault="001057A0">
            <w:pPr>
              <w:jc w:val="center"/>
              <w:rPr>
                <w:rFonts w:ascii="Garamond" w:hAnsi="Garamond"/>
                <w:sz w:val="24"/>
                <w:szCs w:val="24"/>
              </w:rPr>
            </w:pPr>
          </w:p>
        </w:tc>
        <w:tc>
          <w:tcPr>
            <w:tcW w:w="540" w:type="dxa"/>
            <w:tcBorders>
              <w:top w:val="double" w:sz="4" w:space="0" w:color="auto"/>
              <w:left w:val="single" w:sz="4" w:space="0" w:color="auto"/>
              <w:bottom w:val="double" w:sz="4" w:space="0" w:color="auto"/>
              <w:right w:val="single" w:sz="4" w:space="0" w:color="auto"/>
            </w:tcBorders>
            <w:vAlign w:val="center"/>
          </w:tcPr>
          <w:p w14:paraId="5FDDC46E" w14:textId="77777777" w:rsidR="001057A0" w:rsidRDefault="001057A0">
            <w:pPr>
              <w:jc w:val="center"/>
              <w:rPr>
                <w:rFonts w:ascii="Garamond" w:hAnsi="Garamond"/>
                <w:sz w:val="24"/>
                <w:szCs w:val="24"/>
              </w:rPr>
            </w:pPr>
          </w:p>
        </w:tc>
        <w:tc>
          <w:tcPr>
            <w:tcW w:w="1620" w:type="dxa"/>
            <w:tcBorders>
              <w:top w:val="double" w:sz="4" w:space="0" w:color="auto"/>
              <w:left w:val="single" w:sz="4" w:space="0" w:color="auto"/>
              <w:bottom w:val="double" w:sz="4" w:space="0" w:color="auto"/>
              <w:right w:val="double" w:sz="4" w:space="0" w:color="auto"/>
            </w:tcBorders>
            <w:vAlign w:val="center"/>
          </w:tcPr>
          <w:p w14:paraId="59C59989" w14:textId="77777777" w:rsidR="001057A0" w:rsidRDefault="001057A0">
            <w:pPr>
              <w:rPr>
                <w:rFonts w:ascii="Garamond" w:hAnsi="Garamond"/>
                <w:sz w:val="24"/>
                <w:szCs w:val="24"/>
              </w:rPr>
            </w:pPr>
          </w:p>
        </w:tc>
      </w:tr>
      <w:tr w:rsidR="001057A0" w14:paraId="3727817C" w14:textId="77777777" w:rsidTr="001057A0">
        <w:trPr>
          <w:trHeight w:val="400"/>
        </w:trPr>
        <w:tc>
          <w:tcPr>
            <w:tcW w:w="6570" w:type="dxa"/>
            <w:tcBorders>
              <w:top w:val="double" w:sz="4" w:space="0" w:color="auto"/>
              <w:left w:val="double" w:sz="4" w:space="0" w:color="auto"/>
              <w:bottom w:val="single" w:sz="4" w:space="0" w:color="auto"/>
              <w:right w:val="single" w:sz="4" w:space="0" w:color="auto"/>
            </w:tcBorders>
            <w:hideMark/>
          </w:tcPr>
          <w:p w14:paraId="6F5FF4DE" w14:textId="77777777" w:rsidR="001057A0" w:rsidRDefault="001057A0">
            <w:pPr>
              <w:rPr>
                <w:rFonts w:ascii="Garamond" w:hAnsi="Garamond"/>
                <w:sz w:val="24"/>
                <w:szCs w:val="24"/>
              </w:rPr>
            </w:pPr>
            <w:r>
              <w:rPr>
                <w:rFonts w:ascii="Garamond" w:hAnsi="Garamond"/>
                <w:sz w:val="24"/>
                <w:szCs w:val="24"/>
              </w:rPr>
              <w:t>ARM Subchapter 7 – Montana Air Quality Permit (MAQP)</w:t>
            </w:r>
          </w:p>
        </w:tc>
        <w:tc>
          <w:tcPr>
            <w:tcW w:w="630" w:type="dxa"/>
            <w:tcBorders>
              <w:top w:val="double" w:sz="4" w:space="0" w:color="auto"/>
              <w:left w:val="single" w:sz="4" w:space="0" w:color="auto"/>
              <w:bottom w:val="single" w:sz="4" w:space="0" w:color="auto"/>
              <w:right w:val="single" w:sz="4" w:space="0" w:color="auto"/>
            </w:tcBorders>
            <w:vAlign w:val="center"/>
            <w:hideMark/>
          </w:tcPr>
          <w:p w14:paraId="4F41DF2F"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double" w:sz="4" w:space="0" w:color="auto"/>
              <w:left w:val="single" w:sz="4" w:space="0" w:color="auto"/>
              <w:bottom w:val="single" w:sz="4" w:space="0" w:color="auto"/>
              <w:right w:val="single" w:sz="4" w:space="0" w:color="auto"/>
            </w:tcBorders>
            <w:vAlign w:val="center"/>
          </w:tcPr>
          <w:p w14:paraId="2D1BF5B4" w14:textId="77777777" w:rsidR="001057A0" w:rsidRDefault="001057A0">
            <w:pPr>
              <w:jc w:val="center"/>
              <w:rPr>
                <w:rFonts w:ascii="Garamond" w:hAnsi="Garamond"/>
                <w:sz w:val="24"/>
                <w:szCs w:val="24"/>
              </w:rPr>
            </w:pPr>
          </w:p>
        </w:tc>
        <w:tc>
          <w:tcPr>
            <w:tcW w:w="1620" w:type="dxa"/>
            <w:tcBorders>
              <w:top w:val="double" w:sz="4" w:space="0" w:color="auto"/>
              <w:left w:val="single" w:sz="4" w:space="0" w:color="auto"/>
              <w:bottom w:val="single" w:sz="4" w:space="0" w:color="auto"/>
              <w:right w:val="double" w:sz="4" w:space="0" w:color="auto"/>
            </w:tcBorders>
            <w:vAlign w:val="center"/>
            <w:hideMark/>
          </w:tcPr>
          <w:p w14:paraId="24ADB5E3" w14:textId="77777777" w:rsidR="001057A0" w:rsidRDefault="001057A0">
            <w:pPr>
              <w:rPr>
                <w:rFonts w:ascii="Garamond" w:hAnsi="Garamond"/>
                <w:sz w:val="24"/>
                <w:szCs w:val="24"/>
              </w:rPr>
            </w:pPr>
            <w:r>
              <w:rPr>
                <w:rFonts w:ascii="Garamond" w:hAnsi="Garamond"/>
                <w:sz w:val="24"/>
                <w:szCs w:val="24"/>
              </w:rPr>
              <w:t>MAQP #2979-04</w:t>
            </w:r>
          </w:p>
        </w:tc>
      </w:tr>
      <w:tr w:rsidR="001057A0" w14:paraId="0DC77FAB"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019F387C" w14:textId="77777777" w:rsidR="001057A0" w:rsidRDefault="001057A0">
            <w:pPr>
              <w:rPr>
                <w:rFonts w:ascii="Garamond" w:hAnsi="Garamond"/>
                <w:sz w:val="24"/>
                <w:szCs w:val="24"/>
              </w:rPr>
            </w:pPr>
            <w:r>
              <w:rPr>
                <w:rFonts w:ascii="Garamond" w:hAnsi="Garamond"/>
                <w:sz w:val="24"/>
                <w:szCs w:val="24"/>
              </w:rPr>
              <w:t>New Source Performance Standards (NSPS)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4696A2"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single" w:sz="4" w:space="0" w:color="auto"/>
              <w:right w:val="single" w:sz="4" w:space="0" w:color="auto"/>
            </w:tcBorders>
            <w:vAlign w:val="center"/>
          </w:tcPr>
          <w:p w14:paraId="330D976D"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2B76F5FC" w14:textId="77777777" w:rsidR="001057A0" w:rsidRDefault="001057A0">
            <w:pPr>
              <w:rPr>
                <w:rFonts w:ascii="Garamond" w:hAnsi="Garamond"/>
                <w:sz w:val="24"/>
                <w:szCs w:val="24"/>
              </w:rPr>
            </w:pPr>
            <w:r>
              <w:rPr>
                <w:rFonts w:ascii="Garamond" w:hAnsi="Garamond"/>
                <w:sz w:val="24"/>
                <w:szCs w:val="24"/>
              </w:rPr>
              <w:t>40 CFR 60, Subpart GG</w:t>
            </w:r>
          </w:p>
        </w:tc>
      </w:tr>
      <w:tr w:rsidR="001057A0" w14:paraId="0DFD2318"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397982A9" w14:textId="77777777" w:rsidR="001057A0" w:rsidRDefault="001057A0">
            <w:pPr>
              <w:rPr>
                <w:rFonts w:ascii="Garamond" w:hAnsi="Garamond"/>
                <w:sz w:val="24"/>
                <w:szCs w:val="24"/>
              </w:rPr>
            </w:pPr>
            <w:r>
              <w:rPr>
                <w:rFonts w:ascii="Garamond" w:hAnsi="Garamond"/>
                <w:sz w:val="24"/>
                <w:szCs w:val="24"/>
              </w:rPr>
              <w:t>National Emission Standards for Hazardous Air Pollutants (NESHAPS)</w:t>
            </w:r>
          </w:p>
        </w:tc>
        <w:tc>
          <w:tcPr>
            <w:tcW w:w="630" w:type="dxa"/>
            <w:tcBorders>
              <w:top w:val="single" w:sz="4" w:space="0" w:color="auto"/>
              <w:left w:val="single" w:sz="4" w:space="0" w:color="auto"/>
              <w:bottom w:val="single" w:sz="4" w:space="0" w:color="auto"/>
              <w:right w:val="single" w:sz="4" w:space="0" w:color="auto"/>
            </w:tcBorders>
            <w:vAlign w:val="center"/>
          </w:tcPr>
          <w:p w14:paraId="05966870" w14:textId="77777777" w:rsidR="001057A0" w:rsidRDefault="001057A0">
            <w:pPr>
              <w:pStyle w:val="Header"/>
              <w:tabs>
                <w:tab w:val="left" w:pos="720"/>
              </w:tabs>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6313866"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94D853C" w14:textId="77777777" w:rsidR="001057A0" w:rsidRDefault="001057A0">
            <w:pPr>
              <w:rPr>
                <w:rFonts w:ascii="Garamond" w:hAnsi="Garamond"/>
                <w:sz w:val="24"/>
                <w:szCs w:val="24"/>
              </w:rPr>
            </w:pPr>
          </w:p>
        </w:tc>
      </w:tr>
      <w:tr w:rsidR="001057A0" w14:paraId="4ECCF0D4"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43381075" w14:textId="77777777" w:rsidR="001057A0" w:rsidRDefault="001057A0">
            <w:pPr>
              <w:rPr>
                <w:rFonts w:ascii="Garamond" w:hAnsi="Garamond"/>
                <w:sz w:val="24"/>
                <w:szCs w:val="24"/>
              </w:rPr>
            </w:pPr>
            <w:r>
              <w:rPr>
                <w:rFonts w:ascii="Garamond" w:hAnsi="Garamond"/>
                <w:sz w:val="24"/>
                <w:szCs w:val="24"/>
              </w:rPr>
              <w:t>Maximum Achievable Control Technology (MACT)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8DC2FF2"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single" w:sz="4" w:space="0" w:color="auto"/>
              <w:right w:val="single" w:sz="4" w:space="0" w:color="auto"/>
            </w:tcBorders>
            <w:vAlign w:val="center"/>
          </w:tcPr>
          <w:p w14:paraId="12282FC8"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single" w:sz="4" w:space="0" w:color="auto"/>
              <w:right w:val="double" w:sz="4" w:space="0" w:color="auto"/>
            </w:tcBorders>
            <w:vAlign w:val="center"/>
            <w:hideMark/>
          </w:tcPr>
          <w:p w14:paraId="2ABDCF78" w14:textId="77777777" w:rsidR="001057A0" w:rsidRDefault="001057A0">
            <w:pPr>
              <w:rPr>
                <w:rFonts w:ascii="Garamond" w:hAnsi="Garamond"/>
                <w:sz w:val="24"/>
                <w:szCs w:val="24"/>
              </w:rPr>
            </w:pPr>
            <w:r>
              <w:rPr>
                <w:rFonts w:ascii="Garamond" w:hAnsi="Garamond"/>
                <w:sz w:val="24"/>
                <w:szCs w:val="24"/>
              </w:rPr>
              <w:t>40 CFR 63, Subpart ZZZZ</w:t>
            </w:r>
          </w:p>
        </w:tc>
      </w:tr>
      <w:tr w:rsidR="001057A0" w14:paraId="37FBF43D"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273FE4BC" w14:textId="77777777" w:rsidR="001057A0" w:rsidRDefault="001057A0">
            <w:pPr>
              <w:rPr>
                <w:rFonts w:ascii="Garamond" w:hAnsi="Garamond"/>
                <w:sz w:val="24"/>
                <w:szCs w:val="24"/>
              </w:rPr>
            </w:pPr>
            <w:r>
              <w:rPr>
                <w:rFonts w:ascii="Garamond" w:hAnsi="Garamond"/>
                <w:sz w:val="24"/>
                <w:szCs w:val="24"/>
              </w:rPr>
              <w:t>Major New Source Review (NSR) – includes Prevention of Significant Deterioration (PSD) and/or Non-attainment Area (NAA) NSR</w:t>
            </w:r>
          </w:p>
        </w:tc>
        <w:tc>
          <w:tcPr>
            <w:tcW w:w="630" w:type="dxa"/>
            <w:tcBorders>
              <w:top w:val="single" w:sz="4" w:space="0" w:color="auto"/>
              <w:left w:val="single" w:sz="4" w:space="0" w:color="auto"/>
              <w:bottom w:val="single" w:sz="4" w:space="0" w:color="auto"/>
              <w:right w:val="single" w:sz="4" w:space="0" w:color="auto"/>
            </w:tcBorders>
            <w:vAlign w:val="center"/>
          </w:tcPr>
          <w:p w14:paraId="5936D377"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75B6DE6"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7993D915" w14:textId="77777777" w:rsidR="001057A0" w:rsidRDefault="001057A0">
            <w:pPr>
              <w:rPr>
                <w:rFonts w:ascii="Garamond" w:hAnsi="Garamond"/>
                <w:sz w:val="24"/>
                <w:szCs w:val="24"/>
              </w:rPr>
            </w:pPr>
          </w:p>
        </w:tc>
      </w:tr>
      <w:tr w:rsidR="001057A0" w14:paraId="73176FCC"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57D59A81" w14:textId="77777777" w:rsidR="001057A0" w:rsidRDefault="001057A0">
            <w:pPr>
              <w:rPr>
                <w:rFonts w:ascii="Garamond" w:hAnsi="Garamond"/>
                <w:sz w:val="24"/>
                <w:szCs w:val="24"/>
              </w:rPr>
            </w:pPr>
            <w:r>
              <w:rPr>
                <w:rFonts w:ascii="Garamond" w:hAnsi="Garamond"/>
                <w:sz w:val="24"/>
                <w:szCs w:val="24"/>
              </w:rPr>
              <w:t>Risk Management Plan Required (RMP)</w:t>
            </w:r>
          </w:p>
        </w:tc>
        <w:tc>
          <w:tcPr>
            <w:tcW w:w="630" w:type="dxa"/>
            <w:tcBorders>
              <w:top w:val="single" w:sz="4" w:space="0" w:color="auto"/>
              <w:left w:val="single" w:sz="4" w:space="0" w:color="auto"/>
              <w:bottom w:val="single" w:sz="4" w:space="0" w:color="auto"/>
              <w:right w:val="single" w:sz="4" w:space="0" w:color="auto"/>
            </w:tcBorders>
            <w:vAlign w:val="center"/>
          </w:tcPr>
          <w:p w14:paraId="3895389B"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FA961CF"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301A1153" w14:textId="77777777" w:rsidR="001057A0" w:rsidRDefault="001057A0">
            <w:pPr>
              <w:rPr>
                <w:rFonts w:ascii="Garamond" w:hAnsi="Garamond"/>
                <w:sz w:val="24"/>
                <w:szCs w:val="24"/>
              </w:rPr>
            </w:pPr>
          </w:p>
        </w:tc>
      </w:tr>
      <w:tr w:rsidR="001057A0" w14:paraId="645B2F8A"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6528CC5C" w14:textId="77777777" w:rsidR="001057A0" w:rsidRDefault="001057A0">
            <w:pPr>
              <w:rPr>
                <w:rFonts w:ascii="Garamond" w:hAnsi="Garamond"/>
                <w:sz w:val="24"/>
                <w:szCs w:val="24"/>
              </w:rPr>
            </w:pPr>
            <w:r>
              <w:rPr>
                <w:rFonts w:ascii="Garamond" w:hAnsi="Garamond"/>
                <w:sz w:val="24"/>
                <w:szCs w:val="24"/>
              </w:rPr>
              <w:t>Acid Rain Title IV</w:t>
            </w:r>
          </w:p>
        </w:tc>
        <w:tc>
          <w:tcPr>
            <w:tcW w:w="630" w:type="dxa"/>
            <w:tcBorders>
              <w:top w:val="single" w:sz="4" w:space="0" w:color="auto"/>
              <w:left w:val="single" w:sz="4" w:space="0" w:color="auto"/>
              <w:bottom w:val="single" w:sz="4" w:space="0" w:color="auto"/>
              <w:right w:val="single" w:sz="4" w:space="0" w:color="auto"/>
            </w:tcBorders>
            <w:vAlign w:val="center"/>
          </w:tcPr>
          <w:p w14:paraId="6934CAF3"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95AAAD7"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1658B66D" w14:textId="77777777" w:rsidR="001057A0" w:rsidRDefault="001057A0">
            <w:pPr>
              <w:rPr>
                <w:rFonts w:ascii="Garamond" w:hAnsi="Garamond"/>
                <w:sz w:val="24"/>
                <w:szCs w:val="24"/>
              </w:rPr>
            </w:pPr>
          </w:p>
        </w:tc>
      </w:tr>
      <w:tr w:rsidR="001057A0" w14:paraId="0D7E9E07" w14:textId="77777777" w:rsidTr="001057A0">
        <w:trPr>
          <w:trHeight w:val="400"/>
        </w:trPr>
        <w:tc>
          <w:tcPr>
            <w:tcW w:w="6570" w:type="dxa"/>
            <w:tcBorders>
              <w:top w:val="single" w:sz="4" w:space="0" w:color="auto"/>
              <w:left w:val="double" w:sz="4" w:space="0" w:color="auto"/>
              <w:bottom w:val="single" w:sz="4" w:space="0" w:color="auto"/>
              <w:right w:val="single" w:sz="4" w:space="0" w:color="auto"/>
            </w:tcBorders>
            <w:hideMark/>
          </w:tcPr>
          <w:p w14:paraId="193BA6F7" w14:textId="77777777" w:rsidR="001057A0" w:rsidRDefault="001057A0">
            <w:pPr>
              <w:rPr>
                <w:rFonts w:ascii="Garamond" w:hAnsi="Garamond"/>
                <w:sz w:val="24"/>
                <w:szCs w:val="24"/>
              </w:rPr>
            </w:pPr>
            <w:r>
              <w:rPr>
                <w:rFonts w:ascii="Garamond" w:hAnsi="Garamond"/>
                <w:sz w:val="24"/>
                <w:szCs w:val="24"/>
              </w:rPr>
              <w:t>Compliance Assurance Monitoring (CAM)</w:t>
            </w:r>
          </w:p>
        </w:tc>
        <w:tc>
          <w:tcPr>
            <w:tcW w:w="630" w:type="dxa"/>
            <w:tcBorders>
              <w:top w:val="single" w:sz="4" w:space="0" w:color="auto"/>
              <w:left w:val="single" w:sz="4" w:space="0" w:color="auto"/>
              <w:bottom w:val="single" w:sz="4" w:space="0" w:color="auto"/>
              <w:right w:val="single" w:sz="4" w:space="0" w:color="auto"/>
            </w:tcBorders>
            <w:vAlign w:val="center"/>
          </w:tcPr>
          <w:p w14:paraId="2080FF70" w14:textId="77777777" w:rsidR="001057A0" w:rsidRDefault="001057A0">
            <w:pPr>
              <w:jc w:val="center"/>
              <w:rPr>
                <w:rFonts w:ascii="Garamond" w:hAnsi="Garamond"/>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FD43DE3" w14:textId="77777777" w:rsidR="001057A0" w:rsidRDefault="001057A0">
            <w:pPr>
              <w:jc w:val="center"/>
              <w:rPr>
                <w:rFonts w:ascii="Garamond" w:hAnsi="Garamond"/>
                <w:sz w:val="24"/>
                <w:szCs w:val="24"/>
              </w:rPr>
            </w:pPr>
            <w:r>
              <w:rPr>
                <w:rFonts w:ascii="Garamond" w:hAnsi="Garamond"/>
                <w:sz w:val="24"/>
                <w:szCs w:val="24"/>
              </w:rPr>
              <w:t>X</w:t>
            </w:r>
          </w:p>
        </w:tc>
        <w:tc>
          <w:tcPr>
            <w:tcW w:w="1620" w:type="dxa"/>
            <w:tcBorders>
              <w:top w:val="single" w:sz="4" w:space="0" w:color="auto"/>
              <w:left w:val="single" w:sz="4" w:space="0" w:color="auto"/>
              <w:bottom w:val="single" w:sz="4" w:space="0" w:color="auto"/>
              <w:right w:val="double" w:sz="4" w:space="0" w:color="auto"/>
            </w:tcBorders>
            <w:vAlign w:val="center"/>
          </w:tcPr>
          <w:p w14:paraId="5C56EAE8" w14:textId="77777777" w:rsidR="001057A0" w:rsidRDefault="001057A0">
            <w:pPr>
              <w:rPr>
                <w:rFonts w:ascii="Garamond" w:hAnsi="Garamond"/>
                <w:sz w:val="24"/>
                <w:szCs w:val="24"/>
              </w:rPr>
            </w:pPr>
          </w:p>
        </w:tc>
      </w:tr>
      <w:tr w:rsidR="001057A0" w14:paraId="220FA453" w14:textId="77777777" w:rsidTr="001057A0">
        <w:trPr>
          <w:trHeight w:val="400"/>
        </w:trPr>
        <w:tc>
          <w:tcPr>
            <w:tcW w:w="6570" w:type="dxa"/>
            <w:tcBorders>
              <w:top w:val="single" w:sz="4" w:space="0" w:color="auto"/>
              <w:left w:val="double" w:sz="4" w:space="0" w:color="auto"/>
              <w:bottom w:val="double" w:sz="4" w:space="0" w:color="auto"/>
              <w:right w:val="single" w:sz="4" w:space="0" w:color="auto"/>
            </w:tcBorders>
            <w:hideMark/>
          </w:tcPr>
          <w:p w14:paraId="4D811A8E" w14:textId="77777777" w:rsidR="001057A0" w:rsidRDefault="001057A0">
            <w:pPr>
              <w:rPr>
                <w:rFonts w:ascii="Garamond" w:hAnsi="Garamond"/>
                <w:sz w:val="24"/>
                <w:szCs w:val="24"/>
              </w:rPr>
            </w:pPr>
            <w:r>
              <w:rPr>
                <w:rFonts w:ascii="Garamond" w:hAnsi="Garamond"/>
                <w:sz w:val="24"/>
                <w:szCs w:val="24"/>
              </w:rPr>
              <w:t>State Implementation Plan (SIP)</w:t>
            </w:r>
          </w:p>
        </w:tc>
        <w:tc>
          <w:tcPr>
            <w:tcW w:w="630" w:type="dxa"/>
            <w:tcBorders>
              <w:top w:val="single" w:sz="4" w:space="0" w:color="auto"/>
              <w:left w:val="single" w:sz="4" w:space="0" w:color="auto"/>
              <w:bottom w:val="double" w:sz="4" w:space="0" w:color="auto"/>
              <w:right w:val="single" w:sz="4" w:space="0" w:color="auto"/>
            </w:tcBorders>
            <w:vAlign w:val="center"/>
            <w:hideMark/>
          </w:tcPr>
          <w:p w14:paraId="6CE49346" w14:textId="77777777" w:rsidR="001057A0" w:rsidRDefault="001057A0">
            <w:pPr>
              <w:jc w:val="center"/>
              <w:rPr>
                <w:rFonts w:ascii="Garamond" w:hAnsi="Garamond"/>
                <w:sz w:val="24"/>
                <w:szCs w:val="24"/>
              </w:rPr>
            </w:pPr>
            <w:r>
              <w:rPr>
                <w:rFonts w:ascii="Garamond" w:hAnsi="Garamond"/>
                <w:sz w:val="24"/>
                <w:szCs w:val="24"/>
              </w:rPr>
              <w:t>X</w:t>
            </w:r>
          </w:p>
        </w:tc>
        <w:tc>
          <w:tcPr>
            <w:tcW w:w="540" w:type="dxa"/>
            <w:tcBorders>
              <w:top w:val="single" w:sz="4" w:space="0" w:color="auto"/>
              <w:left w:val="single" w:sz="4" w:space="0" w:color="auto"/>
              <w:bottom w:val="double" w:sz="4" w:space="0" w:color="auto"/>
              <w:right w:val="single" w:sz="4" w:space="0" w:color="auto"/>
            </w:tcBorders>
            <w:vAlign w:val="center"/>
          </w:tcPr>
          <w:p w14:paraId="17F2CE88" w14:textId="77777777" w:rsidR="001057A0" w:rsidRDefault="001057A0">
            <w:pPr>
              <w:jc w:val="center"/>
              <w:rPr>
                <w:rFonts w:ascii="Garamond" w:hAnsi="Garamond"/>
                <w:sz w:val="24"/>
                <w:szCs w:val="24"/>
              </w:rPr>
            </w:pPr>
          </w:p>
        </w:tc>
        <w:tc>
          <w:tcPr>
            <w:tcW w:w="1620" w:type="dxa"/>
            <w:tcBorders>
              <w:top w:val="single" w:sz="4" w:space="0" w:color="auto"/>
              <w:left w:val="single" w:sz="4" w:space="0" w:color="auto"/>
              <w:bottom w:val="double" w:sz="4" w:space="0" w:color="auto"/>
              <w:right w:val="double" w:sz="4" w:space="0" w:color="auto"/>
            </w:tcBorders>
            <w:vAlign w:val="center"/>
            <w:hideMark/>
          </w:tcPr>
          <w:p w14:paraId="58E9F2AC" w14:textId="77777777" w:rsidR="001057A0" w:rsidRDefault="001057A0">
            <w:pPr>
              <w:rPr>
                <w:rFonts w:ascii="Garamond" w:hAnsi="Garamond"/>
                <w:sz w:val="24"/>
                <w:szCs w:val="24"/>
              </w:rPr>
            </w:pPr>
            <w:r>
              <w:rPr>
                <w:rFonts w:ascii="Garamond" w:hAnsi="Garamond"/>
                <w:sz w:val="24"/>
                <w:szCs w:val="24"/>
              </w:rPr>
              <w:t>General SIP</w:t>
            </w:r>
          </w:p>
        </w:tc>
      </w:tr>
    </w:tbl>
    <w:p w14:paraId="3115F206" w14:textId="77777777" w:rsidR="00511D5C" w:rsidRDefault="00511D5C" w:rsidP="001057A0">
      <w:pPr>
        <w:jc w:val="center"/>
        <w:rPr>
          <w:rFonts w:ascii="Garamond" w:hAnsi="Garamond"/>
          <w:sz w:val="24"/>
          <w:szCs w:val="24"/>
          <w:u w:val="single"/>
        </w:rPr>
      </w:pPr>
    </w:p>
    <w:p w14:paraId="4D1FD6F3" w14:textId="698F1498" w:rsidR="001057A0" w:rsidRDefault="001057A0" w:rsidP="001057A0">
      <w:pPr>
        <w:jc w:val="center"/>
        <w:rPr>
          <w:rFonts w:ascii="Garamond" w:hAnsi="Garamond"/>
          <w:sz w:val="24"/>
          <w:szCs w:val="24"/>
        </w:rPr>
      </w:pPr>
      <w:r>
        <w:rPr>
          <w:rFonts w:ascii="Garamond" w:hAnsi="Garamond"/>
          <w:sz w:val="24"/>
          <w:szCs w:val="24"/>
          <w:u w:val="single"/>
        </w:rPr>
        <w:lastRenderedPageBreak/>
        <w:t>TABLE OF CONTENTS</w:t>
      </w:r>
    </w:p>
    <w:p w14:paraId="5985F71A" w14:textId="77777777" w:rsidR="001057A0" w:rsidRDefault="001057A0" w:rsidP="001057A0">
      <w:pPr>
        <w:rPr>
          <w:rFonts w:ascii="Garamond" w:hAnsi="Garamond"/>
          <w:sz w:val="24"/>
          <w:szCs w:val="24"/>
        </w:rPr>
      </w:pPr>
    </w:p>
    <w:p w14:paraId="03657D96" w14:textId="77777777" w:rsidR="001057A0" w:rsidRDefault="001057A0" w:rsidP="001057A0">
      <w:pPr>
        <w:rPr>
          <w:rFonts w:ascii="Garamond" w:hAnsi="Garamond"/>
          <w:sz w:val="24"/>
          <w:szCs w:val="24"/>
        </w:rPr>
      </w:pPr>
    </w:p>
    <w:p w14:paraId="14BE2F42" w14:textId="301EDAA5" w:rsidR="00302323" w:rsidRPr="00302323" w:rsidRDefault="001057A0" w:rsidP="008854A4">
      <w:pPr>
        <w:pStyle w:val="TOC1"/>
        <w:rPr>
          <w:rFonts w:asciiTheme="minorHAnsi" w:eastAsiaTheme="minorEastAsia" w:hAnsiTheme="minorHAnsi" w:cstheme="minorBidi"/>
          <w:noProof/>
          <w:kern w:val="2"/>
          <w:sz w:val="28"/>
          <w:szCs w:val="28"/>
        </w:rPr>
      </w:pPr>
      <w:r w:rsidRPr="00302323">
        <w:rPr>
          <w:sz w:val="28"/>
          <w:szCs w:val="28"/>
        </w:rPr>
        <w:fldChar w:fldCharType="begin"/>
      </w:r>
      <w:r w:rsidRPr="00302323">
        <w:rPr>
          <w:sz w:val="28"/>
          <w:szCs w:val="28"/>
        </w:rPr>
        <w:instrText xml:space="preserve"> TOC \o "1-2" </w:instrText>
      </w:r>
      <w:r w:rsidRPr="00302323">
        <w:rPr>
          <w:sz w:val="28"/>
          <w:szCs w:val="28"/>
        </w:rPr>
        <w:fldChar w:fldCharType="separate"/>
      </w:r>
      <w:r w:rsidR="00302323" w:rsidRPr="00302323">
        <w:rPr>
          <w:bCs/>
          <w:noProof/>
        </w:rPr>
        <w:t>SECTION I. GENERAL INFORMATION</w:t>
      </w:r>
      <w:r w:rsidR="00302323" w:rsidRPr="00302323">
        <w:rPr>
          <w:noProof/>
        </w:rPr>
        <w:tab/>
      </w:r>
      <w:r w:rsidR="00302323" w:rsidRPr="00302323">
        <w:rPr>
          <w:noProof/>
        </w:rPr>
        <w:fldChar w:fldCharType="begin"/>
      </w:r>
      <w:r w:rsidR="00302323" w:rsidRPr="00302323">
        <w:rPr>
          <w:noProof/>
        </w:rPr>
        <w:instrText xml:space="preserve"> PAGEREF _Toc228879217 \h </w:instrText>
      </w:r>
      <w:r w:rsidR="00302323" w:rsidRPr="00302323">
        <w:rPr>
          <w:noProof/>
        </w:rPr>
      </w:r>
      <w:r w:rsidR="00302323" w:rsidRPr="00302323">
        <w:rPr>
          <w:noProof/>
        </w:rPr>
        <w:fldChar w:fldCharType="separate"/>
      </w:r>
      <w:r w:rsidR="00302323" w:rsidRPr="00302323">
        <w:rPr>
          <w:noProof/>
        </w:rPr>
        <w:t>3</w:t>
      </w:r>
      <w:r w:rsidR="00302323" w:rsidRPr="00302323">
        <w:rPr>
          <w:noProof/>
        </w:rPr>
        <w:fldChar w:fldCharType="end"/>
      </w:r>
    </w:p>
    <w:p w14:paraId="5F27B0D2" w14:textId="3E6CF6BF"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Purpose</w:t>
      </w:r>
      <w:r w:rsidRPr="00302323">
        <w:rPr>
          <w:sz w:val="22"/>
          <w:szCs w:val="22"/>
        </w:rPr>
        <w:tab/>
      </w:r>
      <w:r w:rsidRPr="00302323">
        <w:rPr>
          <w:sz w:val="22"/>
          <w:szCs w:val="22"/>
        </w:rPr>
        <w:fldChar w:fldCharType="begin"/>
      </w:r>
      <w:r w:rsidRPr="00302323">
        <w:rPr>
          <w:sz w:val="22"/>
          <w:szCs w:val="22"/>
        </w:rPr>
        <w:instrText xml:space="preserve"> PAGEREF _Toc228879218 \h </w:instrText>
      </w:r>
      <w:r w:rsidRPr="00302323">
        <w:rPr>
          <w:sz w:val="22"/>
          <w:szCs w:val="22"/>
        </w:rPr>
      </w:r>
      <w:r w:rsidRPr="00302323">
        <w:rPr>
          <w:sz w:val="22"/>
          <w:szCs w:val="22"/>
        </w:rPr>
        <w:fldChar w:fldCharType="separate"/>
      </w:r>
      <w:r w:rsidRPr="00302323">
        <w:rPr>
          <w:sz w:val="22"/>
          <w:szCs w:val="22"/>
        </w:rPr>
        <w:t>3</w:t>
      </w:r>
      <w:r w:rsidRPr="00302323">
        <w:rPr>
          <w:sz w:val="22"/>
          <w:szCs w:val="22"/>
        </w:rPr>
        <w:fldChar w:fldCharType="end"/>
      </w:r>
    </w:p>
    <w:p w14:paraId="10B74AD3" w14:textId="1EE8ED8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Facility Location</w:t>
      </w:r>
      <w:r w:rsidRPr="00302323">
        <w:rPr>
          <w:sz w:val="22"/>
          <w:szCs w:val="22"/>
        </w:rPr>
        <w:tab/>
      </w:r>
      <w:r w:rsidRPr="00302323">
        <w:rPr>
          <w:sz w:val="22"/>
          <w:szCs w:val="22"/>
        </w:rPr>
        <w:fldChar w:fldCharType="begin"/>
      </w:r>
      <w:r w:rsidRPr="00302323">
        <w:rPr>
          <w:sz w:val="22"/>
          <w:szCs w:val="22"/>
        </w:rPr>
        <w:instrText xml:space="preserve"> PAGEREF _Toc228879219 \h </w:instrText>
      </w:r>
      <w:r w:rsidRPr="00302323">
        <w:rPr>
          <w:sz w:val="22"/>
          <w:szCs w:val="22"/>
        </w:rPr>
      </w:r>
      <w:r w:rsidRPr="00302323">
        <w:rPr>
          <w:sz w:val="22"/>
          <w:szCs w:val="22"/>
        </w:rPr>
        <w:fldChar w:fldCharType="separate"/>
      </w:r>
      <w:r w:rsidRPr="00302323">
        <w:rPr>
          <w:sz w:val="22"/>
          <w:szCs w:val="22"/>
        </w:rPr>
        <w:t>3</w:t>
      </w:r>
      <w:r w:rsidRPr="00302323">
        <w:rPr>
          <w:sz w:val="22"/>
          <w:szCs w:val="22"/>
        </w:rPr>
        <w:fldChar w:fldCharType="end"/>
      </w:r>
    </w:p>
    <w:p w14:paraId="62BE2EA8" w14:textId="631086FE"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Facility Background Information</w:t>
      </w:r>
      <w:r w:rsidRPr="00302323">
        <w:rPr>
          <w:sz w:val="22"/>
          <w:szCs w:val="22"/>
        </w:rPr>
        <w:tab/>
      </w:r>
      <w:r w:rsidRPr="00302323">
        <w:rPr>
          <w:sz w:val="22"/>
          <w:szCs w:val="22"/>
        </w:rPr>
        <w:fldChar w:fldCharType="begin"/>
      </w:r>
      <w:r w:rsidRPr="00302323">
        <w:rPr>
          <w:sz w:val="22"/>
          <w:szCs w:val="22"/>
        </w:rPr>
        <w:instrText xml:space="preserve"> PAGEREF _Toc228879220 \h </w:instrText>
      </w:r>
      <w:r w:rsidRPr="00302323">
        <w:rPr>
          <w:sz w:val="22"/>
          <w:szCs w:val="22"/>
        </w:rPr>
      </w:r>
      <w:r w:rsidRPr="00302323">
        <w:rPr>
          <w:sz w:val="22"/>
          <w:szCs w:val="22"/>
        </w:rPr>
        <w:fldChar w:fldCharType="separate"/>
      </w:r>
      <w:r w:rsidRPr="00302323">
        <w:rPr>
          <w:sz w:val="22"/>
          <w:szCs w:val="22"/>
        </w:rPr>
        <w:t>3</w:t>
      </w:r>
      <w:r w:rsidRPr="00302323">
        <w:rPr>
          <w:sz w:val="22"/>
          <w:szCs w:val="22"/>
        </w:rPr>
        <w:fldChar w:fldCharType="end"/>
      </w:r>
    </w:p>
    <w:p w14:paraId="3510D11A" w14:textId="04FBEB1E"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D.</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Current Permit Action</w:t>
      </w:r>
      <w:r w:rsidRPr="00302323">
        <w:rPr>
          <w:sz w:val="22"/>
          <w:szCs w:val="22"/>
        </w:rPr>
        <w:tab/>
      </w:r>
      <w:r w:rsidRPr="00302323">
        <w:rPr>
          <w:sz w:val="22"/>
          <w:szCs w:val="22"/>
        </w:rPr>
        <w:fldChar w:fldCharType="begin"/>
      </w:r>
      <w:r w:rsidRPr="00302323">
        <w:rPr>
          <w:sz w:val="22"/>
          <w:szCs w:val="22"/>
        </w:rPr>
        <w:instrText xml:space="preserve"> PAGEREF _Toc228879221 \h </w:instrText>
      </w:r>
      <w:r w:rsidRPr="00302323">
        <w:rPr>
          <w:sz w:val="22"/>
          <w:szCs w:val="22"/>
        </w:rPr>
      </w:r>
      <w:r w:rsidRPr="00302323">
        <w:rPr>
          <w:sz w:val="22"/>
          <w:szCs w:val="22"/>
        </w:rPr>
        <w:fldChar w:fldCharType="separate"/>
      </w:r>
      <w:r w:rsidRPr="00302323">
        <w:rPr>
          <w:sz w:val="22"/>
          <w:szCs w:val="22"/>
        </w:rPr>
        <w:t>7</w:t>
      </w:r>
      <w:r w:rsidRPr="00302323">
        <w:rPr>
          <w:sz w:val="22"/>
          <w:szCs w:val="22"/>
        </w:rPr>
        <w:fldChar w:fldCharType="end"/>
      </w:r>
    </w:p>
    <w:p w14:paraId="6132A5C4" w14:textId="3A5E528C"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E.</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Taking and Damaging Analysis</w:t>
      </w:r>
      <w:r w:rsidRPr="00302323">
        <w:rPr>
          <w:sz w:val="22"/>
          <w:szCs w:val="22"/>
        </w:rPr>
        <w:tab/>
      </w:r>
      <w:r w:rsidRPr="00302323">
        <w:rPr>
          <w:sz w:val="22"/>
          <w:szCs w:val="22"/>
        </w:rPr>
        <w:fldChar w:fldCharType="begin"/>
      </w:r>
      <w:r w:rsidRPr="00302323">
        <w:rPr>
          <w:sz w:val="22"/>
          <w:szCs w:val="22"/>
        </w:rPr>
        <w:instrText xml:space="preserve"> PAGEREF _Toc228879222 \h </w:instrText>
      </w:r>
      <w:r w:rsidRPr="00302323">
        <w:rPr>
          <w:sz w:val="22"/>
          <w:szCs w:val="22"/>
        </w:rPr>
      </w:r>
      <w:r w:rsidRPr="00302323">
        <w:rPr>
          <w:sz w:val="22"/>
          <w:szCs w:val="22"/>
        </w:rPr>
        <w:fldChar w:fldCharType="separate"/>
      </w:r>
      <w:r w:rsidRPr="00302323">
        <w:rPr>
          <w:sz w:val="22"/>
          <w:szCs w:val="22"/>
        </w:rPr>
        <w:t>7</w:t>
      </w:r>
      <w:r w:rsidRPr="00302323">
        <w:rPr>
          <w:sz w:val="22"/>
          <w:szCs w:val="22"/>
        </w:rPr>
        <w:fldChar w:fldCharType="end"/>
      </w:r>
    </w:p>
    <w:p w14:paraId="6F0E2971" w14:textId="1DCA6A00"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F.</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Compliance Designation</w:t>
      </w:r>
      <w:r w:rsidRPr="00302323">
        <w:rPr>
          <w:sz w:val="22"/>
          <w:szCs w:val="22"/>
        </w:rPr>
        <w:tab/>
      </w:r>
      <w:r w:rsidRPr="00302323">
        <w:rPr>
          <w:sz w:val="22"/>
          <w:szCs w:val="22"/>
        </w:rPr>
        <w:fldChar w:fldCharType="begin"/>
      </w:r>
      <w:r w:rsidRPr="00302323">
        <w:rPr>
          <w:sz w:val="22"/>
          <w:szCs w:val="22"/>
        </w:rPr>
        <w:instrText xml:space="preserve"> PAGEREF _Toc228879223 \h </w:instrText>
      </w:r>
      <w:r w:rsidRPr="00302323">
        <w:rPr>
          <w:sz w:val="22"/>
          <w:szCs w:val="22"/>
        </w:rPr>
      </w:r>
      <w:r w:rsidRPr="00302323">
        <w:rPr>
          <w:sz w:val="22"/>
          <w:szCs w:val="22"/>
        </w:rPr>
        <w:fldChar w:fldCharType="separate"/>
      </w:r>
      <w:r w:rsidRPr="00302323">
        <w:rPr>
          <w:sz w:val="22"/>
          <w:szCs w:val="22"/>
        </w:rPr>
        <w:t>8</w:t>
      </w:r>
      <w:r w:rsidRPr="00302323">
        <w:rPr>
          <w:sz w:val="22"/>
          <w:szCs w:val="22"/>
        </w:rPr>
        <w:fldChar w:fldCharType="end"/>
      </w:r>
    </w:p>
    <w:p w14:paraId="0D58BAB5" w14:textId="3B665C07" w:rsidR="00302323" w:rsidRPr="00302323" w:rsidRDefault="00302323" w:rsidP="008854A4">
      <w:pPr>
        <w:pStyle w:val="TOC1"/>
        <w:rPr>
          <w:rFonts w:asciiTheme="minorHAnsi" w:eastAsiaTheme="minorEastAsia" w:hAnsiTheme="minorHAnsi" w:cstheme="minorBidi"/>
          <w:noProof/>
          <w:kern w:val="2"/>
          <w:sz w:val="28"/>
          <w:szCs w:val="28"/>
        </w:rPr>
      </w:pPr>
      <w:r w:rsidRPr="00302323">
        <w:rPr>
          <w:noProof/>
        </w:rPr>
        <w:t>SECTION II. SUMMARY OF EMISSION UNITS</w:t>
      </w:r>
      <w:r w:rsidRPr="00302323">
        <w:rPr>
          <w:noProof/>
        </w:rPr>
        <w:tab/>
      </w:r>
      <w:r w:rsidRPr="00302323">
        <w:rPr>
          <w:noProof/>
        </w:rPr>
        <w:fldChar w:fldCharType="begin"/>
      </w:r>
      <w:r w:rsidRPr="00302323">
        <w:rPr>
          <w:noProof/>
        </w:rPr>
        <w:instrText xml:space="preserve"> PAGEREF _Toc228879224 \h </w:instrText>
      </w:r>
      <w:r w:rsidRPr="00302323">
        <w:rPr>
          <w:noProof/>
        </w:rPr>
      </w:r>
      <w:r w:rsidRPr="00302323">
        <w:rPr>
          <w:noProof/>
        </w:rPr>
        <w:fldChar w:fldCharType="separate"/>
      </w:r>
      <w:r w:rsidRPr="00302323">
        <w:rPr>
          <w:noProof/>
        </w:rPr>
        <w:t>9</w:t>
      </w:r>
      <w:r w:rsidRPr="00302323">
        <w:rPr>
          <w:noProof/>
        </w:rPr>
        <w:fldChar w:fldCharType="end"/>
      </w:r>
    </w:p>
    <w:p w14:paraId="1FFF5F8A" w14:textId="57BBD51A"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Facility Process Description</w:t>
      </w:r>
      <w:r w:rsidRPr="00302323">
        <w:rPr>
          <w:sz w:val="22"/>
          <w:szCs w:val="22"/>
        </w:rPr>
        <w:tab/>
      </w:r>
      <w:r w:rsidRPr="00302323">
        <w:rPr>
          <w:sz w:val="22"/>
          <w:szCs w:val="22"/>
        </w:rPr>
        <w:fldChar w:fldCharType="begin"/>
      </w:r>
      <w:r w:rsidRPr="00302323">
        <w:rPr>
          <w:sz w:val="22"/>
          <w:szCs w:val="22"/>
        </w:rPr>
        <w:instrText xml:space="preserve"> PAGEREF _Toc228879225 \h </w:instrText>
      </w:r>
      <w:r w:rsidRPr="00302323">
        <w:rPr>
          <w:sz w:val="22"/>
          <w:szCs w:val="22"/>
        </w:rPr>
      </w:r>
      <w:r w:rsidRPr="00302323">
        <w:rPr>
          <w:sz w:val="22"/>
          <w:szCs w:val="22"/>
        </w:rPr>
        <w:fldChar w:fldCharType="separate"/>
      </w:r>
      <w:r w:rsidRPr="00302323">
        <w:rPr>
          <w:sz w:val="22"/>
          <w:szCs w:val="22"/>
        </w:rPr>
        <w:t>9</w:t>
      </w:r>
      <w:r w:rsidRPr="00302323">
        <w:rPr>
          <w:sz w:val="22"/>
          <w:szCs w:val="22"/>
        </w:rPr>
        <w:fldChar w:fldCharType="end"/>
      </w:r>
    </w:p>
    <w:p w14:paraId="2300E3F0" w14:textId="6722981A"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Emission Units and Pollution Control Device Identification</w:t>
      </w:r>
      <w:r w:rsidRPr="00302323">
        <w:rPr>
          <w:sz w:val="22"/>
          <w:szCs w:val="22"/>
        </w:rPr>
        <w:tab/>
      </w:r>
      <w:r w:rsidRPr="00302323">
        <w:rPr>
          <w:sz w:val="22"/>
          <w:szCs w:val="22"/>
        </w:rPr>
        <w:fldChar w:fldCharType="begin"/>
      </w:r>
      <w:r w:rsidRPr="00302323">
        <w:rPr>
          <w:sz w:val="22"/>
          <w:szCs w:val="22"/>
        </w:rPr>
        <w:instrText xml:space="preserve"> PAGEREF _Toc228879226 \h </w:instrText>
      </w:r>
      <w:r w:rsidRPr="00302323">
        <w:rPr>
          <w:sz w:val="22"/>
          <w:szCs w:val="22"/>
        </w:rPr>
      </w:r>
      <w:r w:rsidRPr="00302323">
        <w:rPr>
          <w:sz w:val="22"/>
          <w:szCs w:val="22"/>
        </w:rPr>
        <w:fldChar w:fldCharType="separate"/>
      </w:r>
      <w:r w:rsidRPr="00302323">
        <w:rPr>
          <w:sz w:val="22"/>
          <w:szCs w:val="22"/>
        </w:rPr>
        <w:t>9</w:t>
      </w:r>
      <w:r w:rsidRPr="00302323">
        <w:rPr>
          <w:sz w:val="22"/>
          <w:szCs w:val="22"/>
        </w:rPr>
        <w:fldChar w:fldCharType="end"/>
      </w:r>
    </w:p>
    <w:p w14:paraId="74352781" w14:textId="5C6954D7"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Categorically Insignificant Sources/Activities</w:t>
      </w:r>
      <w:r w:rsidRPr="00302323">
        <w:rPr>
          <w:sz w:val="22"/>
          <w:szCs w:val="22"/>
        </w:rPr>
        <w:tab/>
      </w:r>
      <w:r w:rsidRPr="00302323">
        <w:rPr>
          <w:sz w:val="22"/>
          <w:szCs w:val="22"/>
        </w:rPr>
        <w:fldChar w:fldCharType="begin"/>
      </w:r>
      <w:r w:rsidRPr="00302323">
        <w:rPr>
          <w:sz w:val="22"/>
          <w:szCs w:val="22"/>
        </w:rPr>
        <w:instrText xml:space="preserve"> PAGEREF _Toc228879227 \h </w:instrText>
      </w:r>
      <w:r w:rsidRPr="00302323">
        <w:rPr>
          <w:sz w:val="22"/>
          <w:szCs w:val="22"/>
        </w:rPr>
      </w:r>
      <w:r w:rsidRPr="00302323">
        <w:rPr>
          <w:sz w:val="22"/>
          <w:szCs w:val="22"/>
        </w:rPr>
        <w:fldChar w:fldCharType="separate"/>
      </w:r>
      <w:r w:rsidRPr="00302323">
        <w:rPr>
          <w:sz w:val="22"/>
          <w:szCs w:val="22"/>
        </w:rPr>
        <w:t>9</w:t>
      </w:r>
      <w:r w:rsidRPr="00302323">
        <w:rPr>
          <w:sz w:val="22"/>
          <w:szCs w:val="22"/>
        </w:rPr>
        <w:fldChar w:fldCharType="end"/>
      </w:r>
    </w:p>
    <w:p w14:paraId="36397E58" w14:textId="2B84D74A" w:rsidR="00302323" w:rsidRPr="00302323" w:rsidRDefault="00302323" w:rsidP="008854A4">
      <w:pPr>
        <w:pStyle w:val="TOC1"/>
        <w:rPr>
          <w:rFonts w:asciiTheme="minorHAnsi" w:eastAsiaTheme="minorEastAsia" w:hAnsiTheme="minorHAnsi" w:cstheme="minorBidi"/>
          <w:noProof/>
          <w:kern w:val="2"/>
          <w:sz w:val="28"/>
          <w:szCs w:val="28"/>
        </w:rPr>
      </w:pPr>
      <w:r w:rsidRPr="00302323">
        <w:rPr>
          <w:rFonts w:ascii="Garamond" w:hAnsi="Garamond"/>
          <w:bCs/>
          <w:noProof/>
        </w:rPr>
        <w:t>SECTION III. PERMIT CONDITIONS</w:t>
      </w:r>
      <w:r w:rsidRPr="00302323">
        <w:rPr>
          <w:noProof/>
        </w:rPr>
        <w:tab/>
      </w:r>
      <w:r w:rsidRPr="00302323">
        <w:rPr>
          <w:noProof/>
        </w:rPr>
        <w:fldChar w:fldCharType="begin"/>
      </w:r>
      <w:r w:rsidRPr="00302323">
        <w:rPr>
          <w:noProof/>
        </w:rPr>
        <w:instrText xml:space="preserve"> PAGEREF _Toc228879228 \h </w:instrText>
      </w:r>
      <w:r w:rsidRPr="00302323">
        <w:rPr>
          <w:noProof/>
        </w:rPr>
      </w:r>
      <w:r w:rsidRPr="00302323">
        <w:rPr>
          <w:noProof/>
        </w:rPr>
        <w:fldChar w:fldCharType="separate"/>
      </w:r>
      <w:r w:rsidRPr="00302323">
        <w:rPr>
          <w:noProof/>
        </w:rPr>
        <w:t>10</w:t>
      </w:r>
      <w:r w:rsidRPr="00302323">
        <w:rPr>
          <w:noProof/>
        </w:rPr>
        <w:fldChar w:fldCharType="end"/>
      </w:r>
    </w:p>
    <w:p w14:paraId="56B0C0D2" w14:textId="27770A6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Emission Limits and Standards</w:t>
      </w:r>
      <w:r w:rsidRPr="00302323">
        <w:rPr>
          <w:sz w:val="22"/>
          <w:szCs w:val="22"/>
        </w:rPr>
        <w:tab/>
      </w:r>
      <w:r w:rsidRPr="00302323">
        <w:rPr>
          <w:sz w:val="22"/>
          <w:szCs w:val="22"/>
        </w:rPr>
        <w:fldChar w:fldCharType="begin"/>
      </w:r>
      <w:r w:rsidRPr="00302323">
        <w:rPr>
          <w:sz w:val="22"/>
          <w:szCs w:val="22"/>
        </w:rPr>
        <w:instrText xml:space="preserve"> PAGEREF _Toc228879229 \h </w:instrText>
      </w:r>
      <w:r w:rsidRPr="00302323">
        <w:rPr>
          <w:sz w:val="22"/>
          <w:szCs w:val="22"/>
        </w:rPr>
      </w:r>
      <w:r w:rsidRPr="00302323">
        <w:rPr>
          <w:sz w:val="22"/>
          <w:szCs w:val="22"/>
        </w:rPr>
        <w:fldChar w:fldCharType="separate"/>
      </w:r>
      <w:r w:rsidRPr="00302323">
        <w:rPr>
          <w:sz w:val="22"/>
          <w:szCs w:val="22"/>
        </w:rPr>
        <w:t>10</w:t>
      </w:r>
      <w:r w:rsidRPr="00302323">
        <w:rPr>
          <w:sz w:val="22"/>
          <w:szCs w:val="22"/>
        </w:rPr>
        <w:fldChar w:fldCharType="end"/>
      </w:r>
    </w:p>
    <w:p w14:paraId="55E223BC" w14:textId="72F3BD6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Monitoring Requirements</w:t>
      </w:r>
      <w:r w:rsidRPr="00302323">
        <w:rPr>
          <w:sz w:val="22"/>
          <w:szCs w:val="22"/>
        </w:rPr>
        <w:tab/>
      </w:r>
      <w:r w:rsidRPr="00302323">
        <w:rPr>
          <w:sz w:val="22"/>
          <w:szCs w:val="22"/>
        </w:rPr>
        <w:fldChar w:fldCharType="begin"/>
      </w:r>
      <w:r w:rsidRPr="00302323">
        <w:rPr>
          <w:sz w:val="22"/>
          <w:szCs w:val="22"/>
        </w:rPr>
        <w:instrText xml:space="preserve"> PAGEREF _Toc228879230 \h </w:instrText>
      </w:r>
      <w:r w:rsidRPr="00302323">
        <w:rPr>
          <w:sz w:val="22"/>
          <w:szCs w:val="22"/>
        </w:rPr>
      </w:r>
      <w:r w:rsidRPr="00302323">
        <w:rPr>
          <w:sz w:val="22"/>
          <w:szCs w:val="22"/>
        </w:rPr>
        <w:fldChar w:fldCharType="separate"/>
      </w:r>
      <w:r w:rsidRPr="00302323">
        <w:rPr>
          <w:sz w:val="22"/>
          <w:szCs w:val="22"/>
        </w:rPr>
        <w:t>10</w:t>
      </w:r>
      <w:r w:rsidRPr="00302323">
        <w:rPr>
          <w:sz w:val="22"/>
          <w:szCs w:val="22"/>
        </w:rPr>
        <w:fldChar w:fldCharType="end"/>
      </w:r>
    </w:p>
    <w:p w14:paraId="5F81CF44" w14:textId="5E1B9FB9"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Test Methods and Procedures</w:t>
      </w:r>
      <w:r w:rsidRPr="00302323">
        <w:rPr>
          <w:sz w:val="22"/>
          <w:szCs w:val="22"/>
        </w:rPr>
        <w:tab/>
      </w:r>
      <w:r w:rsidRPr="00302323">
        <w:rPr>
          <w:sz w:val="22"/>
          <w:szCs w:val="22"/>
        </w:rPr>
        <w:fldChar w:fldCharType="begin"/>
      </w:r>
      <w:r w:rsidRPr="00302323">
        <w:rPr>
          <w:sz w:val="22"/>
          <w:szCs w:val="22"/>
        </w:rPr>
        <w:instrText xml:space="preserve"> PAGEREF _Toc228879231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11F95A18" w14:textId="68AAF0C7"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D.</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Recordkeeping Requirements</w:t>
      </w:r>
      <w:r w:rsidRPr="00302323">
        <w:rPr>
          <w:sz w:val="22"/>
          <w:szCs w:val="22"/>
        </w:rPr>
        <w:tab/>
      </w:r>
      <w:r w:rsidRPr="00302323">
        <w:rPr>
          <w:sz w:val="22"/>
          <w:szCs w:val="22"/>
        </w:rPr>
        <w:fldChar w:fldCharType="begin"/>
      </w:r>
      <w:r w:rsidRPr="00302323">
        <w:rPr>
          <w:sz w:val="22"/>
          <w:szCs w:val="22"/>
        </w:rPr>
        <w:instrText xml:space="preserve"> PAGEREF _Toc228879232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2601FDE6" w14:textId="44328B7A"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E.</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Reporting Requirements</w:t>
      </w:r>
      <w:r w:rsidRPr="00302323">
        <w:rPr>
          <w:sz w:val="22"/>
          <w:szCs w:val="22"/>
        </w:rPr>
        <w:tab/>
      </w:r>
      <w:r w:rsidRPr="00302323">
        <w:rPr>
          <w:sz w:val="22"/>
          <w:szCs w:val="22"/>
        </w:rPr>
        <w:fldChar w:fldCharType="begin"/>
      </w:r>
      <w:r w:rsidRPr="00302323">
        <w:rPr>
          <w:sz w:val="22"/>
          <w:szCs w:val="22"/>
        </w:rPr>
        <w:instrText xml:space="preserve"> PAGEREF _Toc228879233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3576165B" w14:textId="23B43671"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F.</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Public Notice</w:t>
      </w:r>
      <w:r w:rsidRPr="00302323">
        <w:rPr>
          <w:sz w:val="22"/>
          <w:szCs w:val="22"/>
        </w:rPr>
        <w:tab/>
      </w:r>
      <w:r w:rsidRPr="00302323">
        <w:rPr>
          <w:sz w:val="22"/>
          <w:szCs w:val="22"/>
        </w:rPr>
        <w:fldChar w:fldCharType="begin"/>
      </w:r>
      <w:r w:rsidRPr="00302323">
        <w:rPr>
          <w:sz w:val="22"/>
          <w:szCs w:val="22"/>
        </w:rPr>
        <w:instrText xml:space="preserve"> PAGEREF _Toc228879234 \h </w:instrText>
      </w:r>
      <w:r w:rsidRPr="00302323">
        <w:rPr>
          <w:sz w:val="22"/>
          <w:szCs w:val="22"/>
        </w:rPr>
      </w:r>
      <w:r w:rsidRPr="00302323">
        <w:rPr>
          <w:sz w:val="22"/>
          <w:szCs w:val="22"/>
        </w:rPr>
        <w:fldChar w:fldCharType="separate"/>
      </w:r>
      <w:r w:rsidRPr="00302323">
        <w:rPr>
          <w:sz w:val="22"/>
          <w:szCs w:val="22"/>
        </w:rPr>
        <w:t>11</w:t>
      </w:r>
      <w:r w:rsidRPr="00302323">
        <w:rPr>
          <w:sz w:val="22"/>
          <w:szCs w:val="22"/>
        </w:rPr>
        <w:fldChar w:fldCharType="end"/>
      </w:r>
    </w:p>
    <w:p w14:paraId="0E446493" w14:textId="3A94FDF9" w:rsidR="00302323" w:rsidRPr="00302323" w:rsidRDefault="00302323" w:rsidP="008854A4">
      <w:pPr>
        <w:pStyle w:val="TOC1"/>
        <w:rPr>
          <w:rFonts w:asciiTheme="minorHAnsi" w:eastAsiaTheme="minorEastAsia" w:hAnsiTheme="minorHAnsi" w:cstheme="minorBidi"/>
          <w:noProof/>
          <w:kern w:val="2"/>
          <w:sz w:val="28"/>
          <w:szCs w:val="28"/>
        </w:rPr>
      </w:pPr>
      <w:r w:rsidRPr="00302323">
        <w:rPr>
          <w:noProof/>
        </w:rPr>
        <w:t>SECTION IV. NON-APPLICABLE REQUIREMENT ANALYSIS</w:t>
      </w:r>
      <w:r w:rsidRPr="00302323">
        <w:rPr>
          <w:noProof/>
        </w:rPr>
        <w:tab/>
      </w:r>
      <w:r w:rsidRPr="00302323">
        <w:rPr>
          <w:noProof/>
        </w:rPr>
        <w:fldChar w:fldCharType="begin"/>
      </w:r>
      <w:r w:rsidRPr="00302323">
        <w:rPr>
          <w:noProof/>
        </w:rPr>
        <w:instrText xml:space="preserve"> PAGEREF _Toc228879235 \h </w:instrText>
      </w:r>
      <w:r w:rsidRPr="00302323">
        <w:rPr>
          <w:noProof/>
        </w:rPr>
      </w:r>
      <w:r w:rsidRPr="00302323">
        <w:rPr>
          <w:noProof/>
        </w:rPr>
        <w:fldChar w:fldCharType="separate"/>
      </w:r>
      <w:r w:rsidRPr="00302323">
        <w:rPr>
          <w:noProof/>
        </w:rPr>
        <w:t>13</w:t>
      </w:r>
      <w:r w:rsidRPr="00302323">
        <w:rPr>
          <w:noProof/>
        </w:rPr>
        <w:fldChar w:fldCharType="end"/>
      </w:r>
    </w:p>
    <w:p w14:paraId="70D301C3" w14:textId="2DD5AD5B" w:rsidR="00302323" w:rsidRPr="00302323" w:rsidRDefault="00302323" w:rsidP="008854A4">
      <w:pPr>
        <w:pStyle w:val="TOC1"/>
        <w:rPr>
          <w:rFonts w:asciiTheme="minorHAnsi" w:eastAsiaTheme="minorEastAsia" w:hAnsiTheme="minorHAnsi" w:cstheme="minorBidi"/>
          <w:noProof/>
          <w:kern w:val="2"/>
          <w:sz w:val="28"/>
          <w:szCs w:val="28"/>
        </w:rPr>
      </w:pPr>
      <w:r w:rsidRPr="00302323">
        <w:rPr>
          <w:noProof/>
        </w:rPr>
        <w:t>SECTION V. FUTURE PERMIT CONSIDERATIONS</w:t>
      </w:r>
      <w:r w:rsidRPr="00302323">
        <w:rPr>
          <w:noProof/>
        </w:rPr>
        <w:tab/>
      </w:r>
      <w:r w:rsidRPr="00302323">
        <w:rPr>
          <w:noProof/>
        </w:rPr>
        <w:fldChar w:fldCharType="begin"/>
      </w:r>
      <w:r w:rsidRPr="00302323">
        <w:rPr>
          <w:noProof/>
        </w:rPr>
        <w:instrText xml:space="preserve"> PAGEREF _Toc228879236 \h </w:instrText>
      </w:r>
      <w:r w:rsidRPr="00302323">
        <w:rPr>
          <w:noProof/>
        </w:rPr>
      </w:r>
      <w:r w:rsidRPr="00302323">
        <w:rPr>
          <w:noProof/>
        </w:rPr>
        <w:fldChar w:fldCharType="separate"/>
      </w:r>
      <w:r w:rsidRPr="00302323">
        <w:rPr>
          <w:noProof/>
        </w:rPr>
        <w:t>14</w:t>
      </w:r>
      <w:r w:rsidRPr="00302323">
        <w:rPr>
          <w:noProof/>
        </w:rPr>
        <w:fldChar w:fldCharType="end"/>
      </w:r>
    </w:p>
    <w:p w14:paraId="69F7960A" w14:textId="2DEBACD3"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A.</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MACT Standards</w:t>
      </w:r>
      <w:r w:rsidRPr="00302323">
        <w:rPr>
          <w:sz w:val="22"/>
          <w:szCs w:val="22"/>
        </w:rPr>
        <w:tab/>
      </w:r>
      <w:r w:rsidRPr="00302323">
        <w:rPr>
          <w:sz w:val="22"/>
          <w:szCs w:val="22"/>
        </w:rPr>
        <w:fldChar w:fldCharType="begin"/>
      </w:r>
      <w:r w:rsidRPr="00302323">
        <w:rPr>
          <w:sz w:val="22"/>
          <w:szCs w:val="22"/>
        </w:rPr>
        <w:instrText xml:space="preserve"> PAGEREF _Toc228879237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5A43F5BE" w14:textId="6F2110DD"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B.</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NESHAP Standards</w:t>
      </w:r>
      <w:r w:rsidRPr="00302323">
        <w:rPr>
          <w:sz w:val="22"/>
          <w:szCs w:val="22"/>
        </w:rPr>
        <w:tab/>
      </w:r>
      <w:r w:rsidRPr="00302323">
        <w:rPr>
          <w:sz w:val="22"/>
          <w:szCs w:val="22"/>
        </w:rPr>
        <w:fldChar w:fldCharType="begin"/>
      </w:r>
      <w:r w:rsidRPr="00302323">
        <w:rPr>
          <w:sz w:val="22"/>
          <w:szCs w:val="22"/>
        </w:rPr>
        <w:instrText xml:space="preserve"> PAGEREF _Toc228879238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7C375A61" w14:textId="6B48581B"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C.</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NSPS Standards</w:t>
      </w:r>
      <w:r w:rsidRPr="00302323">
        <w:rPr>
          <w:sz w:val="22"/>
          <w:szCs w:val="22"/>
        </w:rPr>
        <w:tab/>
      </w:r>
      <w:r w:rsidRPr="00302323">
        <w:rPr>
          <w:sz w:val="22"/>
          <w:szCs w:val="22"/>
        </w:rPr>
        <w:fldChar w:fldCharType="begin"/>
      </w:r>
      <w:r w:rsidRPr="00302323">
        <w:rPr>
          <w:sz w:val="22"/>
          <w:szCs w:val="22"/>
        </w:rPr>
        <w:instrText xml:space="preserve"> PAGEREF _Toc228879239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72932BB4" w14:textId="42563516"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D.</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Risk Management Plan</w:t>
      </w:r>
      <w:r w:rsidRPr="00302323">
        <w:rPr>
          <w:sz w:val="22"/>
          <w:szCs w:val="22"/>
        </w:rPr>
        <w:tab/>
      </w:r>
      <w:r w:rsidRPr="00302323">
        <w:rPr>
          <w:sz w:val="22"/>
          <w:szCs w:val="22"/>
        </w:rPr>
        <w:fldChar w:fldCharType="begin"/>
      </w:r>
      <w:r w:rsidRPr="00302323">
        <w:rPr>
          <w:sz w:val="22"/>
          <w:szCs w:val="22"/>
        </w:rPr>
        <w:instrText xml:space="preserve"> PAGEREF _Toc228879240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13008AF6" w14:textId="188D0B41"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E.</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CAM Applicability</w:t>
      </w:r>
      <w:r w:rsidRPr="00302323">
        <w:rPr>
          <w:sz w:val="22"/>
          <w:szCs w:val="22"/>
        </w:rPr>
        <w:tab/>
      </w:r>
      <w:r w:rsidRPr="00302323">
        <w:rPr>
          <w:sz w:val="22"/>
          <w:szCs w:val="22"/>
        </w:rPr>
        <w:fldChar w:fldCharType="begin"/>
      </w:r>
      <w:r w:rsidRPr="00302323">
        <w:rPr>
          <w:sz w:val="22"/>
          <w:szCs w:val="22"/>
        </w:rPr>
        <w:instrText xml:space="preserve"> PAGEREF _Toc228879241 \h </w:instrText>
      </w:r>
      <w:r w:rsidRPr="00302323">
        <w:rPr>
          <w:sz w:val="22"/>
          <w:szCs w:val="22"/>
        </w:rPr>
      </w:r>
      <w:r w:rsidRPr="00302323">
        <w:rPr>
          <w:sz w:val="22"/>
          <w:szCs w:val="22"/>
        </w:rPr>
        <w:fldChar w:fldCharType="separate"/>
      </w:r>
      <w:r w:rsidRPr="00302323">
        <w:rPr>
          <w:sz w:val="22"/>
          <w:szCs w:val="22"/>
        </w:rPr>
        <w:t>14</w:t>
      </w:r>
      <w:r w:rsidRPr="00302323">
        <w:rPr>
          <w:sz w:val="22"/>
          <w:szCs w:val="22"/>
        </w:rPr>
        <w:fldChar w:fldCharType="end"/>
      </w:r>
    </w:p>
    <w:p w14:paraId="16DFA881" w14:textId="6815B1A3" w:rsidR="00302323" w:rsidRPr="00302323" w:rsidRDefault="00302323">
      <w:pPr>
        <w:pStyle w:val="TOC2"/>
        <w:rPr>
          <w:rFonts w:asciiTheme="minorHAnsi" w:eastAsiaTheme="minorEastAsia" w:hAnsiTheme="minorHAnsi" w:cstheme="minorBidi"/>
          <w:smallCaps w:val="0"/>
          <w:kern w:val="2"/>
          <w:sz w:val="28"/>
          <w:szCs w:val="28"/>
        </w:rPr>
      </w:pPr>
      <w:r w:rsidRPr="00302323">
        <w:rPr>
          <w:rFonts w:ascii="Garamond" w:hAnsi="Garamond"/>
          <w:b/>
          <w:bCs/>
          <w:sz w:val="22"/>
          <w:szCs w:val="22"/>
        </w:rPr>
        <w:t>F.</w:t>
      </w:r>
      <w:r w:rsidRPr="00302323">
        <w:rPr>
          <w:rFonts w:asciiTheme="minorHAnsi" w:eastAsiaTheme="minorEastAsia" w:hAnsiTheme="minorHAnsi" w:cstheme="minorBidi"/>
          <w:smallCaps w:val="0"/>
          <w:kern w:val="2"/>
          <w:sz w:val="28"/>
          <w:szCs w:val="28"/>
        </w:rPr>
        <w:tab/>
      </w:r>
      <w:r w:rsidRPr="00302323">
        <w:rPr>
          <w:rFonts w:ascii="Garamond" w:hAnsi="Garamond"/>
          <w:b/>
          <w:bCs/>
          <w:sz w:val="22"/>
          <w:szCs w:val="22"/>
        </w:rPr>
        <w:t>Prevention of Significant Deterioration (PSD) and Title V Greenhouse Gas Tailoring Rule</w:t>
      </w:r>
      <w:r w:rsidRPr="00302323">
        <w:rPr>
          <w:sz w:val="22"/>
          <w:szCs w:val="22"/>
        </w:rPr>
        <w:tab/>
      </w:r>
      <w:r w:rsidRPr="00302323">
        <w:rPr>
          <w:sz w:val="22"/>
          <w:szCs w:val="22"/>
        </w:rPr>
        <w:fldChar w:fldCharType="begin"/>
      </w:r>
      <w:r w:rsidRPr="00302323">
        <w:rPr>
          <w:sz w:val="22"/>
          <w:szCs w:val="22"/>
        </w:rPr>
        <w:instrText xml:space="preserve"> PAGEREF _Toc228879242 \h </w:instrText>
      </w:r>
      <w:r w:rsidRPr="00302323">
        <w:rPr>
          <w:sz w:val="22"/>
          <w:szCs w:val="22"/>
        </w:rPr>
      </w:r>
      <w:r w:rsidRPr="00302323">
        <w:rPr>
          <w:sz w:val="22"/>
          <w:szCs w:val="22"/>
        </w:rPr>
        <w:fldChar w:fldCharType="separate"/>
      </w:r>
      <w:r w:rsidRPr="00302323">
        <w:rPr>
          <w:sz w:val="22"/>
          <w:szCs w:val="22"/>
        </w:rPr>
        <w:t>15</w:t>
      </w:r>
      <w:r w:rsidRPr="00302323">
        <w:rPr>
          <w:sz w:val="22"/>
          <w:szCs w:val="22"/>
        </w:rPr>
        <w:fldChar w:fldCharType="end"/>
      </w:r>
    </w:p>
    <w:p w14:paraId="64E4DB0B" w14:textId="1D502BFD" w:rsidR="001057A0" w:rsidRPr="00302323" w:rsidRDefault="001057A0" w:rsidP="001057A0">
      <w:pPr>
        <w:pStyle w:val="Header"/>
        <w:tabs>
          <w:tab w:val="left" w:pos="720"/>
        </w:tabs>
        <w:rPr>
          <w:rFonts w:ascii="Garamond" w:hAnsi="Garamond"/>
          <w:sz w:val="28"/>
          <w:szCs w:val="28"/>
        </w:rPr>
      </w:pPr>
      <w:r w:rsidRPr="00302323">
        <w:rPr>
          <w:rFonts w:ascii="Garamond" w:hAnsi="Garamond"/>
          <w:sz w:val="28"/>
          <w:szCs w:val="28"/>
        </w:rPr>
        <w:fldChar w:fldCharType="end"/>
      </w:r>
    </w:p>
    <w:p w14:paraId="3AB424DD" w14:textId="77777777" w:rsidR="001057A0" w:rsidRDefault="001057A0" w:rsidP="001057A0">
      <w:pPr>
        <w:rPr>
          <w:rFonts w:ascii="Garamond" w:hAnsi="Garamond"/>
          <w:sz w:val="24"/>
          <w:szCs w:val="24"/>
        </w:rPr>
      </w:pPr>
    </w:p>
    <w:p w14:paraId="2BF71365" w14:textId="77777777" w:rsidR="001057A0" w:rsidRDefault="001057A0" w:rsidP="001057A0">
      <w:pPr>
        <w:rPr>
          <w:rFonts w:ascii="Garamond" w:hAnsi="Garamond"/>
          <w:sz w:val="24"/>
          <w:szCs w:val="24"/>
        </w:rPr>
      </w:pPr>
    </w:p>
    <w:p w14:paraId="334ED165" w14:textId="79DA9EE8" w:rsidR="001057A0" w:rsidRPr="000C644B" w:rsidRDefault="001057A0" w:rsidP="00511D5C">
      <w:pPr>
        <w:pStyle w:val="Heading1"/>
        <w:jc w:val="center"/>
      </w:pPr>
      <w:r>
        <w:br w:type="page"/>
      </w:r>
      <w:bookmarkStart w:id="0" w:name="_Toc228879217"/>
      <w:r w:rsidR="000C644B" w:rsidRPr="00511D5C">
        <w:rPr>
          <w:rFonts w:ascii="Garamond" w:hAnsi="Garamond"/>
          <w:b/>
          <w:bCs/>
          <w:color w:val="auto"/>
          <w:sz w:val="24"/>
          <w:szCs w:val="24"/>
        </w:rPr>
        <w:lastRenderedPageBreak/>
        <w:t>SECTION I.</w:t>
      </w:r>
      <w:r w:rsidRPr="00511D5C">
        <w:rPr>
          <w:rFonts w:ascii="Garamond" w:hAnsi="Garamond"/>
          <w:b/>
          <w:bCs/>
          <w:color w:val="auto"/>
          <w:sz w:val="24"/>
          <w:szCs w:val="24"/>
        </w:rPr>
        <w:t xml:space="preserve"> GENERAL INFORMATION</w:t>
      </w:r>
      <w:bookmarkEnd w:id="0"/>
    </w:p>
    <w:p w14:paraId="71C3DBE4" w14:textId="77777777" w:rsidR="001057A0" w:rsidRPr="000C644B" w:rsidRDefault="001057A0" w:rsidP="001057A0">
      <w:pPr>
        <w:rPr>
          <w:rFonts w:ascii="Garamond" w:hAnsi="Garamond"/>
          <w:b/>
          <w:bCs/>
          <w:sz w:val="24"/>
          <w:szCs w:val="24"/>
        </w:rPr>
      </w:pPr>
    </w:p>
    <w:p w14:paraId="01D7AF9F" w14:textId="2E7E1F15"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1" w:name="_Toc228879218"/>
      <w:r w:rsidRPr="000C644B">
        <w:rPr>
          <w:rFonts w:ascii="Garamond" w:hAnsi="Garamond"/>
          <w:b/>
          <w:bCs/>
          <w:color w:val="auto"/>
          <w:sz w:val="24"/>
          <w:szCs w:val="24"/>
        </w:rPr>
        <w:t>Purpose</w:t>
      </w:r>
      <w:bookmarkEnd w:id="1"/>
    </w:p>
    <w:p w14:paraId="4A79088E" w14:textId="77777777" w:rsidR="001057A0" w:rsidRDefault="001057A0" w:rsidP="001057A0">
      <w:pPr>
        <w:rPr>
          <w:rFonts w:ascii="Garamond" w:hAnsi="Garamond"/>
          <w:sz w:val="24"/>
          <w:szCs w:val="24"/>
        </w:rPr>
      </w:pPr>
    </w:p>
    <w:p w14:paraId="204A065C" w14:textId="69CD0EC5" w:rsidR="001057A0" w:rsidRDefault="001057A0" w:rsidP="001057A0">
      <w:pPr>
        <w:ind w:left="360"/>
        <w:rPr>
          <w:rFonts w:ascii="Garamond" w:hAnsi="Garamond"/>
          <w:sz w:val="24"/>
          <w:szCs w:val="24"/>
        </w:rPr>
      </w:pPr>
      <w:r>
        <w:rPr>
          <w:rFonts w:ascii="Garamond" w:hAnsi="Garamond"/>
          <w:sz w:val="24"/>
          <w:szCs w:val="24"/>
        </w:rPr>
        <w:t>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original application submitted by Northern Border Pipeline Company (NBPL) on February 11, 1997; and additional submissions on February 15, 2001; October 9, 2001; February 3, 2003; October 17, 2003; March 11, 2003; December 6, 2004; April 9, 2007; March 25, 2009; May 5, 2009, March 29, 2011; and March 7, 2012 and October 8, 2020;  administrative amendment request received January 20, 2022</w:t>
      </w:r>
      <w:r w:rsidR="00F44A3E">
        <w:rPr>
          <w:rFonts w:ascii="Garamond" w:hAnsi="Garamond"/>
          <w:sz w:val="24"/>
          <w:szCs w:val="24"/>
        </w:rPr>
        <w:t>, and an administrative amendment request received February 15, 2024</w:t>
      </w:r>
      <w:r>
        <w:rPr>
          <w:rFonts w:ascii="Garamond" w:hAnsi="Garamond"/>
          <w:sz w:val="24"/>
          <w:szCs w:val="24"/>
        </w:rPr>
        <w:t>.</w:t>
      </w:r>
    </w:p>
    <w:p w14:paraId="52E2A893" w14:textId="77777777" w:rsidR="001057A0" w:rsidRDefault="001057A0" w:rsidP="001057A0">
      <w:pPr>
        <w:ind w:left="360"/>
        <w:rPr>
          <w:rFonts w:ascii="Garamond" w:hAnsi="Garamond"/>
          <w:sz w:val="24"/>
          <w:szCs w:val="24"/>
        </w:rPr>
      </w:pPr>
    </w:p>
    <w:p w14:paraId="5C69EF3C" w14:textId="7AE115EE"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2" w:name="_Toc228879219"/>
      <w:r w:rsidRPr="000C644B">
        <w:rPr>
          <w:rFonts w:ascii="Garamond" w:hAnsi="Garamond"/>
          <w:b/>
          <w:bCs/>
          <w:color w:val="auto"/>
          <w:sz w:val="24"/>
          <w:szCs w:val="24"/>
        </w:rPr>
        <w:t>Facility Location</w:t>
      </w:r>
      <w:bookmarkEnd w:id="2"/>
    </w:p>
    <w:p w14:paraId="670BB6D9" w14:textId="77777777" w:rsidR="001057A0" w:rsidRDefault="001057A0" w:rsidP="001057A0">
      <w:pPr>
        <w:rPr>
          <w:rFonts w:ascii="Garamond" w:hAnsi="Garamond"/>
          <w:sz w:val="24"/>
          <w:szCs w:val="24"/>
        </w:rPr>
      </w:pPr>
    </w:p>
    <w:p w14:paraId="47728BCE" w14:textId="41CB603D" w:rsidR="001057A0" w:rsidRDefault="001057A0" w:rsidP="001057A0">
      <w:pPr>
        <w:ind w:left="360"/>
        <w:rPr>
          <w:rFonts w:ascii="Garamond" w:hAnsi="Garamond"/>
          <w:sz w:val="24"/>
          <w:szCs w:val="24"/>
        </w:rPr>
      </w:pPr>
      <w:r>
        <w:rPr>
          <w:rFonts w:ascii="Garamond" w:hAnsi="Garamond"/>
          <w:sz w:val="24"/>
          <w:szCs w:val="24"/>
        </w:rPr>
        <w:t xml:space="preserve">NBPL owns and operates </w:t>
      </w:r>
      <w:r w:rsidR="001254DD">
        <w:rPr>
          <w:rFonts w:ascii="Garamond" w:hAnsi="Garamond"/>
          <w:sz w:val="24"/>
          <w:szCs w:val="24"/>
        </w:rPr>
        <w:t>Compressor</w:t>
      </w:r>
      <w:r>
        <w:rPr>
          <w:rFonts w:ascii="Garamond" w:hAnsi="Garamond"/>
          <w:sz w:val="24"/>
          <w:szCs w:val="24"/>
        </w:rPr>
        <w:t xml:space="preserve"> Station No. 1.  This facility is located at NE¼ of SE¼ of Section 12, Township 33 North, Range 38 East, in Valley County, Montana.  This site is approximately 28 miles north of Glasgow Montana.  Compressor Station No. 1 is located near Buggy Creek, in gently rolling terrain, about 42.5 miles northeast of Forsman Reservoir.  From the intersection of Highway 2 and 24, travel north on Highway 24 to mile marker #34.  Turn left (west) on the county road and travel 11 miles.  Then turn southwest, the site is on the left approximately 5 miles.  The total property area covered by this facility is 40 acres.  Valley County is designated as an Unclassifiable/Attainment area for National Ambient Air Quality Standards (NAAQS) for all criteria pollutants.</w:t>
      </w:r>
    </w:p>
    <w:p w14:paraId="106A4A09" w14:textId="77777777" w:rsidR="001057A0" w:rsidRDefault="001057A0" w:rsidP="001057A0">
      <w:pPr>
        <w:rPr>
          <w:rFonts w:ascii="Garamond" w:hAnsi="Garamond"/>
          <w:sz w:val="24"/>
          <w:szCs w:val="24"/>
          <w:highlight w:val="yellow"/>
        </w:rPr>
      </w:pPr>
    </w:p>
    <w:p w14:paraId="58A6F9D5" w14:textId="36671B2F"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3" w:name="_Toc228879220"/>
      <w:r w:rsidRPr="000C644B">
        <w:rPr>
          <w:rFonts w:ascii="Garamond" w:hAnsi="Garamond"/>
          <w:b/>
          <w:bCs/>
          <w:color w:val="auto"/>
          <w:sz w:val="24"/>
          <w:szCs w:val="24"/>
        </w:rPr>
        <w:t>Facility Background Information</w:t>
      </w:r>
      <w:bookmarkEnd w:id="3"/>
      <w:r w:rsidRPr="000C644B">
        <w:rPr>
          <w:rFonts w:ascii="Garamond" w:hAnsi="Garamond"/>
          <w:b/>
          <w:bCs/>
          <w:color w:val="auto"/>
          <w:sz w:val="24"/>
          <w:szCs w:val="24"/>
        </w:rPr>
        <w:t xml:space="preserve"> </w:t>
      </w:r>
    </w:p>
    <w:p w14:paraId="18CB53EC" w14:textId="77777777" w:rsidR="001057A0" w:rsidRDefault="001057A0" w:rsidP="001057A0">
      <w:pPr>
        <w:rPr>
          <w:rFonts w:ascii="Garamond" w:hAnsi="Garamond"/>
          <w:sz w:val="24"/>
          <w:szCs w:val="24"/>
        </w:rPr>
      </w:pPr>
    </w:p>
    <w:p w14:paraId="4B5F3BA8" w14:textId="77777777" w:rsidR="001057A0" w:rsidRPr="000C644B" w:rsidRDefault="001057A0" w:rsidP="001057A0">
      <w:pPr>
        <w:pStyle w:val="Heading5"/>
        <w:tabs>
          <w:tab w:val="left" w:pos="720"/>
        </w:tabs>
        <w:ind w:left="504" w:hanging="144"/>
        <w:rPr>
          <w:rFonts w:ascii="Garamond" w:hAnsi="Garamond"/>
          <w:bCs/>
          <w:color w:val="auto"/>
          <w:sz w:val="24"/>
          <w:szCs w:val="24"/>
          <w:u w:val="single"/>
        </w:rPr>
      </w:pPr>
      <w:r w:rsidRPr="000C644B">
        <w:rPr>
          <w:rFonts w:ascii="Garamond" w:hAnsi="Garamond"/>
          <w:bCs/>
          <w:color w:val="auto"/>
          <w:sz w:val="24"/>
          <w:szCs w:val="24"/>
          <w:u w:val="single"/>
        </w:rPr>
        <w:t xml:space="preserve">Montana Air Quality Permit History </w:t>
      </w:r>
    </w:p>
    <w:p w14:paraId="1F807B58" w14:textId="77777777" w:rsidR="001057A0" w:rsidRDefault="001057A0" w:rsidP="001057A0">
      <w:pPr>
        <w:rPr>
          <w:rFonts w:ascii="Garamond" w:hAnsi="Garamond"/>
          <w:sz w:val="24"/>
          <w:szCs w:val="24"/>
        </w:rPr>
      </w:pPr>
    </w:p>
    <w:p w14:paraId="1F08943F" w14:textId="77777777" w:rsidR="001057A0" w:rsidRDefault="001057A0" w:rsidP="001057A0">
      <w:pPr>
        <w:ind w:left="360"/>
        <w:rPr>
          <w:rFonts w:ascii="Garamond" w:hAnsi="Garamond"/>
          <w:sz w:val="24"/>
          <w:szCs w:val="24"/>
        </w:rPr>
      </w:pPr>
      <w:r>
        <w:rPr>
          <w:rFonts w:ascii="Garamond" w:hAnsi="Garamond"/>
          <w:sz w:val="24"/>
          <w:szCs w:val="24"/>
        </w:rPr>
        <w:t xml:space="preserve">On December 23, 1996, NBPL submitted a complete permit application to construct and operate one 39,335-horsepower (hp) Cooper-Rolls natural gas turbine, one 300-kilowatt (kW) emergency backup generator engine, one 1.706-million British Thermal Unit per hour (MMBtu/hr) heating boiler, and one 15-kW emergency backup generator engine.  </w:t>
      </w:r>
      <w:r>
        <w:rPr>
          <w:rFonts w:ascii="Garamond" w:hAnsi="Garamond"/>
          <w:b/>
          <w:sz w:val="24"/>
          <w:szCs w:val="24"/>
        </w:rPr>
        <w:t>Montana Air Quality Permit (MAQP) #2979-00</w:t>
      </w:r>
      <w:r>
        <w:rPr>
          <w:rFonts w:ascii="Garamond" w:hAnsi="Garamond"/>
          <w:sz w:val="24"/>
          <w:szCs w:val="24"/>
        </w:rPr>
        <w:t xml:space="preserve"> became final on March 30, 1997. </w:t>
      </w:r>
    </w:p>
    <w:p w14:paraId="272BEDFC" w14:textId="77777777" w:rsidR="001057A0" w:rsidRDefault="001057A0" w:rsidP="001057A0">
      <w:pPr>
        <w:ind w:left="360"/>
        <w:rPr>
          <w:rFonts w:ascii="Garamond" w:hAnsi="Garamond"/>
          <w:sz w:val="24"/>
          <w:szCs w:val="24"/>
        </w:rPr>
      </w:pPr>
    </w:p>
    <w:p w14:paraId="5B559FC2" w14:textId="77777777" w:rsidR="001057A0" w:rsidRDefault="001057A0" w:rsidP="001057A0">
      <w:pPr>
        <w:ind w:left="360"/>
        <w:rPr>
          <w:rFonts w:ascii="Garamond" w:hAnsi="Garamond"/>
          <w:sz w:val="24"/>
          <w:szCs w:val="24"/>
        </w:rPr>
      </w:pPr>
      <w:r>
        <w:rPr>
          <w:rFonts w:ascii="Garamond" w:hAnsi="Garamond"/>
          <w:sz w:val="24"/>
          <w:szCs w:val="24"/>
        </w:rPr>
        <w:t xml:space="preserve">On May 13, 1998, NBPL requested that MAQP #2979-00 be modified to accurately reflect the emergency generator engine size of 245-kW.  Also, the monitoring requirement in Section II.B.2 was changed from “after issuance of MAQP #2979-00" to “after initial startup of the facility.”  MAQP #2979-01 became final on June 19, 1998.  </w:t>
      </w:r>
      <w:r>
        <w:rPr>
          <w:rFonts w:ascii="Garamond" w:hAnsi="Garamond"/>
          <w:b/>
          <w:sz w:val="24"/>
          <w:szCs w:val="24"/>
        </w:rPr>
        <w:t>MAQP #2979-01</w:t>
      </w:r>
      <w:r>
        <w:rPr>
          <w:rFonts w:ascii="Garamond" w:hAnsi="Garamond"/>
          <w:sz w:val="24"/>
          <w:szCs w:val="24"/>
        </w:rPr>
        <w:t xml:space="preserve"> replaced MAQP #2979-00. </w:t>
      </w:r>
    </w:p>
    <w:p w14:paraId="7EDEACB1" w14:textId="77777777" w:rsidR="001057A0" w:rsidRDefault="001057A0" w:rsidP="001057A0">
      <w:pPr>
        <w:ind w:left="360"/>
        <w:rPr>
          <w:rFonts w:ascii="Garamond" w:hAnsi="Garamond"/>
          <w:sz w:val="24"/>
          <w:szCs w:val="24"/>
        </w:rPr>
      </w:pPr>
    </w:p>
    <w:p w14:paraId="216C98C8" w14:textId="77777777" w:rsidR="001254DD" w:rsidRDefault="001057A0" w:rsidP="001057A0">
      <w:pPr>
        <w:ind w:left="360"/>
        <w:rPr>
          <w:rFonts w:ascii="Garamond" w:hAnsi="Garamond"/>
          <w:sz w:val="24"/>
          <w:szCs w:val="24"/>
        </w:rPr>
      </w:pPr>
      <w:r>
        <w:rPr>
          <w:rFonts w:ascii="Garamond" w:hAnsi="Garamond"/>
          <w:sz w:val="24"/>
          <w:szCs w:val="24"/>
        </w:rPr>
        <w:t>On April 16, 2004, the Department of Environmental Quality (</w:t>
      </w:r>
      <w:r w:rsidR="00BD1236">
        <w:rPr>
          <w:rFonts w:ascii="Garamond" w:hAnsi="Garamond"/>
          <w:sz w:val="24"/>
          <w:szCs w:val="24"/>
        </w:rPr>
        <w:t>DEQ</w:t>
      </w:r>
      <w:r>
        <w:rPr>
          <w:rFonts w:ascii="Garamond" w:hAnsi="Garamond"/>
          <w:sz w:val="24"/>
          <w:szCs w:val="24"/>
        </w:rPr>
        <w:t>) received a complete MAQP application from NBPL for changes to MAQP #2979-01.  The changes included a modification to the original oxides of nitrogen (NO</w:t>
      </w:r>
      <w:r>
        <w:rPr>
          <w:rFonts w:ascii="Garamond" w:hAnsi="Garamond"/>
          <w:sz w:val="24"/>
          <w:szCs w:val="24"/>
          <w:vertAlign w:val="subscript"/>
        </w:rPr>
        <w:t>x</w:t>
      </w:r>
      <w:r>
        <w:rPr>
          <w:rFonts w:ascii="Garamond" w:hAnsi="Garamond"/>
          <w:sz w:val="24"/>
          <w:szCs w:val="24"/>
        </w:rPr>
        <w:t xml:space="preserve">) Best Available Control Technology (BACT) determination by the </w:t>
      </w:r>
      <w:r w:rsidR="00BD1236">
        <w:rPr>
          <w:rFonts w:ascii="Garamond" w:hAnsi="Garamond"/>
          <w:sz w:val="24"/>
          <w:szCs w:val="24"/>
        </w:rPr>
        <w:t>DEQ</w:t>
      </w:r>
      <w:r>
        <w:rPr>
          <w:rFonts w:ascii="Garamond" w:hAnsi="Garamond"/>
          <w:sz w:val="24"/>
          <w:szCs w:val="24"/>
        </w:rPr>
        <w:t xml:space="preserve">.  </w:t>
      </w:r>
    </w:p>
    <w:p w14:paraId="3F93ECA0" w14:textId="3237CAD2" w:rsidR="001057A0" w:rsidRDefault="001057A0" w:rsidP="001057A0">
      <w:pPr>
        <w:ind w:left="360"/>
        <w:rPr>
          <w:rFonts w:ascii="Garamond" w:hAnsi="Garamond"/>
          <w:sz w:val="24"/>
          <w:szCs w:val="24"/>
        </w:rPr>
      </w:pPr>
      <w:r>
        <w:rPr>
          <w:rFonts w:ascii="Garamond" w:hAnsi="Garamond"/>
          <w:sz w:val="24"/>
          <w:szCs w:val="24"/>
        </w:rPr>
        <w:lastRenderedPageBreak/>
        <w:t>NBPL Source #01 (39,335- hp natural gas turbine) was unable to operate the dry low NO</w:t>
      </w:r>
      <w:r>
        <w:rPr>
          <w:rFonts w:ascii="Garamond" w:hAnsi="Garamond"/>
          <w:sz w:val="24"/>
          <w:szCs w:val="24"/>
          <w:vertAlign w:val="subscript"/>
        </w:rPr>
        <w:t>x</w:t>
      </w:r>
      <w:r>
        <w:rPr>
          <w:rFonts w:ascii="Garamond" w:hAnsi="Garamond"/>
          <w:sz w:val="24"/>
          <w:szCs w:val="24"/>
        </w:rPr>
        <w:t xml:space="preserve"> combustion system (DLE), determined by the </w:t>
      </w:r>
      <w:r w:rsidR="00BD1236">
        <w:rPr>
          <w:rFonts w:ascii="Garamond" w:hAnsi="Garamond"/>
          <w:sz w:val="24"/>
          <w:szCs w:val="24"/>
        </w:rPr>
        <w:t>DEQ</w:t>
      </w:r>
      <w:r>
        <w:rPr>
          <w:rFonts w:ascii="Garamond" w:hAnsi="Garamond"/>
          <w:sz w:val="24"/>
          <w:szCs w:val="24"/>
        </w:rPr>
        <w:t xml:space="preserve"> to be BACT, every hour and at all conditions for which the turbine operates.  </w:t>
      </w:r>
    </w:p>
    <w:p w14:paraId="24645DB2" w14:textId="77777777" w:rsidR="001254DD" w:rsidRDefault="001254DD" w:rsidP="001057A0">
      <w:pPr>
        <w:ind w:left="360"/>
        <w:rPr>
          <w:rFonts w:ascii="Garamond" w:hAnsi="Garamond"/>
          <w:sz w:val="24"/>
          <w:szCs w:val="24"/>
        </w:rPr>
      </w:pPr>
    </w:p>
    <w:p w14:paraId="28E98660" w14:textId="77777777" w:rsidR="001057A0" w:rsidRDefault="001057A0" w:rsidP="001057A0">
      <w:pPr>
        <w:ind w:left="360"/>
        <w:rPr>
          <w:rFonts w:ascii="Garamond" w:hAnsi="Garamond"/>
          <w:sz w:val="24"/>
          <w:szCs w:val="24"/>
        </w:rPr>
      </w:pPr>
      <w:r>
        <w:rPr>
          <w:rFonts w:ascii="Garamond" w:hAnsi="Garamond"/>
          <w:sz w:val="24"/>
          <w:szCs w:val="24"/>
        </w:rPr>
        <w:t xml:space="preserve">The modification allowed NBPL to operate Source #01 up to 750 hours per year while the DLE was not in operation.  Reasons for non-DLE operation shall include only start-up and shutdown, when operation is required during downstream maintenance requirements, and operation during low ambient temperatures at the site. New carbon monoxide (CO) emission limits for Source #01 of 460 pounds per hour (lb/hr) when the ambient temperature is 20 degrees Fahrenheit (°F) or colder, 56 lb/hr when the ambient temperature is 20°F or warmer, and 109.5 tons per rolling 12-month time period replaced Section II.A.2 that limited the operation of Source #01 to running at 80% or greater load when the ambient temperature is below 5°F.  The new 109.5 tons per year CO limit would be made enforceable by monitoring a combination of ambient and turbine parameters.  Cooper-Rolls, the manufacturer of the turbine, will test the turbine under different operating scenarios to develop a correlation between the monitored parameters and CO emissions.  The 15-kW emergency generator has been removed from the facility.  </w:t>
      </w:r>
      <w:r>
        <w:rPr>
          <w:rFonts w:ascii="Garamond" w:hAnsi="Garamond"/>
          <w:b/>
          <w:sz w:val="24"/>
          <w:szCs w:val="24"/>
        </w:rPr>
        <w:t>MAQP #2979-02</w:t>
      </w:r>
      <w:r>
        <w:rPr>
          <w:rFonts w:ascii="Garamond" w:hAnsi="Garamond"/>
          <w:sz w:val="24"/>
          <w:szCs w:val="24"/>
        </w:rPr>
        <w:t xml:space="preserve"> replaced MAQP #2979-01.</w:t>
      </w:r>
    </w:p>
    <w:p w14:paraId="21D4D8F5" w14:textId="77777777" w:rsidR="001057A0" w:rsidRDefault="001057A0" w:rsidP="001057A0">
      <w:pPr>
        <w:ind w:left="360"/>
        <w:rPr>
          <w:rFonts w:ascii="Garamond" w:hAnsi="Garamond"/>
          <w:sz w:val="24"/>
          <w:szCs w:val="24"/>
        </w:rPr>
      </w:pPr>
    </w:p>
    <w:p w14:paraId="7D93FECD" w14:textId="008CFF84" w:rsidR="001057A0" w:rsidRDefault="001057A0" w:rsidP="001057A0">
      <w:pPr>
        <w:ind w:left="360"/>
        <w:rPr>
          <w:rFonts w:ascii="Garamond" w:hAnsi="Garamond"/>
          <w:sz w:val="24"/>
          <w:szCs w:val="24"/>
        </w:rPr>
      </w:pPr>
      <w:r>
        <w:rPr>
          <w:rFonts w:ascii="Garamond" w:hAnsi="Garamond"/>
          <w:sz w:val="24"/>
          <w:szCs w:val="24"/>
        </w:rPr>
        <w:t xml:space="preserve">On March 7, 2012, the </w:t>
      </w:r>
      <w:r w:rsidR="00BD1236">
        <w:rPr>
          <w:rFonts w:ascii="Garamond" w:hAnsi="Garamond"/>
          <w:sz w:val="24"/>
          <w:szCs w:val="24"/>
        </w:rPr>
        <w:t>DEQ</w:t>
      </w:r>
      <w:r>
        <w:rPr>
          <w:rFonts w:ascii="Garamond" w:hAnsi="Garamond"/>
          <w:sz w:val="24"/>
          <w:szCs w:val="24"/>
        </w:rPr>
        <w:t xml:space="preserve"> received a complete concurrent application from NBPL to increase the rolling 12-month CO emission limit in MAQP #2979-02 and Operating Permit #OP2979-11 for the natural gas compressor turbine (Source #01) to 162 tons per year.  The modification request did not represent a change in equipment or methods of operation, or a change in the BACT emission limits based on a lb/hr basis.  All of the existing BACT pollution control systems remain in place.  The previous rolling 12-month CO limit of 109.5 tons per year was established as a good-faith estimate of projected reasonable worst-case annual CO emissions based on turbine manufacturer calculations and projected ambient temperatures.  The updated 12-month rolling limit is based on historical emissions data gathered by the Continuous Calculated Emissions Monitoring System (CCEMS) that was put in place as a result of the previous permit action, average monthly temperatures, and projected average daily hp by month.  This permit action modified the 12-month rolling CO emission limit and updated the rule references and permit language to current </w:t>
      </w:r>
      <w:r w:rsidR="00BD1236">
        <w:rPr>
          <w:rFonts w:ascii="Garamond" w:hAnsi="Garamond"/>
          <w:sz w:val="24"/>
          <w:szCs w:val="24"/>
        </w:rPr>
        <w:t>DEQ</w:t>
      </w:r>
      <w:r>
        <w:rPr>
          <w:rFonts w:ascii="Garamond" w:hAnsi="Garamond"/>
          <w:sz w:val="24"/>
          <w:szCs w:val="24"/>
        </w:rPr>
        <w:t xml:space="preserve"> practices.  </w:t>
      </w:r>
      <w:r>
        <w:rPr>
          <w:rFonts w:ascii="Garamond" w:hAnsi="Garamond"/>
          <w:b/>
          <w:sz w:val="24"/>
          <w:szCs w:val="24"/>
        </w:rPr>
        <w:t>MAQP #2979-03</w:t>
      </w:r>
      <w:r>
        <w:rPr>
          <w:rFonts w:ascii="Garamond" w:hAnsi="Garamond"/>
          <w:sz w:val="24"/>
          <w:szCs w:val="24"/>
        </w:rPr>
        <w:t xml:space="preserve"> became final on May 12, </w:t>
      </w:r>
      <w:proofErr w:type="gramStart"/>
      <w:r>
        <w:rPr>
          <w:rFonts w:ascii="Garamond" w:hAnsi="Garamond"/>
          <w:sz w:val="24"/>
          <w:szCs w:val="24"/>
        </w:rPr>
        <w:t>2012</w:t>
      </w:r>
      <w:proofErr w:type="gramEnd"/>
      <w:r>
        <w:rPr>
          <w:rFonts w:ascii="Garamond" w:hAnsi="Garamond"/>
          <w:sz w:val="24"/>
          <w:szCs w:val="24"/>
        </w:rPr>
        <w:t xml:space="preserve"> and replaced MAQP #2979-02.</w:t>
      </w:r>
    </w:p>
    <w:p w14:paraId="31A2E979" w14:textId="77777777" w:rsidR="001057A0" w:rsidRDefault="001057A0" w:rsidP="001057A0">
      <w:pPr>
        <w:ind w:left="360"/>
        <w:rPr>
          <w:rFonts w:ascii="Garamond" w:hAnsi="Garamond"/>
          <w:sz w:val="24"/>
          <w:szCs w:val="24"/>
        </w:rPr>
      </w:pPr>
    </w:p>
    <w:p w14:paraId="51E3891E" w14:textId="3DB68D80" w:rsidR="001057A0" w:rsidRDefault="001057A0" w:rsidP="001057A0">
      <w:pPr>
        <w:ind w:left="360"/>
        <w:rPr>
          <w:rFonts w:ascii="Garamond" w:hAnsi="Garamond"/>
          <w:sz w:val="24"/>
          <w:szCs w:val="24"/>
        </w:rPr>
      </w:pPr>
      <w:r>
        <w:rPr>
          <w:rFonts w:ascii="Garamond" w:hAnsi="Garamond"/>
          <w:sz w:val="24"/>
          <w:szCs w:val="24"/>
        </w:rPr>
        <w:t xml:space="preserve">On April 9, 2015, the </w:t>
      </w:r>
      <w:r w:rsidR="00BD1236">
        <w:rPr>
          <w:rFonts w:ascii="Garamond" w:hAnsi="Garamond"/>
          <w:sz w:val="24"/>
          <w:szCs w:val="24"/>
        </w:rPr>
        <w:t>DEQ</w:t>
      </w:r>
      <w:r>
        <w:rPr>
          <w:rFonts w:ascii="Garamond" w:hAnsi="Garamond"/>
          <w:sz w:val="24"/>
          <w:szCs w:val="24"/>
        </w:rPr>
        <w:t xml:space="preserve"> received an administrative amendment request from NBPL for a change to their scheduled emissions testing requirements because the turbine at Compressor Station No. 1 has been operating for relatively few hours per semiannual period.  While emissions testing will still be on a semiannual schedule, NBPL may forego the test for a semiannual period if the turbine has operated for less than 500 hours during that semiannual period.  A compliance test must still be completed at least once every 26 months, regardless of the number of hours that the turbine has been operating.  No changes to emission limits or maximum potential emissions are proposed or authorized with this permit action. </w:t>
      </w:r>
      <w:r>
        <w:rPr>
          <w:rFonts w:ascii="Garamond" w:hAnsi="Garamond"/>
          <w:b/>
          <w:bCs/>
          <w:sz w:val="24"/>
          <w:szCs w:val="24"/>
        </w:rPr>
        <w:t>MAQP #2979-04</w:t>
      </w:r>
      <w:r>
        <w:rPr>
          <w:rFonts w:ascii="Garamond" w:hAnsi="Garamond"/>
          <w:sz w:val="24"/>
          <w:szCs w:val="24"/>
        </w:rPr>
        <w:t xml:space="preserve"> replaced MAQP #2979-03.</w:t>
      </w:r>
    </w:p>
    <w:p w14:paraId="21102CA7" w14:textId="77777777" w:rsidR="001057A0" w:rsidRDefault="001057A0" w:rsidP="001057A0">
      <w:pPr>
        <w:rPr>
          <w:rFonts w:ascii="Garamond" w:hAnsi="Garamond"/>
          <w:sz w:val="24"/>
          <w:szCs w:val="24"/>
        </w:rPr>
      </w:pPr>
    </w:p>
    <w:p w14:paraId="048DB39A" w14:textId="77777777" w:rsidR="001057A0" w:rsidRDefault="001057A0" w:rsidP="001057A0">
      <w:pPr>
        <w:ind w:left="360"/>
        <w:rPr>
          <w:rFonts w:ascii="Garamond" w:hAnsi="Garamond"/>
          <w:sz w:val="24"/>
          <w:szCs w:val="24"/>
          <w:u w:val="single"/>
        </w:rPr>
      </w:pPr>
      <w:r>
        <w:rPr>
          <w:rFonts w:ascii="Garamond" w:hAnsi="Garamond"/>
          <w:sz w:val="24"/>
          <w:szCs w:val="24"/>
          <w:u w:val="single"/>
        </w:rPr>
        <w:t xml:space="preserve">Title V Operating Permit History </w:t>
      </w:r>
    </w:p>
    <w:p w14:paraId="4B2FBF83" w14:textId="77777777" w:rsidR="001057A0" w:rsidRDefault="001057A0" w:rsidP="001057A0">
      <w:pPr>
        <w:ind w:left="360"/>
        <w:rPr>
          <w:rFonts w:ascii="Garamond" w:hAnsi="Garamond"/>
          <w:sz w:val="24"/>
          <w:szCs w:val="24"/>
        </w:rPr>
      </w:pPr>
    </w:p>
    <w:p w14:paraId="5FD992F4" w14:textId="77777777" w:rsidR="001254DD" w:rsidRDefault="001057A0" w:rsidP="001057A0">
      <w:pPr>
        <w:ind w:left="360"/>
        <w:rPr>
          <w:rFonts w:ascii="Garamond" w:hAnsi="Garamond"/>
          <w:sz w:val="24"/>
          <w:szCs w:val="24"/>
        </w:rPr>
      </w:pPr>
      <w:r>
        <w:rPr>
          <w:rFonts w:ascii="Garamond" w:hAnsi="Garamond"/>
          <w:sz w:val="24"/>
          <w:szCs w:val="24"/>
        </w:rPr>
        <w:t xml:space="preserve">On February 21, 1997, NBPL submitted a complete permit application to construct and operate Compressor Station No. 1 in Valley County, Montana.  This facility would consist of one 39,335-hp Cooper-Rolls, 6562-DLE Coberra; one 300-kW emergency backup generator engine; one 1.706-MMBtu/hr hydronic boiler; and one 15-kW emergency backup generator.  </w:t>
      </w:r>
    </w:p>
    <w:p w14:paraId="265A7718" w14:textId="77777777" w:rsidR="001254DD" w:rsidRDefault="001057A0" w:rsidP="001057A0">
      <w:pPr>
        <w:ind w:left="360"/>
        <w:rPr>
          <w:rFonts w:ascii="Garamond" w:hAnsi="Garamond"/>
          <w:sz w:val="24"/>
          <w:szCs w:val="24"/>
        </w:rPr>
      </w:pPr>
      <w:r>
        <w:rPr>
          <w:rFonts w:ascii="Garamond" w:hAnsi="Garamond"/>
          <w:sz w:val="24"/>
          <w:szCs w:val="24"/>
        </w:rPr>
        <w:lastRenderedPageBreak/>
        <w:t xml:space="preserve">The application stated the estimated start date as 8/97 and the estimated completion date as </w:t>
      </w:r>
      <w:proofErr w:type="gramStart"/>
      <w:r>
        <w:rPr>
          <w:rFonts w:ascii="Garamond" w:hAnsi="Garamond"/>
          <w:sz w:val="24"/>
          <w:szCs w:val="24"/>
        </w:rPr>
        <w:t>November,</w:t>
      </w:r>
      <w:proofErr w:type="gramEnd"/>
      <w:r>
        <w:rPr>
          <w:rFonts w:ascii="Garamond" w:hAnsi="Garamond"/>
          <w:sz w:val="24"/>
          <w:szCs w:val="24"/>
        </w:rPr>
        <w:t xml:space="preserve"> 1998.  An MAQP was issued for this facility </w:t>
      </w:r>
      <w:proofErr w:type="gramStart"/>
      <w:r>
        <w:rPr>
          <w:rFonts w:ascii="Garamond" w:hAnsi="Garamond"/>
          <w:sz w:val="24"/>
          <w:szCs w:val="24"/>
        </w:rPr>
        <w:t>on</w:t>
      </w:r>
      <w:proofErr w:type="gramEnd"/>
      <w:r>
        <w:rPr>
          <w:rFonts w:ascii="Garamond" w:hAnsi="Garamond"/>
          <w:sz w:val="24"/>
          <w:szCs w:val="24"/>
        </w:rPr>
        <w:t xml:space="preserve"> April 1997.  This facility had the potential to emit greater than 100 tons per year of NO</w:t>
      </w:r>
      <w:r>
        <w:rPr>
          <w:rFonts w:ascii="Garamond" w:hAnsi="Garamond"/>
          <w:sz w:val="24"/>
          <w:szCs w:val="24"/>
          <w:vertAlign w:val="subscript"/>
        </w:rPr>
        <w:t>x</w:t>
      </w:r>
      <w:r>
        <w:rPr>
          <w:rFonts w:ascii="Garamond" w:hAnsi="Garamond"/>
          <w:sz w:val="24"/>
          <w:szCs w:val="24"/>
        </w:rPr>
        <w:t xml:space="preserve"> and was therefore required to obtain an operating permit. </w:t>
      </w:r>
    </w:p>
    <w:p w14:paraId="01D2D0A5" w14:textId="38E78EB5" w:rsidR="001057A0" w:rsidRDefault="001057A0" w:rsidP="001057A0">
      <w:pPr>
        <w:ind w:left="360"/>
        <w:rPr>
          <w:rFonts w:ascii="Garamond" w:hAnsi="Garamond"/>
          <w:sz w:val="24"/>
          <w:szCs w:val="24"/>
        </w:rPr>
      </w:pPr>
      <w:r>
        <w:rPr>
          <w:rFonts w:ascii="Garamond" w:hAnsi="Garamond"/>
          <w:sz w:val="24"/>
          <w:szCs w:val="24"/>
        </w:rPr>
        <w:t xml:space="preserve"> </w:t>
      </w:r>
    </w:p>
    <w:p w14:paraId="0F9B0B6F" w14:textId="77777777" w:rsidR="001057A0" w:rsidRDefault="001057A0" w:rsidP="001057A0">
      <w:pPr>
        <w:ind w:left="360"/>
        <w:rPr>
          <w:rFonts w:ascii="Garamond" w:hAnsi="Garamond"/>
          <w:sz w:val="24"/>
          <w:szCs w:val="24"/>
        </w:rPr>
      </w:pPr>
      <w:r>
        <w:rPr>
          <w:rFonts w:ascii="Garamond" w:hAnsi="Garamond"/>
          <w:sz w:val="24"/>
          <w:szCs w:val="24"/>
        </w:rPr>
        <w:t xml:space="preserve">This facility was an NSPS Subpart GG affected source because the Cooper-Rolls Coberra meets the definition of a stationary gas turbine and was manufactured after October 3, 1997.  The Cooper-Rolls Coberra will have an internal dry low NOx combustion as its control device, which constitutes BACT for this facility. </w:t>
      </w:r>
    </w:p>
    <w:p w14:paraId="4A124B5C" w14:textId="77777777" w:rsidR="001057A0" w:rsidRDefault="001057A0" w:rsidP="001057A0">
      <w:pPr>
        <w:ind w:left="360"/>
        <w:rPr>
          <w:rFonts w:ascii="Garamond" w:hAnsi="Garamond"/>
          <w:sz w:val="24"/>
          <w:szCs w:val="24"/>
        </w:rPr>
      </w:pPr>
    </w:p>
    <w:p w14:paraId="3AE1F571" w14:textId="254BED6A" w:rsidR="001057A0" w:rsidRDefault="001057A0" w:rsidP="001057A0">
      <w:pPr>
        <w:ind w:left="360"/>
        <w:rPr>
          <w:rFonts w:ascii="Garamond" w:hAnsi="Garamond"/>
          <w:sz w:val="24"/>
          <w:szCs w:val="24"/>
        </w:rPr>
      </w:pPr>
      <w:r>
        <w:rPr>
          <w:rFonts w:ascii="Garamond" w:hAnsi="Garamond"/>
          <w:b/>
          <w:sz w:val="24"/>
          <w:szCs w:val="24"/>
        </w:rPr>
        <w:t>Operating Permit #OP2979-00</w:t>
      </w:r>
      <w:r>
        <w:rPr>
          <w:rFonts w:ascii="Garamond" w:hAnsi="Garamond"/>
          <w:sz w:val="24"/>
          <w:szCs w:val="24"/>
        </w:rPr>
        <w:t xml:space="preserve"> established the basis for the decisions made regarding the applicable requirements, monitoring plan, and compliance status of emission units affected by the operating permit for this facility.  The document was intended for reference during review of the permit by the EPA and the public.  It was also intended to provide background information not included in the operating permit and to document issues that may become important during modifications or renewals of the operating permit.  Conclusions in this document were based on information provided in the original operating permit application submitted by NBPL and received by the </w:t>
      </w:r>
      <w:r w:rsidR="00BD1236">
        <w:rPr>
          <w:rFonts w:ascii="Garamond" w:hAnsi="Garamond"/>
          <w:sz w:val="24"/>
          <w:szCs w:val="24"/>
        </w:rPr>
        <w:t>DEQ</w:t>
      </w:r>
      <w:r>
        <w:rPr>
          <w:rFonts w:ascii="Garamond" w:hAnsi="Garamond"/>
          <w:sz w:val="24"/>
          <w:szCs w:val="24"/>
        </w:rPr>
        <w:t xml:space="preserve"> on February 11, 1997. </w:t>
      </w:r>
    </w:p>
    <w:p w14:paraId="0991D4E8" w14:textId="77777777" w:rsidR="001057A0" w:rsidRDefault="001057A0" w:rsidP="001057A0">
      <w:pPr>
        <w:ind w:left="360"/>
        <w:rPr>
          <w:rFonts w:ascii="Garamond" w:hAnsi="Garamond"/>
          <w:sz w:val="24"/>
          <w:szCs w:val="24"/>
        </w:rPr>
      </w:pPr>
    </w:p>
    <w:p w14:paraId="3AA18E7D" w14:textId="1E374AB1" w:rsidR="001057A0" w:rsidRDefault="001057A0" w:rsidP="001057A0">
      <w:pPr>
        <w:ind w:left="360"/>
        <w:rPr>
          <w:rFonts w:ascii="Garamond" w:hAnsi="Garamond"/>
          <w:sz w:val="24"/>
          <w:szCs w:val="24"/>
        </w:rPr>
      </w:pPr>
      <w:r>
        <w:rPr>
          <w:rFonts w:ascii="Garamond" w:hAnsi="Garamond"/>
          <w:sz w:val="24"/>
          <w:szCs w:val="24"/>
        </w:rPr>
        <w:t xml:space="preserve">On February 15, 2001, NBPL submitted a request for the </w:t>
      </w:r>
      <w:r w:rsidR="00BD1236">
        <w:rPr>
          <w:rFonts w:ascii="Garamond" w:hAnsi="Garamond"/>
          <w:sz w:val="24"/>
          <w:szCs w:val="24"/>
        </w:rPr>
        <w:t>DEQ</w:t>
      </w:r>
      <w:r>
        <w:rPr>
          <w:rFonts w:ascii="Garamond" w:hAnsi="Garamond"/>
          <w:sz w:val="24"/>
          <w:szCs w:val="24"/>
        </w:rPr>
        <w:t xml:space="preserve"> to revise the permitted custom fuel monitoring schedule and equipment for Compressor Station No. 1 Located in Valley County, MT.  A hydrogen sulfide (H</w:t>
      </w:r>
      <w:r>
        <w:rPr>
          <w:rFonts w:ascii="Garamond" w:hAnsi="Garamond"/>
          <w:sz w:val="24"/>
          <w:szCs w:val="24"/>
          <w:vertAlign w:val="subscript"/>
        </w:rPr>
        <w:t>2</w:t>
      </w:r>
      <w:r>
        <w:rPr>
          <w:rFonts w:ascii="Garamond" w:hAnsi="Garamond"/>
          <w:sz w:val="24"/>
          <w:szCs w:val="24"/>
        </w:rPr>
        <w:t xml:space="preserve">S) and Total Sulfur Analyzer replaced the chromatograph.  The custom fuel schedule was structured to allow a representative sample to be recorded every 2 weeks with an option of extending the sampling schedule to once every 6 months upon approval by the </w:t>
      </w:r>
      <w:r w:rsidR="00BD1236">
        <w:rPr>
          <w:rFonts w:ascii="Garamond" w:hAnsi="Garamond"/>
          <w:sz w:val="24"/>
          <w:szCs w:val="24"/>
        </w:rPr>
        <w:t>DEQ</w:t>
      </w:r>
      <w:r>
        <w:rPr>
          <w:rFonts w:ascii="Garamond" w:hAnsi="Garamond"/>
          <w:sz w:val="24"/>
          <w:szCs w:val="24"/>
        </w:rPr>
        <w:t xml:space="preserve">. </w:t>
      </w:r>
      <w:r>
        <w:rPr>
          <w:rFonts w:ascii="Garamond" w:hAnsi="Garamond"/>
          <w:b/>
          <w:sz w:val="24"/>
          <w:szCs w:val="24"/>
        </w:rPr>
        <w:t>Operating Permit</w:t>
      </w:r>
      <w:r>
        <w:rPr>
          <w:rFonts w:ascii="Garamond" w:hAnsi="Garamond"/>
          <w:sz w:val="24"/>
          <w:szCs w:val="24"/>
        </w:rPr>
        <w:t xml:space="preserve"> </w:t>
      </w:r>
      <w:r>
        <w:rPr>
          <w:rFonts w:ascii="Garamond" w:hAnsi="Garamond"/>
          <w:b/>
          <w:sz w:val="24"/>
          <w:szCs w:val="24"/>
        </w:rPr>
        <w:t>#OP2979-01</w:t>
      </w:r>
      <w:r>
        <w:rPr>
          <w:rFonts w:ascii="Garamond" w:hAnsi="Garamond"/>
          <w:sz w:val="24"/>
          <w:szCs w:val="24"/>
        </w:rPr>
        <w:t xml:space="preserve"> replaced Operating Permit #OP2979-00. </w:t>
      </w:r>
    </w:p>
    <w:p w14:paraId="62E432D1" w14:textId="77777777" w:rsidR="001057A0" w:rsidRDefault="001057A0" w:rsidP="001057A0">
      <w:pPr>
        <w:ind w:left="360"/>
        <w:rPr>
          <w:rFonts w:ascii="Garamond" w:hAnsi="Garamond"/>
          <w:sz w:val="24"/>
          <w:szCs w:val="24"/>
        </w:rPr>
      </w:pPr>
    </w:p>
    <w:p w14:paraId="677E5ADC" w14:textId="0D8F2016" w:rsidR="001057A0" w:rsidRDefault="001057A0" w:rsidP="001057A0">
      <w:pPr>
        <w:ind w:left="360"/>
        <w:rPr>
          <w:rFonts w:ascii="Garamond" w:hAnsi="Garamond"/>
          <w:sz w:val="24"/>
          <w:szCs w:val="24"/>
        </w:rPr>
      </w:pPr>
      <w:r>
        <w:rPr>
          <w:rFonts w:ascii="Garamond" w:hAnsi="Garamond"/>
          <w:sz w:val="24"/>
          <w:szCs w:val="24"/>
        </w:rPr>
        <w:t xml:space="preserve">On October 9, 2001, the </w:t>
      </w:r>
      <w:r w:rsidR="00BD1236">
        <w:rPr>
          <w:rFonts w:ascii="Garamond" w:hAnsi="Garamond"/>
          <w:sz w:val="24"/>
          <w:szCs w:val="24"/>
        </w:rPr>
        <w:t>DEQ</w:t>
      </w:r>
      <w:r>
        <w:rPr>
          <w:rFonts w:ascii="Garamond" w:hAnsi="Garamond"/>
          <w:sz w:val="24"/>
          <w:szCs w:val="24"/>
        </w:rPr>
        <w:t xml:space="preserve"> received a request from NBPL for a modification to Operating Permit #OP2979-01.  The modification was an administrative amendment, which changed the responsible official for the facility.  </w:t>
      </w:r>
      <w:r>
        <w:rPr>
          <w:rFonts w:ascii="Garamond" w:hAnsi="Garamond"/>
          <w:b/>
          <w:sz w:val="24"/>
          <w:szCs w:val="24"/>
        </w:rPr>
        <w:t>Operating Permit #OP2979-02</w:t>
      </w:r>
      <w:r>
        <w:rPr>
          <w:rFonts w:ascii="Garamond" w:hAnsi="Garamond"/>
          <w:sz w:val="24"/>
          <w:szCs w:val="24"/>
        </w:rPr>
        <w:t xml:space="preserve"> replaced Operating Permit #OP2979-01. </w:t>
      </w:r>
    </w:p>
    <w:p w14:paraId="75708914" w14:textId="77777777" w:rsidR="001057A0" w:rsidRDefault="001057A0" w:rsidP="001057A0">
      <w:pPr>
        <w:ind w:left="360"/>
        <w:rPr>
          <w:rFonts w:ascii="Garamond" w:hAnsi="Garamond"/>
          <w:sz w:val="24"/>
          <w:szCs w:val="24"/>
        </w:rPr>
      </w:pPr>
    </w:p>
    <w:p w14:paraId="7947B854" w14:textId="0188FC18" w:rsidR="001057A0" w:rsidRDefault="001057A0" w:rsidP="001057A0">
      <w:pPr>
        <w:ind w:left="360"/>
        <w:rPr>
          <w:rFonts w:ascii="Garamond" w:hAnsi="Garamond"/>
          <w:sz w:val="24"/>
          <w:szCs w:val="24"/>
        </w:rPr>
      </w:pPr>
      <w:r>
        <w:rPr>
          <w:rFonts w:ascii="Garamond" w:hAnsi="Garamond"/>
          <w:sz w:val="24"/>
          <w:szCs w:val="24"/>
        </w:rPr>
        <w:t xml:space="preserve">On February 3, 2003,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#OP2979-02.  The administrative amendment changed the responsible official and the corporate office address for the facility</w:t>
      </w:r>
      <w:r>
        <w:rPr>
          <w:rFonts w:ascii="Garamond" w:hAnsi="Garamond"/>
          <w:b/>
          <w:sz w:val="24"/>
          <w:szCs w:val="24"/>
        </w:rPr>
        <w:t>.  Operating Permit #OP2979-03</w:t>
      </w:r>
      <w:r>
        <w:rPr>
          <w:rFonts w:ascii="Garamond" w:hAnsi="Garamond"/>
          <w:sz w:val="24"/>
          <w:szCs w:val="24"/>
        </w:rPr>
        <w:t xml:space="preserve"> replaced Operating Permit #OP2979-02. </w:t>
      </w:r>
    </w:p>
    <w:p w14:paraId="4F77564A" w14:textId="77777777" w:rsidR="001057A0" w:rsidRDefault="001057A0" w:rsidP="001057A0">
      <w:pPr>
        <w:ind w:left="360"/>
        <w:rPr>
          <w:rFonts w:ascii="Garamond" w:hAnsi="Garamond"/>
          <w:sz w:val="24"/>
          <w:szCs w:val="24"/>
        </w:rPr>
      </w:pPr>
    </w:p>
    <w:p w14:paraId="303644C1" w14:textId="3734F894" w:rsidR="001057A0" w:rsidRDefault="001057A0" w:rsidP="001057A0">
      <w:pPr>
        <w:ind w:left="360"/>
        <w:rPr>
          <w:rFonts w:ascii="Garamond" w:hAnsi="Garamond"/>
          <w:sz w:val="24"/>
          <w:szCs w:val="24"/>
        </w:rPr>
      </w:pPr>
      <w:r>
        <w:rPr>
          <w:rFonts w:ascii="Garamond" w:hAnsi="Garamond"/>
          <w:sz w:val="24"/>
          <w:szCs w:val="24"/>
        </w:rPr>
        <w:t xml:space="preserve">On February 3, 2003, the </w:t>
      </w:r>
      <w:r w:rsidR="00BD1236">
        <w:rPr>
          <w:rFonts w:ascii="Garamond" w:hAnsi="Garamond"/>
          <w:sz w:val="24"/>
          <w:szCs w:val="24"/>
        </w:rPr>
        <w:t>DEQ</w:t>
      </w:r>
      <w:r>
        <w:rPr>
          <w:rFonts w:ascii="Garamond" w:hAnsi="Garamond"/>
          <w:sz w:val="24"/>
          <w:szCs w:val="24"/>
        </w:rPr>
        <w:t xml:space="preserve"> received a request from NBPL for a modification to Operating Permit #OP2979-03.  The modification is an administrative amendment.  The responsible official’s name was changed in error on Operating Permit #OP2979-03.  </w:t>
      </w:r>
      <w:r>
        <w:rPr>
          <w:rFonts w:ascii="Garamond" w:hAnsi="Garamond"/>
          <w:b/>
          <w:sz w:val="24"/>
          <w:szCs w:val="24"/>
        </w:rPr>
        <w:t>Operating Permit #OP2979-04</w:t>
      </w:r>
      <w:r>
        <w:rPr>
          <w:rFonts w:ascii="Garamond" w:hAnsi="Garamond"/>
          <w:sz w:val="24"/>
          <w:szCs w:val="24"/>
        </w:rPr>
        <w:t xml:space="preserve"> changed the responsible official from Jay Muschenheim back to Randy Rice and changed the facility contact from Ruth Jensen to Jay Muschenheim.  Operating Permit #OP2979-04 replaced Operating Permit #OP2979-03. </w:t>
      </w:r>
    </w:p>
    <w:p w14:paraId="2CF85ADC" w14:textId="77777777" w:rsidR="001057A0" w:rsidRDefault="001057A0" w:rsidP="001057A0">
      <w:pPr>
        <w:ind w:left="360"/>
        <w:rPr>
          <w:rFonts w:ascii="Garamond" w:hAnsi="Garamond"/>
          <w:sz w:val="24"/>
          <w:szCs w:val="24"/>
        </w:rPr>
      </w:pPr>
    </w:p>
    <w:p w14:paraId="4EC26CFB" w14:textId="235D2897" w:rsidR="001057A0" w:rsidRDefault="001057A0" w:rsidP="001057A0">
      <w:pPr>
        <w:ind w:left="360"/>
        <w:rPr>
          <w:rFonts w:ascii="Garamond" w:hAnsi="Garamond"/>
          <w:sz w:val="24"/>
          <w:szCs w:val="24"/>
        </w:rPr>
      </w:pPr>
      <w:r>
        <w:rPr>
          <w:rFonts w:ascii="Garamond" w:hAnsi="Garamond"/>
          <w:sz w:val="24"/>
          <w:szCs w:val="24"/>
        </w:rPr>
        <w:t xml:space="preserve">On October 17, 2003, the </w:t>
      </w:r>
      <w:r w:rsidR="00BD1236">
        <w:rPr>
          <w:rFonts w:ascii="Garamond" w:hAnsi="Garamond"/>
          <w:sz w:val="24"/>
          <w:szCs w:val="24"/>
        </w:rPr>
        <w:t>DEQ</w:t>
      </w:r>
      <w:r>
        <w:rPr>
          <w:rFonts w:ascii="Garamond" w:hAnsi="Garamond"/>
          <w:sz w:val="24"/>
          <w:szCs w:val="24"/>
        </w:rPr>
        <w:t xml:space="preserve"> received a request from NBPL for the administrative amendment of Operating Permit #OP2979-04 to update Section V.B.3 of the General Conditions incorporating changes to federal Title V rules 40 CFR 70.6(c)(5)(iii)(B) and 70.6(c)(5)(iii)(C) (to be incorporated into Montana’s Title V rules at ARM 17.8.1213) regarding Title V annual compliance certifications.  </w:t>
      </w:r>
      <w:r>
        <w:rPr>
          <w:rFonts w:ascii="Garamond" w:hAnsi="Garamond"/>
          <w:b/>
          <w:sz w:val="24"/>
          <w:szCs w:val="24"/>
        </w:rPr>
        <w:t>Operating Permit #OP2979-05</w:t>
      </w:r>
      <w:r>
        <w:rPr>
          <w:rFonts w:ascii="Garamond" w:hAnsi="Garamond"/>
          <w:sz w:val="24"/>
          <w:szCs w:val="24"/>
        </w:rPr>
        <w:t xml:space="preserve"> replaced Operating Permit #OP2979-04. </w:t>
      </w:r>
    </w:p>
    <w:p w14:paraId="13DBC8D4" w14:textId="77777777" w:rsidR="001057A0" w:rsidRDefault="001057A0" w:rsidP="001057A0">
      <w:pPr>
        <w:ind w:left="360"/>
        <w:rPr>
          <w:rFonts w:ascii="Garamond" w:hAnsi="Garamond"/>
          <w:sz w:val="24"/>
          <w:szCs w:val="24"/>
        </w:rPr>
      </w:pPr>
    </w:p>
    <w:p w14:paraId="71B43937" w14:textId="034E4C08" w:rsidR="001057A0" w:rsidRDefault="001057A0" w:rsidP="001057A0">
      <w:pPr>
        <w:ind w:left="360"/>
        <w:rPr>
          <w:rFonts w:ascii="Garamond" w:hAnsi="Garamond"/>
          <w:sz w:val="24"/>
          <w:szCs w:val="24"/>
        </w:rPr>
      </w:pPr>
      <w:r>
        <w:rPr>
          <w:rFonts w:ascii="Garamond" w:hAnsi="Garamond"/>
          <w:sz w:val="24"/>
          <w:szCs w:val="24"/>
        </w:rPr>
        <w:lastRenderedPageBreak/>
        <w:t xml:space="preserve">On March 11, 2003, the </w:t>
      </w:r>
      <w:r w:rsidR="00BD1236">
        <w:rPr>
          <w:rFonts w:ascii="Garamond" w:hAnsi="Garamond"/>
          <w:sz w:val="24"/>
          <w:szCs w:val="24"/>
        </w:rPr>
        <w:t>DEQ</w:t>
      </w:r>
      <w:r>
        <w:rPr>
          <w:rFonts w:ascii="Garamond" w:hAnsi="Garamond"/>
          <w:sz w:val="24"/>
          <w:szCs w:val="24"/>
        </w:rPr>
        <w:t xml:space="preserve"> received a renewal application from NBPL.  The </w:t>
      </w:r>
      <w:r w:rsidR="00BD1236">
        <w:rPr>
          <w:rFonts w:ascii="Garamond" w:hAnsi="Garamond"/>
          <w:sz w:val="24"/>
          <w:szCs w:val="24"/>
        </w:rPr>
        <w:t>DEQ</w:t>
      </w:r>
      <w:r>
        <w:rPr>
          <w:rFonts w:ascii="Garamond" w:hAnsi="Garamond"/>
          <w:sz w:val="24"/>
          <w:szCs w:val="24"/>
        </w:rPr>
        <w:t xml:space="preserve"> had been in the process of permitting action #2979-02 and waited until the completion of permitting action #2979-02 to proceed with the renewal.  </w:t>
      </w:r>
    </w:p>
    <w:p w14:paraId="0D6940F9" w14:textId="77777777" w:rsidR="001254DD" w:rsidRDefault="001254DD" w:rsidP="001057A0">
      <w:pPr>
        <w:ind w:left="360"/>
        <w:rPr>
          <w:rFonts w:ascii="Garamond" w:hAnsi="Garamond"/>
          <w:sz w:val="24"/>
          <w:szCs w:val="24"/>
        </w:rPr>
      </w:pPr>
    </w:p>
    <w:p w14:paraId="2A03E8C5" w14:textId="1718DB5A" w:rsidR="001057A0" w:rsidRDefault="001057A0" w:rsidP="001057A0">
      <w:pPr>
        <w:ind w:left="360"/>
        <w:rPr>
          <w:rFonts w:ascii="Garamond" w:hAnsi="Garamond"/>
          <w:sz w:val="24"/>
          <w:szCs w:val="24"/>
        </w:rPr>
      </w:pPr>
      <w:r>
        <w:rPr>
          <w:rFonts w:ascii="Garamond" w:hAnsi="Garamond"/>
          <w:sz w:val="24"/>
          <w:szCs w:val="24"/>
        </w:rPr>
        <w:t xml:space="preserve">Permit action #2979-02 was final June 18, 2004. </w:t>
      </w:r>
      <w:r>
        <w:rPr>
          <w:rFonts w:ascii="Garamond" w:hAnsi="Garamond"/>
          <w:b/>
          <w:sz w:val="24"/>
          <w:szCs w:val="24"/>
        </w:rPr>
        <w:t>Operating Permit #OP2979-06</w:t>
      </w:r>
      <w:r>
        <w:rPr>
          <w:rFonts w:ascii="Garamond" w:hAnsi="Garamond"/>
          <w:sz w:val="24"/>
          <w:szCs w:val="24"/>
        </w:rPr>
        <w:t xml:space="preserve"> replaced Operating Permit #OP2979-05. On December 6, 2004,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OP2979-06.  The administrative amendment changed the responsible official from Randy Rice to Michel E. Nelson.  </w:t>
      </w:r>
      <w:r>
        <w:rPr>
          <w:rFonts w:ascii="Garamond" w:hAnsi="Garamond"/>
          <w:b/>
          <w:sz w:val="24"/>
          <w:szCs w:val="24"/>
        </w:rPr>
        <w:t>Operating Permit #OP2979-07</w:t>
      </w:r>
      <w:r>
        <w:rPr>
          <w:rFonts w:ascii="Garamond" w:hAnsi="Garamond"/>
          <w:sz w:val="24"/>
          <w:szCs w:val="24"/>
        </w:rPr>
        <w:t xml:space="preserve"> replaced Operating Permit #OP2979-06.</w:t>
      </w:r>
    </w:p>
    <w:p w14:paraId="730595B8" w14:textId="77777777" w:rsidR="001057A0" w:rsidRDefault="001057A0" w:rsidP="001057A0">
      <w:pPr>
        <w:ind w:left="360"/>
        <w:rPr>
          <w:rFonts w:ascii="Garamond" w:hAnsi="Garamond"/>
          <w:sz w:val="24"/>
          <w:szCs w:val="24"/>
        </w:rPr>
      </w:pPr>
    </w:p>
    <w:p w14:paraId="384DB0FA" w14:textId="393CFD66" w:rsidR="001057A0" w:rsidRDefault="001057A0" w:rsidP="001057A0">
      <w:pPr>
        <w:ind w:left="360"/>
        <w:rPr>
          <w:rFonts w:ascii="Garamond" w:hAnsi="Garamond"/>
          <w:sz w:val="24"/>
          <w:szCs w:val="24"/>
        </w:rPr>
      </w:pPr>
      <w:r>
        <w:rPr>
          <w:rFonts w:ascii="Garamond" w:hAnsi="Garamond"/>
          <w:sz w:val="24"/>
          <w:szCs w:val="24"/>
        </w:rPr>
        <w:t xml:space="preserve">On April 9, 2007,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#OP2979-07.  The administrative amendment changed the responsible official from Michel E. Nelson to Jim Krause.  </w:t>
      </w:r>
      <w:r>
        <w:rPr>
          <w:rFonts w:ascii="Garamond" w:hAnsi="Garamond"/>
          <w:b/>
          <w:bCs/>
          <w:sz w:val="24"/>
          <w:szCs w:val="24"/>
        </w:rPr>
        <w:t xml:space="preserve">Operating Permit #OP2979-08 </w:t>
      </w:r>
      <w:r>
        <w:rPr>
          <w:rFonts w:ascii="Garamond" w:hAnsi="Garamond"/>
          <w:sz w:val="24"/>
          <w:szCs w:val="24"/>
        </w:rPr>
        <w:t>replaced Operating Permit #OP2979-07.</w:t>
      </w:r>
    </w:p>
    <w:p w14:paraId="178B277C" w14:textId="77777777" w:rsidR="001057A0" w:rsidRDefault="001057A0" w:rsidP="001057A0">
      <w:pPr>
        <w:ind w:left="360"/>
        <w:rPr>
          <w:rFonts w:ascii="Garamond" w:hAnsi="Garamond"/>
          <w:sz w:val="24"/>
          <w:szCs w:val="24"/>
        </w:rPr>
      </w:pPr>
    </w:p>
    <w:p w14:paraId="50769085" w14:textId="263B4DFF" w:rsidR="001057A0" w:rsidRDefault="001057A0" w:rsidP="001057A0">
      <w:pPr>
        <w:ind w:left="360"/>
        <w:rPr>
          <w:rFonts w:ascii="Garamond" w:hAnsi="Garamond"/>
          <w:sz w:val="24"/>
          <w:szCs w:val="24"/>
        </w:rPr>
      </w:pPr>
      <w:r>
        <w:rPr>
          <w:rFonts w:ascii="Garamond" w:hAnsi="Garamond"/>
          <w:b/>
          <w:sz w:val="24"/>
          <w:szCs w:val="24"/>
        </w:rPr>
        <w:t>Operating Permit #OP2979-10</w:t>
      </w:r>
      <w:r>
        <w:rPr>
          <w:rFonts w:ascii="Garamond" w:hAnsi="Garamond"/>
          <w:sz w:val="24"/>
          <w:szCs w:val="24"/>
        </w:rPr>
        <w:t xml:space="preserve"> renewed NBPL’s Title V Operating Permit.  On March 25, 2009,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#OP2979-08 to change the responsible official from Jim Krause to Jeff Gravelle.  The </w:t>
      </w:r>
      <w:r w:rsidR="00BD1236">
        <w:rPr>
          <w:rFonts w:ascii="Garamond" w:hAnsi="Garamond"/>
          <w:sz w:val="24"/>
          <w:szCs w:val="24"/>
        </w:rPr>
        <w:t>DEQ</w:t>
      </w:r>
      <w:r>
        <w:rPr>
          <w:rFonts w:ascii="Garamond" w:hAnsi="Garamond"/>
          <w:sz w:val="24"/>
          <w:szCs w:val="24"/>
        </w:rPr>
        <w:t xml:space="preserve"> did not issue an Administrative Amendment in anticipation of receiving a Title V Renewal Application.  The Renewal Application for NBPL’s Title V Operating Permit was received on May 5, 2009.  The permit action renewed NBPL’s Title V Operating Permit, incorporated the change of the Responsible Official, and updated the permit to the current format used by the </w:t>
      </w:r>
      <w:r w:rsidR="00BD1236">
        <w:rPr>
          <w:rFonts w:ascii="Garamond" w:hAnsi="Garamond"/>
          <w:sz w:val="24"/>
          <w:szCs w:val="24"/>
        </w:rPr>
        <w:t>DEQ</w:t>
      </w:r>
      <w:r>
        <w:rPr>
          <w:rFonts w:ascii="Garamond" w:hAnsi="Garamond"/>
          <w:sz w:val="24"/>
          <w:szCs w:val="24"/>
        </w:rPr>
        <w:t xml:space="preserve">.  Some of the changes included updates to general permit conditions, facility wide conditions, identification of the emergency generator by horsepower instead of electrical generation, and minor changes on the information required for recording during testing.  NBPL’s Operating Permit #OP2979-10 replaced Operating Permit #OP2979-08.  The numbering skipped from -08 to -10 to illustrate that the </w:t>
      </w:r>
      <w:r w:rsidR="00BD1236">
        <w:rPr>
          <w:rFonts w:ascii="Garamond" w:hAnsi="Garamond"/>
          <w:sz w:val="24"/>
          <w:szCs w:val="24"/>
        </w:rPr>
        <w:t>DEQ</w:t>
      </w:r>
      <w:r>
        <w:rPr>
          <w:rFonts w:ascii="Garamond" w:hAnsi="Garamond"/>
          <w:sz w:val="24"/>
          <w:szCs w:val="24"/>
        </w:rPr>
        <w:t xml:space="preserve"> combined the request to change the responsible official and the renewal application into one permitting action from the </w:t>
      </w:r>
      <w:r w:rsidR="00BD1236">
        <w:rPr>
          <w:rFonts w:ascii="Garamond" w:hAnsi="Garamond"/>
          <w:sz w:val="24"/>
          <w:szCs w:val="24"/>
        </w:rPr>
        <w:t>DEQ</w:t>
      </w:r>
      <w:r>
        <w:rPr>
          <w:rFonts w:ascii="Garamond" w:hAnsi="Garamond"/>
          <w:sz w:val="24"/>
          <w:szCs w:val="24"/>
        </w:rPr>
        <w:t xml:space="preserve">.    </w:t>
      </w:r>
    </w:p>
    <w:p w14:paraId="6F931B4D" w14:textId="77777777" w:rsidR="001057A0" w:rsidRDefault="001057A0" w:rsidP="001057A0">
      <w:pPr>
        <w:ind w:left="360"/>
        <w:rPr>
          <w:rFonts w:ascii="Garamond" w:hAnsi="Garamond"/>
          <w:sz w:val="24"/>
          <w:szCs w:val="24"/>
        </w:rPr>
      </w:pPr>
    </w:p>
    <w:p w14:paraId="798B42C5" w14:textId="4D4403B8" w:rsidR="001057A0" w:rsidRDefault="001057A0" w:rsidP="001057A0">
      <w:pPr>
        <w:ind w:left="360"/>
        <w:rPr>
          <w:rFonts w:ascii="Garamond" w:hAnsi="Garamond"/>
          <w:sz w:val="24"/>
          <w:szCs w:val="24"/>
        </w:rPr>
      </w:pPr>
      <w:r>
        <w:rPr>
          <w:rFonts w:ascii="Garamond" w:hAnsi="Garamond"/>
          <w:sz w:val="24"/>
          <w:szCs w:val="24"/>
        </w:rPr>
        <w:t xml:space="preserve">On December 6, 2010, the </w:t>
      </w:r>
      <w:r w:rsidR="00BD1236">
        <w:rPr>
          <w:rFonts w:ascii="Garamond" w:hAnsi="Garamond"/>
          <w:sz w:val="24"/>
          <w:szCs w:val="24"/>
        </w:rPr>
        <w:t>DEQ</w:t>
      </w:r>
      <w:r>
        <w:rPr>
          <w:rFonts w:ascii="Garamond" w:hAnsi="Garamond"/>
          <w:sz w:val="24"/>
          <w:szCs w:val="24"/>
        </w:rPr>
        <w:t xml:space="preserve"> received notification from NBPL that the Responsible Official had changed.  This permit action updated the permit to reflect the change in responsible official.  </w:t>
      </w:r>
      <w:r>
        <w:rPr>
          <w:rFonts w:ascii="Garamond" w:hAnsi="Garamond"/>
          <w:b/>
          <w:sz w:val="24"/>
          <w:szCs w:val="24"/>
        </w:rPr>
        <w:t>Operating Permit #OP2979-11</w:t>
      </w:r>
      <w:r>
        <w:rPr>
          <w:rFonts w:ascii="Garamond" w:hAnsi="Garamond"/>
          <w:sz w:val="24"/>
          <w:szCs w:val="24"/>
        </w:rPr>
        <w:t xml:space="preserve"> replaced Operating Permit #OP2979-10.</w:t>
      </w:r>
    </w:p>
    <w:p w14:paraId="6E8D6BAF" w14:textId="77777777" w:rsidR="001057A0" w:rsidRDefault="001057A0" w:rsidP="001057A0">
      <w:pPr>
        <w:ind w:left="360"/>
        <w:rPr>
          <w:rFonts w:ascii="Garamond" w:hAnsi="Garamond"/>
          <w:sz w:val="24"/>
          <w:szCs w:val="24"/>
        </w:rPr>
      </w:pPr>
    </w:p>
    <w:p w14:paraId="42691CF9" w14:textId="6FED815C" w:rsidR="001057A0" w:rsidRDefault="001057A0" w:rsidP="001057A0">
      <w:pPr>
        <w:keepNext/>
        <w:ind w:left="360"/>
        <w:rPr>
          <w:rFonts w:ascii="Garamond" w:hAnsi="Garamond"/>
          <w:sz w:val="24"/>
          <w:szCs w:val="24"/>
        </w:rPr>
      </w:pPr>
      <w:r>
        <w:rPr>
          <w:rFonts w:ascii="Garamond" w:hAnsi="Garamond"/>
          <w:sz w:val="24"/>
          <w:szCs w:val="24"/>
        </w:rPr>
        <w:t xml:space="preserve">On March 7, 2012, the </w:t>
      </w:r>
      <w:r w:rsidR="00BD1236">
        <w:rPr>
          <w:rFonts w:ascii="Garamond" w:hAnsi="Garamond"/>
          <w:sz w:val="24"/>
          <w:szCs w:val="24"/>
        </w:rPr>
        <w:t>DEQ</w:t>
      </w:r>
      <w:r>
        <w:rPr>
          <w:rFonts w:ascii="Garamond" w:hAnsi="Garamond"/>
          <w:sz w:val="24"/>
          <w:szCs w:val="24"/>
        </w:rPr>
        <w:t xml:space="preserve"> received a complete concurrent application from NBPL to increase the rolling 12-month CO emission limit in MAQP #2979-02 and Operating Permit #OP2979-11 for the natural gas compressor turbine (Source #01) to 162 tons per year.  The </w:t>
      </w:r>
      <w:r w:rsidR="00BD1236">
        <w:rPr>
          <w:rFonts w:ascii="Garamond" w:hAnsi="Garamond"/>
          <w:sz w:val="24"/>
          <w:szCs w:val="24"/>
        </w:rPr>
        <w:t>DEQ</w:t>
      </w:r>
      <w:r>
        <w:rPr>
          <w:rFonts w:ascii="Garamond" w:hAnsi="Garamond"/>
          <w:sz w:val="24"/>
          <w:szCs w:val="24"/>
        </w:rPr>
        <w:t xml:space="preserve"> updated the MAQP first and MAQP #2979-03 became final on May 12, 2012.  The permit action updated the Operating Permit to reflect the new </w:t>
      </w:r>
      <w:r w:rsidR="00C632B4">
        <w:rPr>
          <w:rFonts w:ascii="Garamond" w:hAnsi="Garamond"/>
          <w:sz w:val="24"/>
          <w:szCs w:val="24"/>
        </w:rPr>
        <w:t>12</w:t>
      </w:r>
      <w:r>
        <w:rPr>
          <w:rFonts w:ascii="Garamond" w:hAnsi="Garamond"/>
          <w:sz w:val="24"/>
          <w:szCs w:val="24"/>
        </w:rPr>
        <w:t xml:space="preserve">-month rolling CO emission limit for the compressor turbine.  </w:t>
      </w:r>
      <w:r>
        <w:rPr>
          <w:rFonts w:ascii="Garamond" w:hAnsi="Garamond"/>
          <w:b/>
          <w:sz w:val="24"/>
          <w:szCs w:val="24"/>
        </w:rPr>
        <w:t>Operating Permit #OP2979-12</w:t>
      </w:r>
      <w:r>
        <w:rPr>
          <w:rFonts w:ascii="Garamond" w:hAnsi="Garamond"/>
          <w:sz w:val="24"/>
          <w:szCs w:val="24"/>
        </w:rPr>
        <w:t xml:space="preserve"> replaced Operating Permit #OP2979-11.</w:t>
      </w:r>
    </w:p>
    <w:p w14:paraId="558954CC" w14:textId="77777777" w:rsidR="001057A0" w:rsidRDefault="001057A0" w:rsidP="001057A0">
      <w:pPr>
        <w:keepNext/>
        <w:ind w:left="360"/>
        <w:rPr>
          <w:rFonts w:ascii="Garamond" w:hAnsi="Garamond"/>
          <w:sz w:val="24"/>
          <w:szCs w:val="24"/>
        </w:rPr>
      </w:pPr>
    </w:p>
    <w:p w14:paraId="1086F5DF" w14:textId="3215C441" w:rsidR="001057A0" w:rsidRDefault="001057A0" w:rsidP="001057A0">
      <w:pPr>
        <w:keepNext/>
        <w:ind w:left="360"/>
        <w:rPr>
          <w:rFonts w:ascii="Garamond" w:hAnsi="Garamond"/>
          <w:sz w:val="24"/>
          <w:szCs w:val="24"/>
        </w:rPr>
      </w:pPr>
      <w:r>
        <w:rPr>
          <w:rFonts w:ascii="Garamond" w:hAnsi="Garamond"/>
          <w:sz w:val="24"/>
          <w:szCs w:val="24"/>
        </w:rPr>
        <w:t xml:space="preserve">On June 13, 2019, the </w:t>
      </w:r>
      <w:r w:rsidR="00BD1236">
        <w:rPr>
          <w:rFonts w:ascii="Garamond" w:hAnsi="Garamond"/>
          <w:sz w:val="24"/>
          <w:szCs w:val="24"/>
        </w:rPr>
        <w:t>DEQ</w:t>
      </w:r>
      <w:r>
        <w:rPr>
          <w:rFonts w:ascii="Garamond" w:hAnsi="Garamond"/>
          <w:sz w:val="24"/>
          <w:szCs w:val="24"/>
        </w:rPr>
        <w:t xml:space="preserve"> received an application from NBPL to request to reduce emissions testing frequency based on reduced hours of operations. NBPL requested that in any semiannual period in which there is less than 500 hours of turbine operation, testing requirements be waived for that semiannual period, with testing every 2 years (not to exceed 26 months between tests) established as a minimum. The permit action incorporated the request similar to the No. 1 compressor station (OP2979). </w:t>
      </w:r>
      <w:r>
        <w:rPr>
          <w:rFonts w:ascii="Garamond" w:hAnsi="Garamond"/>
          <w:b/>
          <w:bCs/>
          <w:sz w:val="24"/>
          <w:szCs w:val="24"/>
        </w:rPr>
        <w:t>Operating Permit #OP2974-13</w:t>
      </w:r>
      <w:r>
        <w:rPr>
          <w:rFonts w:ascii="Garamond" w:hAnsi="Garamond"/>
          <w:sz w:val="24"/>
          <w:szCs w:val="24"/>
        </w:rPr>
        <w:t xml:space="preserve"> replaced #OP2974-12.</w:t>
      </w:r>
    </w:p>
    <w:p w14:paraId="249324BC" w14:textId="77777777" w:rsidR="001057A0" w:rsidRDefault="001057A0" w:rsidP="001057A0">
      <w:pPr>
        <w:ind w:left="360"/>
        <w:rPr>
          <w:rFonts w:ascii="Garamond" w:hAnsi="Garamond"/>
          <w:sz w:val="24"/>
          <w:szCs w:val="24"/>
        </w:rPr>
      </w:pPr>
    </w:p>
    <w:p w14:paraId="3BF50708" w14:textId="6B268E3A" w:rsidR="001057A0" w:rsidRDefault="001057A0"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October 10, 2020, the </w:t>
      </w:r>
      <w:r w:rsidR="00BD1236">
        <w:rPr>
          <w:rFonts w:ascii="Garamond" w:hAnsi="Garamond"/>
          <w:sz w:val="24"/>
          <w:szCs w:val="24"/>
        </w:rPr>
        <w:t>DEQ</w:t>
      </w:r>
      <w:r>
        <w:rPr>
          <w:rFonts w:ascii="Garamond" w:hAnsi="Garamond"/>
          <w:sz w:val="24"/>
          <w:szCs w:val="24"/>
        </w:rPr>
        <w:t xml:space="preserve"> received an application for the renewal of Title V Operating Permit #OP2979-13.  There were no changes in applicable requirements during this renewal. </w:t>
      </w:r>
      <w:r>
        <w:rPr>
          <w:rFonts w:ascii="Garamond" w:hAnsi="Garamond"/>
          <w:b/>
          <w:sz w:val="24"/>
          <w:szCs w:val="24"/>
        </w:rPr>
        <w:t>Title V Operating Permit #2979-14</w:t>
      </w:r>
      <w:r>
        <w:rPr>
          <w:rFonts w:ascii="Garamond" w:hAnsi="Garamond"/>
          <w:sz w:val="24"/>
          <w:szCs w:val="24"/>
        </w:rPr>
        <w:t xml:space="preserve"> replaced Title V Operating Permit #OP2974-13.</w:t>
      </w:r>
    </w:p>
    <w:p w14:paraId="63CD844E" w14:textId="77777777" w:rsidR="00F44A3E" w:rsidRDefault="00F44A3E"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05967018" w14:textId="32FB69F5" w:rsidR="00F44A3E" w:rsidRDefault="00F44A3E" w:rsidP="00F44A3E">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January 20, 2022, the </w:t>
      </w:r>
      <w:r w:rsidR="00BD1236">
        <w:rPr>
          <w:rFonts w:ascii="Garamond" w:hAnsi="Garamond"/>
          <w:sz w:val="24"/>
          <w:szCs w:val="24"/>
        </w:rPr>
        <w:t>DEQ</w:t>
      </w:r>
      <w:r>
        <w:rPr>
          <w:rFonts w:ascii="Garamond" w:hAnsi="Garamond"/>
          <w:sz w:val="24"/>
          <w:szCs w:val="24"/>
        </w:rPr>
        <w:t xml:space="preserve"> received a request from NBPL for an administrative amendment to Operating Permit #OP2979-14.  The administrative amendment changed the responsible official and the company contact for the facility</w:t>
      </w:r>
      <w:r>
        <w:rPr>
          <w:rFonts w:ascii="Garamond" w:hAnsi="Garamond"/>
          <w:b/>
          <w:sz w:val="24"/>
          <w:szCs w:val="24"/>
        </w:rPr>
        <w:t>.  Operating Permit #OP2979-15</w:t>
      </w:r>
      <w:r>
        <w:rPr>
          <w:rFonts w:ascii="Garamond" w:hAnsi="Garamond"/>
          <w:sz w:val="24"/>
          <w:szCs w:val="24"/>
        </w:rPr>
        <w:t xml:space="preserve"> replaced Operating Permit #OP2979-14.</w:t>
      </w:r>
    </w:p>
    <w:p w14:paraId="016022B6" w14:textId="77777777" w:rsidR="00F44A3E" w:rsidRDefault="00F44A3E"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62542FCF" w14:textId="4C7557D1" w:rsidR="00511D5C" w:rsidRDefault="00511D5C"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February 15, 2024, DEQ received a request from NBPL for an administrative amendment to Operating Permit #OP2979-15.  The administrative amendment changed the responsible official and the alternate responsible official for the </w:t>
      </w:r>
      <w:r w:rsidRPr="0039600B">
        <w:rPr>
          <w:rFonts w:ascii="Garamond" w:hAnsi="Garamond"/>
          <w:sz w:val="24"/>
          <w:szCs w:val="24"/>
        </w:rPr>
        <w:t>facility</w:t>
      </w:r>
      <w:r w:rsidRPr="00294111">
        <w:rPr>
          <w:rFonts w:ascii="Garamond" w:hAnsi="Garamond"/>
          <w:sz w:val="24"/>
          <w:szCs w:val="24"/>
        </w:rPr>
        <w:t>, a</w:t>
      </w:r>
      <w:r w:rsidRPr="0039600B">
        <w:rPr>
          <w:rFonts w:ascii="Garamond" w:hAnsi="Garamond"/>
          <w:sz w:val="24"/>
          <w:szCs w:val="24"/>
        </w:rPr>
        <w:t>long</w:t>
      </w:r>
      <w:r>
        <w:rPr>
          <w:rFonts w:ascii="Garamond" w:hAnsi="Garamond"/>
          <w:bCs/>
          <w:sz w:val="24"/>
          <w:szCs w:val="24"/>
        </w:rPr>
        <w:t xml:space="preserve"> with updating the mailing address.</w:t>
      </w:r>
      <w:r>
        <w:rPr>
          <w:rFonts w:ascii="Garamond" w:hAnsi="Garamond"/>
          <w:b/>
          <w:sz w:val="24"/>
          <w:szCs w:val="24"/>
        </w:rPr>
        <w:t xml:space="preserve">  Operating Permit #OP2979-16</w:t>
      </w:r>
      <w:r>
        <w:rPr>
          <w:rFonts w:ascii="Garamond" w:hAnsi="Garamond"/>
          <w:sz w:val="24"/>
          <w:szCs w:val="24"/>
        </w:rPr>
        <w:t xml:space="preserve"> replaces Operating Permit #OP2979-15</w:t>
      </w:r>
      <w:r w:rsidR="004515DE">
        <w:rPr>
          <w:rFonts w:ascii="Garamond" w:hAnsi="Garamond"/>
          <w:sz w:val="24"/>
          <w:szCs w:val="24"/>
        </w:rPr>
        <w:t>.</w:t>
      </w:r>
    </w:p>
    <w:p w14:paraId="1AD5243B" w14:textId="77777777" w:rsidR="000C644B" w:rsidRDefault="000C644B" w:rsidP="001057A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348B6F3C" w14:textId="01FC412E"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4" w:name="_Toc228879221"/>
      <w:r w:rsidRPr="000C644B">
        <w:rPr>
          <w:rFonts w:ascii="Garamond" w:hAnsi="Garamond"/>
          <w:b/>
          <w:bCs/>
          <w:color w:val="auto"/>
          <w:sz w:val="24"/>
          <w:szCs w:val="24"/>
        </w:rPr>
        <w:t>Current Permit Action</w:t>
      </w:r>
      <w:bookmarkEnd w:id="4"/>
      <w:r w:rsidRPr="000C644B">
        <w:rPr>
          <w:rFonts w:ascii="Garamond" w:hAnsi="Garamond"/>
          <w:b/>
          <w:bCs/>
          <w:color w:val="auto"/>
          <w:sz w:val="24"/>
          <w:szCs w:val="24"/>
        </w:rPr>
        <w:t xml:space="preserve"> </w:t>
      </w:r>
    </w:p>
    <w:p w14:paraId="6622B1A6" w14:textId="77777777" w:rsidR="00F44A3E" w:rsidRDefault="00F44A3E" w:rsidP="00F44A3E">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5D2601B2" w14:textId="6D217A83" w:rsidR="00AD26E6" w:rsidRDefault="00511D5C" w:rsidP="00511D5C">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sz w:val="24"/>
          <w:szCs w:val="24"/>
        </w:rPr>
        <w:t xml:space="preserve">On </w:t>
      </w:r>
      <w:r w:rsidR="004763EC">
        <w:rPr>
          <w:rFonts w:ascii="Garamond" w:hAnsi="Garamond"/>
          <w:sz w:val="24"/>
          <w:szCs w:val="24"/>
        </w:rPr>
        <w:t>January 22, 2026</w:t>
      </w:r>
      <w:r>
        <w:rPr>
          <w:rFonts w:ascii="Garamond" w:hAnsi="Garamond"/>
          <w:sz w:val="24"/>
          <w:szCs w:val="24"/>
        </w:rPr>
        <w:t xml:space="preserve">, </w:t>
      </w:r>
      <w:r w:rsidRPr="00511D5C">
        <w:rPr>
          <w:rFonts w:ascii="Garamond" w:hAnsi="Garamond"/>
          <w:sz w:val="24"/>
          <w:szCs w:val="24"/>
        </w:rPr>
        <w:t>pursuant to ARM 17.8.1205(2)(c),</w:t>
      </w:r>
      <w:r>
        <w:t xml:space="preserve"> </w:t>
      </w:r>
      <w:r>
        <w:rPr>
          <w:rFonts w:ascii="Garamond" w:hAnsi="Garamond"/>
          <w:sz w:val="24"/>
          <w:szCs w:val="24"/>
        </w:rPr>
        <w:t xml:space="preserve">DEQ received an application from Trinity Consultants on behalf of NBPL for the renewal of Title V Operating Permit #OP2979-16.  The application updated the Responsible Official and Alternate Responsible Official with no changes in applicable requirements during renewal. </w:t>
      </w:r>
    </w:p>
    <w:p w14:paraId="49DEFBE9" w14:textId="77777777" w:rsidR="00AD26E6" w:rsidRDefault="00AD26E6" w:rsidP="00511D5C">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0A72F5BC" w14:textId="26E9E1A5" w:rsidR="00AD26E6" w:rsidRPr="00B506A0" w:rsidRDefault="00B506A0" w:rsidP="00B506A0">
      <w:pPr>
        <w:ind w:left="360"/>
        <w:rPr>
          <w:rFonts w:ascii="Garamond" w:hAnsi="Garamond"/>
          <w:sz w:val="24"/>
          <w:szCs w:val="24"/>
          <w14:ligatures w14:val="none"/>
        </w:rPr>
      </w:pPr>
      <w:bookmarkStart w:id="5" w:name="_Hlk233620195"/>
      <w:r w:rsidRPr="00B506A0">
        <w:rPr>
          <w:rFonts w:ascii="Garamond" w:eastAsia="Aptos" w:hAnsi="Garamond"/>
          <w:kern w:val="2"/>
          <w:sz w:val="24"/>
          <w:szCs w:val="24"/>
        </w:rPr>
        <w:t>On July 21, 2023, EPA rescinded the emergency affirmative defense provisions from its Title V regulations. In response, each state which had the affected emergency provisions within their delegated Title V operating permit program, including Montana, was required to remove the provisions from their regulations. On September 5, 2025, the D.C. Circuit Court of Appeals reinstated the federal emergency affirmative defense. In response, o</w:t>
      </w:r>
      <w:r w:rsidRPr="00B506A0">
        <w:rPr>
          <w:rFonts w:ascii="Garamond" w:eastAsia="Aptos" w:hAnsi="Garamond"/>
          <w:color w:val="1B1B1B"/>
          <w:kern w:val="2"/>
          <w:sz w:val="24"/>
          <w:szCs w:val="24"/>
          <w:shd w:val="clear" w:color="auto" w:fill="FFFFFF"/>
        </w:rPr>
        <w:t xml:space="preserve">n May 28, 2026, EPA withdrew their July 2023 final rule that removed the provisions, and </w:t>
      </w:r>
      <w:r w:rsidRPr="00B506A0">
        <w:rPr>
          <w:rFonts w:ascii="Garamond" w:eastAsia="Aptos" w:hAnsi="Garamond"/>
          <w:kern w:val="2"/>
          <w:sz w:val="24"/>
          <w:szCs w:val="24"/>
        </w:rPr>
        <w:t>Montana is in the process of recodifying the provisions in its Title V operating permit program regulations. With the current permit action,</w:t>
      </w:r>
      <w:r w:rsidRPr="00B506A0">
        <w:rPr>
          <w:rFonts w:ascii="Garamond" w:hAnsi="Garamond"/>
          <w:sz w:val="24"/>
          <w:szCs w:val="24"/>
          <w14:ligatures w14:val="none"/>
        </w:rPr>
        <w:t xml:space="preserve"> DEQ revised </w:t>
      </w:r>
      <w:bookmarkStart w:id="6" w:name="_Hlk233620791"/>
      <w:r w:rsidRPr="00B506A0">
        <w:rPr>
          <w:rFonts w:ascii="Garamond" w:hAnsi="Garamond"/>
          <w:sz w:val="24"/>
          <w:szCs w:val="24"/>
          <w14:ligatures w14:val="none"/>
        </w:rPr>
        <w:t xml:space="preserve">Section V – Subsection F, Emergency Provisions, </w:t>
      </w:r>
      <w:r>
        <w:rPr>
          <w:rFonts w:ascii="Garamond" w:hAnsi="Garamond"/>
          <w:sz w:val="24"/>
          <w:szCs w:val="24"/>
          <w14:ligatures w14:val="none"/>
        </w:rPr>
        <w:t>of the Operating Permit</w:t>
      </w:r>
      <w:bookmarkEnd w:id="6"/>
      <w:r>
        <w:rPr>
          <w:rFonts w:ascii="Garamond" w:hAnsi="Garamond"/>
          <w:sz w:val="24"/>
          <w:szCs w:val="24"/>
          <w14:ligatures w14:val="none"/>
        </w:rPr>
        <w:t xml:space="preserve"> </w:t>
      </w:r>
      <w:r w:rsidRPr="00B506A0">
        <w:rPr>
          <w:rFonts w:ascii="Garamond" w:hAnsi="Garamond"/>
          <w:sz w:val="24"/>
          <w:szCs w:val="24"/>
          <w14:ligatures w14:val="none"/>
        </w:rPr>
        <w:t>to include the reinstated federal regulations.</w:t>
      </w:r>
      <w:bookmarkEnd w:id="5"/>
      <w:r w:rsidRPr="00B506A0">
        <w:rPr>
          <w:rFonts w:ascii="Garamond" w:eastAsia="Aptos" w:hAnsi="Garamond"/>
          <w:kern w:val="2"/>
          <w:sz w:val="24"/>
          <w:szCs w:val="24"/>
        </w:rPr>
        <w:t xml:space="preserve"> </w:t>
      </w:r>
    </w:p>
    <w:p w14:paraId="30887884" w14:textId="77777777" w:rsidR="00AD26E6" w:rsidRDefault="00AD26E6" w:rsidP="00511D5C">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b/>
          <w:sz w:val="24"/>
          <w:szCs w:val="24"/>
        </w:rPr>
      </w:pPr>
    </w:p>
    <w:p w14:paraId="7D4C1958" w14:textId="06DEE875" w:rsidR="000C644B" w:rsidRDefault="00511D5C" w:rsidP="00511D5C">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Pr>
          <w:rFonts w:ascii="Garamond" w:hAnsi="Garamond"/>
          <w:b/>
          <w:sz w:val="24"/>
          <w:szCs w:val="24"/>
        </w:rPr>
        <w:t>Title V Operating Permit #2979-17</w:t>
      </w:r>
      <w:r>
        <w:rPr>
          <w:rFonts w:ascii="Garamond" w:hAnsi="Garamond"/>
          <w:sz w:val="24"/>
          <w:szCs w:val="24"/>
        </w:rPr>
        <w:t xml:space="preserve"> replaces Title V Operating Permit #OP2974-16.</w:t>
      </w:r>
    </w:p>
    <w:p w14:paraId="10200842" w14:textId="77777777" w:rsidR="00511D5C" w:rsidRDefault="00511D5C" w:rsidP="00511D5C">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p>
    <w:p w14:paraId="0A829E48" w14:textId="2E881D2B"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7" w:name="_Toc228879222"/>
      <w:r w:rsidRPr="000C644B">
        <w:rPr>
          <w:rFonts w:ascii="Garamond" w:hAnsi="Garamond"/>
          <w:b/>
          <w:bCs/>
          <w:color w:val="auto"/>
          <w:sz w:val="24"/>
          <w:szCs w:val="24"/>
        </w:rPr>
        <w:t>Taking and Damaging Analysis</w:t>
      </w:r>
      <w:bookmarkEnd w:id="7"/>
      <w:r w:rsidRPr="000C644B">
        <w:rPr>
          <w:rFonts w:ascii="Garamond" w:hAnsi="Garamond"/>
          <w:b/>
          <w:bCs/>
          <w:color w:val="auto"/>
          <w:sz w:val="24"/>
          <w:szCs w:val="24"/>
        </w:rPr>
        <w:t xml:space="preserve"> </w:t>
      </w:r>
    </w:p>
    <w:p w14:paraId="4FFEDFE3" w14:textId="77777777" w:rsidR="001057A0" w:rsidRDefault="001057A0" w:rsidP="001057A0">
      <w:pPr>
        <w:rPr>
          <w:rFonts w:ascii="Garamond" w:hAnsi="Garamond"/>
          <w:sz w:val="24"/>
          <w:szCs w:val="24"/>
        </w:rPr>
      </w:pPr>
    </w:p>
    <w:p w14:paraId="7FDFD5FC" w14:textId="77777777" w:rsidR="001057A0" w:rsidRDefault="001057A0" w:rsidP="001057A0">
      <w:pPr>
        <w:ind w:left="360"/>
        <w:rPr>
          <w:rFonts w:ascii="Garamond" w:hAnsi="Garamond"/>
          <w:sz w:val="24"/>
          <w:szCs w:val="24"/>
        </w:rPr>
      </w:pPr>
      <w:r>
        <w:rPr>
          <w:rFonts w:ascii="Garamond" w:hAnsi="Garamond"/>
          <w:sz w:val="24"/>
          <w:szCs w:val="24"/>
        </w:rPr>
        <w:t xml:space="preserve">HB 311, the Montana Private Property Assessment Act, requires analysis of every proposed state agency administrative rule, policy, permit condition or permit denial, pertaining to an environmental matter, to determine whether the state action constitutes a taking or damaging of private real property that requires compensation under the Montana or U.S. Constitution.  </w:t>
      </w:r>
    </w:p>
    <w:p w14:paraId="49213289" w14:textId="4E4E811F" w:rsidR="001057A0" w:rsidRDefault="001057A0" w:rsidP="001057A0">
      <w:pPr>
        <w:ind w:left="360"/>
        <w:rPr>
          <w:rFonts w:ascii="Garamond" w:hAnsi="Garamond"/>
          <w:sz w:val="24"/>
          <w:szCs w:val="24"/>
        </w:rPr>
      </w:pPr>
      <w:r>
        <w:rPr>
          <w:rFonts w:ascii="Garamond" w:hAnsi="Garamond"/>
          <w:sz w:val="24"/>
          <w:szCs w:val="24"/>
        </w:rPr>
        <w:t xml:space="preserve">As part of issuing an operating permit, </w:t>
      </w:r>
      <w:r w:rsidR="00AF05C2">
        <w:rPr>
          <w:rFonts w:ascii="Garamond" w:hAnsi="Garamond"/>
          <w:sz w:val="24"/>
          <w:szCs w:val="24"/>
        </w:rPr>
        <w:t>DEQ</w:t>
      </w:r>
      <w:r>
        <w:rPr>
          <w:rFonts w:ascii="Garamond" w:hAnsi="Garamond"/>
          <w:sz w:val="24"/>
          <w:szCs w:val="24"/>
        </w:rPr>
        <w:t xml:space="preserve"> is required to complete a Taking and Damaging Checklist.  As required by 2-10-101 through 2-10-105, MCA, the </w:t>
      </w:r>
      <w:r w:rsidR="00BD1236">
        <w:rPr>
          <w:rFonts w:ascii="Garamond" w:hAnsi="Garamond"/>
          <w:sz w:val="24"/>
          <w:szCs w:val="24"/>
        </w:rPr>
        <w:t>DEQ</w:t>
      </w:r>
      <w:r>
        <w:rPr>
          <w:rFonts w:ascii="Garamond" w:hAnsi="Garamond"/>
          <w:sz w:val="24"/>
          <w:szCs w:val="24"/>
        </w:rPr>
        <w:t xml:space="preserve"> conducted the following private property taking and damaging assessment.</w:t>
      </w:r>
    </w:p>
    <w:p w14:paraId="199C93B4" w14:textId="77777777" w:rsidR="001057A0" w:rsidRDefault="001057A0" w:rsidP="001057A0">
      <w:pPr>
        <w:ind w:left="360"/>
        <w:rPr>
          <w:rFonts w:ascii="Garamond" w:hAnsi="Garamond"/>
          <w:sz w:val="24"/>
          <w:szCs w:val="24"/>
        </w:rPr>
      </w:pP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630"/>
        <w:gridCol w:w="24"/>
        <w:gridCol w:w="8100"/>
      </w:tblGrid>
      <w:tr w:rsidR="001057A0" w14:paraId="32A8E8E9" w14:textId="77777777" w:rsidTr="00AA443C">
        <w:trPr>
          <w:tblHeader/>
        </w:trPr>
        <w:tc>
          <w:tcPr>
            <w:tcW w:w="714" w:type="dxa"/>
            <w:tcBorders>
              <w:top w:val="single" w:sz="4" w:space="0" w:color="auto"/>
              <w:left w:val="single" w:sz="4" w:space="0" w:color="auto"/>
              <w:bottom w:val="nil"/>
              <w:right w:val="single" w:sz="4" w:space="0" w:color="auto"/>
            </w:tcBorders>
            <w:shd w:val="clear" w:color="auto" w:fill="FFFFFF"/>
            <w:hideMark/>
          </w:tcPr>
          <w:p w14:paraId="26DB2361" w14:textId="77777777" w:rsidR="001057A0" w:rsidRDefault="001057A0">
            <w:pPr>
              <w:rPr>
                <w:rFonts w:ascii="Garamond" w:hAnsi="Garamond"/>
                <w:b/>
                <w:sz w:val="24"/>
                <w:szCs w:val="24"/>
              </w:rPr>
            </w:pPr>
            <w:r>
              <w:rPr>
                <w:rFonts w:ascii="Garamond" w:hAnsi="Garamond"/>
                <w:b/>
                <w:sz w:val="24"/>
                <w:szCs w:val="24"/>
              </w:rPr>
              <w:t>YES</w:t>
            </w:r>
          </w:p>
        </w:tc>
        <w:tc>
          <w:tcPr>
            <w:tcW w:w="630" w:type="dxa"/>
            <w:tcBorders>
              <w:top w:val="single" w:sz="4" w:space="0" w:color="auto"/>
              <w:left w:val="single" w:sz="4" w:space="0" w:color="auto"/>
              <w:bottom w:val="single" w:sz="4" w:space="0" w:color="auto"/>
              <w:right w:val="single" w:sz="4" w:space="0" w:color="auto"/>
            </w:tcBorders>
            <w:shd w:val="clear" w:color="auto" w:fill="CCCCCC"/>
            <w:hideMark/>
          </w:tcPr>
          <w:p w14:paraId="3FE9028D" w14:textId="77777777" w:rsidR="001057A0" w:rsidRDefault="001057A0">
            <w:pPr>
              <w:rPr>
                <w:rFonts w:ascii="Garamond" w:hAnsi="Garamond"/>
                <w:b/>
                <w:sz w:val="24"/>
                <w:szCs w:val="24"/>
              </w:rPr>
            </w:pPr>
            <w:r>
              <w:rPr>
                <w:rFonts w:ascii="Garamond" w:hAnsi="Garamond"/>
                <w:b/>
                <w:sz w:val="24"/>
                <w:szCs w:val="24"/>
              </w:rPr>
              <w:t>NO</w:t>
            </w:r>
          </w:p>
        </w:tc>
        <w:tc>
          <w:tcPr>
            <w:tcW w:w="8124" w:type="dxa"/>
            <w:gridSpan w:val="2"/>
            <w:tcBorders>
              <w:top w:val="single" w:sz="4" w:space="0" w:color="auto"/>
              <w:left w:val="single" w:sz="4" w:space="0" w:color="auto"/>
              <w:bottom w:val="single" w:sz="4" w:space="0" w:color="auto"/>
              <w:right w:val="single" w:sz="4" w:space="0" w:color="auto"/>
            </w:tcBorders>
          </w:tcPr>
          <w:p w14:paraId="6913AB8B" w14:textId="77777777" w:rsidR="001057A0" w:rsidRDefault="001057A0">
            <w:pPr>
              <w:rPr>
                <w:rFonts w:ascii="Garamond" w:hAnsi="Garamond"/>
                <w:sz w:val="24"/>
                <w:szCs w:val="24"/>
              </w:rPr>
            </w:pPr>
          </w:p>
        </w:tc>
      </w:tr>
      <w:tr w:rsidR="001057A0" w14:paraId="53B723B3" w14:textId="77777777" w:rsidTr="00C430CE">
        <w:tc>
          <w:tcPr>
            <w:tcW w:w="714" w:type="dxa"/>
            <w:tcBorders>
              <w:top w:val="single" w:sz="4" w:space="0" w:color="auto"/>
              <w:left w:val="single" w:sz="4" w:space="0" w:color="auto"/>
              <w:bottom w:val="nil"/>
              <w:right w:val="single" w:sz="4" w:space="0" w:color="auto"/>
            </w:tcBorders>
            <w:shd w:val="clear" w:color="auto" w:fill="FFFFFF"/>
            <w:vAlign w:val="center"/>
            <w:hideMark/>
          </w:tcPr>
          <w:p w14:paraId="14FBFE53" w14:textId="77777777" w:rsidR="001057A0" w:rsidRDefault="001057A0">
            <w:pPr>
              <w:jc w:val="center"/>
              <w:rPr>
                <w:rFonts w:ascii="Garamond" w:hAnsi="Garamond"/>
                <w:sz w:val="24"/>
                <w:szCs w:val="24"/>
              </w:rPr>
            </w:pPr>
            <w:r>
              <w:rPr>
                <w:rFonts w:ascii="Garamond" w:hAnsi="Garamond"/>
                <w:sz w:val="24"/>
                <w:szCs w:val="24"/>
              </w:rPr>
              <w:t>X</w:t>
            </w:r>
          </w:p>
        </w:tc>
        <w:tc>
          <w:tcPr>
            <w:tcW w:w="654"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587B2A" w14:textId="12212547" w:rsidR="001057A0" w:rsidRDefault="001057A0">
            <w:pPr>
              <w:jc w:val="center"/>
              <w:rPr>
                <w:rFonts w:ascii="Garamond" w:hAnsi="Garamond"/>
                <w:sz w:val="24"/>
                <w:szCs w:val="24"/>
              </w:rPr>
            </w:pPr>
          </w:p>
        </w:tc>
        <w:tc>
          <w:tcPr>
            <w:tcW w:w="8100" w:type="dxa"/>
            <w:tcBorders>
              <w:top w:val="single" w:sz="4" w:space="0" w:color="auto"/>
              <w:left w:val="single" w:sz="4" w:space="0" w:color="auto"/>
              <w:bottom w:val="single" w:sz="4" w:space="0" w:color="auto"/>
              <w:right w:val="single" w:sz="4" w:space="0" w:color="auto"/>
            </w:tcBorders>
            <w:hideMark/>
          </w:tcPr>
          <w:p w14:paraId="3779B8E6" w14:textId="77777777" w:rsidR="001057A0" w:rsidRDefault="001057A0">
            <w:pPr>
              <w:rPr>
                <w:rFonts w:ascii="Garamond" w:hAnsi="Garamond"/>
                <w:sz w:val="24"/>
                <w:szCs w:val="24"/>
              </w:rPr>
            </w:pPr>
            <w:r>
              <w:rPr>
                <w:rFonts w:ascii="Garamond" w:hAnsi="Garamond"/>
                <w:sz w:val="24"/>
                <w:szCs w:val="24"/>
              </w:rPr>
              <w:t>1. Does the action pertain to land or water management or environmental regulation affecting private real property or water rights?</w:t>
            </w:r>
          </w:p>
        </w:tc>
      </w:tr>
      <w:tr w:rsidR="001057A0" w14:paraId="09E4CD1D"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vAlign w:val="center"/>
          </w:tcPr>
          <w:p w14:paraId="33E16331"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8A72E7B"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70AF2329" w14:textId="77777777" w:rsidR="001057A0" w:rsidRDefault="001057A0">
            <w:pPr>
              <w:rPr>
                <w:rFonts w:ascii="Garamond" w:hAnsi="Garamond"/>
                <w:sz w:val="24"/>
                <w:szCs w:val="24"/>
              </w:rPr>
            </w:pPr>
            <w:r>
              <w:rPr>
                <w:rFonts w:ascii="Garamond" w:hAnsi="Garamond"/>
                <w:sz w:val="24"/>
                <w:szCs w:val="24"/>
              </w:rPr>
              <w:t>2.  Does the action result in either a permanent or indefinite physical occupation of private property?</w:t>
            </w:r>
          </w:p>
        </w:tc>
      </w:tr>
      <w:tr w:rsidR="001057A0" w14:paraId="05FE1C84"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299D96B2"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DAAF73E"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42DBD16D" w14:textId="77777777" w:rsidR="001057A0" w:rsidRDefault="001057A0">
            <w:pPr>
              <w:rPr>
                <w:rFonts w:ascii="Garamond" w:hAnsi="Garamond"/>
                <w:sz w:val="24"/>
                <w:szCs w:val="24"/>
              </w:rPr>
            </w:pPr>
            <w:r>
              <w:rPr>
                <w:rFonts w:ascii="Garamond" w:hAnsi="Garamond"/>
                <w:sz w:val="24"/>
                <w:szCs w:val="24"/>
              </w:rPr>
              <w:t>3.  Does the action deny a fundamental attribute of ownership? (ex.:  right to exclude others, disposal of property)</w:t>
            </w:r>
          </w:p>
        </w:tc>
      </w:tr>
      <w:tr w:rsidR="001057A0" w14:paraId="0EDB791F"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0098A63C"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B2DFAB3"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2DF799FE" w14:textId="77777777" w:rsidR="001057A0" w:rsidRDefault="001057A0">
            <w:pPr>
              <w:rPr>
                <w:rFonts w:ascii="Garamond" w:hAnsi="Garamond"/>
                <w:sz w:val="24"/>
                <w:szCs w:val="24"/>
              </w:rPr>
            </w:pPr>
            <w:r>
              <w:rPr>
                <w:rFonts w:ascii="Garamond" w:hAnsi="Garamond"/>
                <w:sz w:val="24"/>
                <w:szCs w:val="24"/>
              </w:rPr>
              <w:t>4.  Does the action deprive the owner of all economically viable uses of the property?</w:t>
            </w:r>
          </w:p>
        </w:tc>
      </w:tr>
      <w:tr w:rsidR="001057A0" w14:paraId="298872DB" w14:textId="77777777" w:rsidTr="00C430CE">
        <w:tc>
          <w:tcPr>
            <w:tcW w:w="714" w:type="dxa"/>
            <w:tcBorders>
              <w:top w:val="single" w:sz="4" w:space="0" w:color="auto"/>
              <w:left w:val="single" w:sz="4" w:space="0" w:color="auto"/>
              <w:bottom w:val="single" w:sz="4" w:space="0" w:color="auto"/>
              <w:right w:val="single" w:sz="4" w:space="0" w:color="auto"/>
            </w:tcBorders>
          </w:tcPr>
          <w:p w14:paraId="14C2578E"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EA5AC63"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34D34EF2" w14:textId="77777777" w:rsidR="001057A0" w:rsidRDefault="001057A0">
            <w:pPr>
              <w:rPr>
                <w:rFonts w:ascii="Garamond" w:hAnsi="Garamond"/>
                <w:sz w:val="24"/>
                <w:szCs w:val="24"/>
              </w:rPr>
            </w:pPr>
            <w:r>
              <w:rPr>
                <w:rFonts w:ascii="Garamond" w:hAnsi="Garamond"/>
                <w:sz w:val="24"/>
                <w:szCs w:val="24"/>
              </w:rPr>
              <w:t>5.  Does the action require a property owner to dedicate a portion of property or to grant an easement? [If no, go to (6)].</w:t>
            </w:r>
          </w:p>
        </w:tc>
      </w:tr>
      <w:tr w:rsidR="001057A0" w14:paraId="10663DB6" w14:textId="77777777" w:rsidTr="00C430CE">
        <w:tc>
          <w:tcPr>
            <w:tcW w:w="714" w:type="dxa"/>
            <w:tcBorders>
              <w:top w:val="single" w:sz="4" w:space="0" w:color="auto"/>
              <w:left w:val="single" w:sz="4" w:space="0" w:color="auto"/>
              <w:bottom w:val="single" w:sz="4" w:space="0" w:color="auto"/>
              <w:right w:val="single" w:sz="4" w:space="0" w:color="auto"/>
            </w:tcBorders>
          </w:tcPr>
          <w:p w14:paraId="72AB0656"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261EF5B9" w14:textId="77777777" w:rsidR="001057A0" w:rsidRDefault="001057A0">
            <w:pPr>
              <w:jc w:val="center"/>
              <w:rPr>
                <w:rFonts w:ascii="Garamond" w:hAnsi="Garamond"/>
                <w:sz w:val="24"/>
                <w:szCs w:val="24"/>
              </w:rPr>
            </w:pPr>
          </w:p>
        </w:tc>
        <w:tc>
          <w:tcPr>
            <w:tcW w:w="8100" w:type="dxa"/>
            <w:tcBorders>
              <w:top w:val="single" w:sz="4" w:space="0" w:color="auto"/>
              <w:left w:val="single" w:sz="4" w:space="0" w:color="auto"/>
              <w:bottom w:val="single" w:sz="4" w:space="0" w:color="auto"/>
              <w:right w:val="single" w:sz="4" w:space="0" w:color="auto"/>
            </w:tcBorders>
            <w:hideMark/>
          </w:tcPr>
          <w:p w14:paraId="0CC58404" w14:textId="77777777" w:rsidR="001057A0" w:rsidRDefault="001057A0">
            <w:pPr>
              <w:rPr>
                <w:rFonts w:ascii="Garamond" w:hAnsi="Garamond"/>
                <w:sz w:val="24"/>
                <w:szCs w:val="24"/>
              </w:rPr>
            </w:pPr>
            <w:r>
              <w:rPr>
                <w:rFonts w:ascii="Garamond" w:hAnsi="Garamond"/>
                <w:sz w:val="24"/>
                <w:szCs w:val="24"/>
              </w:rPr>
              <w:t>5a. Is there a reasonable, specific connection between the government requirement and legitimate state interests?</w:t>
            </w:r>
          </w:p>
        </w:tc>
      </w:tr>
      <w:tr w:rsidR="001057A0" w14:paraId="6FAAE622" w14:textId="77777777" w:rsidTr="00C430CE">
        <w:tc>
          <w:tcPr>
            <w:tcW w:w="714" w:type="dxa"/>
            <w:tcBorders>
              <w:top w:val="single" w:sz="4" w:space="0" w:color="auto"/>
              <w:left w:val="single" w:sz="4" w:space="0" w:color="auto"/>
              <w:bottom w:val="single" w:sz="4" w:space="0" w:color="auto"/>
              <w:right w:val="single" w:sz="4" w:space="0" w:color="auto"/>
            </w:tcBorders>
          </w:tcPr>
          <w:p w14:paraId="3D5A21B2"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45CB7471" w14:textId="77777777" w:rsidR="001057A0" w:rsidRDefault="001057A0">
            <w:pPr>
              <w:jc w:val="center"/>
              <w:rPr>
                <w:rFonts w:ascii="Garamond" w:hAnsi="Garamond"/>
                <w:sz w:val="24"/>
                <w:szCs w:val="24"/>
              </w:rPr>
            </w:pPr>
          </w:p>
        </w:tc>
        <w:tc>
          <w:tcPr>
            <w:tcW w:w="8100" w:type="dxa"/>
            <w:tcBorders>
              <w:top w:val="single" w:sz="4" w:space="0" w:color="auto"/>
              <w:left w:val="single" w:sz="4" w:space="0" w:color="auto"/>
              <w:bottom w:val="single" w:sz="4" w:space="0" w:color="auto"/>
              <w:right w:val="single" w:sz="4" w:space="0" w:color="auto"/>
            </w:tcBorders>
            <w:hideMark/>
          </w:tcPr>
          <w:p w14:paraId="293EF788" w14:textId="77777777" w:rsidR="001057A0" w:rsidRDefault="001057A0">
            <w:pPr>
              <w:rPr>
                <w:rFonts w:ascii="Garamond" w:hAnsi="Garamond"/>
                <w:sz w:val="24"/>
                <w:szCs w:val="24"/>
              </w:rPr>
            </w:pPr>
            <w:r>
              <w:rPr>
                <w:rFonts w:ascii="Garamond" w:hAnsi="Garamond"/>
                <w:sz w:val="24"/>
                <w:szCs w:val="24"/>
              </w:rPr>
              <w:t>5b. Is the government requirement roughly proportional to the impact of the proposed use of the property?</w:t>
            </w:r>
          </w:p>
        </w:tc>
      </w:tr>
      <w:tr w:rsidR="001057A0" w14:paraId="408C3AB0"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0A4B9C5E"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1BA78ED"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39BDC71B" w14:textId="77777777" w:rsidR="001057A0" w:rsidRDefault="001057A0">
            <w:pPr>
              <w:rPr>
                <w:rFonts w:ascii="Garamond" w:hAnsi="Garamond"/>
                <w:sz w:val="24"/>
                <w:szCs w:val="24"/>
              </w:rPr>
            </w:pPr>
            <w:r>
              <w:rPr>
                <w:rFonts w:ascii="Garamond" w:hAnsi="Garamond"/>
                <w:sz w:val="24"/>
                <w:szCs w:val="24"/>
              </w:rPr>
              <w:t>6.  Does the action have a severe impact on the value of the property?  (consider economic impact, investment-backed expectations, character of government action)</w:t>
            </w:r>
          </w:p>
        </w:tc>
      </w:tr>
      <w:tr w:rsidR="001057A0" w14:paraId="2A4B8BAB" w14:textId="77777777" w:rsidTr="00C430CE">
        <w:tc>
          <w:tcPr>
            <w:tcW w:w="714" w:type="dxa"/>
            <w:tcBorders>
              <w:top w:val="single" w:sz="4" w:space="0" w:color="auto"/>
              <w:left w:val="single" w:sz="4" w:space="0" w:color="auto"/>
              <w:bottom w:val="single" w:sz="4" w:space="0" w:color="auto"/>
              <w:right w:val="single" w:sz="4" w:space="0" w:color="auto"/>
            </w:tcBorders>
          </w:tcPr>
          <w:p w14:paraId="5EB450A5"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4686BA8F"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39AFDA04" w14:textId="77777777" w:rsidR="001057A0" w:rsidRDefault="001057A0">
            <w:pPr>
              <w:rPr>
                <w:rFonts w:ascii="Garamond" w:hAnsi="Garamond"/>
                <w:sz w:val="24"/>
                <w:szCs w:val="24"/>
              </w:rPr>
            </w:pPr>
            <w:r>
              <w:rPr>
                <w:rFonts w:ascii="Garamond" w:hAnsi="Garamond"/>
                <w:sz w:val="24"/>
                <w:szCs w:val="24"/>
              </w:rPr>
              <w:t>7.  Does the action damage the property by causing some physical disturbance with respect to the property in excess of that sustained by the public generally?</w:t>
            </w:r>
          </w:p>
        </w:tc>
      </w:tr>
      <w:tr w:rsidR="001057A0" w14:paraId="1397B5BC"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2F39EC26"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C253D27"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1BA7E8B9" w14:textId="77777777" w:rsidR="001057A0" w:rsidRDefault="001057A0">
            <w:pPr>
              <w:rPr>
                <w:rFonts w:ascii="Garamond" w:hAnsi="Garamond"/>
                <w:sz w:val="24"/>
                <w:szCs w:val="24"/>
              </w:rPr>
            </w:pPr>
            <w:r>
              <w:rPr>
                <w:rFonts w:ascii="Garamond" w:hAnsi="Garamond"/>
                <w:sz w:val="24"/>
                <w:szCs w:val="24"/>
              </w:rPr>
              <w:t xml:space="preserve">7a. Is the impact of government action direct, peculiar, and significant?  </w:t>
            </w:r>
          </w:p>
        </w:tc>
      </w:tr>
      <w:tr w:rsidR="001057A0" w14:paraId="5B0D01E2"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3E23AD70"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79C167BE"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0BB5DDDC" w14:textId="77777777" w:rsidR="001057A0" w:rsidRDefault="001057A0">
            <w:pPr>
              <w:rPr>
                <w:rFonts w:ascii="Garamond" w:hAnsi="Garamond"/>
                <w:sz w:val="24"/>
                <w:szCs w:val="24"/>
              </w:rPr>
            </w:pPr>
            <w:r>
              <w:rPr>
                <w:rFonts w:ascii="Garamond" w:hAnsi="Garamond"/>
                <w:sz w:val="24"/>
                <w:szCs w:val="24"/>
              </w:rPr>
              <w:t>7b. Has government action resulted in the property becoming practically inaccessible, waterlogged or flooded?</w:t>
            </w:r>
          </w:p>
        </w:tc>
      </w:tr>
      <w:tr w:rsidR="001057A0" w14:paraId="25144E64" w14:textId="77777777" w:rsidTr="00C430CE">
        <w:tc>
          <w:tcPr>
            <w:tcW w:w="714" w:type="dxa"/>
            <w:tcBorders>
              <w:top w:val="single" w:sz="4" w:space="0" w:color="auto"/>
              <w:left w:val="single" w:sz="4" w:space="0" w:color="auto"/>
              <w:bottom w:val="single" w:sz="4" w:space="0" w:color="auto"/>
              <w:right w:val="single" w:sz="4" w:space="0" w:color="auto"/>
            </w:tcBorders>
            <w:shd w:val="pct15" w:color="auto" w:fill="FFFFFF"/>
          </w:tcPr>
          <w:p w14:paraId="1D0E2773"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430C3347"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46181617" w14:textId="77777777" w:rsidR="001057A0" w:rsidRDefault="001057A0">
            <w:pPr>
              <w:rPr>
                <w:rFonts w:ascii="Garamond" w:hAnsi="Garamond"/>
                <w:sz w:val="24"/>
                <w:szCs w:val="24"/>
              </w:rPr>
            </w:pPr>
            <w:r>
              <w:rPr>
                <w:rFonts w:ascii="Garamond" w:hAnsi="Garamond"/>
                <w:sz w:val="24"/>
                <w:szCs w:val="24"/>
              </w:rPr>
              <w:t>7c. Has government action lowered property values by more than 30% and necessitated the physical taking of adjacent property or property across a public way from the property in question?</w:t>
            </w:r>
          </w:p>
        </w:tc>
      </w:tr>
      <w:tr w:rsidR="001057A0" w14:paraId="122E1C2F" w14:textId="77777777" w:rsidTr="00C430CE">
        <w:tc>
          <w:tcPr>
            <w:tcW w:w="714" w:type="dxa"/>
            <w:tcBorders>
              <w:top w:val="single" w:sz="4" w:space="0" w:color="auto"/>
              <w:left w:val="single" w:sz="4" w:space="0" w:color="auto"/>
              <w:bottom w:val="single" w:sz="4" w:space="0" w:color="auto"/>
              <w:right w:val="single" w:sz="4" w:space="0" w:color="auto"/>
            </w:tcBorders>
          </w:tcPr>
          <w:p w14:paraId="17102A99" w14:textId="77777777" w:rsidR="001057A0" w:rsidRDefault="001057A0">
            <w:pPr>
              <w:jc w:val="center"/>
              <w:rPr>
                <w:rFonts w:ascii="Garamond" w:hAnsi="Garamond"/>
                <w:sz w:val="24"/>
                <w:szCs w:val="24"/>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23EE202" w14:textId="77777777" w:rsidR="001057A0" w:rsidRDefault="001057A0">
            <w:pPr>
              <w:jc w:val="center"/>
              <w:rPr>
                <w:rFonts w:ascii="Garamond" w:hAnsi="Garamond"/>
                <w:sz w:val="24"/>
                <w:szCs w:val="24"/>
              </w:rPr>
            </w:pPr>
            <w:r>
              <w:rPr>
                <w:rFonts w:ascii="Garamond" w:hAnsi="Garamond"/>
                <w:sz w:val="24"/>
                <w:szCs w:val="24"/>
              </w:rPr>
              <w:t>X</w:t>
            </w:r>
          </w:p>
        </w:tc>
        <w:tc>
          <w:tcPr>
            <w:tcW w:w="8100" w:type="dxa"/>
            <w:tcBorders>
              <w:top w:val="single" w:sz="4" w:space="0" w:color="auto"/>
              <w:left w:val="single" w:sz="4" w:space="0" w:color="auto"/>
              <w:bottom w:val="single" w:sz="4" w:space="0" w:color="auto"/>
              <w:right w:val="single" w:sz="4" w:space="0" w:color="auto"/>
            </w:tcBorders>
            <w:hideMark/>
          </w:tcPr>
          <w:p w14:paraId="217149EF" w14:textId="77777777" w:rsidR="001057A0" w:rsidRDefault="001057A0">
            <w:pPr>
              <w:rPr>
                <w:rFonts w:ascii="Garamond" w:hAnsi="Garamond"/>
                <w:sz w:val="24"/>
                <w:szCs w:val="24"/>
              </w:rPr>
            </w:pPr>
            <w:r>
              <w:rPr>
                <w:rFonts w:ascii="Garamond" w:hAnsi="Garamond"/>
                <w:sz w:val="24"/>
                <w:szCs w:val="24"/>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0DFC000F" w14:textId="77777777" w:rsidR="001057A0" w:rsidRDefault="001057A0" w:rsidP="001057A0">
      <w:pPr>
        <w:pStyle w:val="BodyTextIndent2"/>
        <w:spacing w:after="0" w:line="240" w:lineRule="auto"/>
        <w:rPr>
          <w:rFonts w:ascii="Garamond" w:hAnsi="Garamond"/>
          <w:sz w:val="24"/>
          <w:szCs w:val="24"/>
        </w:rPr>
      </w:pPr>
    </w:p>
    <w:p w14:paraId="179AEFC8" w14:textId="7845E972" w:rsidR="001057A0" w:rsidRDefault="001057A0" w:rsidP="001057A0">
      <w:pPr>
        <w:pStyle w:val="BodyTextIndent2"/>
        <w:spacing w:after="0" w:line="240" w:lineRule="auto"/>
        <w:rPr>
          <w:rFonts w:ascii="Garamond" w:hAnsi="Garamond"/>
          <w:sz w:val="24"/>
          <w:szCs w:val="24"/>
        </w:rPr>
      </w:pPr>
      <w:r>
        <w:rPr>
          <w:rFonts w:ascii="Garamond" w:hAnsi="Garamond"/>
          <w:sz w:val="24"/>
          <w:szCs w:val="24"/>
        </w:rPr>
        <w:t xml:space="preserve">Based on this analysis, </w:t>
      </w:r>
      <w:r w:rsidR="00AF05C2">
        <w:rPr>
          <w:rFonts w:ascii="Garamond" w:hAnsi="Garamond"/>
          <w:sz w:val="24"/>
          <w:szCs w:val="24"/>
        </w:rPr>
        <w:t>DEQ</w:t>
      </w:r>
      <w:r>
        <w:rPr>
          <w:rFonts w:ascii="Garamond" w:hAnsi="Garamond"/>
          <w:sz w:val="24"/>
          <w:szCs w:val="24"/>
        </w:rPr>
        <w:t xml:space="preserve"> determined there are no taking or damaging implications associated with this permit action.</w:t>
      </w:r>
    </w:p>
    <w:p w14:paraId="2DED8534" w14:textId="77777777" w:rsidR="001057A0" w:rsidRDefault="001057A0" w:rsidP="001057A0">
      <w:pPr>
        <w:rPr>
          <w:rFonts w:ascii="Garamond" w:hAnsi="Garamond"/>
          <w:sz w:val="24"/>
          <w:szCs w:val="24"/>
        </w:rPr>
      </w:pPr>
    </w:p>
    <w:p w14:paraId="0C1BE28D" w14:textId="680EBDFA" w:rsidR="001057A0" w:rsidRPr="000C644B" w:rsidRDefault="001057A0" w:rsidP="000C644B">
      <w:pPr>
        <w:pStyle w:val="Heading2"/>
        <w:numPr>
          <w:ilvl w:val="0"/>
          <w:numId w:val="2"/>
        </w:numPr>
        <w:spacing w:before="0" w:after="0"/>
        <w:rPr>
          <w:rFonts w:ascii="Garamond" w:hAnsi="Garamond"/>
          <w:b/>
          <w:bCs/>
          <w:color w:val="auto"/>
          <w:sz w:val="24"/>
          <w:szCs w:val="24"/>
        </w:rPr>
      </w:pPr>
      <w:bookmarkStart w:id="8" w:name="_Toc228879223"/>
      <w:r w:rsidRPr="000C644B">
        <w:rPr>
          <w:rFonts w:ascii="Garamond" w:hAnsi="Garamond"/>
          <w:b/>
          <w:bCs/>
          <w:color w:val="auto"/>
          <w:sz w:val="24"/>
          <w:szCs w:val="24"/>
        </w:rPr>
        <w:t>Compliance Designation</w:t>
      </w:r>
      <w:bookmarkEnd w:id="8"/>
    </w:p>
    <w:p w14:paraId="24CEF9B7" w14:textId="77777777" w:rsidR="001057A0" w:rsidRDefault="001057A0" w:rsidP="001057A0">
      <w:pPr>
        <w:keepNext/>
        <w:rPr>
          <w:rFonts w:ascii="Garamond" w:hAnsi="Garamond"/>
          <w:sz w:val="24"/>
          <w:szCs w:val="24"/>
        </w:rPr>
      </w:pPr>
    </w:p>
    <w:p w14:paraId="08F259B0" w14:textId="08C14189" w:rsidR="004515DE" w:rsidRPr="004515DE" w:rsidRDefault="006F13B8" w:rsidP="004515DE">
      <w:pPr>
        <w:ind w:left="360"/>
        <w:rPr>
          <w:rFonts w:ascii="Garamond" w:hAnsi="Garamond"/>
          <w:sz w:val="24"/>
          <w:szCs w:val="24"/>
        </w:rPr>
      </w:pPr>
      <w:r>
        <w:rPr>
          <w:rFonts w:ascii="Garamond" w:hAnsi="Garamond"/>
          <w:sz w:val="24"/>
          <w:szCs w:val="24"/>
        </w:rPr>
        <w:t>DEQ</w:t>
      </w:r>
      <w:r w:rsidR="001057A0">
        <w:rPr>
          <w:rFonts w:ascii="Garamond" w:hAnsi="Garamond"/>
          <w:sz w:val="24"/>
          <w:szCs w:val="24"/>
        </w:rPr>
        <w:t xml:space="preserve"> conducted a </w:t>
      </w:r>
      <w:r w:rsidR="00294111">
        <w:rPr>
          <w:rFonts w:ascii="Garamond" w:hAnsi="Garamond"/>
          <w:sz w:val="24"/>
          <w:szCs w:val="24"/>
        </w:rPr>
        <w:t>compliance monitoring report</w:t>
      </w:r>
      <w:r w:rsidR="001057A0">
        <w:rPr>
          <w:rFonts w:ascii="Garamond" w:hAnsi="Garamond"/>
          <w:sz w:val="24"/>
          <w:szCs w:val="24"/>
        </w:rPr>
        <w:t xml:space="preserve"> for the period from </w:t>
      </w:r>
      <w:r w:rsidR="004515DE">
        <w:rPr>
          <w:rFonts w:ascii="Garamond" w:hAnsi="Garamond"/>
          <w:sz w:val="24"/>
          <w:szCs w:val="24"/>
        </w:rPr>
        <w:t>March 11, 2025</w:t>
      </w:r>
      <w:r w:rsidR="00862145">
        <w:rPr>
          <w:rFonts w:ascii="Garamond" w:hAnsi="Garamond"/>
          <w:sz w:val="24"/>
          <w:szCs w:val="24"/>
        </w:rPr>
        <w:t>,</w:t>
      </w:r>
      <w:r w:rsidR="001057A0">
        <w:rPr>
          <w:rFonts w:ascii="Garamond" w:hAnsi="Garamond"/>
          <w:sz w:val="24"/>
          <w:szCs w:val="24"/>
        </w:rPr>
        <w:t xml:space="preserve"> through </w:t>
      </w:r>
      <w:r w:rsidR="004515DE">
        <w:rPr>
          <w:rFonts w:ascii="Garamond" w:hAnsi="Garamond"/>
          <w:sz w:val="24"/>
          <w:szCs w:val="24"/>
        </w:rPr>
        <w:t>March 10, 2026</w:t>
      </w:r>
      <w:r w:rsidR="001057A0">
        <w:rPr>
          <w:rFonts w:ascii="Garamond" w:hAnsi="Garamond"/>
          <w:sz w:val="24"/>
          <w:szCs w:val="24"/>
        </w:rPr>
        <w:t xml:space="preserve">. </w:t>
      </w:r>
      <w:r w:rsidR="004515DE" w:rsidRPr="004515DE">
        <w:rPr>
          <w:rFonts w:ascii="Garamond" w:hAnsi="Garamond"/>
          <w:sz w:val="24"/>
          <w:szCs w:val="24"/>
        </w:rPr>
        <w:t xml:space="preserve">Based upon the information gathered during the review of facility reports, notifications, and compliance certifications submitted by NBPL during the review period, DEQ believes that NBPL’s Glasgow Station No. 1 </w:t>
      </w:r>
      <w:proofErr w:type="gramStart"/>
      <w:r w:rsidR="004515DE" w:rsidRPr="004515DE">
        <w:rPr>
          <w:rFonts w:ascii="Garamond" w:hAnsi="Garamond"/>
          <w:sz w:val="24"/>
          <w:szCs w:val="24"/>
        </w:rPr>
        <w:t>is in compliance with</w:t>
      </w:r>
      <w:proofErr w:type="gramEnd"/>
      <w:r w:rsidR="004515DE" w:rsidRPr="004515DE">
        <w:rPr>
          <w:rFonts w:ascii="Garamond" w:hAnsi="Garamond"/>
          <w:sz w:val="24"/>
          <w:szCs w:val="24"/>
        </w:rPr>
        <w:t xml:space="preserve"> the applicable requirements for the period covered by this Compliance</w:t>
      </w:r>
      <w:r w:rsidR="004515DE">
        <w:rPr>
          <w:rFonts w:ascii="Garamond" w:hAnsi="Garamond"/>
          <w:sz w:val="24"/>
          <w:szCs w:val="24"/>
        </w:rPr>
        <w:t xml:space="preserve"> </w:t>
      </w:r>
      <w:r w:rsidR="004515DE" w:rsidRPr="004515DE">
        <w:rPr>
          <w:rFonts w:ascii="Garamond" w:hAnsi="Garamond"/>
          <w:sz w:val="24"/>
          <w:szCs w:val="24"/>
        </w:rPr>
        <w:t>Monitoring Report.</w:t>
      </w:r>
    </w:p>
    <w:p w14:paraId="334EA7B0" w14:textId="54677A18" w:rsidR="001057A0" w:rsidRDefault="001057A0" w:rsidP="001057A0">
      <w:pPr>
        <w:ind w:left="360"/>
        <w:rPr>
          <w:rFonts w:ascii="Garamond" w:hAnsi="Garamond"/>
          <w:sz w:val="24"/>
          <w:szCs w:val="24"/>
        </w:rPr>
      </w:pPr>
    </w:p>
    <w:p w14:paraId="6B83EC58" w14:textId="77777777" w:rsidR="001057A0" w:rsidRDefault="001057A0" w:rsidP="001057A0">
      <w:pPr>
        <w:pStyle w:val="BodyTextIndent2"/>
        <w:spacing w:after="0" w:line="240" w:lineRule="auto"/>
        <w:rPr>
          <w:rFonts w:ascii="Garamond" w:hAnsi="Garamond"/>
          <w:sz w:val="24"/>
          <w:szCs w:val="24"/>
        </w:rPr>
      </w:pPr>
    </w:p>
    <w:p w14:paraId="3F0ECAE7" w14:textId="77777777" w:rsidR="001057A0" w:rsidRDefault="001057A0" w:rsidP="001057A0">
      <w:pPr>
        <w:pStyle w:val="BodyTextIndent2"/>
        <w:spacing w:after="0" w:line="240" w:lineRule="auto"/>
        <w:rPr>
          <w:rFonts w:ascii="Garamond" w:hAnsi="Garamond"/>
          <w:sz w:val="24"/>
          <w:szCs w:val="24"/>
        </w:rPr>
      </w:pPr>
      <w:r>
        <w:rPr>
          <w:rFonts w:ascii="Garamond" w:hAnsi="Garamond"/>
          <w:sz w:val="24"/>
          <w:szCs w:val="24"/>
        </w:rPr>
        <w:t xml:space="preserve">     </w:t>
      </w:r>
    </w:p>
    <w:p w14:paraId="358ADF27" w14:textId="77777777" w:rsidR="001057A0" w:rsidRDefault="001057A0" w:rsidP="001057A0">
      <w:pPr>
        <w:pStyle w:val="BodyTextIndent2"/>
        <w:spacing w:after="0" w:line="240" w:lineRule="auto"/>
        <w:rPr>
          <w:rFonts w:ascii="Garamond" w:hAnsi="Garamond"/>
          <w:sz w:val="24"/>
          <w:szCs w:val="24"/>
        </w:rPr>
      </w:pPr>
    </w:p>
    <w:p w14:paraId="2B9FAFD7" w14:textId="77777777" w:rsidR="001057A0" w:rsidRDefault="001057A0" w:rsidP="001057A0">
      <w:pPr>
        <w:pStyle w:val="BodyTextIndent2"/>
        <w:spacing w:after="0" w:line="240" w:lineRule="auto"/>
        <w:rPr>
          <w:rFonts w:ascii="Garamond" w:hAnsi="Garamond"/>
          <w:sz w:val="24"/>
          <w:szCs w:val="24"/>
        </w:rPr>
      </w:pPr>
      <w:r>
        <w:rPr>
          <w:rFonts w:ascii="Garamond" w:hAnsi="Garamond"/>
          <w:sz w:val="24"/>
          <w:szCs w:val="24"/>
        </w:rPr>
        <w:t xml:space="preserve">     </w:t>
      </w:r>
    </w:p>
    <w:p w14:paraId="28298853" w14:textId="77777777" w:rsidR="001057A0" w:rsidRDefault="001057A0" w:rsidP="001057A0">
      <w:pPr>
        <w:rPr>
          <w:rFonts w:ascii="Garamond" w:hAnsi="Garamond"/>
          <w:b/>
          <w:sz w:val="24"/>
          <w:szCs w:val="24"/>
        </w:rPr>
        <w:sectPr w:rsidR="001057A0" w:rsidSect="00511D5C">
          <w:footerReference w:type="default" r:id="rId7"/>
          <w:pgSz w:w="12240" w:h="15840"/>
          <w:pgMar w:top="1152" w:right="1440" w:bottom="1008" w:left="1440" w:header="720" w:footer="432" w:gutter="0"/>
          <w:pgNumType w:start="1"/>
          <w:cols w:space="720"/>
          <w:docGrid w:linePitch="272"/>
        </w:sectPr>
      </w:pPr>
    </w:p>
    <w:p w14:paraId="5C5F9AFD" w14:textId="1FBF6E47" w:rsidR="001057A0" w:rsidRPr="000C644B" w:rsidRDefault="000C644B" w:rsidP="000C644B">
      <w:pPr>
        <w:pStyle w:val="Heading1"/>
        <w:jc w:val="center"/>
        <w:rPr>
          <w:rFonts w:ascii="Garamond" w:hAnsi="Garamond"/>
          <w:b/>
          <w:bCs/>
          <w:sz w:val="24"/>
          <w:szCs w:val="24"/>
        </w:rPr>
      </w:pPr>
      <w:bookmarkStart w:id="9" w:name="_Toc228879224"/>
      <w:r w:rsidRPr="000C644B">
        <w:rPr>
          <w:rFonts w:ascii="Garamond" w:hAnsi="Garamond"/>
          <w:b/>
          <w:bCs/>
          <w:color w:val="auto"/>
          <w:sz w:val="24"/>
          <w:szCs w:val="24"/>
        </w:rPr>
        <w:lastRenderedPageBreak/>
        <w:t xml:space="preserve">SECTION II. </w:t>
      </w:r>
      <w:r w:rsidR="001057A0" w:rsidRPr="000C644B">
        <w:rPr>
          <w:rFonts w:ascii="Garamond" w:hAnsi="Garamond"/>
          <w:b/>
          <w:bCs/>
          <w:color w:val="auto"/>
          <w:sz w:val="24"/>
          <w:szCs w:val="24"/>
        </w:rPr>
        <w:t>SUMMARY OF EMISSION UNITS</w:t>
      </w:r>
      <w:bookmarkEnd w:id="9"/>
    </w:p>
    <w:p w14:paraId="5AC9B6A6" w14:textId="77777777" w:rsidR="001057A0" w:rsidRDefault="001057A0" w:rsidP="001057A0">
      <w:pPr>
        <w:rPr>
          <w:rFonts w:ascii="Garamond" w:hAnsi="Garamond"/>
          <w:sz w:val="24"/>
          <w:szCs w:val="24"/>
        </w:rPr>
      </w:pPr>
    </w:p>
    <w:p w14:paraId="0770D6E0" w14:textId="6ACF4943" w:rsidR="001057A0" w:rsidRPr="000C644B" w:rsidRDefault="001057A0" w:rsidP="000C644B">
      <w:pPr>
        <w:pStyle w:val="Heading2"/>
        <w:numPr>
          <w:ilvl w:val="0"/>
          <w:numId w:val="3"/>
        </w:numPr>
        <w:tabs>
          <w:tab w:val="left" w:pos="720"/>
        </w:tabs>
        <w:spacing w:before="0" w:after="0"/>
        <w:rPr>
          <w:rFonts w:ascii="Garamond" w:hAnsi="Garamond"/>
          <w:b/>
          <w:bCs/>
          <w:color w:val="auto"/>
          <w:sz w:val="24"/>
          <w:szCs w:val="24"/>
        </w:rPr>
      </w:pPr>
      <w:bookmarkStart w:id="10" w:name="_Toc228879225"/>
      <w:r w:rsidRPr="000C644B">
        <w:rPr>
          <w:rFonts w:ascii="Garamond" w:hAnsi="Garamond"/>
          <w:b/>
          <w:bCs/>
          <w:color w:val="auto"/>
          <w:sz w:val="24"/>
          <w:szCs w:val="24"/>
        </w:rPr>
        <w:t>Facility Process Description</w:t>
      </w:r>
      <w:bookmarkEnd w:id="10"/>
    </w:p>
    <w:p w14:paraId="0EEFF751" w14:textId="77777777" w:rsidR="001057A0" w:rsidRDefault="001057A0" w:rsidP="001057A0">
      <w:pPr>
        <w:rPr>
          <w:rFonts w:ascii="Garamond" w:hAnsi="Garamond"/>
          <w:sz w:val="24"/>
          <w:szCs w:val="24"/>
        </w:rPr>
      </w:pPr>
    </w:p>
    <w:p w14:paraId="26EF8AC9" w14:textId="77777777" w:rsidR="001057A0" w:rsidRDefault="001057A0" w:rsidP="001057A0">
      <w:pPr>
        <w:pStyle w:val="Default"/>
        <w:ind w:left="360"/>
        <w:rPr>
          <w:rFonts w:ascii="Garamond" w:hAnsi="Garamond"/>
        </w:rPr>
      </w:pPr>
      <w:r>
        <w:rPr>
          <w:rFonts w:ascii="Garamond" w:hAnsi="Garamond"/>
        </w:rPr>
        <w:t xml:space="preserve">The NBPL Compressor Station No. 1 is a natural gas pipeline transmission station with one Cooper-Rolls Coberra natural gas fired turbine.  A hot water boiler provides the heat to the various station facilities. </w:t>
      </w:r>
    </w:p>
    <w:p w14:paraId="4EAC08E0" w14:textId="77777777" w:rsidR="001057A0" w:rsidRDefault="001057A0" w:rsidP="001057A0">
      <w:pPr>
        <w:pStyle w:val="Default"/>
        <w:ind w:left="360"/>
        <w:rPr>
          <w:rFonts w:ascii="Garamond" w:hAnsi="Garamond"/>
        </w:rPr>
      </w:pPr>
    </w:p>
    <w:p w14:paraId="38DD5AA2" w14:textId="77777777" w:rsidR="001057A0" w:rsidRDefault="001057A0" w:rsidP="001057A0">
      <w:pPr>
        <w:ind w:left="360"/>
        <w:rPr>
          <w:rFonts w:ascii="Garamond" w:hAnsi="Garamond"/>
          <w:sz w:val="24"/>
          <w:szCs w:val="24"/>
        </w:rPr>
      </w:pPr>
      <w:r>
        <w:rPr>
          <w:rFonts w:ascii="Garamond" w:hAnsi="Garamond"/>
          <w:sz w:val="24"/>
          <w:szCs w:val="24"/>
        </w:rPr>
        <w:t>The Standard Industrial Classification (SIC) for this facility is “Natural Gas Transmission” which has an SIC Code of 4922.</w:t>
      </w:r>
    </w:p>
    <w:p w14:paraId="1EEAC9DA" w14:textId="77777777" w:rsidR="001057A0" w:rsidRDefault="001057A0" w:rsidP="001057A0">
      <w:pPr>
        <w:ind w:left="360"/>
        <w:rPr>
          <w:rFonts w:ascii="Garamond" w:hAnsi="Garamond"/>
          <w:sz w:val="24"/>
          <w:szCs w:val="24"/>
        </w:rPr>
      </w:pPr>
    </w:p>
    <w:p w14:paraId="304E713C" w14:textId="7912E191" w:rsidR="001057A0" w:rsidRPr="000C644B" w:rsidRDefault="001057A0" w:rsidP="000C644B">
      <w:pPr>
        <w:pStyle w:val="Heading2"/>
        <w:numPr>
          <w:ilvl w:val="0"/>
          <w:numId w:val="3"/>
        </w:numPr>
        <w:spacing w:before="0" w:after="0"/>
        <w:rPr>
          <w:rFonts w:ascii="Garamond" w:hAnsi="Garamond"/>
          <w:b/>
          <w:bCs/>
          <w:color w:val="auto"/>
          <w:sz w:val="24"/>
          <w:szCs w:val="24"/>
        </w:rPr>
      </w:pPr>
      <w:bookmarkStart w:id="11" w:name="_Toc228879226"/>
      <w:r w:rsidRPr="000C644B">
        <w:rPr>
          <w:rFonts w:ascii="Garamond" w:hAnsi="Garamond"/>
          <w:b/>
          <w:bCs/>
          <w:color w:val="auto"/>
          <w:sz w:val="24"/>
          <w:szCs w:val="24"/>
        </w:rPr>
        <w:t>Emission Units and Pollution Control Device Identification</w:t>
      </w:r>
      <w:bookmarkEnd w:id="11"/>
    </w:p>
    <w:p w14:paraId="4C5AD7BF" w14:textId="77777777" w:rsidR="001057A0" w:rsidRDefault="001057A0" w:rsidP="001057A0">
      <w:pPr>
        <w:rPr>
          <w:rFonts w:ascii="Garamond" w:hAnsi="Garamond"/>
          <w:sz w:val="24"/>
          <w:szCs w:val="24"/>
        </w:rPr>
      </w:pPr>
    </w:p>
    <w:p w14:paraId="5413A921" w14:textId="77777777" w:rsidR="001057A0" w:rsidRDefault="001057A0" w:rsidP="001057A0">
      <w:pPr>
        <w:pStyle w:val="Default"/>
        <w:ind w:left="360"/>
        <w:rPr>
          <w:rFonts w:ascii="Garamond" w:hAnsi="Garamond"/>
        </w:rPr>
      </w:pPr>
      <w:r>
        <w:rPr>
          <w:rFonts w:ascii="Garamond" w:hAnsi="Garamond"/>
        </w:rPr>
        <w:t xml:space="preserve">The NBPL Compressor Station No. 1 application identified one 39,335-hp Cooper-Rolls Coberra 6562 Compressor Turbine, one 245-kW emergency backup generator engine, and one 1.706 MMBtu/hr hydronic boiler. </w:t>
      </w:r>
    </w:p>
    <w:p w14:paraId="114C42AA" w14:textId="77777777" w:rsidR="001057A0" w:rsidRDefault="001057A0" w:rsidP="001057A0">
      <w:pPr>
        <w:pStyle w:val="Default"/>
        <w:ind w:left="360"/>
        <w:rPr>
          <w:rFonts w:ascii="Garamond" w:hAnsi="Garamond"/>
        </w:rPr>
      </w:pPr>
    </w:p>
    <w:p w14:paraId="35A627E9" w14:textId="77777777" w:rsidR="001057A0" w:rsidRDefault="001057A0" w:rsidP="001057A0">
      <w:pPr>
        <w:ind w:left="360"/>
        <w:rPr>
          <w:rFonts w:ascii="Garamond" w:hAnsi="Garamond"/>
          <w:sz w:val="24"/>
          <w:szCs w:val="24"/>
        </w:rPr>
      </w:pPr>
      <w:r>
        <w:rPr>
          <w:rFonts w:ascii="Garamond" w:hAnsi="Garamond"/>
          <w:sz w:val="24"/>
          <w:szCs w:val="24"/>
        </w:rPr>
        <w:t>The Cooper-Rolls Coberra will contain a dry low NO</w:t>
      </w:r>
      <w:r>
        <w:rPr>
          <w:rFonts w:ascii="Garamond" w:hAnsi="Garamond"/>
          <w:sz w:val="24"/>
          <w:szCs w:val="24"/>
          <w:vertAlign w:val="subscript"/>
        </w:rPr>
        <w:t>X</w:t>
      </w:r>
      <w:r>
        <w:rPr>
          <w:rFonts w:ascii="Garamond" w:hAnsi="Garamond"/>
          <w:sz w:val="24"/>
          <w:szCs w:val="24"/>
        </w:rPr>
        <w:t xml:space="preserve"> combustion system, as part of the turbine design, this design and operating practice constitutes BACT for this facility.  No pollution control devices exist on the emergency backup generator engine or the hydronic boiler.</w:t>
      </w:r>
    </w:p>
    <w:p w14:paraId="4255D94E" w14:textId="77777777" w:rsidR="001057A0" w:rsidRDefault="001057A0" w:rsidP="001057A0">
      <w:pPr>
        <w:rPr>
          <w:rFonts w:ascii="Garamond" w:hAnsi="Garamond"/>
          <w:sz w:val="24"/>
          <w:szCs w:val="24"/>
        </w:rPr>
      </w:pPr>
    </w:p>
    <w:p w14:paraId="727E5FFF" w14:textId="7CF09D2A" w:rsidR="001057A0" w:rsidRPr="000C644B" w:rsidRDefault="001057A0" w:rsidP="000C644B">
      <w:pPr>
        <w:pStyle w:val="Heading2"/>
        <w:numPr>
          <w:ilvl w:val="0"/>
          <w:numId w:val="3"/>
        </w:numPr>
        <w:spacing w:before="0" w:after="0"/>
        <w:rPr>
          <w:rFonts w:ascii="Garamond" w:hAnsi="Garamond"/>
          <w:b/>
          <w:bCs/>
          <w:color w:val="auto"/>
          <w:sz w:val="24"/>
          <w:szCs w:val="24"/>
        </w:rPr>
      </w:pPr>
      <w:bookmarkStart w:id="12" w:name="_Toc228879227"/>
      <w:r w:rsidRPr="000C644B">
        <w:rPr>
          <w:rFonts w:ascii="Garamond" w:hAnsi="Garamond"/>
          <w:b/>
          <w:bCs/>
          <w:color w:val="auto"/>
          <w:sz w:val="24"/>
          <w:szCs w:val="24"/>
        </w:rPr>
        <w:t>Categorically Insignificant Sources/Activities</w:t>
      </w:r>
      <w:bookmarkEnd w:id="12"/>
    </w:p>
    <w:p w14:paraId="7535B198" w14:textId="77777777" w:rsidR="001057A0" w:rsidRDefault="001057A0" w:rsidP="001057A0">
      <w:pPr>
        <w:rPr>
          <w:rFonts w:ascii="Garamond" w:hAnsi="Garamond"/>
          <w:sz w:val="24"/>
          <w:szCs w:val="24"/>
        </w:rPr>
      </w:pPr>
    </w:p>
    <w:p w14:paraId="27EB0D14" w14:textId="4545CC42" w:rsidR="001057A0" w:rsidRDefault="001057A0" w:rsidP="001057A0">
      <w:pPr>
        <w:pStyle w:val="Default"/>
        <w:ind w:left="360"/>
        <w:rPr>
          <w:rFonts w:ascii="Garamond" w:hAnsi="Garamond"/>
        </w:rPr>
      </w:pPr>
      <w:r>
        <w:rPr>
          <w:rFonts w:ascii="Garamond" w:hAnsi="Garamond"/>
        </w:rPr>
        <w:t xml:space="preserve">The Administrative Rules of Montana (ARM) 17.8.120 (22)(a) defines an insignificant emission unit as one that emits less than 5 tons per year of any regulated pollutant, has the potential to emit less than 500 pounds per year of lead or any Hazardous Air Pollutant (HAP), and is not regulated by an applicable requirement other </w:t>
      </w:r>
      <w:r w:rsidR="00D31BCB">
        <w:rPr>
          <w:rFonts w:ascii="Garamond" w:hAnsi="Garamond"/>
        </w:rPr>
        <w:t>than</w:t>
      </w:r>
      <w:r>
        <w:rPr>
          <w:rFonts w:ascii="Garamond" w:hAnsi="Garamond"/>
        </w:rPr>
        <w:t xml:space="preserve"> a generally applicable requirement. </w:t>
      </w:r>
    </w:p>
    <w:p w14:paraId="7F6191A7" w14:textId="77777777" w:rsidR="001057A0" w:rsidRDefault="001057A0" w:rsidP="001057A0">
      <w:pPr>
        <w:pStyle w:val="Default"/>
        <w:ind w:left="360"/>
        <w:rPr>
          <w:rFonts w:ascii="Garamond" w:hAnsi="Garamond"/>
        </w:rPr>
      </w:pPr>
    </w:p>
    <w:p w14:paraId="5D1DA841" w14:textId="77777777" w:rsidR="001057A0" w:rsidRDefault="001057A0" w:rsidP="001057A0">
      <w:pPr>
        <w:ind w:left="360"/>
        <w:rPr>
          <w:rFonts w:ascii="Garamond" w:hAnsi="Garamond"/>
          <w:sz w:val="24"/>
          <w:szCs w:val="24"/>
        </w:rPr>
      </w:pPr>
      <w:r>
        <w:rPr>
          <w:rFonts w:ascii="Garamond" w:hAnsi="Garamond"/>
          <w:sz w:val="24"/>
          <w:szCs w:val="24"/>
        </w:rPr>
        <w:t>This facility has a 1.706 MMBtu/hr Hydronic Boiler, used for heating buildings and fuel preheat as needed.  This boiler meets the definition of insignificant emission unit.</w:t>
      </w:r>
    </w:p>
    <w:p w14:paraId="55CCB7BA" w14:textId="77777777" w:rsidR="001057A0" w:rsidRDefault="001057A0" w:rsidP="001057A0">
      <w:pPr>
        <w:ind w:left="360"/>
        <w:rPr>
          <w:rFonts w:ascii="Garamond" w:hAnsi="Garamond"/>
          <w:sz w:val="24"/>
          <w:szCs w:val="24"/>
        </w:rPr>
      </w:pPr>
    </w:p>
    <w:tbl>
      <w:tblPr>
        <w:tblW w:w="6960" w:type="dxa"/>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221"/>
        <w:gridCol w:w="4739"/>
      </w:tblGrid>
      <w:tr w:rsidR="001057A0" w14:paraId="68F07A8F" w14:textId="77777777" w:rsidTr="001057A0">
        <w:trPr>
          <w:trHeight w:val="331"/>
          <w:jc w:val="center"/>
        </w:trPr>
        <w:tc>
          <w:tcPr>
            <w:tcW w:w="2222" w:type="dxa"/>
            <w:tcBorders>
              <w:top w:val="single" w:sz="8" w:space="0" w:color="000000"/>
              <w:left w:val="single" w:sz="8" w:space="0" w:color="000000"/>
              <w:bottom w:val="single" w:sz="8" w:space="0" w:color="000000"/>
              <w:right w:val="single" w:sz="8" w:space="0" w:color="000000"/>
            </w:tcBorders>
            <w:hideMark/>
          </w:tcPr>
          <w:p w14:paraId="29B14CEA" w14:textId="77777777" w:rsidR="001057A0" w:rsidRDefault="001057A0">
            <w:pPr>
              <w:pStyle w:val="Default"/>
              <w:jc w:val="center"/>
              <w:rPr>
                <w:rFonts w:ascii="Garamond" w:hAnsi="Garamond"/>
              </w:rPr>
            </w:pPr>
            <w:r>
              <w:rPr>
                <w:rFonts w:ascii="Garamond" w:hAnsi="Garamond"/>
                <w:b/>
                <w:bCs/>
              </w:rPr>
              <w:t xml:space="preserve">Emissions Unit ID </w:t>
            </w:r>
          </w:p>
        </w:tc>
        <w:tc>
          <w:tcPr>
            <w:tcW w:w="4742" w:type="dxa"/>
            <w:tcBorders>
              <w:top w:val="single" w:sz="8" w:space="0" w:color="000000"/>
              <w:left w:val="single" w:sz="8" w:space="0" w:color="000000"/>
              <w:bottom w:val="single" w:sz="8" w:space="0" w:color="000000"/>
              <w:right w:val="single" w:sz="8" w:space="0" w:color="000000"/>
            </w:tcBorders>
            <w:hideMark/>
          </w:tcPr>
          <w:p w14:paraId="11E06788" w14:textId="77777777" w:rsidR="001057A0" w:rsidRDefault="001057A0">
            <w:pPr>
              <w:pStyle w:val="Default"/>
              <w:jc w:val="center"/>
              <w:rPr>
                <w:rFonts w:ascii="Garamond" w:hAnsi="Garamond"/>
              </w:rPr>
            </w:pPr>
            <w:r>
              <w:rPr>
                <w:rFonts w:ascii="Garamond" w:hAnsi="Garamond"/>
                <w:b/>
                <w:bCs/>
              </w:rPr>
              <w:t xml:space="preserve">Description </w:t>
            </w:r>
          </w:p>
        </w:tc>
      </w:tr>
      <w:tr w:rsidR="001057A0" w14:paraId="5BE40CC4" w14:textId="77777777" w:rsidTr="001057A0">
        <w:trPr>
          <w:trHeight w:val="340"/>
          <w:jc w:val="center"/>
        </w:trPr>
        <w:tc>
          <w:tcPr>
            <w:tcW w:w="2222" w:type="dxa"/>
            <w:tcBorders>
              <w:top w:val="single" w:sz="8" w:space="0" w:color="000000"/>
              <w:left w:val="single" w:sz="8" w:space="0" w:color="000000"/>
              <w:bottom w:val="single" w:sz="8" w:space="0" w:color="000000"/>
              <w:right w:val="single" w:sz="8" w:space="0" w:color="000000"/>
            </w:tcBorders>
            <w:vAlign w:val="center"/>
            <w:hideMark/>
          </w:tcPr>
          <w:p w14:paraId="6C9ABBF4" w14:textId="77777777" w:rsidR="001057A0" w:rsidRDefault="001057A0">
            <w:pPr>
              <w:pStyle w:val="Default"/>
              <w:jc w:val="center"/>
              <w:rPr>
                <w:rFonts w:ascii="Garamond" w:hAnsi="Garamond"/>
              </w:rPr>
            </w:pPr>
            <w:r>
              <w:rPr>
                <w:rFonts w:ascii="Garamond" w:hAnsi="Garamond"/>
              </w:rPr>
              <w:t>IEU01</w:t>
            </w:r>
          </w:p>
        </w:tc>
        <w:tc>
          <w:tcPr>
            <w:tcW w:w="4742" w:type="dxa"/>
            <w:tcBorders>
              <w:top w:val="single" w:sz="8" w:space="0" w:color="000000"/>
              <w:left w:val="single" w:sz="8" w:space="0" w:color="000000"/>
              <w:bottom w:val="single" w:sz="8" w:space="0" w:color="000000"/>
              <w:right w:val="single" w:sz="8" w:space="0" w:color="000000"/>
            </w:tcBorders>
            <w:vAlign w:val="center"/>
            <w:hideMark/>
          </w:tcPr>
          <w:p w14:paraId="07297116" w14:textId="77777777" w:rsidR="001057A0" w:rsidRDefault="001057A0">
            <w:pPr>
              <w:pStyle w:val="Default"/>
              <w:rPr>
                <w:rFonts w:ascii="Garamond" w:hAnsi="Garamond"/>
              </w:rPr>
            </w:pPr>
            <w:r>
              <w:rPr>
                <w:rFonts w:ascii="Garamond" w:hAnsi="Garamond"/>
              </w:rPr>
              <w:t xml:space="preserve">1.67-MMBtu/hr natural gas fired heater boiler </w:t>
            </w:r>
          </w:p>
        </w:tc>
      </w:tr>
      <w:tr w:rsidR="001057A0" w14:paraId="3F787AC1" w14:textId="77777777" w:rsidTr="001057A0">
        <w:trPr>
          <w:trHeight w:val="118"/>
          <w:jc w:val="center"/>
        </w:trPr>
        <w:tc>
          <w:tcPr>
            <w:tcW w:w="2222" w:type="dxa"/>
            <w:tcBorders>
              <w:top w:val="single" w:sz="8" w:space="0" w:color="000000"/>
              <w:left w:val="single" w:sz="8" w:space="0" w:color="000000"/>
              <w:bottom w:val="single" w:sz="8" w:space="0" w:color="000000"/>
              <w:right w:val="single" w:sz="8" w:space="0" w:color="000000"/>
            </w:tcBorders>
            <w:vAlign w:val="center"/>
            <w:hideMark/>
          </w:tcPr>
          <w:p w14:paraId="56CAA8BF" w14:textId="77777777" w:rsidR="001057A0" w:rsidRDefault="001057A0">
            <w:pPr>
              <w:pStyle w:val="Default"/>
              <w:jc w:val="center"/>
              <w:rPr>
                <w:rFonts w:ascii="Garamond" w:hAnsi="Garamond"/>
              </w:rPr>
            </w:pPr>
            <w:r>
              <w:rPr>
                <w:rFonts w:ascii="Garamond" w:hAnsi="Garamond"/>
              </w:rPr>
              <w:t>IEU02</w:t>
            </w:r>
          </w:p>
        </w:tc>
        <w:tc>
          <w:tcPr>
            <w:tcW w:w="4742" w:type="dxa"/>
            <w:tcBorders>
              <w:top w:val="single" w:sz="8" w:space="0" w:color="000000"/>
              <w:left w:val="single" w:sz="8" w:space="0" w:color="000000"/>
              <w:bottom w:val="single" w:sz="8" w:space="0" w:color="000000"/>
              <w:right w:val="single" w:sz="8" w:space="0" w:color="000000"/>
            </w:tcBorders>
            <w:vAlign w:val="center"/>
            <w:hideMark/>
          </w:tcPr>
          <w:p w14:paraId="37B896A8" w14:textId="77777777" w:rsidR="001057A0" w:rsidRDefault="001057A0">
            <w:pPr>
              <w:pStyle w:val="Default"/>
              <w:rPr>
                <w:rFonts w:ascii="Garamond" w:hAnsi="Garamond"/>
              </w:rPr>
            </w:pPr>
            <w:r>
              <w:rPr>
                <w:rFonts w:ascii="Garamond" w:hAnsi="Garamond"/>
              </w:rPr>
              <w:t xml:space="preserve">In-plant vehicle traffic </w:t>
            </w:r>
          </w:p>
        </w:tc>
      </w:tr>
      <w:tr w:rsidR="001057A0" w14:paraId="75E4C094" w14:textId="77777777" w:rsidTr="001057A0">
        <w:trPr>
          <w:trHeight w:val="340"/>
          <w:jc w:val="center"/>
        </w:trPr>
        <w:tc>
          <w:tcPr>
            <w:tcW w:w="2222" w:type="dxa"/>
            <w:tcBorders>
              <w:top w:val="single" w:sz="8" w:space="0" w:color="000000"/>
              <w:left w:val="single" w:sz="8" w:space="0" w:color="000000"/>
              <w:bottom w:val="single" w:sz="8" w:space="0" w:color="000000"/>
              <w:right w:val="single" w:sz="8" w:space="0" w:color="000000"/>
            </w:tcBorders>
            <w:vAlign w:val="center"/>
            <w:hideMark/>
          </w:tcPr>
          <w:p w14:paraId="0C0A2225" w14:textId="77777777" w:rsidR="001057A0" w:rsidRDefault="001057A0">
            <w:pPr>
              <w:pStyle w:val="Default"/>
              <w:jc w:val="center"/>
              <w:rPr>
                <w:rFonts w:ascii="Garamond" w:hAnsi="Garamond"/>
              </w:rPr>
            </w:pPr>
            <w:r>
              <w:rPr>
                <w:rFonts w:ascii="Garamond" w:hAnsi="Garamond"/>
              </w:rPr>
              <w:t>IEU03</w:t>
            </w:r>
          </w:p>
        </w:tc>
        <w:tc>
          <w:tcPr>
            <w:tcW w:w="4742" w:type="dxa"/>
            <w:tcBorders>
              <w:top w:val="single" w:sz="8" w:space="0" w:color="000000"/>
              <w:left w:val="single" w:sz="8" w:space="0" w:color="000000"/>
              <w:bottom w:val="single" w:sz="8" w:space="0" w:color="000000"/>
              <w:right w:val="single" w:sz="8" w:space="0" w:color="000000"/>
            </w:tcBorders>
            <w:vAlign w:val="center"/>
            <w:hideMark/>
          </w:tcPr>
          <w:p w14:paraId="7BCCABB9" w14:textId="77777777" w:rsidR="001057A0" w:rsidRDefault="001057A0">
            <w:pPr>
              <w:pStyle w:val="Default"/>
              <w:rPr>
                <w:rFonts w:ascii="Garamond" w:hAnsi="Garamond"/>
              </w:rPr>
            </w:pPr>
            <w:r>
              <w:rPr>
                <w:rFonts w:ascii="Garamond" w:hAnsi="Garamond"/>
              </w:rPr>
              <w:t xml:space="preserve">Fugitive and Miscellaneous emissions </w:t>
            </w:r>
          </w:p>
        </w:tc>
      </w:tr>
    </w:tbl>
    <w:p w14:paraId="63BCEF04" w14:textId="77777777" w:rsidR="001057A0" w:rsidRDefault="001057A0" w:rsidP="001057A0">
      <w:pPr>
        <w:rPr>
          <w:rFonts w:ascii="Garamond" w:hAnsi="Garamond"/>
          <w:sz w:val="24"/>
          <w:szCs w:val="24"/>
        </w:rPr>
      </w:pPr>
    </w:p>
    <w:p w14:paraId="622A5307" w14:textId="77777777" w:rsidR="001057A0" w:rsidRDefault="001057A0" w:rsidP="001057A0">
      <w:pPr>
        <w:rPr>
          <w:rFonts w:ascii="Garamond" w:hAnsi="Garamond"/>
          <w:b/>
          <w:sz w:val="24"/>
          <w:szCs w:val="24"/>
        </w:rPr>
        <w:sectPr w:rsidR="001057A0" w:rsidSect="001057A0">
          <w:pgSz w:w="12240" w:h="15840"/>
          <w:pgMar w:top="1152" w:right="1440" w:bottom="1008" w:left="1440" w:header="720" w:footer="720" w:gutter="0"/>
          <w:cols w:space="720"/>
        </w:sectPr>
      </w:pPr>
    </w:p>
    <w:p w14:paraId="0CC026F0" w14:textId="65D341F7" w:rsidR="001057A0" w:rsidRPr="000C644B" w:rsidRDefault="000C644B" w:rsidP="000C644B">
      <w:pPr>
        <w:pStyle w:val="Heading1"/>
        <w:jc w:val="center"/>
        <w:rPr>
          <w:rFonts w:ascii="Garamond" w:hAnsi="Garamond"/>
          <w:b/>
          <w:bCs/>
          <w:color w:val="auto"/>
          <w:sz w:val="24"/>
          <w:szCs w:val="24"/>
        </w:rPr>
      </w:pPr>
      <w:bookmarkStart w:id="13" w:name="_Toc228879228"/>
      <w:r w:rsidRPr="000C644B">
        <w:rPr>
          <w:rFonts w:ascii="Garamond" w:hAnsi="Garamond"/>
          <w:b/>
          <w:bCs/>
          <w:color w:val="auto"/>
          <w:sz w:val="24"/>
          <w:szCs w:val="24"/>
        </w:rPr>
        <w:lastRenderedPageBreak/>
        <w:t xml:space="preserve">SECTION III. </w:t>
      </w:r>
      <w:r w:rsidR="001057A0" w:rsidRPr="000C644B">
        <w:rPr>
          <w:rFonts w:ascii="Garamond" w:hAnsi="Garamond"/>
          <w:b/>
          <w:bCs/>
          <w:color w:val="auto"/>
          <w:sz w:val="24"/>
          <w:szCs w:val="24"/>
        </w:rPr>
        <w:t>PERMIT CONDITIONS</w:t>
      </w:r>
      <w:bookmarkEnd w:id="13"/>
    </w:p>
    <w:p w14:paraId="42A26E2C" w14:textId="77777777" w:rsidR="001057A0" w:rsidRDefault="001057A0" w:rsidP="001057A0">
      <w:pPr>
        <w:rPr>
          <w:rFonts w:ascii="Garamond" w:hAnsi="Garamond"/>
          <w:sz w:val="24"/>
          <w:szCs w:val="24"/>
        </w:rPr>
      </w:pPr>
    </w:p>
    <w:p w14:paraId="6C697588" w14:textId="35EDBAC8"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4" w:name="_Toc228879229"/>
      <w:r w:rsidRPr="000C644B">
        <w:rPr>
          <w:rFonts w:ascii="Garamond" w:hAnsi="Garamond"/>
          <w:b/>
          <w:bCs/>
          <w:color w:val="auto"/>
          <w:sz w:val="24"/>
          <w:szCs w:val="24"/>
        </w:rPr>
        <w:t>Emission Limits and Standards</w:t>
      </w:r>
      <w:bookmarkEnd w:id="14"/>
    </w:p>
    <w:p w14:paraId="24CEE3A9" w14:textId="77777777" w:rsidR="001057A0" w:rsidRDefault="001057A0" w:rsidP="001057A0">
      <w:pPr>
        <w:rPr>
          <w:rFonts w:ascii="Garamond" w:hAnsi="Garamond"/>
          <w:sz w:val="24"/>
          <w:szCs w:val="24"/>
        </w:rPr>
      </w:pPr>
    </w:p>
    <w:p w14:paraId="30008A9C" w14:textId="5CCE6488" w:rsidR="001057A0" w:rsidRDefault="001057A0" w:rsidP="001057A0">
      <w:pPr>
        <w:autoSpaceDE w:val="0"/>
        <w:autoSpaceDN w:val="0"/>
        <w:adjustRightInd w:val="0"/>
        <w:ind w:left="360"/>
        <w:rPr>
          <w:rFonts w:ascii="Garamond" w:hAnsi="Garamond"/>
          <w:color w:val="000000"/>
          <w:sz w:val="24"/>
          <w:szCs w:val="24"/>
        </w:rPr>
      </w:pPr>
      <w:r>
        <w:rPr>
          <w:rFonts w:ascii="Garamond" w:hAnsi="Garamond"/>
          <w:color w:val="000000"/>
          <w:sz w:val="24"/>
          <w:szCs w:val="24"/>
        </w:rPr>
        <w:t>Emission limits for the 39,335 hp Cooper-Rolls Coberra Compressor Turbine were established by a BACT determination under the authority of ARM 17.8.715 (the predecessor to ARM 17.8.752).  The Cooper Rolls natural gas turbine shall be operated properly by maintaining the dry low NOx combustion system that is part of the turbine design.  Minimum stack height for the Cooper Rolls natural gas turbine shall be 55 feet above ground level.  The compressor turbine has an emission limit of 40 ppmvd and 50.0 lb/hr for NO</w:t>
      </w:r>
      <w:r>
        <w:rPr>
          <w:rFonts w:ascii="Garamond" w:hAnsi="Garamond"/>
          <w:color w:val="000000"/>
          <w:sz w:val="24"/>
          <w:szCs w:val="24"/>
          <w:vertAlign w:val="subscript"/>
        </w:rPr>
        <w:t>x</w:t>
      </w:r>
      <w:r>
        <w:rPr>
          <w:rFonts w:ascii="Garamond" w:hAnsi="Garamond"/>
          <w:color w:val="000000"/>
          <w:sz w:val="24"/>
          <w:szCs w:val="24"/>
        </w:rPr>
        <w:t xml:space="preserve"> and 3.00 lb/hr for Volatile Organic Compounds (VOC).  CO emissions shall not exceed 460 lb/hr when the ambient temperature is below 20 </w:t>
      </w:r>
      <w:r>
        <w:rPr>
          <w:rFonts w:ascii="Garamond" w:hAnsi="Garamond"/>
          <w:sz w:val="24"/>
          <w:szCs w:val="24"/>
        </w:rPr>
        <w:t>°F</w:t>
      </w:r>
      <w:r>
        <w:rPr>
          <w:rFonts w:ascii="Garamond" w:hAnsi="Garamond"/>
          <w:color w:val="000000"/>
          <w:sz w:val="24"/>
          <w:szCs w:val="24"/>
        </w:rPr>
        <w:t xml:space="preserve">, 56 lb/hr when the ambient temperature is 20 </w:t>
      </w:r>
      <w:r>
        <w:rPr>
          <w:rFonts w:ascii="Garamond" w:hAnsi="Garamond"/>
          <w:sz w:val="24"/>
          <w:szCs w:val="24"/>
        </w:rPr>
        <w:t>°F</w:t>
      </w:r>
      <w:r>
        <w:rPr>
          <w:rFonts w:ascii="Garamond" w:hAnsi="Garamond"/>
          <w:color w:val="000000"/>
          <w:sz w:val="24"/>
          <w:szCs w:val="24"/>
        </w:rPr>
        <w:t xml:space="preserve"> or warmer, and 162 tons per rolling 12-month </w:t>
      </w:r>
      <w:r w:rsidR="00D31BCB">
        <w:rPr>
          <w:rFonts w:ascii="Garamond" w:hAnsi="Garamond"/>
          <w:color w:val="000000"/>
          <w:sz w:val="24"/>
          <w:szCs w:val="24"/>
        </w:rPr>
        <w:t>period</w:t>
      </w:r>
      <w:r>
        <w:rPr>
          <w:rFonts w:ascii="Garamond" w:hAnsi="Garamond"/>
          <w:color w:val="000000"/>
          <w:sz w:val="24"/>
          <w:szCs w:val="24"/>
        </w:rPr>
        <w:t xml:space="preserve">.  Sulfur content in the fuel shall not exceed 0.08% by weight and sulfur dioxide content in the fuel shall not exceed 0.015% by volume at 15% oxygen on a dry basis.  The emergency generator engine is limited to 500 hours of operation per year in order to comply with the EPA definition of an "emergency backup generator." </w:t>
      </w:r>
    </w:p>
    <w:p w14:paraId="1FD24FB3" w14:textId="77777777" w:rsidR="001057A0" w:rsidRDefault="001057A0" w:rsidP="001057A0">
      <w:pPr>
        <w:autoSpaceDE w:val="0"/>
        <w:autoSpaceDN w:val="0"/>
        <w:adjustRightInd w:val="0"/>
        <w:ind w:left="360"/>
        <w:rPr>
          <w:rFonts w:ascii="Garamond" w:hAnsi="Garamond"/>
          <w:color w:val="000000"/>
          <w:sz w:val="24"/>
          <w:szCs w:val="24"/>
        </w:rPr>
      </w:pPr>
    </w:p>
    <w:p w14:paraId="62485560" w14:textId="77777777" w:rsidR="001057A0" w:rsidRDefault="001057A0" w:rsidP="001057A0">
      <w:pPr>
        <w:autoSpaceDE w:val="0"/>
        <w:autoSpaceDN w:val="0"/>
        <w:adjustRightInd w:val="0"/>
        <w:ind w:left="360"/>
        <w:rPr>
          <w:rFonts w:ascii="Garamond" w:hAnsi="Garamond"/>
          <w:color w:val="000000"/>
          <w:sz w:val="24"/>
          <w:szCs w:val="24"/>
        </w:rPr>
      </w:pPr>
      <w:r>
        <w:rPr>
          <w:rFonts w:ascii="Garamond" w:hAnsi="Garamond"/>
          <w:color w:val="000000"/>
          <w:sz w:val="24"/>
          <w:szCs w:val="24"/>
        </w:rPr>
        <w:t xml:space="preserve">NBPL shall comply with all applicable standards, limitations, and the reporting, recordkeeping, and notification requirements contained in 40 CFR 60, Subpart GG, unless otherwise specified (ARM 17.8.340 and 40 CFR Part 60). </w:t>
      </w:r>
    </w:p>
    <w:p w14:paraId="0C002B6E" w14:textId="77777777" w:rsidR="001057A0" w:rsidRDefault="001057A0" w:rsidP="001057A0">
      <w:pPr>
        <w:autoSpaceDE w:val="0"/>
        <w:autoSpaceDN w:val="0"/>
        <w:adjustRightInd w:val="0"/>
        <w:ind w:left="360"/>
        <w:rPr>
          <w:rFonts w:ascii="Garamond" w:hAnsi="Garamond"/>
          <w:color w:val="000000"/>
          <w:sz w:val="24"/>
          <w:szCs w:val="24"/>
        </w:rPr>
      </w:pPr>
    </w:p>
    <w:p w14:paraId="7D8ECF7B" w14:textId="77777777" w:rsidR="001057A0" w:rsidRDefault="001057A0" w:rsidP="001057A0">
      <w:pPr>
        <w:ind w:left="360"/>
        <w:rPr>
          <w:rFonts w:ascii="Garamond" w:hAnsi="Garamond"/>
          <w:color w:val="000000"/>
          <w:sz w:val="24"/>
          <w:szCs w:val="24"/>
        </w:rPr>
      </w:pPr>
      <w:r>
        <w:rPr>
          <w:rFonts w:ascii="Garamond" w:hAnsi="Garamond"/>
          <w:sz w:val="24"/>
          <w:szCs w:val="24"/>
        </w:rPr>
        <w:t>Updates to 40 CFR 63, Subpart ZZZZ since initial permit issuance include applicable requirements for existing emergency stationary reciprocating internal combustion engines located at an area source of HAP emissions.</w:t>
      </w:r>
      <w:r>
        <w:rPr>
          <w:rFonts w:ascii="Garamond" w:hAnsi="Garamond"/>
          <w:color w:val="000000"/>
          <w:sz w:val="24"/>
          <w:szCs w:val="24"/>
        </w:rPr>
        <w:t xml:space="preserve">  The emergency generator is now subject to these requirements</w:t>
      </w:r>
      <w:r>
        <w:rPr>
          <w:rFonts w:ascii="Garamond" w:hAnsi="Garamond"/>
          <w:sz w:val="24"/>
          <w:szCs w:val="24"/>
        </w:rPr>
        <w:t xml:space="preserve">.  </w:t>
      </w:r>
    </w:p>
    <w:p w14:paraId="6ABAAE8C" w14:textId="77777777" w:rsidR="001057A0" w:rsidRDefault="001057A0" w:rsidP="001057A0">
      <w:pPr>
        <w:ind w:left="360"/>
        <w:rPr>
          <w:rFonts w:ascii="Garamond" w:hAnsi="Garamond"/>
          <w:color w:val="000000"/>
          <w:sz w:val="24"/>
          <w:szCs w:val="24"/>
        </w:rPr>
      </w:pPr>
    </w:p>
    <w:p w14:paraId="16C71D49" w14:textId="77777777" w:rsidR="001057A0" w:rsidRDefault="001057A0" w:rsidP="001057A0">
      <w:pPr>
        <w:ind w:left="360"/>
        <w:rPr>
          <w:rFonts w:ascii="Garamond" w:hAnsi="Garamond"/>
          <w:color w:val="000000"/>
          <w:sz w:val="24"/>
          <w:szCs w:val="24"/>
        </w:rPr>
      </w:pPr>
      <w:r>
        <w:rPr>
          <w:rFonts w:ascii="Garamond" w:hAnsi="Garamond"/>
          <w:color w:val="000000"/>
          <w:sz w:val="24"/>
          <w:szCs w:val="24"/>
        </w:rPr>
        <w:t>This facility is considered to be a major source for greenhouse gases and therefore subject to PSD regulations for any permitting action that increases greenhouse gas emissions above the PSD significant emission rates.</w:t>
      </w:r>
    </w:p>
    <w:p w14:paraId="6FBB26A0" w14:textId="77777777" w:rsidR="001057A0" w:rsidRDefault="001057A0" w:rsidP="001057A0">
      <w:pPr>
        <w:ind w:left="360"/>
        <w:rPr>
          <w:rFonts w:ascii="Garamond" w:hAnsi="Garamond"/>
          <w:sz w:val="24"/>
          <w:szCs w:val="24"/>
        </w:rPr>
      </w:pPr>
    </w:p>
    <w:p w14:paraId="79C5AF4C" w14:textId="5B6D2C12"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5" w:name="_Toc228879230"/>
      <w:r w:rsidRPr="000C644B">
        <w:rPr>
          <w:rFonts w:ascii="Garamond" w:hAnsi="Garamond"/>
          <w:b/>
          <w:bCs/>
          <w:color w:val="auto"/>
          <w:sz w:val="24"/>
          <w:szCs w:val="24"/>
        </w:rPr>
        <w:t>Monitoring Requirements</w:t>
      </w:r>
      <w:bookmarkEnd w:id="15"/>
    </w:p>
    <w:p w14:paraId="2FE2FB75" w14:textId="77777777" w:rsidR="001057A0" w:rsidRDefault="001057A0" w:rsidP="001057A0">
      <w:pPr>
        <w:rPr>
          <w:rFonts w:ascii="Garamond" w:hAnsi="Garamond"/>
          <w:sz w:val="24"/>
          <w:szCs w:val="24"/>
        </w:rPr>
      </w:pPr>
    </w:p>
    <w:p w14:paraId="31D5934B" w14:textId="77777777" w:rsidR="001057A0" w:rsidRDefault="001057A0" w:rsidP="001057A0">
      <w:pPr>
        <w:pStyle w:val="BodyText"/>
        <w:ind w:left="360"/>
        <w:rPr>
          <w:rFonts w:ascii="Garamond" w:hAnsi="Garamond"/>
          <w:sz w:val="24"/>
          <w:szCs w:val="24"/>
        </w:rPr>
      </w:pPr>
      <w:r>
        <w:rPr>
          <w:rFonts w:ascii="Garamond" w:hAnsi="Garamond"/>
          <w:sz w:val="24"/>
          <w:szCs w:val="24"/>
        </w:rPr>
        <w:t>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time period that is representative of the source's compliance with the permit.</w:t>
      </w:r>
    </w:p>
    <w:p w14:paraId="69806B47" w14:textId="77777777" w:rsidR="001057A0" w:rsidRDefault="001057A0" w:rsidP="001057A0">
      <w:pPr>
        <w:rPr>
          <w:rFonts w:ascii="Garamond" w:hAnsi="Garamond"/>
          <w:sz w:val="24"/>
          <w:szCs w:val="24"/>
        </w:rPr>
      </w:pPr>
    </w:p>
    <w:p w14:paraId="7EA0641F" w14:textId="77777777" w:rsidR="001057A0" w:rsidRDefault="001057A0" w:rsidP="001057A0">
      <w:pPr>
        <w:ind w:left="360"/>
        <w:rPr>
          <w:rFonts w:ascii="Garamond" w:hAnsi="Garamond"/>
          <w:sz w:val="24"/>
          <w:szCs w:val="24"/>
        </w:rPr>
      </w:pPr>
      <w:r>
        <w:rPr>
          <w:rFonts w:ascii="Garamond" w:hAnsi="Garamond"/>
          <w:sz w:val="24"/>
          <w:szCs w:val="24"/>
        </w:rPr>
        <w:t xml:space="preserve">The requirements for testing, monitoring, recordkeeping, reporting, and compliance certification sufficient to assure compliance do not require the permit to impose the same level of rigor for all emission units.  Furthermore, they do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an insignificant emissions unit is not threatened by lack of regular monitoring and when periodic testing or monitoring is not otherwise required by the applicable requirement, the status quo </w:t>
      </w:r>
      <w:r>
        <w:rPr>
          <w:rFonts w:ascii="Garamond" w:hAnsi="Garamond"/>
          <w:b/>
          <w:sz w:val="24"/>
          <w:szCs w:val="24"/>
        </w:rPr>
        <w:t>(i.e., no monitoring)</w:t>
      </w:r>
      <w:r>
        <w:rPr>
          <w:rFonts w:ascii="Garamond" w:hAnsi="Garamond"/>
          <w:sz w:val="24"/>
          <w:szCs w:val="24"/>
        </w:rPr>
        <w:t xml:space="preserve"> will meet the requirements of ARM 17.8.1212(1).  Therefore, the permit does not include monitoring for insignificant emission units.</w:t>
      </w:r>
    </w:p>
    <w:p w14:paraId="00803F4A" w14:textId="24CE9B04" w:rsidR="001057A0" w:rsidRDefault="001057A0" w:rsidP="001057A0">
      <w:pPr>
        <w:ind w:left="360"/>
        <w:rPr>
          <w:rFonts w:ascii="Garamond" w:hAnsi="Garamond"/>
          <w:sz w:val="24"/>
          <w:szCs w:val="24"/>
        </w:rPr>
      </w:pPr>
      <w:r>
        <w:rPr>
          <w:rFonts w:ascii="Garamond" w:hAnsi="Garamond"/>
          <w:sz w:val="24"/>
          <w:szCs w:val="24"/>
        </w:rPr>
        <w:lastRenderedPageBreak/>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9E5BFA">
        <w:rPr>
          <w:rFonts w:ascii="Garamond" w:hAnsi="Garamond"/>
          <w:sz w:val="24"/>
          <w:szCs w:val="24"/>
        </w:rPr>
        <w:t xml:space="preserve">DEQ </w:t>
      </w:r>
      <w:r>
        <w:rPr>
          <w:rFonts w:ascii="Garamond" w:hAnsi="Garamond"/>
          <w:sz w:val="24"/>
          <w:szCs w:val="24"/>
        </w:rPr>
        <w:t>may request additional testing to determine compliance with the emission limits and standards.</w:t>
      </w:r>
    </w:p>
    <w:p w14:paraId="5308AEC8" w14:textId="77777777" w:rsidR="001057A0" w:rsidRPr="000C644B" w:rsidRDefault="001057A0" w:rsidP="001057A0">
      <w:pPr>
        <w:rPr>
          <w:rFonts w:ascii="Garamond" w:hAnsi="Garamond"/>
          <w:b/>
          <w:bCs/>
          <w:sz w:val="24"/>
          <w:szCs w:val="24"/>
        </w:rPr>
      </w:pPr>
    </w:p>
    <w:p w14:paraId="0F2611A4" w14:textId="342E7E93"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6" w:name="_Toc228879231"/>
      <w:r w:rsidRPr="000C644B">
        <w:rPr>
          <w:rFonts w:ascii="Garamond" w:hAnsi="Garamond"/>
          <w:b/>
          <w:bCs/>
          <w:color w:val="auto"/>
          <w:sz w:val="24"/>
          <w:szCs w:val="24"/>
        </w:rPr>
        <w:t>Test Methods and Procedures</w:t>
      </w:r>
      <w:bookmarkEnd w:id="16"/>
    </w:p>
    <w:p w14:paraId="427F7D7F" w14:textId="77777777" w:rsidR="001057A0" w:rsidRDefault="001057A0" w:rsidP="001057A0">
      <w:pPr>
        <w:keepNext/>
        <w:rPr>
          <w:rFonts w:ascii="Garamond" w:hAnsi="Garamond"/>
          <w:sz w:val="24"/>
          <w:szCs w:val="24"/>
        </w:rPr>
      </w:pPr>
    </w:p>
    <w:p w14:paraId="2FFE3E77" w14:textId="38402D77" w:rsidR="001057A0" w:rsidRDefault="001057A0" w:rsidP="001057A0">
      <w:pPr>
        <w:keepNext/>
        <w:ind w:left="360"/>
        <w:rPr>
          <w:rFonts w:ascii="Garamond" w:hAnsi="Garamond"/>
          <w:sz w:val="24"/>
          <w:szCs w:val="24"/>
        </w:rPr>
      </w:pPr>
      <w:r>
        <w:rPr>
          <w:rFonts w:ascii="Garamond" w:hAnsi="Garamond"/>
          <w:sz w:val="24"/>
          <w:szCs w:val="24"/>
        </w:rPr>
        <w:t>NBPL shall conduct an emissions test with a portable analyzer in order to determine the NO</w:t>
      </w:r>
      <w:r>
        <w:rPr>
          <w:rFonts w:ascii="Garamond" w:hAnsi="Garamond"/>
          <w:sz w:val="24"/>
          <w:szCs w:val="24"/>
          <w:vertAlign w:val="subscript"/>
        </w:rPr>
        <w:t>X</w:t>
      </w:r>
      <w:r>
        <w:rPr>
          <w:rFonts w:ascii="Garamond" w:hAnsi="Garamond"/>
          <w:sz w:val="24"/>
          <w:szCs w:val="24"/>
        </w:rPr>
        <w:t xml:space="preserve"> emissions from the turbine once every six months.  The portable analyzer shall be capable of achieving performance specifications equivalent to EPA traditional methods defined in 40 CFR 60, Appendix A, or shall be capable of meeting the requirements of EPA Conditional Test Method 022 for the “Determination of Nitric Oxide, Nitrogen Dioxide, and NO</w:t>
      </w:r>
      <w:r>
        <w:rPr>
          <w:rFonts w:ascii="Garamond" w:hAnsi="Garamond"/>
          <w:sz w:val="24"/>
          <w:szCs w:val="24"/>
          <w:vertAlign w:val="subscript"/>
        </w:rPr>
        <w:t>x</w:t>
      </w:r>
      <w:r>
        <w:rPr>
          <w:rFonts w:ascii="Garamond" w:hAnsi="Garamond"/>
          <w:sz w:val="24"/>
          <w:szCs w:val="24"/>
        </w:rPr>
        <w:t xml:space="preserve"> Emissions from Stationary Combustion Sources by Electrochemical Analyzer.”  NBPL shall monitor compliance with the NO</w:t>
      </w:r>
      <w:r>
        <w:rPr>
          <w:rFonts w:ascii="Garamond" w:hAnsi="Garamond"/>
          <w:sz w:val="24"/>
          <w:szCs w:val="24"/>
          <w:vertAlign w:val="subscript"/>
        </w:rPr>
        <w:t>x</w:t>
      </w:r>
      <w:r>
        <w:rPr>
          <w:rFonts w:ascii="Garamond" w:hAnsi="Garamond"/>
          <w:sz w:val="24"/>
          <w:szCs w:val="24"/>
        </w:rPr>
        <w:t xml:space="preserve"> and CO limitations by converting the emissions test results (ppm) to a mass emissions rate (lb/hr). Stack gas flow rates shall be determined using EPA Test Methods in 40 CFR 60, Appendix A. NBPL may use another testing procedure as approved in advance by the </w:t>
      </w:r>
      <w:r w:rsidR="00BD1236">
        <w:rPr>
          <w:rFonts w:ascii="Garamond" w:hAnsi="Garamond"/>
          <w:sz w:val="24"/>
          <w:szCs w:val="24"/>
        </w:rPr>
        <w:t>DEQ</w:t>
      </w:r>
      <w:r>
        <w:rPr>
          <w:rFonts w:ascii="Garamond" w:hAnsi="Garamond"/>
          <w:sz w:val="24"/>
          <w:szCs w:val="24"/>
        </w:rPr>
        <w:t xml:space="preserve"> (ARM 17.8.105 and ARM 17.7.106).</w:t>
      </w:r>
    </w:p>
    <w:p w14:paraId="3330CC91" w14:textId="77777777" w:rsidR="000C644B" w:rsidRDefault="000C644B" w:rsidP="001057A0">
      <w:pPr>
        <w:pStyle w:val="Heading2"/>
        <w:spacing w:before="0" w:after="0"/>
        <w:rPr>
          <w:rFonts w:ascii="Garamond" w:hAnsi="Garamond"/>
          <w:b/>
          <w:bCs/>
          <w:color w:val="auto"/>
          <w:sz w:val="24"/>
          <w:szCs w:val="24"/>
        </w:rPr>
      </w:pPr>
    </w:p>
    <w:p w14:paraId="246EE96D" w14:textId="70C61AB4"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7" w:name="_Toc228879232"/>
      <w:r w:rsidRPr="000C644B">
        <w:rPr>
          <w:rFonts w:ascii="Garamond" w:hAnsi="Garamond"/>
          <w:b/>
          <w:bCs/>
          <w:color w:val="auto"/>
          <w:sz w:val="24"/>
          <w:szCs w:val="24"/>
        </w:rPr>
        <w:t>Recordkeeping Requirements</w:t>
      </w:r>
      <w:bookmarkEnd w:id="17"/>
    </w:p>
    <w:p w14:paraId="4DFDB09F" w14:textId="77777777" w:rsidR="001057A0" w:rsidRDefault="001057A0" w:rsidP="001057A0">
      <w:pPr>
        <w:rPr>
          <w:rFonts w:ascii="Garamond" w:hAnsi="Garamond"/>
          <w:sz w:val="24"/>
          <w:szCs w:val="24"/>
        </w:rPr>
      </w:pPr>
    </w:p>
    <w:p w14:paraId="186D9C2E" w14:textId="77777777" w:rsidR="001057A0" w:rsidRDefault="001057A0" w:rsidP="001057A0">
      <w:pPr>
        <w:pStyle w:val="BodyText"/>
        <w:ind w:left="360"/>
        <w:rPr>
          <w:rFonts w:ascii="Garamond" w:hAnsi="Garamond"/>
          <w:sz w:val="24"/>
          <w:szCs w:val="24"/>
        </w:rPr>
      </w:pPr>
      <w:r>
        <w:rPr>
          <w:rFonts w:ascii="Garamond" w:hAnsi="Garamond"/>
          <w:sz w:val="24"/>
          <w:szCs w:val="24"/>
        </w:rPr>
        <w:t>The permittee is required to keep all records listed in the operating permit as a permanent business record for at least 5 years following the date of the generation of the record.</w:t>
      </w:r>
    </w:p>
    <w:p w14:paraId="400D5113" w14:textId="77777777" w:rsidR="001057A0" w:rsidRDefault="001057A0" w:rsidP="001057A0">
      <w:pPr>
        <w:rPr>
          <w:rFonts w:ascii="Garamond" w:hAnsi="Garamond"/>
          <w:sz w:val="24"/>
          <w:szCs w:val="24"/>
        </w:rPr>
      </w:pPr>
    </w:p>
    <w:p w14:paraId="59EC20DD" w14:textId="0363C770" w:rsidR="001057A0" w:rsidRPr="000C644B" w:rsidRDefault="001057A0" w:rsidP="000C644B">
      <w:pPr>
        <w:pStyle w:val="Heading2"/>
        <w:numPr>
          <w:ilvl w:val="0"/>
          <w:numId w:val="4"/>
        </w:numPr>
        <w:spacing w:before="0" w:after="0"/>
        <w:rPr>
          <w:rFonts w:ascii="Garamond" w:hAnsi="Garamond"/>
          <w:b/>
          <w:bCs/>
          <w:color w:val="auto"/>
          <w:sz w:val="24"/>
          <w:szCs w:val="24"/>
        </w:rPr>
      </w:pPr>
      <w:bookmarkStart w:id="18" w:name="_Toc228879233"/>
      <w:r w:rsidRPr="000C644B">
        <w:rPr>
          <w:rFonts w:ascii="Garamond" w:hAnsi="Garamond"/>
          <w:b/>
          <w:bCs/>
          <w:color w:val="auto"/>
          <w:sz w:val="24"/>
          <w:szCs w:val="24"/>
        </w:rPr>
        <w:t>Reporting Requirements</w:t>
      </w:r>
      <w:bookmarkEnd w:id="18"/>
    </w:p>
    <w:p w14:paraId="52B5ABC1" w14:textId="77777777" w:rsidR="001057A0" w:rsidRDefault="001057A0" w:rsidP="001057A0">
      <w:pPr>
        <w:rPr>
          <w:rFonts w:ascii="Garamond" w:hAnsi="Garamond"/>
          <w:sz w:val="24"/>
          <w:szCs w:val="24"/>
        </w:rPr>
      </w:pPr>
    </w:p>
    <w:p w14:paraId="1E8AF36A" w14:textId="1F6447E4" w:rsidR="001057A0" w:rsidRDefault="001057A0" w:rsidP="001057A0">
      <w:pPr>
        <w:ind w:left="360"/>
        <w:rPr>
          <w:rFonts w:ascii="Garamond" w:hAnsi="Garamond"/>
          <w:sz w:val="24"/>
          <w:szCs w:val="24"/>
        </w:rPr>
      </w:pPr>
      <w:r>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the </w:t>
      </w:r>
      <w:r w:rsidR="00BD1236">
        <w:rPr>
          <w:rFonts w:ascii="Garamond" w:hAnsi="Garamond"/>
          <w:sz w:val="24"/>
          <w:szCs w:val="24"/>
        </w:rPr>
        <w:t>DEQ</w:t>
      </w:r>
      <w:r>
        <w:rPr>
          <w:rFonts w:ascii="Garamond" w:hAnsi="Garamond"/>
          <w:sz w:val="24"/>
          <w:szCs w:val="24"/>
        </w:rPr>
        <w:t xml:space="preserve"> and to annually certify compliance with the applicable requirements contained in the permit.  The reports must include a list of all emission limit and monitoring deviations, the reason for any deviation, and the corrective action taken as a result of any deviation.</w:t>
      </w:r>
    </w:p>
    <w:p w14:paraId="53A8FD5A" w14:textId="77777777" w:rsidR="001057A0" w:rsidRDefault="001057A0" w:rsidP="001057A0">
      <w:pPr>
        <w:rPr>
          <w:rFonts w:ascii="Garamond" w:hAnsi="Garamond"/>
          <w:sz w:val="24"/>
          <w:szCs w:val="24"/>
        </w:rPr>
      </w:pPr>
    </w:p>
    <w:p w14:paraId="0357D45E" w14:textId="75D8101D" w:rsidR="004763EC" w:rsidRPr="004763EC" w:rsidRDefault="004763EC" w:rsidP="004763EC">
      <w:pPr>
        <w:pStyle w:val="Heading2"/>
        <w:numPr>
          <w:ilvl w:val="0"/>
          <w:numId w:val="4"/>
        </w:numPr>
        <w:spacing w:before="0" w:after="0"/>
        <w:rPr>
          <w:rFonts w:ascii="Garamond" w:hAnsi="Garamond"/>
          <w:b/>
          <w:bCs/>
          <w:color w:val="auto"/>
          <w:sz w:val="24"/>
          <w:szCs w:val="24"/>
        </w:rPr>
      </w:pPr>
      <w:bookmarkStart w:id="19" w:name="_Toc228879234"/>
      <w:bookmarkStart w:id="20" w:name="_Toc287002108"/>
      <w:r w:rsidRPr="004763EC">
        <w:rPr>
          <w:rFonts w:ascii="Garamond" w:hAnsi="Garamond"/>
          <w:b/>
          <w:bCs/>
          <w:color w:val="auto"/>
          <w:sz w:val="24"/>
          <w:szCs w:val="24"/>
        </w:rPr>
        <w:t>Public Notice</w:t>
      </w:r>
      <w:bookmarkEnd w:id="19"/>
      <w:r w:rsidRPr="004763EC">
        <w:rPr>
          <w:rFonts w:ascii="Garamond" w:hAnsi="Garamond"/>
          <w:b/>
          <w:bCs/>
          <w:color w:val="auto"/>
          <w:sz w:val="24"/>
          <w:szCs w:val="24"/>
        </w:rPr>
        <w:t xml:space="preserve"> </w:t>
      </w:r>
      <w:bookmarkEnd w:id="20"/>
    </w:p>
    <w:p w14:paraId="5B7AD4AB" w14:textId="77777777" w:rsidR="004763EC" w:rsidRPr="004763EC" w:rsidRDefault="004763EC" w:rsidP="004763EC">
      <w:pPr>
        <w:rPr>
          <w:rFonts w:ascii="Garamond" w:hAnsi="Garamond"/>
          <w:sz w:val="24"/>
          <w:szCs w:val="24"/>
          <w14:ligatures w14:val="none"/>
        </w:rPr>
      </w:pPr>
    </w:p>
    <w:p w14:paraId="123D78A5" w14:textId="69E0BA18"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 xml:space="preserve">In accordance with ARM 17.8.1232, a public notice was published in the </w:t>
      </w:r>
      <w:r w:rsidR="00D12A5C">
        <w:rPr>
          <w:rFonts w:ascii="Garamond" w:hAnsi="Garamond"/>
          <w:i/>
          <w:sz w:val="24"/>
          <w:szCs w:val="24"/>
          <w14:ligatures w14:val="none"/>
        </w:rPr>
        <w:t>Glasgow Currier</w:t>
      </w:r>
      <w:r w:rsidRPr="004763EC">
        <w:rPr>
          <w:rFonts w:ascii="Garamond" w:hAnsi="Garamond"/>
          <w:sz w:val="24"/>
          <w:szCs w:val="24"/>
          <w14:ligatures w14:val="none"/>
        </w:rPr>
        <w:t xml:space="preserve"> newspaper on or before </w:t>
      </w:r>
      <w:r>
        <w:rPr>
          <w:rFonts w:ascii="Garamond" w:hAnsi="Garamond"/>
          <w:sz w:val="24"/>
          <w:szCs w:val="24"/>
          <w14:ligatures w14:val="none"/>
        </w:rPr>
        <w:t xml:space="preserve">May </w:t>
      </w:r>
      <w:r w:rsidR="00D12A5C">
        <w:rPr>
          <w:rFonts w:ascii="Garamond" w:hAnsi="Garamond"/>
          <w:sz w:val="24"/>
          <w:szCs w:val="24"/>
          <w14:ligatures w14:val="none"/>
        </w:rPr>
        <w:t>6</w:t>
      </w:r>
      <w:r>
        <w:rPr>
          <w:rFonts w:ascii="Garamond" w:hAnsi="Garamond"/>
          <w:sz w:val="24"/>
          <w:szCs w:val="24"/>
          <w14:ligatures w14:val="none"/>
        </w:rPr>
        <w:t>, 2026</w:t>
      </w:r>
      <w:r w:rsidRPr="004763EC">
        <w:rPr>
          <w:rFonts w:ascii="Garamond" w:hAnsi="Garamond"/>
          <w:sz w:val="24"/>
          <w:szCs w:val="24"/>
          <w14:ligatures w14:val="none"/>
        </w:rPr>
        <w:t>.  DEQ provided a 30-day public comment period on the draft operating permit from</w:t>
      </w:r>
      <w:r>
        <w:rPr>
          <w:rFonts w:ascii="Garamond" w:hAnsi="Garamond"/>
          <w:sz w:val="24"/>
          <w:szCs w:val="24"/>
          <w14:ligatures w14:val="none"/>
        </w:rPr>
        <w:t xml:space="preserve"> May </w:t>
      </w:r>
      <w:r w:rsidR="00D12A5C">
        <w:rPr>
          <w:rFonts w:ascii="Garamond" w:hAnsi="Garamond"/>
          <w:sz w:val="24"/>
          <w:szCs w:val="24"/>
          <w14:ligatures w14:val="none"/>
        </w:rPr>
        <w:t>7</w:t>
      </w:r>
      <w:r>
        <w:rPr>
          <w:rFonts w:ascii="Garamond" w:hAnsi="Garamond"/>
          <w:sz w:val="24"/>
          <w:szCs w:val="24"/>
          <w14:ligatures w14:val="none"/>
        </w:rPr>
        <w:t xml:space="preserve">, </w:t>
      </w:r>
      <w:proofErr w:type="gramStart"/>
      <w:r>
        <w:rPr>
          <w:rFonts w:ascii="Garamond" w:hAnsi="Garamond"/>
          <w:sz w:val="24"/>
          <w:szCs w:val="24"/>
          <w14:ligatures w14:val="none"/>
        </w:rPr>
        <w:t>2026</w:t>
      </w:r>
      <w:proofErr w:type="gramEnd"/>
      <w:r>
        <w:rPr>
          <w:rFonts w:ascii="Garamond" w:hAnsi="Garamond"/>
          <w:sz w:val="24"/>
          <w:szCs w:val="24"/>
          <w14:ligatures w14:val="none"/>
        </w:rPr>
        <w:t xml:space="preserve"> through June </w:t>
      </w:r>
      <w:r w:rsidR="00D12A5C">
        <w:rPr>
          <w:rFonts w:ascii="Garamond" w:hAnsi="Garamond"/>
          <w:sz w:val="24"/>
          <w:szCs w:val="24"/>
          <w14:ligatures w14:val="none"/>
        </w:rPr>
        <w:t>8</w:t>
      </w:r>
      <w:r>
        <w:rPr>
          <w:rFonts w:ascii="Garamond" w:hAnsi="Garamond"/>
          <w:sz w:val="24"/>
          <w:szCs w:val="24"/>
          <w14:ligatures w14:val="none"/>
        </w:rPr>
        <w:t>, 2026</w:t>
      </w:r>
      <w:r w:rsidRPr="004763EC">
        <w:rPr>
          <w:rFonts w:ascii="Garamond" w:hAnsi="Garamond"/>
          <w:sz w:val="24"/>
          <w:szCs w:val="24"/>
          <w14:ligatures w14:val="none"/>
        </w:rPr>
        <w:t xml:space="preserve">.  ARM 17.8.1232 requires DEQ to keep a record of both comments and issues raised during the public participation process.  The comments and issues received by </w:t>
      </w:r>
      <w:r>
        <w:rPr>
          <w:rFonts w:ascii="Garamond" w:hAnsi="Garamond"/>
          <w:sz w:val="24"/>
          <w:szCs w:val="24"/>
          <w14:ligatures w14:val="none"/>
        </w:rPr>
        <w:t xml:space="preserve">June </w:t>
      </w:r>
      <w:r w:rsidR="00D12A5C">
        <w:rPr>
          <w:rFonts w:ascii="Garamond" w:hAnsi="Garamond"/>
          <w:sz w:val="24"/>
          <w:szCs w:val="24"/>
          <w14:ligatures w14:val="none"/>
        </w:rPr>
        <w:t>8</w:t>
      </w:r>
      <w:r>
        <w:rPr>
          <w:rFonts w:ascii="Garamond" w:hAnsi="Garamond"/>
          <w:sz w:val="24"/>
          <w:szCs w:val="24"/>
          <w14:ligatures w14:val="none"/>
        </w:rPr>
        <w:t xml:space="preserve">, </w:t>
      </w:r>
      <w:proofErr w:type="gramStart"/>
      <w:r>
        <w:rPr>
          <w:rFonts w:ascii="Garamond" w:hAnsi="Garamond"/>
          <w:sz w:val="24"/>
          <w:szCs w:val="24"/>
          <w14:ligatures w14:val="none"/>
        </w:rPr>
        <w:t>2026</w:t>
      </w:r>
      <w:proofErr w:type="gramEnd"/>
      <w:r w:rsidRPr="004763EC">
        <w:rPr>
          <w:rFonts w:ascii="Garamond" w:hAnsi="Garamond"/>
          <w:sz w:val="24"/>
          <w:szCs w:val="24"/>
          <w14:ligatures w14:val="none"/>
        </w:rPr>
        <w:t xml:space="preserve"> will be summarized, along with DEQ's responses, in the following table.  All comments received during the public comment period will be promptly forwarded to </w:t>
      </w:r>
      <w:r>
        <w:rPr>
          <w:rFonts w:ascii="Garamond" w:hAnsi="Garamond"/>
          <w:sz w:val="24"/>
          <w:szCs w:val="24"/>
          <w14:ligatures w14:val="none"/>
        </w:rPr>
        <w:t>NBPL</w:t>
      </w:r>
      <w:r w:rsidRPr="004763EC">
        <w:rPr>
          <w:rFonts w:ascii="Garamond" w:hAnsi="Garamond"/>
          <w:sz w:val="24"/>
          <w:szCs w:val="24"/>
          <w14:ligatures w14:val="none"/>
        </w:rPr>
        <w:t xml:space="preserve"> so they may have an opportunity to respond to these comments as well.</w:t>
      </w:r>
    </w:p>
    <w:p w14:paraId="5B4A0138" w14:textId="77777777" w:rsidR="004763EC" w:rsidRPr="004763EC" w:rsidRDefault="004763EC" w:rsidP="004763EC">
      <w:pPr>
        <w:rPr>
          <w:rFonts w:ascii="Garamond" w:hAnsi="Garamond"/>
          <w:sz w:val="24"/>
          <w:szCs w:val="24"/>
          <w14:ligatures w14:val="none"/>
        </w:rPr>
      </w:pPr>
    </w:p>
    <w:p w14:paraId="411DB2C9" w14:textId="77777777" w:rsidR="004763EC" w:rsidRPr="004763EC" w:rsidRDefault="004763EC" w:rsidP="004763EC">
      <w:pPr>
        <w:keepNext/>
        <w:jc w:val="center"/>
        <w:outlineLvl w:val="2"/>
        <w:rPr>
          <w:rFonts w:ascii="Garamond" w:hAnsi="Garamond"/>
          <w:b/>
          <w:sz w:val="24"/>
          <w:szCs w:val="24"/>
          <w14:ligatures w14:val="none"/>
        </w:rPr>
      </w:pPr>
      <w:r w:rsidRPr="004763EC">
        <w:rPr>
          <w:rFonts w:ascii="Garamond" w:hAnsi="Garamond"/>
          <w:b/>
          <w:sz w:val="24"/>
          <w:szCs w:val="24"/>
          <w14:ligatures w14:val="none"/>
        </w:rPr>
        <w:t>Summary of Public Comments</w:t>
      </w:r>
    </w:p>
    <w:p w14:paraId="2B60A303" w14:textId="77777777" w:rsidR="004763EC" w:rsidRPr="004763EC" w:rsidRDefault="004763EC" w:rsidP="004763EC">
      <w:pPr>
        <w:rPr>
          <w:rFonts w:ascii="Garamond" w:hAnsi="Garamond"/>
          <w:b/>
          <w:sz w:val="24"/>
          <w:szCs w:val="24"/>
          <w14:ligatures w14:val="none"/>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4763EC" w:rsidRPr="004763EC" w14:paraId="6281770B" w14:textId="77777777" w:rsidTr="00AD26E6">
        <w:tc>
          <w:tcPr>
            <w:tcW w:w="1980" w:type="dxa"/>
            <w:tcBorders>
              <w:top w:val="double" w:sz="4" w:space="0" w:color="auto"/>
              <w:left w:val="double" w:sz="4" w:space="0" w:color="auto"/>
            </w:tcBorders>
          </w:tcPr>
          <w:p w14:paraId="355A6356"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Person/Group Commenting</w:t>
            </w:r>
          </w:p>
        </w:tc>
        <w:tc>
          <w:tcPr>
            <w:tcW w:w="3510" w:type="dxa"/>
            <w:tcBorders>
              <w:top w:val="double" w:sz="4" w:space="0" w:color="auto"/>
            </w:tcBorders>
          </w:tcPr>
          <w:p w14:paraId="67A1AB63"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Comment</w:t>
            </w:r>
          </w:p>
        </w:tc>
        <w:tc>
          <w:tcPr>
            <w:tcW w:w="3240" w:type="dxa"/>
            <w:tcBorders>
              <w:top w:val="double" w:sz="4" w:space="0" w:color="auto"/>
              <w:right w:val="double" w:sz="4" w:space="0" w:color="auto"/>
            </w:tcBorders>
          </w:tcPr>
          <w:p w14:paraId="4038EA4E"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DEQ Response</w:t>
            </w:r>
          </w:p>
        </w:tc>
      </w:tr>
      <w:tr w:rsidR="00AD26E6" w:rsidRPr="004763EC" w14:paraId="32709C61" w14:textId="77777777" w:rsidTr="00AD26E6">
        <w:tc>
          <w:tcPr>
            <w:tcW w:w="8730" w:type="dxa"/>
            <w:gridSpan w:val="3"/>
            <w:tcBorders>
              <w:left w:val="double" w:sz="4" w:space="0" w:color="auto"/>
              <w:bottom w:val="double" w:sz="4" w:space="0" w:color="auto"/>
              <w:right w:val="double" w:sz="4" w:space="0" w:color="auto"/>
            </w:tcBorders>
          </w:tcPr>
          <w:p w14:paraId="7B3EC74C" w14:textId="1157C22F" w:rsidR="00AD26E6" w:rsidRPr="004763EC" w:rsidRDefault="00AD26E6" w:rsidP="00AD26E6">
            <w:pPr>
              <w:jc w:val="center"/>
              <w:rPr>
                <w:rFonts w:ascii="Garamond" w:hAnsi="Garamond"/>
                <w:b/>
                <w:sz w:val="22"/>
                <w:szCs w:val="22"/>
                <w14:ligatures w14:val="none"/>
              </w:rPr>
            </w:pPr>
            <w:r>
              <w:rPr>
                <w:rFonts w:ascii="Garamond" w:hAnsi="Garamond"/>
                <w:b/>
                <w:sz w:val="22"/>
                <w:szCs w:val="22"/>
                <w14:ligatures w14:val="none"/>
              </w:rPr>
              <w:t>No Comments Received</w:t>
            </w:r>
          </w:p>
        </w:tc>
      </w:tr>
    </w:tbl>
    <w:p w14:paraId="252C1320" w14:textId="77777777" w:rsidR="004763EC" w:rsidRPr="004763EC" w:rsidRDefault="004763EC" w:rsidP="004763EC">
      <w:pPr>
        <w:rPr>
          <w:rFonts w:ascii="Garamond" w:hAnsi="Garamond"/>
          <w:b/>
          <w:sz w:val="24"/>
          <w:szCs w:val="24"/>
          <w14:ligatures w14:val="none"/>
        </w:rPr>
      </w:pPr>
    </w:p>
    <w:p w14:paraId="73547DAC" w14:textId="03717B2C" w:rsidR="004763EC" w:rsidRPr="004763EC" w:rsidRDefault="004763EC" w:rsidP="004C42FE">
      <w:pPr>
        <w:pStyle w:val="ListParagraph"/>
        <w:keepNext/>
        <w:numPr>
          <w:ilvl w:val="0"/>
          <w:numId w:val="4"/>
        </w:numPr>
        <w:tabs>
          <w:tab w:val="num" w:pos="360"/>
          <w:tab w:val="left" w:pos="720"/>
        </w:tabs>
        <w:spacing w:before="100" w:beforeAutospacing="1" w:after="100" w:afterAutospacing="1"/>
        <w:outlineLvl w:val="1"/>
        <w:rPr>
          <w:rFonts w:ascii="Garamond" w:hAnsi="Garamond"/>
          <w:b/>
          <w:sz w:val="24"/>
          <w:szCs w:val="24"/>
          <w14:ligatures w14:val="none"/>
        </w:rPr>
      </w:pPr>
      <w:bookmarkStart w:id="21" w:name="_Toc287002109"/>
      <w:r w:rsidRPr="004763EC">
        <w:rPr>
          <w:rFonts w:ascii="Garamond" w:eastAsiaTheme="majorEastAsia" w:hAnsi="Garamond" w:cstheme="majorBidi"/>
          <w:b/>
          <w:bCs/>
          <w:sz w:val="24"/>
          <w:szCs w:val="24"/>
        </w:rPr>
        <w:lastRenderedPageBreak/>
        <w:t>Draft Permit Comments</w:t>
      </w:r>
      <w:r w:rsidRPr="004763EC">
        <w:rPr>
          <w:rFonts w:ascii="Garamond" w:hAnsi="Garamond"/>
          <w:b/>
          <w:sz w:val="24"/>
          <w:szCs w:val="24"/>
          <w14:ligatures w14:val="none"/>
        </w:rPr>
        <w:t xml:space="preserve"> </w:t>
      </w:r>
      <w:bookmarkEnd w:id="21"/>
    </w:p>
    <w:p w14:paraId="0B6611F2" w14:textId="77777777" w:rsidR="004763EC" w:rsidRPr="004763EC" w:rsidRDefault="004763EC" w:rsidP="004763EC">
      <w:pPr>
        <w:keepNext/>
        <w:jc w:val="center"/>
        <w:outlineLvl w:val="2"/>
        <w:rPr>
          <w:rFonts w:ascii="Garamond" w:hAnsi="Garamond"/>
          <w:b/>
          <w:sz w:val="24"/>
          <w:szCs w:val="24"/>
          <w14:ligatures w14:val="none"/>
        </w:rPr>
      </w:pPr>
      <w:r w:rsidRPr="004763EC">
        <w:rPr>
          <w:rFonts w:ascii="Garamond" w:hAnsi="Garamond"/>
          <w:b/>
          <w:sz w:val="24"/>
          <w:szCs w:val="24"/>
          <w14:ligatures w14:val="none"/>
        </w:rPr>
        <w:t>Summary of Permittee Comments</w:t>
      </w:r>
    </w:p>
    <w:p w14:paraId="65CB1819" w14:textId="77777777" w:rsidR="004763EC" w:rsidRPr="004763EC" w:rsidRDefault="004763EC" w:rsidP="004763EC">
      <w:pPr>
        <w:rPr>
          <w:rFonts w:ascii="Garamond" w:hAnsi="Garamond"/>
          <w:sz w:val="24"/>
          <w:szCs w:val="24"/>
          <w14:ligatures w14:val="none"/>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763EC" w:rsidRPr="004763EC" w14:paraId="564747D2" w14:textId="77777777" w:rsidTr="00AD26E6">
        <w:tc>
          <w:tcPr>
            <w:tcW w:w="1980" w:type="dxa"/>
            <w:tcBorders>
              <w:top w:val="double" w:sz="4" w:space="0" w:color="auto"/>
              <w:left w:val="double" w:sz="4" w:space="0" w:color="auto"/>
            </w:tcBorders>
          </w:tcPr>
          <w:p w14:paraId="3B687736"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Permit Reference</w:t>
            </w:r>
          </w:p>
        </w:tc>
        <w:tc>
          <w:tcPr>
            <w:tcW w:w="3420" w:type="dxa"/>
            <w:tcBorders>
              <w:top w:val="double" w:sz="4" w:space="0" w:color="auto"/>
            </w:tcBorders>
          </w:tcPr>
          <w:p w14:paraId="31B21D52"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Permittee Comment</w:t>
            </w:r>
          </w:p>
        </w:tc>
        <w:tc>
          <w:tcPr>
            <w:tcW w:w="3330" w:type="dxa"/>
            <w:tcBorders>
              <w:top w:val="double" w:sz="4" w:space="0" w:color="auto"/>
              <w:right w:val="double" w:sz="4" w:space="0" w:color="auto"/>
            </w:tcBorders>
          </w:tcPr>
          <w:p w14:paraId="191BB04D"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DEQ Response</w:t>
            </w:r>
          </w:p>
        </w:tc>
      </w:tr>
      <w:tr w:rsidR="00AD26E6" w:rsidRPr="004763EC" w14:paraId="00C1D07A" w14:textId="77777777" w:rsidTr="00AD26E6">
        <w:tc>
          <w:tcPr>
            <w:tcW w:w="8730" w:type="dxa"/>
            <w:gridSpan w:val="3"/>
            <w:tcBorders>
              <w:left w:val="double" w:sz="4" w:space="0" w:color="auto"/>
              <w:bottom w:val="double" w:sz="4" w:space="0" w:color="auto"/>
              <w:right w:val="double" w:sz="4" w:space="0" w:color="auto"/>
            </w:tcBorders>
          </w:tcPr>
          <w:p w14:paraId="03CA3E39" w14:textId="31C4F5E5" w:rsidR="00AD26E6" w:rsidRPr="004763EC" w:rsidRDefault="00AD26E6" w:rsidP="00AD26E6">
            <w:pPr>
              <w:jc w:val="center"/>
              <w:rPr>
                <w:rFonts w:ascii="Garamond" w:hAnsi="Garamond"/>
                <w:sz w:val="22"/>
                <w:szCs w:val="22"/>
                <w14:ligatures w14:val="none"/>
              </w:rPr>
            </w:pPr>
            <w:r>
              <w:rPr>
                <w:rFonts w:ascii="Garamond" w:hAnsi="Garamond"/>
                <w:b/>
                <w:sz w:val="22"/>
                <w:szCs w:val="22"/>
                <w14:ligatures w14:val="none"/>
              </w:rPr>
              <w:t>No Comments Received</w:t>
            </w:r>
          </w:p>
        </w:tc>
      </w:tr>
    </w:tbl>
    <w:p w14:paraId="26677B8A" w14:textId="77777777" w:rsidR="004763EC" w:rsidRPr="004763EC" w:rsidRDefault="004763EC" w:rsidP="004763EC">
      <w:pPr>
        <w:rPr>
          <w:rFonts w:ascii="Garamond" w:hAnsi="Garamond"/>
          <w:sz w:val="24"/>
          <w:szCs w:val="24"/>
          <w14:ligatures w14:val="none"/>
        </w:rPr>
      </w:pPr>
    </w:p>
    <w:p w14:paraId="6AFB1ED8" w14:textId="77777777" w:rsidR="004763EC" w:rsidRPr="004763EC" w:rsidRDefault="004763EC" w:rsidP="004763EC">
      <w:pPr>
        <w:rPr>
          <w:rFonts w:ascii="Garamond" w:hAnsi="Garamond"/>
          <w:b/>
          <w:sz w:val="24"/>
          <w:szCs w:val="24"/>
          <w14:ligatures w14:val="none"/>
        </w:rPr>
      </w:pPr>
    </w:p>
    <w:p w14:paraId="3EDB3546" w14:textId="77777777" w:rsidR="004763EC" w:rsidRPr="004763EC" w:rsidRDefault="004763EC" w:rsidP="004763EC">
      <w:pPr>
        <w:keepNext/>
        <w:jc w:val="center"/>
        <w:outlineLvl w:val="2"/>
        <w:rPr>
          <w:rFonts w:ascii="Garamond" w:hAnsi="Garamond"/>
          <w:b/>
          <w:sz w:val="24"/>
          <w:szCs w:val="24"/>
          <w14:ligatures w14:val="none"/>
        </w:rPr>
      </w:pPr>
      <w:r w:rsidRPr="004763EC">
        <w:rPr>
          <w:rFonts w:ascii="Garamond" w:hAnsi="Garamond"/>
          <w:b/>
          <w:sz w:val="24"/>
          <w:szCs w:val="24"/>
          <w14:ligatures w14:val="none"/>
        </w:rPr>
        <w:t>Summary of EPA Comments</w:t>
      </w:r>
    </w:p>
    <w:p w14:paraId="7A9796C4" w14:textId="77777777" w:rsidR="004763EC" w:rsidRPr="004763EC" w:rsidRDefault="004763EC" w:rsidP="004763EC">
      <w:pPr>
        <w:rPr>
          <w:rFonts w:ascii="Garamond" w:hAnsi="Garamond"/>
          <w:sz w:val="24"/>
          <w:szCs w:val="24"/>
          <w14:ligatures w14:val="non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763EC" w:rsidRPr="004763EC" w14:paraId="2F77626F" w14:textId="77777777" w:rsidTr="00727381">
        <w:tc>
          <w:tcPr>
            <w:tcW w:w="1980" w:type="dxa"/>
            <w:tcBorders>
              <w:top w:val="double" w:sz="4" w:space="0" w:color="auto"/>
              <w:left w:val="double" w:sz="4" w:space="0" w:color="auto"/>
            </w:tcBorders>
          </w:tcPr>
          <w:p w14:paraId="247FE354"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Permit Reference</w:t>
            </w:r>
          </w:p>
        </w:tc>
        <w:tc>
          <w:tcPr>
            <w:tcW w:w="3420" w:type="dxa"/>
            <w:tcBorders>
              <w:top w:val="double" w:sz="4" w:space="0" w:color="auto"/>
            </w:tcBorders>
          </w:tcPr>
          <w:p w14:paraId="5940C663"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EPA Comment</w:t>
            </w:r>
          </w:p>
        </w:tc>
        <w:tc>
          <w:tcPr>
            <w:tcW w:w="3330" w:type="dxa"/>
            <w:tcBorders>
              <w:top w:val="double" w:sz="4" w:space="0" w:color="auto"/>
              <w:right w:val="double" w:sz="4" w:space="0" w:color="auto"/>
            </w:tcBorders>
          </w:tcPr>
          <w:p w14:paraId="250798A3" w14:textId="77777777" w:rsidR="004763EC" w:rsidRPr="004763EC" w:rsidRDefault="004763EC" w:rsidP="004763EC">
            <w:pPr>
              <w:jc w:val="center"/>
              <w:rPr>
                <w:rFonts w:ascii="Garamond" w:hAnsi="Garamond"/>
                <w:sz w:val="22"/>
                <w:szCs w:val="22"/>
                <w14:ligatures w14:val="none"/>
              </w:rPr>
            </w:pPr>
            <w:r w:rsidRPr="004763EC">
              <w:rPr>
                <w:rFonts w:ascii="Garamond" w:hAnsi="Garamond"/>
                <w:sz w:val="22"/>
                <w:szCs w:val="22"/>
                <w14:ligatures w14:val="none"/>
              </w:rPr>
              <w:t>DEQ Response</w:t>
            </w:r>
          </w:p>
        </w:tc>
      </w:tr>
      <w:tr w:rsidR="004763EC" w:rsidRPr="004763EC" w14:paraId="49C04C2C" w14:textId="77777777" w:rsidTr="00727381">
        <w:tc>
          <w:tcPr>
            <w:tcW w:w="1980" w:type="dxa"/>
            <w:tcBorders>
              <w:left w:val="double" w:sz="4" w:space="0" w:color="auto"/>
              <w:bottom w:val="double" w:sz="4" w:space="0" w:color="auto"/>
            </w:tcBorders>
          </w:tcPr>
          <w:p w14:paraId="1207FF2A" w14:textId="77777777" w:rsidR="004763EC" w:rsidRPr="004763EC" w:rsidRDefault="004763EC" w:rsidP="004763EC">
            <w:pPr>
              <w:rPr>
                <w:rFonts w:ascii="Garamond" w:hAnsi="Garamond"/>
                <w:sz w:val="22"/>
                <w:szCs w:val="22"/>
                <w14:ligatures w14:val="none"/>
              </w:rPr>
            </w:pPr>
          </w:p>
        </w:tc>
        <w:tc>
          <w:tcPr>
            <w:tcW w:w="3420" w:type="dxa"/>
            <w:tcBorders>
              <w:bottom w:val="double" w:sz="4" w:space="0" w:color="auto"/>
            </w:tcBorders>
          </w:tcPr>
          <w:p w14:paraId="57D4A2A2" w14:textId="77777777" w:rsidR="004763EC" w:rsidRPr="004763EC" w:rsidRDefault="004763EC" w:rsidP="004763EC">
            <w:pPr>
              <w:rPr>
                <w:rFonts w:ascii="Garamond" w:hAnsi="Garamond"/>
                <w:sz w:val="22"/>
                <w:szCs w:val="22"/>
                <w14:ligatures w14:val="none"/>
              </w:rPr>
            </w:pPr>
          </w:p>
        </w:tc>
        <w:tc>
          <w:tcPr>
            <w:tcW w:w="3330" w:type="dxa"/>
            <w:tcBorders>
              <w:bottom w:val="double" w:sz="4" w:space="0" w:color="auto"/>
              <w:right w:val="double" w:sz="4" w:space="0" w:color="auto"/>
            </w:tcBorders>
          </w:tcPr>
          <w:p w14:paraId="136FF96B" w14:textId="77777777" w:rsidR="004763EC" w:rsidRPr="004763EC" w:rsidRDefault="004763EC" w:rsidP="004763EC">
            <w:pPr>
              <w:rPr>
                <w:rFonts w:ascii="Garamond" w:hAnsi="Garamond"/>
                <w:sz w:val="22"/>
                <w:szCs w:val="22"/>
                <w14:ligatures w14:val="none"/>
              </w:rPr>
            </w:pPr>
          </w:p>
        </w:tc>
      </w:tr>
    </w:tbl>
    <w:p w14:paraId="713706B4" w14:textId="77777777" w:rsidR="004763EC" w:rsidRPr="004763EC" w:rsidRDefault="004763EC" w:rsidP="004763EC">
      <w:pPr>
        <w:rPr>
          <w:rFonts w:ascii="Garamond" w:hAnsi="Garamond"/>
          <w14:ligatures w14:val="none"/>
        </w:rPr>
      </w:pPr>
    </w:p>
    <w:p w14:paraId="6709159C" w14:textId="77777777" w:rsidR="004763EC" w:rsidRPr="004763EC" w:rsidRDefault="004763EC" w:rsidP="004763EC">
      <w:pPr>
        <w:rPr>
          <w:rFonts w:ascii="Garamond" w:hAnsi="Garamond"/>
          <w14:ligatures w14:val="none"/>
        </w:rPr>
      </w:pPr>
    </w:p>
    <w:p w14:paraId="576FE0DB" w14:textId="77777777" w:rsidR="001057A0" w:rsidRDefault="001057A0" w:rsidP="001057A0">
      <w:pPr>
        <w:rPr>
          <w:rFonts w:ascii="Garamond" w:hAnsi="Garamond"/>
          <w:sz w:val="24"/>
          <w:szCs w:val="24"/>
        </w:rPr>
      </w:pPr>
    </w:p>
    <w:p w14:paraId="7A122791" w14:textId="77777777" w:rsidR="001057A0" w:rsidRDefault="001057A0" w:rsidP="001057A0">
      <w:pPr>
        <w:rPr>
          <w:rFonts w:ascii="Garamond" w:hAnsi="Garamond"/>
          <w:sz w:val="24"/>
          <w:szCs w:val="24"/>
        </w:rPr>
        <w:sectPr w:rsidR="001057A0" w:rsidSect="001057A0">
          <w:pgSz w:w="12240" w:h="15840"/>
          <w:pgMar w:top="1152" w:right="1440" w:bottom="1008" w:left="1440" w:header="720" w:footer="720" w:gutter="0"/>
          <w:cols w:space="720"/>
        </w:sectPr>
      </w:pPr>
    </w:p>
    <w:p w14:paraId="2584E91A" w14:textId="1E4C2B83" w:rsidR="001057A0" w:rsidRPr="000C644B" w:rsidRDefault="000C644B" w:rsidP="00C430CE">
      <w:pPr>
        <w:pStyle w:val="Heading1"/>
        <w:spacing w:before="0" w:after="0"/>
        <w:jc w:val="center"/>
        <w:rPr>
          <w:rFonts w:ascii="Garamond" w:hAnsi="Garamond"/>
          <w:b/>
          <w:bCs/>
          <w:sz w:val="24"/>
          <w:szCs w:val="24"/>
        </w:rPr>
      </w:pPr>
      <w:bookmarkStart w:id="22" w:name="_Toc228879235"/>
      <w:r w:rsidRPr="000C644B">
        <w:rPr>
          <w:rFonts w:ascii="Garamond" w:hAnsi="Garamond"/>
          <w:b/>
          <w:bCs/>
          <w:color w:val="auto"/>
          <w:sz w:val="24"/>
          <w:szCs w:val="24"/>
        </w:rPr>
        <w:lastRenderedPageBreak/>
        <w:t xml:space="preserve">SECTION IV. </w:t>
      </w:r>
      <w:r w:rsidR="001057A0" w:rsidRPr="000C644B">
        <w:rPr>
          <w:rFonts w:ascii="Garamond" w:hAnsi="Garamond"/>
          <w:b/>
          <w:bCs/>
          <w:color w:val="auto"/>
          <w:sz w:val="24"/>
          <w:szCs w:val="24"/>
        </w:rPr>
        <w:t>NON-APPLICABLE REQUIREMENT ANALYSIS</w:t>
      </w:r>
      <w:bookmarkEnd w:id="22"/>
    </w:p>
    <w:p w14:paraId="76EF54FF" w14:textId="77777777" w:rsidR="001057A0" w:rsidRDefault="001057A0" w:rsidP="001057A0">
      <w:pPr>
        <w:rPr>
          <w:rFonts w:ascii="Garamond" w:hAnsi="Garamond"/>
          <w:sz w:val="24"/>
          <w:szCs w:val="24"/>
          <w:highlight w:val="yellow"/>
        </w:rPr>
      </w:pPr>
    </w:p>
    <w:p w14:paraId="569CB093" w14:textId="17176890" w:rsidR="001057A0" w:rsidRDefault="001057A0" w:rsidP="001057A0">
      <w:pPr>
        <w:pStyle w:val="Default"/>
        <w:rPr>
          <w:rFonts w:ascii="Garamond" w:hAnsi="Garamond"/>
        </w:rPr>
      </w:pPr>
      <w:r>
        <w:rPr>
          <w:rFonts w:ascii="Garamond" w:hAnsi="Garamond"/>
        </w:rPr>
        <w:t xml:space="preserve">Section IV of the operating permit "Non-Applicable Requirements" contains the requirements that the </w:t>
      </w:r>
      <w:r w:rsidR="00BD1236">
        <w:rPr>
          <w:rFonts w:ascii="Garamond" w:hAnsi="Garamond"/>
        </w:rPr>
        <w:t>DEQ</w:t>
      </w:r>
      <w:r>
        <w:rPr>
          <w:rFonts w:ascii="Garamond" w:hAnsi="Garamond"/>
        </w:rPr>
        <w:t xml:space="preserve"> determined were non-applicable.  This section is intentionally left blank as this section typically summarizes the requirements that the applicant identified as non-applicable and contains the reasons that </w:t>
      </w:r>
      <w:r w:rsidR="003060C0">
        <w:rPr>
          <w:rFonts w:ascii="Garamond" w:hAnsi="Garamond"/>
        </w:rPr>
        <w:t>DEQ</w:t>
      </w:r>
      <w:r>
        <w:rPr>
          <w:rFonts w:ascii="Garamond" w:hAnsi="Garamond"/>
        </w:rPr>
        <w:t xml:space="preserve"> did not include these requirements as non-applicable in the permit.  No such scenario occurred during the renewal.</w:t>
      </w:r>
    </w:p>
    <w:p w14:paraId="542ECDA5" w14:textId="77777777" w:rsidR="001057A0" w:rsidRDefault="001057A0" w:rsidP="001057A0">
      <w:pPr>
        <w:pStyle w:val="Default"/>
        <w:rPr>
          <w:rFonts w:ascii="Garamond" w:hAnsi="Garamond"/>
        </w:rPr>
      </w:pPr>
    </w:p>
    <w:p w14:paraId="22940F68" w14:textId="77777777" w:rsidR="001057A0" w:rsidRDefault="001057A0" w:rsidP="001057A0">
      <w:pPr>
        <w:rPr>
          <w:rFonts w:ascii="Garamond" w:hAnsi="Garamond"/>
          <w:sz w:val="24"/>
          <w:szCs w:val="24"/>
        </w:rPr>
        <w:sectPr w:rsidR="001057A0" w:rsidSect="001057A0">
          <w:pgSz w:w="12240" w:h="15840"/>
          <w:pgMar w:top="1152" w:right="1440" w:bottom="1008" w:left="1440" w:header="720" w:footer="720" w:gutter="0"/>
          <w:cols w:space="720"/>
        </w:sectPr>
      </w:pPr>
    </w:p>
    <w:p w14:paraId="251FC1CE" w14:textId="03FBAD09" w:rsidR="001057A0" w:rsidRPr="000C644B" w:rsidRDefault="000C644B" w:rsidP="004763EC">
      <w:pPr>
        <w:pStyle w:val="Heading1"/>
        <w:spacing w:before="0" w:after="0"/>
        <w:jc w:val="center"/>
        <w:rPr>
          <w:rFonts w:ascii="Garamond" w:hAnsi="Garamond"/>
          <w:b/>
          <w:bCs/>
          <w:sz w:val="24"/>
          <w:szCs w:val="24"/>
        </w:rPr>
      </w:pPr>
      <w:bookmarkStart w:id="23" w:name="_Toc228879236"/>
      <w:r w:rsidRPr="000C644B">
        <w:rPr>
          <w:rFonts w:ascii="Garamond" w:hAnsi="Garamond"/>
          <w:b/>
          <w:bCs/>
          <w:color w:val="auto"/>
          <w:sz w:val="24"/>
          <w:szCs w:val="24"/>
        </w:rPr>
        <w:lastRenderedPageBreak/>
        <w:t>SECTION V.</w:t>
      </w:r>
      <w:r w:rsidR="001057A0" w:rsidRPr="000C644B">
        <w:rPr>
          <w:rFonts w:ascii="Garamond" w:hAnsi="Garamond"/>
          <w:b/>
          <w:bCs/>
          <w:color w:val="auto"/>
          <w:sz w:val="24"/>
          <w:szCs w:val="24"/>
        </w:rPr>
        <w:t xml:space="preserve"> FUTURE PERMIT CONSIDERATIONS</w:t>
      </w:r>
      <w:bookmarkEnd w:id="23"/>
    </w:p>
    <w:p w14:paraId="4E5AB814" w14:textId="77777777" w:rsidR="001057A0" w:rsidRDefault="001057A0" w:rsidP="001057A0">
      <w:pPr>
        <w:rPr>
          <w:rFonts w:ascii="Garamond" w:hAnsi="Garamond"/>
          <w:sz w:val="24"/>
          <w:szCs w:val="24"/>
        </w:rPr>
      </w:pPr>
    </w:p>
    <w:p w14:paraId="0954B29B" w14:textId="3612218C"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4" w:name="_Toc228879237"/>
      <w:r w:rsidRPr="000C644B">
        <w:rPr>
          <w:rFonts w:ascii="Garamond" w:hAnsi="Garamond"/>
          <w:b/>
          <w:bCs/>
          <w:color w:val="auto"/>
          <w:sz w:val="24"/>
          <w:szCs w:val="24"/>
        </w:rPr>
        <w:t>MACT Standards</w:t>
      </w:r>
      <w:bookmarkEnd w:id="24"/>
    </w:p>
    <w:p w14:paraId="77B9CFE2" w14:textId="77777777" w:rsidR="001057A0" w:rsidRDefault="001057A0" w:rsidP="001057A0">
      <w:pPr>
        <w:ind w:left="360"/>
        <w:rPr>
          <w:rFonts w:ascii="Garamond" w:hAnsi="Garamond"/>
          <w:sz w:val="24"/>
          <w:szCs w:val="24"/>
        </w:rPr>
      </w:pPr>
    </w:p>
    <w:p w14:paraId="2E690D2F" w14:textId="77777777" w:rsidR="001057A0" w:rsidRDefault="001057A0" w:rsidP="001057A0">
      <w:pPr>
        <w:ind w:left="360"/>
        <w:rPr>
          <w:rFonts w:ascii="Garamond" w:hAnsi="Garamond"/>
          <w:sz w:val="24"/>
          <w:szCs w:val="24"/>
        </w:rPr>
      </w:pPr>
      <w:r>
        <w:rPr>
          <w:rFonts w:ascii="Garamond" w:hAnsi="Garamond"/>
          <w:sz w:val="24"/>
          <w:szCs w:val="24"/>
        </w:rPr>
        <w:t>On March 5, 2009, EPA published in the Federal Register a proposed rule to amend 40 CFR 63, Subpart ZZZZ.  This rule has since become final and requires specific maintenance practices of the emergency generator engine.</w:t>
      </w:r>
    </w:p>
    <w:p w14:paraId="0F2B9620" w14:textId="77777777" w:rsidR="001057A0" w:rsidRDefault="001057A0" w:rsidP="001057A0">
      <w:pPr>
        <w:rPr>
          <w:rFonts w:ascii="Garamond" w:hAnsi="Garamond"/>
          <w:sz w:val="24"/>
          <w:szCs w:val="24"/>
        </w:rPr>
      </w:pPr>
    </w:p>
    <w:p w14:paraId="162AF922" w14:textId="7CB8D4AF"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5" w:name="_Toc228879238"/>
      <w:r w:rsidRPr="000C644B">
        <w:rPr>
          <w:rFonts w:ascii="Garamond" w:hAnsi="Garamond"/>
          <w:b/>
          <w:bCs/>
          <w:color w:val="auto"/>
          <w:sz w:val="24"/>
          <w:szCs w:val="24"/>
        </w:rPr>
        <w:t>NESHAP Standards</w:t>
      </w:r>
      <w:bookmarkEnd w:id="25"/>
    </w:p>
    <w:p w14:paraId="09A446FA" w14:textId="77777777" w:rsidR="001057A0" w:rsidRDefault="001057A0" w:rsidP="001057A0">
      <w:pPr>
        <w:rPr>
          <w:rFonts w:ascii="Garamond" w:hAnsi="Garamond"/>
          <w:sz w:val="24"/>
          <w:szCs w:val="24"/>
        </w:rPr>
      </w:pPr>
    </w:p>
    <w:p w14:paraId="7E438C14" w14:textId="49AB851D" w:rsidR="001057A0" w:rsidRDefault="001057A0" w:rsidP="001057A0">
      <w:pPr>
        <w:ind w:left="360"/>
        <w:rPr>
          <w:rFonts w:ascii="Garamond" w:hAnsi="Garamond"/>
          <w:sz w:val="24"/>
          <w:szCs w:val="24"/>
        </w:rPr>
      </w:pPr>
      <w:r>
        <w:rPr>
          <w:rFonts w:ascii="Garamond" w:hAnsi="Garamond"/>
          <w:sz w:val="24"/>
          <w:szCs w:val="24"/>
        </w:rPr>
        <w:t>As of the decision date of Operating Permit #OP2979-1</w:t>
      </w:r>
      <w:r w:rsidR="003060C0">
        <w:rPr>
          <w:rFonts w:ascii="Garamond" w:hAnsi="Garamond"/>
          <w:sz w:val="24"/>
          <w:szCs w:val="24"/>
        </w:rPr>
        <w:t>6</w:t>
      </w:r>
      <w:r>
        <w:rPr>
          <w:rFonts w:ascii="Garamond" w:hAnsi="Garamond"/>
          <w:sz w:val="24"/>
          <w:szCs w:val="24"/>
        </w:rPr>
        <w:t xml:space="preserve">, </w:t>
      </w:r>
      <w:r w:rsidR="003060C0">
        <w:rPr>
          <w:rFonts w:ascii="Garamond" w:hAnsi="Garamond"/>
          <w:sz w:val="24"/>
          <w:szCs w:val="24"/>
        </w:rPr>
        <w:t>DEQ</w:t>
      </w:r>
      <w:r>
        <w:rPr>
          <w:rFonts w:ascii="Garamond" w:hAnsi="Garamond"/>
          <w:sz w:val="24"/>
          <w:szCs w:val="24"/>
        </w:rPr>
        <w:t xml:space="preserve"> is unaware of any future NESHAP Standards that may be promulgated that will affect this facility.</w:t>
      </w:r>
    </w:p>
    <w:p w14:paraId="0061E25E" w14:textId="77777777" w:rsidR="001057A0" w:rsidRDefault="001057A0" w:rsidP="001057A0">
      <w:pPr>
        <w:rPr>
          <w:rFonts w:ascii="Garamond" w:hAnsi="Garamond"/>
          <w:sz w:val="24"/>
          <w:szCs w:val="24"/>
        </w:rPr>
      </w:pPr>
    </w:p>
    <w:p w14:paraId="4635D071" w14:textId="7B8001EE"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6" w:name="_Toc228879239"/>
      <w:r w:rsidRPr="000C644B">
        <w:rPr>
          <w:rFonts w:ascii="Garamond" w:hAnsi="Garamond"/>
          <w:b/>
          <w:bCs/>
          <w:color w:val="auto"/>
          <w:sz w:val="24"/>
          <w:szCs w:val="24"/>
        </w:rPr>
        <w:t>NSPS Standards</w:t>
      </w:r>
      <w:bookmarkEnd w:id="26"/>
    </w:p>
    <w:p w14:paraId="198A63E9" w14:textId="77777777" w:rsidR="001057A0" w:rsidRDefault="001057A0" w:rsidP="001057A0">
      <w:pPr>
        <w:rPr>
          <w:rFonts w:ascii="Garamond" w:hAnsi="Garamond"/>
          <w:sz w:val="24"/>
          <w:szCs w:val="24"/>
        </w:rPr>
      </w:pPr>
    </w:p>
    <w:p w14:paraId="6D278FDF" w14:textId="6DA639B1" w:rsidR="001057A0" w:rsidRDefault="001057A0" w:rsidP="001057A0">
      <w:pPr>
        <w:ind w:left="360"/>
        <w:rPr>
          <w:rFonts w:ascii="Garamond" w:hAnsi="Garamond"/>
          <w:sz w:val="24"/>
          <w:szCs w:val="24"/>
        </w:rPr>
      </w:pPr>
      <w:r>
        <w:rPr>
          <w:rFonts w:ascii="Garamond" w:hAnsi="Garamond"/>
          <w:sz w:val="24"/>
          <w:szCs w:val="24"/>
        </w:rPr>
        <w:t>This facility is currently subject to 40 CFR 60, Subpart GG, Standards of Performance for Stationary Gas Turbines.  As of the decision date of Operating Permit #OP2979-1</w:t>
      </w:r>
      <w:r w:rsidR="003060C0">
        <w:rPr>
          <w:rFonts w:ascii="Garamond" w:hAnsi="Garamond"/>
          <w:sz w:val="24"/>
          <w:szCs w:val="24"/>
        </w:rPr>
        <w:t>6</w:t>
      </w:r>
      <w:r>
        <w:rPr>
          <w:rFonts w:ascii="Garamond" w:hAnsi="Garamond"/>
          <w:sz w:val="24"/>
          <w:szCs w:val="24"/>
        </w:rPr>
        <w:t xml:space="preserve">, </w:t>
      </w:r>
      <w:r w:rsidR="003060C0">
        <w:rPr>
          <w:rFonts w:ascii="Garamond" w:hAnsi="Garamond"/>
          <w:sz w:val="24"/>
          <w:szCs w:val="24"/>
        </w:rPr>
        <w:t xml:space="preserve">DEQ </w:t>
      </w:r>
      <w:r>
        <w:rPr>
          <w:rFonts w:ascii="Garamond" w:hAnsi="Garamond"/>
          <w:sz w:val="24"/>
          <w:szCs w:val="24"/>
        </w:rPr>
        <w:t>is unaware of future NSPS Standards that may be promulgated that will affect this facility.</w:t>
      </w:r>
    </w:p>
    <w:p w14:paraId="21C760FD" w14:textId="77777777" w:rsidR="001057A0" w:rsidRDefault="001057A0" w:rsidP="001057A0">
      <w:pPr>
        <w:rPr>
          <w:rFonts w:ascii="Garamond" w:hAnsi="Garamond"/>
          <w:sz w:val="24"/>
          <w:szCs w:val="24"/>
        </w:rPr>
      </w:pPr>
    </w:p>
    <w:p w14:paraId="78E090DD" w14:textId="084DB8F3"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7" w:name="_Toc228879240"/>
      <w:r w:rsidRPr="000C644B">
        <w:rPr>
          <w:rFonts w:ascii="Garamond" w:hAnsi="Garamond"/>
          <w:b/>
          <w:bCs/>
          <w:color w:val="auto"/>
          <w:sz w:val="24"/>
          <w:szCs w:val="24"/>
        </w:rPr>
        <w:t>Risk Management Plan</w:t>
      </w:r>
      <w:bookmarkEnd w:id="27"/>
    </w:p>
    <w:p w14:paraId="5A226F03" w14:textId="77777777" w:rsidR="001057A0" w:rsidRDefault="001057A0" w:rsidP="001057A0">
      <w:pPr>
        <w:rPr>
          <w:rFonts w:ascii="Garamond" w:hAnsi="Garamond"/>
          <w:b/>
          <w:sz w:val="24"/>
          <w:szCs w:val="24"/>
        </w:rPr>
      </w:pPr>
    </w:p>
    <w:p w14:paraId="7609A253" w14:textId="149964E2" w:rsidR="001057A0" w:rsidRDefault="001057A0" w:rsidP="001057A0">
      <w:pPr>
        <w:ind w:left="360"/>
        <w:rPr>
          <w:rFonts w:ascii="Garamond" w:hAnsi="Garamond"/>
          <w:sz w:val="24"/>
          <w:szCs w:val="24"/>
        </w:rPr>
      </w:pPr>
      <w:r>
        <w:rPr>
          <w:rFonts w:ascii="Garamond" w:hAnsi="Garamond"/>
          <w:sz w:val="24"/>
          <w:szCs w:val="24"/>
        </w:rPr>
        <w:t xml:space="preserve">As of NBPL’s renewal application date of October 10, 2020, this facility does not exceed the minimum threshold quantities for any regulated substance listed in 40 CFR 68.115 for any facility process.  NBPL has not notified the </w:t>
      </w:r>
      <w:r w:rsidR="00C632B4">
        <w:rPr>
          <w:rFonts w:ascii="Garamond" w:hAnsi="Garamond"/>
          <w:sz w:val="24"/>
          <w:szCs w:val="24"/>
        </w:rPr>
        <w:t>DEQ</w:t>
      </w:r>
      <w:r>
        <w:rPr>
          <w:rFonts w:ascii="Garamond" w:hAnsi="Garamond"/>
          <w:sz w:val="24"/>
          <w:szCs w:val="24"/>
        </w:rPr>
        <w:t xml:space="preserve"> of any change to applicability of this requirement.  This facility is not required to submit a Risk Management Plan.</w:t>
      </w:r>
    </w:p>
    <w:p w14:paraId="6AA53AFE" w14:textId="77777777" w:rsidR="001057A0" w:rsidRDefault="001057A0" w:rsidP="001057A0">
      <w:pPr>
        <w:ind w:left="360"/>
        <w:rPr>
          <w:rFonts w:ascii="Garamond" w:hAnsi="Garamond"/>
          <w:sz w:val="24"/>
          <w:szCs w:val="24"/>
        </w:rPr>
      </w:pPr>
    </w:p>
    <w:p w14:paraId="5FD51164" w14:textId="77777777" w:rsidR="001057A0" w:rsidRDefault="001057A0" w:rsidP="001057A0">
      <w:pPr>
        <w:ind w:left="360"/>
        <w:rPr>
          <w:rFonts w:ascii="Garamond" w:hAnsi="Garamond"/>
          <w:sz w:val="24"/>
          <w:szCs w:val="24"/>
        </w:rPr>
      </w:pPr>
      <w:r>
        <w:rPr>
          <w:rFonts w:ascii="Garamond" w:hAnsi="Garamond"/>
          <w:sz w:val="24"/>
          <w:szCs w:val="24"/>
        </w:rPr>
        <w:t>If a facility has more than a threshold quantity of a regulated substance in a process, the facility must comply with 40 CFR 68 requirements no later than June 21, 1999; 3 years after the date on which a regulated substance is first listed under 40 CFR 68.130; or the date on which a regulated substance is first present in more than a threshold quantity in a process, whichever is later.</w:t>
      </w:r>
    </w:p>
    <w:p w14:paraId="0C09117B" w14:textId="77777777" w:rsidR="001057A0" w:rsidRDefault="001057A0" w:rsidP="001057A0">
      <w:pPr>
        <w:rPr>
          <w:rFonts w:ascii="Garamond" w:hAnsi="Garamond"/>
          <w:sz w:val="24"/>
          <w:szCs w:val="24"/>
        </w:rPr>
      </w:pPr>
    </w:p>
    <w:p w14:paraId="52F06197" w14:textId="18CC50B9"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8" w:name="_Toc228879241"/>
      <w:r w:rsidRPr="000C644B">
        <w:rPr>
          <w:rFonts w:ascii="Garamond" w:hAnsi="Garamond"/>
          <w:b/>
          <w:bCs/>
          <w:color w:val="auto"/>
          <w:sz w:val="24"/>
          <w:szCs w:val="24"/>
        </w:rPr>
        <w:t>CAM Applicability</w:t>
      </w:r>
      <w:bookmarkEnd w:id="28"/>
    </w:p>
    <w:p w14:paraId="6ADCC9C0" w14:textId="77777777" w:rsidR="001057A0" w:rsidRDefault="001057A0" w:rsidP="001057A0">
      <w:pPr>
        <w:rPr>
          <w:rFonts w:ascii="Garamond" w:hAnsi="Garamond"/>
          <w:sz w:val="24"/>
          <w:szCs w:val="24"/>
        </w:rPr>
      </w:pPr>
    </w:p>
    <w:p w14:paraId="3334BA2B" w14:textId="77777777" w:rsidR="001057A0" w:rsidRDefault="001057A0" w:rsidP="001057A0">
      <w:pPr>
        <w:pStyle w:val="BodyTextIndent"/>
        <w:rPr>
          <w:rFonts w:ascii="Garamond" w:hAnsi="Garamond"/>
          <w:color w:val="000000"/>
          <w:sz w:val="24"/>
          <w:szCs w:val="24"/>
        </w:rPr>
      </w:pPr>
      <w:r>
        <w:rPr>
          <w:rFonts w:ascii="Garamond" w:hAnsi="Garamond"/>
          <w:color w:val="000000"/>
          <w:sz w:val="24"/>
          <w:szCs w:val="24"/>
        </w:rPr>
        <w:t xml:space="preserve">An emitting unit located at a Title V facility that meets the following criteria listed in ARM 17.8.1503 is subject to Subchapter 15 and must develop a CAM Plan for that unit: </w:t>
      </w:r>
    </w:p>
    <w:p w14:paraId="08D6E15C" w14:textId="77777777" w:rsidR="001057A0" w:rsidRDefault="001057A0" w:rsidP="001057A0">
      <w:pPr>
        <w:pStyle w:val="BodyTextIndent"/>
        <w:numPr>
          <w:ilvl w:val="0"/>
          <w:numId w:val="1"/>
        </w:numPr>
        <w:autoSpaceDE w:val="0"/>
        <w:autoSpaceDN w:val="0"/>
        <w:adjustRightInd w:val="0"/>
        <w:spacing w:after="0"/>
        <w:rPr>
          <w:rFonts w:ascii="Garamond" w:hAnsi="Garamond"/>
          <w:color w:val="000000"/>
          <w:sz w:val="24"/>
          <w:szCs w:val="24"/>
        </w:rPr>
      </w:pPr>
      <w:r>
        <w:rPr>
          <w:rFonts w:ascii="Garamond" w:hAnsi="Garamond"/>
          <w:color w:val="000000"/>
          <w:sz w:val="24"/>
          <w:szCs w:val="24"/>
        </w:rPr>
        <w:t xml:space="preserve">The emitting unit is subject to an emission limitation or standard for the applicable regulated air pollutant (other than emission limits or standards proposed after November 15, 1990, since these regulations contain specific monitoring requirements); </w:t>
      </w:r>
    </w:p>
    <w:p w14:paraId="369042D1" w14:textId="77777777" w:rsidR="001057A0" w:rsidRDefault="001057A0" w:rsidP="001057A0">
      <w:pPr>
        <w:pStyle w:val="BodyTextIndent"/>
        <w:numPr>
          <w:ilvl w:val="0"/>
          <w:numId w:val="1"/>
        </w:numPr>
        <w:autoSpaceDE w:val="0"/>
        <w:autoSpaceDN w:val="0"/>
        <w:adjustRightInd w:val="0"/>
        <w:spacing w:after="0"/>
        <w:rPr>
          <w:rFonts w:ascii="Garamond" w:hAnsi="Garamond"/>
          <w:color w:val="000000"/>
          <w:sz w:val="24"/>
          <w:szCs w:val="24"/>
        </w:rPr>
      </w:pPr>
      <w:r>
        <w:rPr>
          <w:rFonts w:ascii="Garamond" w:hAnsi="Garamond"/>
          <w:color w:val="000000"/>
          <w:sz w:val="24"/>
          <w:szCs w:val="24"/>
        </w:rPr>
        <w:t xml:space="preserve">The emitting unit uses a control device to achieve compliance with such limit; and </w:t>
      </w:r>
    </w:p>
    <w:p w14:paraId="57600ED6" w14:textId="77777777" w:rsidR="001057A0" w:rsidRDefault="001057A0" w:rsidP="001057A0">
      <w:pPr>
        <w:pStyle w:val="BodyTextIndent"/>
        <w:numPr>
          <w:ilvl w:val="0"/>
          <w:numId w:val="1"/>
        </w:numPr>
        <w:autoSpaceDE w:val="0"/>
        <w:autoSpaceDN w:val="0"/>
        <w:adjustRightInd w:val="0"/>
        <w:spacing w:after="0"/>
        <w:rPr>
          <w:rFonts w:ascii="Garamond" w:hAnsi="Garamond"/>
          <w:color w:val="000000"/>
          <w:sz w:val="24"/>
          <w:szCs w:val="24"/>
        </w:rPr>
      </w:pPr>
      <w:r>
        <w:rPr>
          <w:rFonts w:ascii="Garamond" w:hAnsi="Garamond"/>
          <w:color w:val="000000"/>
          <w:sz w:val="24"/>
          <w:szCs w:val="24"/>
        </w:rPr>
        <w:t xml:space="preserve">The emitting unit has potential pre-control device emissions of the applicable regulated air pollutant that are greater than major source thresholds. </w:t>
      </w:r>
    </w:p>
    <w:p w14:paraId="1B260974" w14:textId="77777777" w:rsidR="001057A0" w:rsidRDefault="001057A0" w:rsidP="001057A0">
      <w:pPr>
        <w:pStyle w:val="Default"/>
        <w:rPr>
          <w:rFonts w:ascii="Garamond" w:hAnsi="Garamond"/>
        </w:rPr>
      </w:pPr>
    </w:p>
    <w:p w14:paraId="1D455539" w14:textId="65C6615F" w:rsidR="001057A0" w:rsidRDefault="001057A0" w:rsidP="001057A0">
      <w:pPr>
        <w:pStyle w:val="BodyTextIndent"/>
        <w:rPr>
          <w:rFonts w:ascii="Garamond" w:hAnsi="Garamond"/>
          <w:color w:val="000000"/>
          <w:sz w:val="24"/>
          <w:szCs w:val="24"/>
        </w:rPr>
      </w:pPr>
      <w:r>
        <w:rPr>
          <w:rFonts w:ascii="Garamond" w:hAnsi="Garamond"/>
          <w:color w:val="000000"/>
          <w:sz w:val="24"/>
          <w:szCs w:val="24"/>
        </w:rPr>
        <w:t xml:space="preserve">NBPL does not currently have any emitting units that meet all the applicability criteria in ARM </w:t>
      </w:r>
      <w:r w:rsidR="00C632B4">
        <w:rPr>
          <w:rFonts w:ascii="Garamond" w:hAnsi="Garamond"/>
          <w:color w:val="000000"/>
          <w:sz w:val="24"/>
          <w:szCs w:val="24"/>
        </w:rPr>
        <w:t>17.8.1503 and</w:t>
      </w:r>
      <w:r>
        <w:rPr>
          <w:rFonts w:ascii="Garamond" w:hAnsi="Garamond"/>
          <w:color w:val="000000"/>
          <w:sz w:val="24"/>
          <w:szCs w:val="24"/>
        </w:rPr>
        <w:t xml:space="preserve"> is therefore not currently required to develop a CAM Plan. </w:t>
      </w:r>
    </w:p>
    <w:p w14:paraId="07E33A63" w14:textId="77777777" w:rsidR="001057A0" w:rsidRDefault="001057A0" w:rsidP="001057A0">
      <w:pPr>
        <w:pStyle w:val="BodyTextIndent"/>
        <w:spacing w:after="0"/>
        <w:rPr>
          <w:rFonts w:ascii="Garamond" w:hAnsi="Garamond"/>
          <w:color w:val="000000"/>
          <w:sz w:val="24"/>
          <w:szCs w:val="24"/>
        </w:rPr>
      </w:pPr>
    </w:p>
    <w:p w14:paraId="2DCD95B7" w14:textId="77777777" w:rsidR="004763EC" w:rsidRDefault="004763EC" w:rsidP="001057A0">
      <w:pPr>
        <w:pStyle w:val="BodyTextIndent"/>
        <w:spacing w:after="0"/>
        <w:rPr>
          <w:rFonts w:ascii="Garamond" w:hAnsi="Garamond"/>
          <w:color w:val="000000"/>
          <w:sz w:val="24"/>
          <w:szCs w:val="24"/>
        </w:rPr>
      </w:pPr>
    </w:p>
    <w:p w14:paraId="334390CD" w14:textId="785C5DAC" w:rsidR="001057A0" w:rsidRPr="000C644B" w:rsidRDefault="001057A0" w:rsidP="000C644B">
      <w:pPr>
        <w:pStyle w:val="Heading2"/>
        <w:numPr>
          <w:ilvl w:val="0"/>
          <w:numId w:val="5"/>
        </w:numPr>
        <w:spacing w:before="0" w:after="0"/>
        <w:rPr>
          <w:rFonts w:ascii="Garamond" w:hAnsi="Garamond"/>
          <w:b/>
          <w:bCs/>
          <w:color w:val="auto"/>
          <w:sz w:val="24"/>
          <w:szCs w:val="24"/>
        </w:rPr>
      </w:pPr>
      <w:bookmarkStart w:id="29" w:name="_Toc228879242"/>
      <w:r w:rsidRPr="000C644B">
        <w:rPr>
          <w:rFonts w:ascii="Garamond" w:hAnsi="Garamond"/>
          <w:b/>
          <w:bCs/>
          <w:color w:val="auto"/>
          <w:sz w:val="24"/>
          <w:szCs w:val="24"/>
        </w:rPr>
        <w:lastRenderedPageBreak/>
        <w:t>Prevention of Significant Deterioration (PSD) and Title V Greenhouse Gas Tailoring Rule</w:t>
      </w:r>
      <w:bookmarkEnd w:id="29"/>
      <w:r w:rsidRPr="000C644B">
        <w:rPr>
          <w:rFonts w:ascii="Garamond" w:hAnsi="Garamond"/>
          <w:b/>
          <w:bCs/>
          <w:color w:val="auto"/>
          <w:sz w:val="24"/>
          <w:szCs w:val="24"/>
        </w:rPr>
        <w:t xml:space="preserve"> </w:t>
      </w:r>
    </w:p>
    <w:p w14:paraId="4216E216" w14:textId="77777777" w:rsidR="001057A0" w:rsidRDefault="001057A0" w:rsidP="001057A0">
      <w:pPr>
        <w:pStyle w:val="Default"/>
        <w:rPr>
          <w:rFonts w:ascii="Garamond" w:hAnsi="Garamond"/>
        </w:rPr>
      </w:pPr>
    </w:p>
    <w:p w14:paraId="3516CA4D"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465BB015" w14:textId="77777777" w:rsidR="004763EC" w:rsidRPr="004763EC" w:rsidRDefault="004763EC" w:rsidP="004763EC">
      <w:pPr>
        <w:rPr>
          <w:rFonts w:ascii="Garamond" w:hAnsi="Garamond"/>
          <w:sz w:val="24"/>
          <w:szCs w:val="24"/>
          <w14:ligatures w14:val="none"/>
        </w:rPr>
      </w:pPr>
    </w:p>
    <w:p w14:paraId="467EF3BD"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4763EC">
        <w:rPr>
          <w:rFonts w:ascii="Garamond" w:hAnsi="Garamond"/>
          <w:sz w:val="24"/>
          <w:szCs w:val="24"/>
          <w:vertAlign w:val="subscript"/>
          <w14:ligatures w14:val="none"/>
        </w:rPr>
        <w:t>2</w:t>
      </w:r>
      <w:r w:rsidRPr="004763EC">
        <w:rPr>
          <w:rFonts w:ascii="Garamond" w:hAnsi="Garamond"/>
          <w:sz w:val="24"/>
          <w:szCs w:val="24"/>
          <w14:ligatures w14:val="none"/>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0F5978E6" w14:textId="77777777" w:rsidR="004763EC" w:rsidRPr="004763EC" w:rsidRDefault="004763EC" w:rsidP="004763EC">
      <w:pPr>
        <w:rPr>
          <w:rFonts w:ascii="Garamond" w:hAnsi="Garamond"/>
          <w:sz w:val="24"/>
          <w:szCs w:val="24"/>
          <w14:ligatures w14:val="none"/>
        </w:rPr>
      </w:pPr>
    </w:p>
    <w:p w14:paraId="767FBDDB"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4763EC">
        <w:rPr>
          <w:rFonts w:ascii="Garamond" w:hAnsi="Garamond"/>
          <w:sz w:val="24"/>
          <w:szCs w:val="24"/>
          <w:vertAlign w:val="subscript"/>
          <w14:ligatures w14:val="none"/>
        </w:rPr>
        <w:t>2</w:t>
      </w:r>
      <w:r w:rsidRPr="004763EC">
        <w:rPr>
          <w:rFonts w:ascii="Garamond" w:hAnsi="Garamond"/>
          <w:sz w:val="24"/>
          <w:szCs w:val="24"/>
          <w14:ligatures w14:val="none"/>
        </w:rPr>
        <w:t>e and 100 or 250 TPY of GHG on a mass basis depending on their listed status in ARM 17.8.801(22) and they undertook a permitting action with increases of 75,000 TPY or more of CO</w:t>
      </w:r>
      <w:r w:rsidRPr="004763EC">
        <w:rPr>
          <w:rFonts w:ascii="Garamond" w:hAnsi="Garamond"/>
          <w:sz w:val="24"/>
          <w:szCs w:val="24"/>
          <w:vertAlign w:val="subscript"/>
          <w14:ligatures w14:val="none"/>
        </w:rPr>
        <w:t>2</w:t>
      </w:r>
      <w:r w:rsidRPr="004763EC">
        <w:rPr>
          <w:rFonts w:ascii="Garamond" w:hAnsi="Garamond"/>
          <w:sz w:val="24"/>
          <w:szCs w:val="24"/>
          <w14:ligatures w14:val="none"/>
        </w:rPr>
        <w:t>e and greater than 0 TPY of GHG on a mass basis. With respect to Title V, sources not currently holding a Title V permit that have potential facility-wide emissions equal to or exceeding 100,000 TPY of CO</w:t>
      </w:r>
      <w:r w:rsidRPr="004763EC">
        <w:rPr>
          <w:rFonts w:ascii="Garamond" w:hAnsi="Garamond"/>
          <w:sz w:val="24"/>
          <w:szCs w:val="24"/>
          <w:vertAlign w:val="subscript"/>
          <w14:ligatures w14:val="none"/>
        </w:rPr>
        <w:t>2</w:t>
      </w:r>
      <w:r w:rsidRPr="004763EC">
        <w:rPr>
          <w:rFonts w:ascii="Garamond" w:hAnsi="Garamond"/>
          <w:sz w:val="24"/>
          <w:szCs w:val="24"/>
          <w14:ligatures w14:val="none"/>
        </w:rPr>
        <w:t>e and 100 TPY of GHG on a mass basis would be required to obtain a Title V Operating Permit.</w:t>
      </w:r>
    </w:p>
    <w:p w14:paraId="1DA38481" w14:textId="77777777" w:rsidR="004763EC" w:rsidRPr="004763EC" w:rsidRDefault="004763EC" w:rsidP="004763EC">
      <w:pPr>
        <w:rPr>
          <w:rFonts w:ascii="Garamond" w:hAnsi="Garamond"/>
          <w:sz w:val="24"/>
          <w:szCs w:val="24"/>
          <w14:ligatures w14:val="none"/>
        </w:rPr>
      </w:pPr>
    </w:p>
    <w:p w14:paraId="251F0BC7" w14:textId="77777777" w:rsidR="004763EC" w:rsidRPr="004763EC" w:rsidRDefault="004763EC" w:rsidP="004763EC">
      <w:pPr>
        <w:ind w:left="360"/>
        <w:rPr>
          <w:rFonts w:ascii="Garamond" w:hAnsi="Garamond"/>
          <w:sz w:val="24"/>
          <w:szCs w:val="24"/>
          <w14:ligatures w14:val="none"/>
        </w:rPr>
      </w:pPr>
      <w:r w:rsidRPr="004763EC">
        <w:rPr>
          <w:rFonts w:ascii="Garamond" w:hAnsi="Garamond"/>
          <w:sz w:val="24"/>
          <w:szCs w:val="24"/>
          <w14:ligatures w14:val="none"/>
        </w:rPr>
        <w:t xml:space="preserve">The Supreme Court of the United States (SCOTUS), in its </w:t>
      </w:r>
      <w:r w:rsidRPr="004763EC">
        <w:rPr>
          <w:rFonts w:ascii="Garamond" w:hAnsi="Garamond"/>
          <w:i/>
          <w:iCs/>
          <w:sz w:val="24"/>
          <w:szCs w:val="24"/>
          <w14:ligatures w14:val="none"/>
        </w:rPr>
        <w:t>Utility Air Regulatory Group v. EPA</w:t>
      </w:r>
      <w:r w:rsidRPr="004763EC">
        <w:rPr>
          <w:rFonts w:ascii="Garamond" w:hAnsi="Garamond"/>
          <w:sz w:val="24"/>
          <w:szCs w:val="24"/>
          <w14:ligatures w14:val="none"/>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4763EC">
        <w:rPr>
          <w:rFonts w:ascii="Garamond" w:hAnsi="Garamond"/>
          <w:sz w:val="24"/>
          <w:szCs w:val="24"/>
          <w:vertAlign w:val="subscript"/>
          <w14:ligatures w14:val="none"/>
        </w:rPr>
        <w:t>2</w:t>
      </w:r>
      <w:r w:rsidRPr="004763EC">
        <w:rPr>
          <w:rFonts w:ascii="Garamond" w:hAnsi="Garamond"/>
          <w:sz w:val="24"/>
          <w:szCs w:val="24"/>
          <w14:ligatures w14:val="none"/>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PSD may still be required to comply with BACT for GHG emissions.</w:t>
      </w:r>
    </w:p>
    <w:p w14:paraId="58B2DE07" w14:textId="77777777" w:rsidR="001057A0" w:rsidRDefault="001057A0" w:rsidP="001057A0">
      <w:pPr>
        <w:ind w:left="360"/>
        <w:rPr>
          <w:rFonts w:ascii="Garamond" w:hAnsi="Garamond"/>
          <w:sz w:val="24"/>
          <w:szCs w:val="24"/>
        </w:rPr>
      </w:pPr>
    </w:p>
    <w:p w14:paraId="0A5D6188" w14:textId="77777777" w:rsidR="00D55996" w:rsidRDefault="00D55996"/>
    <w:sectPr w:rsidR="00D55996" w:rsidSect="004763EC">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BA71" w14:textId="77777777" w:rsidR="0096269D" w:rsidRDefault="0096269D" w:rsidP="002C1CD9">
      <w:r>
        <w:separator/>
      </w:r>
    </w:p>
  </w:endnote>
  <w:endnote w:type="continuationSeparator" w:id="0">
    <w:p w14:paraId="0C507EE9" w14:textId="77777777" w:rsidR="0096269D" w:rsidRDefault="0096269D" w:rsidP="002C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9721" w14:textId="76CF1A21" w:rsidR="00683124" w:rsidRPr="00294111" w:rsidRDefault="00302323">
    <w:pPr>
      <w:pStyle w:val="Footer"/>
      <w:jc w:val="center"/>
      <w:rPr>
        <w:rFonts w:ascii="Garamond" w:hAnsi="Garamond"/>
      </w:rPr>
    </w:pPr>
    <w:r>
      <w:rPr>
        <w:rFonts w:ascii="Garamond" w:hAnsi="Garamond"/>
        <w:sz w:val="18"/>
        <w:szCs w:val="18"/>
      </w:rPr>
      <w:t>TRD</w:t>
    </w:r>
    <w:r w:rsidR="00683124" w:rsidRPr="00D12A5C">
      <w:rPr>
        <w:rFonts w:ascii="Garamond" w:hAnsi="Garamond"/>
        <w:sz w:val="18"/>
        <w:szCs w:val="18"/>
      </w:rPr>
      <w:t>2979-1</w:t>
    </w:r>
    <w:r w:rsidR="00511D5C" w:rsidRPr="00D12A5C">
      <w:rPr>
        <w:rFonts w:ascii="Garamond" w:hAnsi="Garamond"/>
        <w:sz w:val="18"/>
        <w:szCs w:val="18"/>
      </w:rPr>
      <w:t>7</w:t>
    </w:r>
    <w:r w:rsidR="00683124" w:rsidRPr="00D12A5C">
      <w:rPr>
        <w:rFonts w:ascii="Garamond" w:hAnsi="Garamond"/>
        <w:sz w:val="18"/>
        <w:szCs w:val="18"/>
      </w:rPr>
      <w:tab/>
    </w:r>
    <w:sdt>
      <w:sdtPr>
        <w:rPr>
          <w:rFonts w:ascii="Garamond" w:hAnsi="Garamond"/>
          <w:sz w:val="18"/>
          <w:szCs w:val="18"/>
        </w:rPr>
        <w:id w:val="772903894"/>
        <w:docPartObj>
          <w:docPartGallery w:val="Page Numbers (Bottom of Page)"/>
          <w:docPartUnique/>
        </w:docPartObj>
      </w:sdtPr>
      <w:sdtEndPr>
        <w:rPr>
          <w:noProof/>
        </w:rPr>
      </w:sdtEndPr>
      <w:sdtContent>
        <w:r w:rsidR="00683124" w:rsidRPr="00D12A5C">
          <w:rPr>
            <w:rFonts w:ascii="Garamond" w:hAnsi="Garamond"/>
            <w:sz w:val="18"/>
            <w:szCs w:val="18"/>
          </w:rPr>
          <w:fldChar w:fldCharType="begin"/>
        </w:r>
        <w:r w:rsidR="00683124" w:rsidRPr="00D12A5C">
          <w:rPr>
            <w:rFonts w:ascii="Garamond" w:hAnsi="Garamond"/>
            <w:sz w:val="18"/>
            <w:szCs w:val="18"/>
          </w:rPr>
          <w:instrText xml:space="preserve"> PAGE   \* MERGEFORMAT </w:instrText>
        </w:r>
        <w:r w:rsidR="00683124" w:rsidRPr="00D12A5C">
          <w:rPr>
            <w:rFonts w:ascii="Garamond" w:hAnsi="Garamond"/>
            <w:sz w:val="18"/>
            <w:szCs w:val="18"/>
          </w:rPr>
          <w:fldChar w:fldCharType="separate"/>
        </w:r>
        <w:r w:rsidR="00683124" w:rsidRPr="00D12A5C">
          <w:rPr>
            <w:rFonts w:ascii="Garamond" w:hAnsi="Garamond"/>
            <w:noProof/>
            <w:sz w:val="18"/>
            <w:szCs w:val="18"/>
          </w:rPr>
          <w:t>2</w:t>
        </w:r>
        <w:r w:rsidR="00683124" w:rsidRPr="00D12A5C">
          <w:rPr>
            <w:rFonts w:ascii="Garamond" w:hAnsi="Garamond"/>
            <w:noProof/>
            <w:sz w:val="18"/>
            <w:szCs w:val="18"/>
          </w:rPr>
          <w:fldChar w:fldCharType="end"/>
        </w:r>
        <w:r w:rsidR="00683124" w:rsidRPr="00D12A5C">
          <w:rPr>
            <w:rFonts w:ascii="Garamond" w:hAnsi="Garamond"/>
            <w:noProof/>
            <w:sz w:val="18"/>
            <w:szCs w:val="18"/>
          </w:rPr>
          <w:tab/>
        </w:r>
        <w:r w:rsidR="00AD26E6">
          <w:rPr>
            <w:rFonts w:ascii="Garamond" w:hAnsi="Garamond"/>
            <w:noProof/>
            <w:sz w:val="18"/>
            <w:szCs w:val="18"/>
          </w:rPr>
          <w:t>Proposed</w:t>
        </w:r>
        <w:r w:rsidR="00683124" w:rsidRPr="00D12A5C">
          <w:rPr>
            <w:rFonts w:ascii="Garamond" w:hAnsi="Garamond"/>
            <w:noProof/>
            <w:sz w:val="18"/>
            <w:szCs w:val="18"/>
          </w:rPr>
          <w:t>: 0</w:t>
        </w:r>
        <w:r w:rsidR="00AD26E6">
          <w:rPr>
            <w:rFonts w:ascii="Garamond" w:hAnsi="Garamond"/>
            <w:noProof/>
            <w:sz w:val="18"/>
            <w:szCs w:val="18"/>
          </w:rPr>
          <w:t>7/</w:t>
        </w:r>
        <w:r w:rsidR="004A4FFC" w:rsidRPr="00D12A5C">
          <w:rPr>
            <w:rFonts w:ascii="Garamond" w:hAnsi="Garamond"/>
            <w:noProof/>
            <w:sz w:val="18"/>
            <w:szCs w:val="18"/>
          </w:rPr>
          <w:t>0</w:t>
        </w:r>
        <w:r w:rsidR="00AD26E6">
          <w:rPr>
            <w:rFonts w:ascii="Garamond" w:hAnsi="Garamond"/>
            <w:noProof/>
            <w:sz w:val="18"/>
            <w:szCs w:val="18"/>
          </w:rPr>
          <w:t>1</w:t>
        </w:r>
        <w:r w:rsidR="00683124" w:rsidRPr="00D12A5C">
          <w:rPr>
            <w:rFonts w:ascii="Garamond" w:hAnsi="Garamond"/>
            <w:noProof/>
            <w:sz w:val="18"/>
            <w:szCs w:val="18"/>
          </w:rPr>
          <w:t>/202</w:t>
        </w:r>
        <w:r w:rsidR="004515DE" w:rsidRPr="00D12A5C">
          <w:rPr>
            <w:rFonts w:ascii="Garamond" w:hAnsi="Garamond"/>
            <w:noProof/>
            <w:sz w:val="18"/>
            <w:szCs w:val="18"/>
          </w:rPr>
          <w:t>6</w:t>
        </w:r>
      </w:sdtContent>
    </w:sdt>
  </w:p>
  <w:p w14:paraId="66CB6531" w14:textId="3EFCB39F" w:rsidR="002C1CD9" w:rsidRDefault="002C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50E7" w14:textId="77777777" w:rsidR="0096269D" w:rsidRDefault="0096269D" w:rsidP="002C1CD9">
      <w:r>
        <w:separator/>
      </w:r>
    </w:p>
  </w:footnote>
  <w:footnote w:type="continuationSeparator" w:id="0">
    <w:p w14:paraId="3A15A8A0" w14:textId="77777777" w:rsidR="0096269D" w:rsidRDefault="0096269D" w:rsidP="002C1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8C6"/>
    <w:multiLevelType w:val="hybridMultilevel"/>
    <w:tmpl w:val="C04A6F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C4CE6"/>
    <w:multiLevelType w:val="hybridMultilevel"/>
    <w:tmpl w:val="3F6A19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177193"/>
    <w:multiLevelType w:val="hybridMultilevel"/>
    <w:tmpl w:val="0A2CA1C0"/>
    <w:lvl w:ilvl="0" w:tplc="DDF820F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75200C"/>
    <w:multiLevelType w:val="hybridMultilevel"/>
    <w:tmpl w:val="293E7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2F0010"/>
    <w:multiLevelType w:val="hybridMultilevel"/>
    <w:tmpl w:val="7506D5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7463230">
    <w:abstractNumId w:val="0"/>
  </w:num>
  <w:num w:numId="2" w16cid:durableId="1452238689">
    <w:abstractNumId w:val="4"/>
  </w:num>
  <w:num w:numId="3" w16cid:durableId="225267046">
    <w:abstractNumId w:val="3"/>
  </w:num>
  <w:num w:numId="4" w16cid:durableId="1887254158">
    <w:abstractNumId w:val="2"/>
  </w:num>
  <w:num w:numId="5" w16cid:durableId="96655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pkyPI4E9KaHrz35H2gXPT6tX3jfVmi73y2fF4tUAhWDgM1okzE/twsDyKGoIwIP6OBGYFkYDG5uLxAQlEgcpHw==" w:salt="FwKsHDKQ+/7nlxm5vBWz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A0"/>
    <w:rsid w:val="000641FD"/>
    <w:rsid w:val="000C644B"/>
    <w:rsid w:val="001057A0"/>
    <w:rsid w:val="0012416D"/>
    <w:rsid w:val="001254DD"/>
    <w:rsid w:val="001B0508"/>
    <w:rsid w:val="00282000"/>
    <w:rsid w:val="00294111"/>
    <w:rsid w:val="002C1CD9"/>
    <w:rsid w:val="00302323"/>
    <w:rsid w:val="003060C0"/>
    <w:rsid w:val="00377B82"/>
    <w:rsid w:val="0039600B"/>
    <w:rsid w:val="003B3C09"/>
    <w:rsid w:val="004515DE"/>
    <w:rsid w:val="00472405"/>
    <w:rsid w:val="004763EC"/>
    <w:rsid w:val="004818E7"/>
    <w:rsid w:val="004A4FFC"/>
    <w:rsid w:val="004D3261"/>
    <w:rsid w:val="00511D5C"/>
    <w:rsid w:val="005C294D"/>
    <w:rsid w:val="00615694"/>
    <w:rsid w:val="006679AE"/>
    <w:rsid w:val="00683124"/>
    <w:rsid w:val="006D4E70"/>
    <w:rsid w:val="006F13B8"/>
    <w:rsid w:val="00715875"/>
    <w:rsid w:val="00750F61"/>
    <w:rsid w:val="0076443B"/>
    <w:rsid w:val="00774E6F"/>
    <w:rsid w:val="007F5485"/>
    <w:rsid w:val="008043B2"/>
    <w:rsid w:val="00862145"/>
    <w:rsid w:val="008854A4"/>
    <w:rsid w:val="00903CBA"/>
    <w:rsid w:val="00927D14"/>
    <w:rsid w:val="0096269D"/>
    <w:rsid w:val="009E5BFA"/>
    <w:rsid w:val="00A22B41"/>
    <w:rsid w:val="00A32896"/>
    <w:rsid w:val="00A41DF6"/>
    <w:rsid w:val="00AA443C"/>
    <w:rsid w:val="00AD26E6"/>
    <w:rsid w:val="00AF05C2"/>
    <w:rsid w:val="00B13781"/>
    <w:rsid w:val="00B506A0"/>
    <w:rsid w:val="00BD1236"/>
    <w:rsid w:val="00C274F0"/>
    <w:rsid w:val="00C430CE"/>
    <w:rsid w:val="00C55D0B"/>
    <w:rsid w:val="00C60CB4"/>
    <w:rsid w:val="00C632B4"/>
    <w:rsid w:val="00D12A5C"/>
    <w:rsid w:val="00D14B1D"/>
    <w:rsid w:val="00D31BCB"/>
    <w:rsid w:val="00D55996"/>
    <w:rsid w:val="00D66D5A"/>
    <w:rsid w:val="00D90E79"/>
    <w:rsid w:val="00DB199D"/>
    <w:rsid w:val="00DC315E"/>
    <w:rsid w:val="00E14C04"/>
    <w:rsid w:val="00EA21F7"/>
    <w:rsid w:val="00F44A3E"/>
    <w:rsid w:val="00FD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A0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A0"/>
    <w:pPr>
      <w:spacing w:line="240" w:lineRule="auto"/>
      <w:jc w:val="left"/>
    </w:pPr>
    <w:rPr>
      <w:rFonts w:eastAsia="Times New Roman" w:cs="Times New Roman"/>
      <w:kern w:val="0"/>
      <w:sz w:val="20"/>
      <w:szCs w:val="20"/>
    </w:rPr>
  </w:style>
  <w:style w:type="paragraph" w:styleId="Heading1">
    <w:name w:val="heading 1"/>
    <w:basedOn w:val="Normal"/>
    <w:next w:val="Normal"/>
    <w:link w:val="Heading1Char"/>
    <w:qFormat/>
    <w:rsid w:val="00105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105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7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7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1057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57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57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57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57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7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1057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7A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7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1057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57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57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57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57A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11D5C"/>
    <w:pPr>
      <w:spacing w:after="80"/>
      <w:contextualSpacing/>
      <w:jc w:val="center"/>
    </w:pPr>
    <w:rPr>
      <w:rFonts w:ascii="Garamond" w:eastAsiaTheme="majorEastAsia" w:hAnsi="Garamond" w:cstheme="majorBidi"/>
      <w:spacing w:val="-10"/>
      <w:kern w:val="28"/>
      <w:sz w:val="24"/>
      <w:szCs w:val="56"/>
    </w:rPr>
  </w:style>
  <w:style w:type="character" w:customStyle="1" w:styleId="TitleChar">
    <w:name w:val="Title Char"/>
    <w:basedOn w:val="DefaultParagraphFont"/>
    <w:link w:val="Title"/>
    <w:rsid w:val="00511D5C"/>
    <w:rPr>
      <w:rFonts w:ascii="Garamond" w:eastAsiaTheme="majorEastAsia" w:hAnsi="Garamond" w:cstheme="majorBidi"/>
      <w:spacing w:val="-10"/>
      <w:kern w:val="28"/>
      <w:szCs w:val="56"/>
    </w:rPr>
  </w:style>
  <w:style w:type="paragraph" w:styleId="Subtitle">
    <w:name w:val="Subtitle"/>
    <w:basedOn w:val="Normal"/>
    <w:next w:val="Normal"/>
    <w:link w:val="SubtitleChar"/>
    <w:uiPriority w:val="11"/>
    <w:qFormat/>
    <w:rsid w:val="001057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7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57A0"/>
    <w:pPr>
      <w:spacing w:before="160" w:after="160"/>
    </w:pPr>
    <w:rPr>
      <w:i/>
      <w:iCs/>
      <w:color w:val="404040" w:themeColor="text1" w:themeTint="BF"/>
    </w:rPr>
  </w:style>
  <w:style w:type="character" w:customStyle="1" w:styleId="QuoteChar">
    <w:name w:val="Quote Char"/>
    <w:basedOn w:val="DefaultParagraphFont"/>
    <w:link w:val="Quote"/>
    <w:uiPriority w:val="29"/>
    <w:rsid w:val="001057A0"/>
    <w:rPr>
      <w:i/>
      <w:iCs/>
      <w:color w:val="404040" w:themeColor="text1" w:themeTint="BF"/>
    </w:rPr>
  </w:style>
  <w:style w:type="paragraph" w:styleId="ListParagraph">
    <w:name w:val="List Paragraph"/>
    <w:basedOn w:val="Normal"/>
    <w:uiPriority w:val="34"/>
    <w:qFormat/>
    <w:rsid w:val="001057A0"/>
    <w:pPr>
      <w:ind w:left="720"/>
      <w:contextualSpacing/>
    </w:pPr>
  </w:style>
  <w:style w:type="character" w:styleId="IntenseEmphasis">
    <w:name w:val="Intense Emphasis"/>
    <w:basedOn w:val="DefaultParagraphFont"/>
    <w:uiPriority w:val="21"/>
    <w:qFormat/>
    <w:rsid w:val="001057A0"/>
    <w:rPr>
      <w:i/>
      <w:iCs/>
      <w:color w:val="2F5496" w:themeColor="accent1" w:themeShade="BF"/>
    </w:rPr>
  </w:style>
  <w:style w:type="paragraph" w:styleId="IntenseQuote">
    <w:name w:val="Intense Quote"/>
    <w:basedOn w:val="Normal"/>
    <w:next w:val="Normal"/>
    <w:link w:val="IntenseQuoteChar"/>
    <w:uiPriority w:val="30"/>
    <w:qFormat/>
    <w:rsid w:val="001057A0"/>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1057A0"/>
    <w:rPr>
      <w:i/>
      <w:iCs/>
      <w:color w:val="2F5496" w:themeColor="accent1" w:themeShade="BF"/>
    </w:rPr>
  </w:style>
  <w:style w:type="character" w:styleId="IntenseReference">
    <w:name w:val="Intense Reference"/>
    <w:basedOn w:val="DefaultParagraphFont"/>
    <w:uiPriority w:val="32"/>
    <w:qFormat/>
    <w:rsid w:val="001057A0"/>
    <w:rPr>
      <w:b/>
      <w:bCs/>
      <w:smallCaps/>
      <w:color w:val="2F5496" w:themeColor="accent1" w:themeShade="BF"/>
      <w:spacing w:val="5"/>
    </w:rPr>
  </w:style>
  <w:style w:type="paragraph" w:styleId="TOC1">
    <w:name w:val="toc 1"/>
    <w:basedOn w:val="Normal"/>
    <w:next w:val="Normal"/>
    <w:autoRedefine/>
    <w:uiPriority w:val="39"/>
    <w:unhideWhenUsed/>
    <w:rsid w:val="008854A4"/>
    <w:pPr>
      <w:tabs>
        <w:tab w:val="right" w:leader="dot" w:pos="9270"/>
      </w:tabs>
      <w:spacing w:before="120" w:after="120"/>
    </w:pPr>
    <w:rPr>
      <w:b/>
      <w:caps/>
    </w:rPr>
  </w:style>
  <w:style w:type="paragraph" w:styleId="TOC2">
    <w:name w:val="toc 2"/>
    <w:basedOn w:val="Normal"/>
    <w:next w:val="Normal"/>
    <w:autoRedefine/>
    <w:uiPriority w:val="39"/>
    <w:unhideWhenUsed/>
    <w:rsid w:val="006D4E70"/>
    <w:pPr>
      <w:tabs>
        <w:tab w:val="left" w:pos="600"/>
        <w:tab w:val="right" w:leader="dot" w:pos="9270"/>
      </w:tabs>
      <w:ind w:left="630" w:hanging="430"/>
    </w:pPr>
    <w:rPr>
      <w:smallCaps/>
      <w:noProof/>
    </w:rPr>
  </w:style>
  <w:style w:type="paragraph" w:styleId="Header">
    <w:name w:val="header"/>
    <w:basedOn w:val="Normal"/>
    <w:link w:val="HeaderChar"/>
    <w:unhideWhenUsed/>
    <w:rsid w:val="001057A0"/>
    <w:pPr>
      <w:tabs>
        <w:tab w:val="center" w:pos="4320"/>
        <w:tab w:val="right" w:pos="8640"/>
      </w:tabs>
    </w:pPr>
    <w:rPr>
      <w:rFonts w:ascii="Univers" w:hAnsi="Univers"/>
    </w:rPr>
  </w:style>
  <w:style w:type="character" w:customStyle="1" w:styleId="HeaderChar">
    <w:name w:val="Header Char"/>
    <w:basedOn w:val="DefaultParagraphFont"/>
    <w:link w:val="Header"/>
    <w:rsid w:val="001057A0"/>
    <w:rPr>
      <w:rFonts w:ascii="Univers" w:eastAsia="Times New Roman" w:hAnsi="Univers" w:cs="Times New Roman"/>
      <w:kern w:val="0"/>
      <w:sz w:val="20"/>
      <w:szCs w:val="20"/>
    </w:rPr>
  </w:style>
  <w:style w:type="paragraph" w:styleId="BodyText">
    <w:name w:val="Body Text"/>
    <w:basedOn w:val="Normal"/>
    <w:link w:val="BodyTextChar"/>
    <w:semiHidden/>
    <w:unhideWhenUsed/>
    <w:rsid w:val="001057A0"/>
    <w:rPr>
      <w:sz w:val="22"/>
    </w:rPr>
  </w:style>
  <w:style w:type="character" w:customStyle="1" w:styleId="BodyTextChar">
    <w:name w:val="Body Text Char"/>
    <w:basedOn w:val="DefaultParagraphFont"/>
    <w:link w:val="BodyText"/>
    <w:semiHidden/>
    <w:rsid w:val="001057A0"/>
    <w:rPr>
      <w:rFonts w:eastAsia="Times New Roman" w:cs="Times New Roman"/>
      <w:kern w:val="0"/>
      <w:sz w:val="22"/>
      <w:szCs w:val="20"/>
    </w:rPr>
  </w:style>
  <w:style w:type="paragraph" w:styleId="BodyTextIndent">
    <w:name w:val="Body Text Indent"/>
    <w:basedOn w:val="Normal"/>
    <w:link w:val="BodyTextIndentChar"/>
    <w:semiHidden/>
    <w:unhideWhenUsed/>
    <w:rsid w:val="001057A0"/>
    <w:pPr>
      <w:spacing w:after="120"/>
      <w:ind w:left="360"/>
    </w:pPr>
  </w:style>
  <w:style w:type="character" w:customStyle="1" w:styleId="BodyTextIndentChar">
    <w:name w:val="Body Text Indent Char"/>
    <w:basedOn w:val="DefaultParagraphFont"/>
    <w:link w:val="BodyTextIndent"/>
    <w:semiHidden/>
    <w:rsid w:val="001057A0"/>
    <w:rPr>
      <w:rFonts w:eastAsia="Times New Roman" w:cs="Times New Roman"/>
      <w:kern w:val="0"/>
      <w:sz w:val="20"/>
      <w:szCs w:val="20"/>
    </w:rPr>
  </w:style>
  <w:style w:type="paragraph" w:styleId="BodyTextIndent2">
    <w:name w:val="Body Text Indent 2"/>
    <w:basedOn w:val="Normal"/>
    <w:link w:val="BodyTextIndent2Char"/>
    <w:semiHidden/>
    <w:unhideWhenUsed/>
    <w:rsid w:val="001057A0"/>
    <w:pPr>
      <w:spacing w:after="120" w:line="480" w:lineRule="auto"/>
      <w:ind w:left="360"/>
    </w:pPr>
  </w:style>
  <w:style w:type="character" w:customStyle="1" w:styleId="BodyTextIndent2Char">
    <w:name w:val="Body Text Indent 2 Char"/>
    <w:basedOn w:val="DefaultParagraphFont"/>
    <w:link w:val="BodyTextIndent2"/>
    <w:semiHidden/>
    <w:rsid w:val="001057A0"/>
    <w:rPr>
      <w:rFonts w:eastAsia="Times New Roman" w:cs="Times New Roman"/>
      <w:kern w:val="0"/>
      <w:sz w:val="20"/>
      <w:szCs w:val="20"/>
    </w:rPr>
  </w:style>
  <w:style w:type="paragraph" w:customStyle="1" w:styleId="Default">
    <w:name w:val="Default"/>
    <w:rsid w:val="001057A0"/>
    <w:pPr>
      <w:autoSpaceDE w:val="0"/>
      <w:autoSpaceDN w:val="0"/>
      <w:adjustRightInd w:val="0"/>
      <w:spacing w:line="240" w:lineRule="auto"/>
      <w:jc w:val="left"/>
    </w:pPr>
    <w:rPr>
      <w:rFonts w:eastAsia="Times New Roman" w:cs="Times New Roman"/>
      <w:color w:val="000000"/>
      <w:kern w:val="0"/>
      <w:szCs w:val="24"/>
    </w:rPr>
  </w:style>
  <w:style w:type="paragraph" w:styleId="Revision">
    <w:name w:val="Revision"/>
    <w:hidden/>
    <w:uiPriority w:val="99"/>
    <w:semiHidden/>
    <w:rsid w:val="00F44A3E"/>
    <w:pPr>
      <w:spacing w:line="240" w:lineRule="auto"/>
      <w:jc w:val="left"/>
    </w:pPr>
    <w:rPr>
      <w:rFonts w:eastAsia="Times New Roman" w:cs="Times New Roman"/>
      <w:kern w:val="0"/>
      <w:sz w:val="20"/>
      <w:szCs w:val="20"/>
    </w:rPr>
  </w:style>
  <w:style w:type="paragraph" w:styleId="Footer">
    <w:name w:val="footer"/>
    <w:basedOn w:val="Normal"/>
    <w:link w:val="FooterChar"/>
    <w:uiPriority w:val="99"/>
    <w:unhideWhenUsed/>
    <w:rsid w:val="002C1CD9"/>
    <w:pPr>
      <w:tabs>
        <w:tab w:val="center" w:pos="4680"/>
        <w:tab w:val="right" w:pos="9360"/>
      </w:tabs>
    </w:pPr>
  </w:style>
  <w:style w:type="character" w:customStyle="1" w:styleId="FooterChar">
    <w:name w:val="Footer Char"/>
    <w:basedOn w:val="DefaultParagraphFont"/>
    <w:link w:val="Footer"/>
    <w:uiPriority w:val="99"/>
    <w:rsid w:val="002C1CD9"/>
    <w:rPr>
      <w:rFonts w:eastAsia="Times New Roman" w:cs="Times New Roman"/>
      <w:kern w:val="0"/>
      <w:sz w:val="20"/>
      <w:szCs w:val="20"/>
    </w:rPr>
  </w:style>
  <w:style w:type="character" w:styleId="CommentReference">
    <w:name w:val="annotation reference"/>
    <w:basedOn w:val="DefaultParagraphFont"/>
    <w:uiPriority w:val="99"/>
    <w:semiHidden/>
    <w:unhideWhenUsed/>
    <w:rsid w:val="006F13B8"/>
    <w:rPr>
      <w:sz w:val="16"/>
      <w:szCs w:val="16"/>
    </w:rPr>
  </w:style>
  <w:style w:type="paragraph" w:styleId="CommentText">
    <w:name w:val="annotation text"/>
    <w:basedOn w:val="Normal"/>
    <w:link w:val="CommentTextChar"/>
    <w:uiPriority w:val="99"/>
    <w:unhideWhenUsed/>
    <w:rsid w:val="006F13B8"/>
  </w:style>
  <w:style w:type="character" w:customStyle="1" w:styleId="CommentTextChar">
    <w:name w:val="Comment Text Char"/>
    <w:basedOn w:val="DefaultParagraphFont"/>
    <w:link w:val="CommentText"/>
    <w:uiPriority w:val="99"/>
    <w:rsid w:val="006F13B8"/>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F13B8"/>
    <w:rPr>
      <w:b/>
      <w:bCs/>
    </w:rPr>
  </w:style>
  <w:style w:type="character" w:customStyle="1" w:styleId="CommentSubjectChar">
    <w:name w:val="Comment Subject Char"/>
    <w:basedOn w:val="CommentTextChar"/>
    <w:link w:val="CommentSubject"/>
    <w:uiPriority w:val="99"/>
    <w:semiHidden/>
    <w:rsid w:val="006F13B8"/>
    <w:rPr>
      <w:rFonts w:eastAsia="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4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5371</Words>
  <Characters>30620</Characters>
  <Application>Microsoft Office Word</Application>
  <DocSecurity>8</DocSecurity>
  <Lines>255</Lines>
  <Paragraphs>71</Paragraphs>
  <ScaleCrop>false</ScaleCrop>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2026-07-01T17:26:00Z</dcterms:created>
  <dcterms:modified xsi:type="dcterms:W3CDTF">2026-07-01T17:26:00Z</dcterms:modified>
</cp:coreProperties>
</file>