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EC55C" w14:textId="77777777" w:rsidR="006C14B1" w:rsidRDefault="005C7B88">
      <w:pPr>
        <w:spacing w:before="71"/>
        <w:ind w:left="1309" w:right="1423"/>
        <w:jc w:val="center"/>
        <w:rPr>
          <w:b/>
          <w:sz w:val="24"/>
        </w:rPr>
      </w:pPr>
      <w:r>
        <w:rPr>
          <w:b/>
          <w:sz w:val="24"/>
        </w:rPr>
        <w:t>MONTANA</w:t>
      </w:r>
      <w:r>
        <w:rPr>
          <w:b/>
          <w:spacing w:val="-8"/>
          <w:sz w:val="24"/>
        </w:rPr>
        <w:t xml:space="preserve"> </w:t>
      </w:r>
      <w:r>
        <w:rPr>
          <w:b/>
          <w:sz w:val="24"/>
        </w:rPr>
        <w:t>DEPARTMENT</w:t>
      </w:r>
      <w:r>
        <w:rPr>
          <w:b/>
          <w:spacing w:val="-11"/>
          <w:sz w:val="24"/>
        </w:rPr>
        <w:t xml:space="preserve"> </w:t>
      </w:r>
      <w:r>
        <w:rPr>
          <w:b/>
          <w:sz w:val="24"/>
        </w:rPr>
        <w:t>OF</w:t>
      </w:r>
      <w:r>
        <w:rPr>
          <w:b/>
          <w:spacing w:val="-8"/>
          <w:sz w:val="24"/>
        </w:rPr>
        <w:t xml:space="preserve"> </w:t>
      </w:r>
      <w:r>
        <w:rPr>
          <w:b/>
          <w:sz w:val="24"/>
        </w:rPr>
        <w:t>ENVIRONMENTAL</w:t>
      </w:r>
      <w:r>
        <w:rPr>
          <w:b/>
          <w:spacing w:val="-8"/>
          <w:sz w:val="24"/>
        </w:rPr>
        <w:t xml:space="preserve"> </w:t>
      </w:r>
      <w:r>
        <w:rPr>
          <w:b/>
          <w:sz w:val="24"/>
        </w:rPr>
        <w:t>QUALITY OPERATING PERMIT TECHNICAL REVIEW DOCUMENT</w:t>
      </w:r>
    </w:p>
    <w:p w14:paraId="245EC55D" w14:textId="77777777" w:rsidR="006C14B1" w:rsidRDefault="006C14B1">
      <w:pPr>
        <w:pStyle w:val="BodyText"/>
        <w:spacing w:before="1"/>
        <w:rPr>
          <w:b/>
        </w:rPr>
      </w:pPr>
    </w:p>
    <w:p w14:paraId="245EC55E" w14:textId="77777777" w:rsidR="006C14B1" w:rsidRDefault="005C7B88">
      <w:pPr>
        <w:ind w:left="3739" w:right="2971" w:hanging="514"/>
        <w:rPr>
          <w:b/>
          <w:sz w:val="24"/>
        </w:rPr>
      </w:pPr>
      <w:r>
        <w:rPr>
          <w:b/>
          <w:sz w:val="24"/>
        </w:rPr>
        <w:t>Air,</w:t>
      </w:r>
      <w:r>
        <w:rPr>
          <w:b/>
          <w:spacing w:val="-9"/>
          <w:sz w:val="24"/>
        </w:rPr>
        <w:t xml:space="preserve"> </w:t>
      </w:r>
      <w:r>
        <w:rPr>
          <w:b/>
          <w:sz w:val="24"/>
        </w:rPr>
        <w:t>Energy</w:t>
      </w:r>
      <w:r>
        <w:rPr>
          <w:b/>
          <w:spacing w:val="-11"/>
          <w:sz w:val="24"/>
        </w:rPr>
        <w:t xml:space="preserve"> </w:t>
      </w:r>
      <w:r>
        <w:rPr>
          <w:b/>
          <w:sz w:val="24"/>
        </w:rPr>
        <w:t>&amp;</w:t>
      </w:r>
      <w:r>
        <w:rPr>
          <w:b/>
          <w:spacing w:val="-10"/>
          <w:sz w:val="24"/>
        </w:rPr>
        <w:t xml:space="preserve"> </w:t>
      </w:r>
      <w:r>
        <w:rPr>
          <w:b/>
          <w:sz w:val="24"/>
        </w:rPr>
        <w:t>Mining</w:t>
      </w:r>
      <w:r>
        <w:rPr>
          <w:b/>
          <w:spacing w:val="-9"/>
          <w:sz w:val="24"/>
        </w:rPr>
        <w:t xml:space="preserve"> </w:t>
      </w:r>
      <w:r>
        <w:rPr>
          <w:b/>
          <w:sz w:val="24"/>
        </w:rPr>
        <w:t>Division 1520 E. Sixth Avenue</w:t>
      </w:r>
    </w:p>
    <w:p w14:paraId="245EC55F" w14:textId="77777777" w:rsidR="006C14B1" w:rsidRDefault="005C7B88">
      <w:pPr>
        <w:spacing w:line="268" w:lineRule="exact"/>
        <w:ind w:left="3974"/>
        <w:rPr>
          <w:b/>
          <w:sz w:val="24"/>
        </w:rPr>
      </w:pPr>
      <w:r>
        <w:rPr>
          <w:b/>
          <w:sz w:val="24"/>
        </w:rPr>
        <w:t>P.O.</w:t>
      </w:r>
      <w:r>
        <w:rPr>
          <w:b/>
          <w:spacing w:val="2"/>
          <w:sz w:val="24"/>
        </w:rPr>
        <w:t xml:space="preserve"> </w:t>
      </w:r>
      <w:r>
        <w:rPr>
          <w:b/>
          <w:sz w:val="24"/>
        </w:rPr>
        <w:t>Box</w:t>
      </w:r>
      <w:r>
        <w:rPr>
          <w:b/>
          <w:spacing w:val="-2"/>
          <w:sz w:val="24"/>
        </w:rPr>
        <w:t xml:space="preserve"> 200901</w:t>
      </w:r>
    </w:p>
    <w:p w14:paraId="245EC560" w14:textId="77777777" w:rsidR="006C14B1" w:rsidRDefault="005C7B88">
      <w:pPr>
        <w:spacing w:before="4"/>
        <w:ind w:left="3340"/>
        <w:rPr>
          <w:b/>
          <w:sz w:val="24"/>
        </w:rPr>
      </w:pPr>
      <w:r>
        <w:rPr>
          <w:b/>
          <w:sz w:val="24"/>
        </w:rPr>
        <w:t>Helena,</w:t>
      </w:r>
      <w:r>
        <w:rPr>
          <w:b/>
          <w:spacing w:val="-8"/>
          <w:sz w:val="24"/>
        </w:rPr>
        <w:t xml:space="preserve"> </w:t>
      </w:r>
      <w:r>
        <w:rPr>
          <w:b/>
          <w:sz w:val="24"/>
        </w:rPr>
        <w:t>Montana</w:t>
      </w:r>
      <w:r>
        <w:rPr>
          <w:b/>
          <w:spacing w:val="-10"/>
          <w:sz w:val="24"/>
        </w:rPr>
        <w:t xml:space="preserve"> </w:t>
      </w:r>
      <w:r>
        <w:rPr>
          <w:b/>
          <w:sz w:val="24"/>
        </w:rPr>
        <w:t>59620-</w:t>
      </w:r>
      <w:r>
        <w:rPr>
          <w:b/>
          <w:spacing w:val="-4"/>
          <w:sz w:val="24"/>
        </w:rPr>
        <w:t>0901</w:t>
      </w:r>
    </w:p>
    <w:p w14:paraId="245EC561" w14:textId="77777777" w:rsidR="006C14B1" w:rsidRDefault="006C14B1">
      <w:pPr>
        <w:pStyle w:val="BodyText"/>
        <w:spacing w:before="9"/>
        <w:rPr>
          <w:b/>
          <w:sz w:val="23"/>
        </w:rPr>
      </w:pPr>
    </w:p>
    <w:p w14:paraId="245EC562" w14:textId="77777777" w:rsidR="006C14B1" w:rsidRDefault="005C7B88">
      <w:pPr>
        <w:pStyle w:val="BodyText"/>
        <w:spacing w:line="269" w:lineRule="exact"/>
        <w:ind w:left="1309" w:right="1424"/>
        <w:jc w:val="center"/>
      </w:pPr>
      <w:r>
        <w:t>Phillips</w:t>
      </w:r>
      <w:r>
        <w:rPr>
          <w:spacing w:val="-4"/>
        </w:rPr>
        <w:t xml:space="preserve"> </w:t>
      </w:r>
      <w:r>
        <w:t>66</w:t>
      </w:r>
      <w:r>
        <w:rPr>
          <w:spacing w:val="-2"/>
        </w:rPr>
        <w:t xml:space="preserve"> </w:t>
      </w:r>
      <w:r>
        <w:t>Company</w:t>
      </w:r>
      <w:r>
        <w:rPr>
          <w:spacing w:val="-3"/>
        </w:rPr>
        <w:t xml:space="preserve"> </w:t>
      </w:r>
      <w:r>
        <w:t>–</w:t>
      </w:r>
      <w:r>
        <w:rPr>
          <w:spacing w:val="-1"/>
        </w:rPr>
        <w:t xml:space="preserve"> </w:t>
      </w:r>
      <w:r>
        <w:t>Great</w:t>
      </w:r>
      <w:r>
        <w:rPr>
          <w:spacing w:val="-2"/>
        </w:rPr>
        <w:t xml:space="preserve"> </w:t>
      </w:r>
      <w:r>
        <w:t>Falls</w:t>
      </w:r>
      <w:r>
        <w:rPr>
          <w:spacing w:val="-2"/>
        </w:rPr>
        <w:t xml:space="preserve"> </w:t>
      </w:r>
      <w:r>
        <w:t>Product</w:t>
      </w:r>
      <w:r>
        <w:rPr>
          <w:spacing w:val="-2"/>
        </w:rPr>
        <w:t xml:space="preserve"> Terminal</w:t>
      </w:r>
    </w:p>
    <w:p w14:paraId="245EC563" w14:textId="77777777" w:rsidR="006C14B1" w:rsidRDefault="005C7B88">
      <w:pPr>
        <w:pStyle w:val="BodyText"/>
        <w:spacing w:line="242" w:lineRule="auto"/>
        <w:ind w:left="1309" w:right="1422"/>
        <w:jc w:val="center"/>
      </w:pPr>
      <w:r>
        <w:t>NE</w:t>
      </w:r>
      <w:r>
        <w:rPr>
          <w:spacing w:val="-6"/>
        </w:rPr>
        <w:t xml:space="preserve"> </w:t>
      </w:r>
      <w:r>
        <w:t>¼</w:t>
      </w:r>
      <w:r>
        <w:rPr>
          <w:spacing w:val="-5"/>
        </w:rPr>
        <w:t xml:space="preserve"> </w:t>
      </w:r>
      <w:r>
        <w:t>of</w:t>
      </w:r>
      <w:r>
        <w:rPr>
          <w:spacing w:val="-3"/>
        </w:rPr>
        <w:t xml:space="preserve"> </w:t>
      </w:r>
      <w:r>
        <w:t>Section</w:t>
      </w:r>
      <w:r>
        <w:rPr>
          <w:spacing w:val="-5"/>
        </w:rPr>
        <w:t xml:space="preserve"> </w:t>
      </w:r>
      <w:r>
        <w:t>3,</w:t>
      </w:r>
      <w:r>
        <w:rPr>
          <w:spacing w:val="-2"/>
        </w:rPr>
        <w:t xml:space="preserve"> </w:t>
      </w:r>
      <w:r>
        <w:t>Township</w:t>
      </w:r>
      <w:r>
        <w:rPr>
          <w:spacing w:val="-5"/>
        </w:rPr>
        <w:t xml:space="preserve"> </w:t>
      </w:r>
      <w:r>
        <w:t>20</w:t>
      </w:r>
      <w:r>
        <w:rPr>
          <w:spacing w:val="-4"/>
        </w:rPr>
        <w:t xml:space="preserve"> </w:t>
      </w:r>
      <w:r>
        <w:t>North,</w:t>
      </w:r>
      <w:r>
        <w:rPr>
          <w:spacing w:val="-2"/>
        </w:rPr>
        <w:t xml:space="preserve"> </w:t>
      </w:r>
      <w:r>
        <w:t>Range</w:t>
      </w:r>
      <w:r>
        <w:rPr>
          <w:spacing w:val="-1"/>
        </w:rPr>
        <w:t xml:space="preserve"> </w:t>
      </w:r>
      <w:r>
        <w:t>4</w:t>
      </w:r>
      <w:r>
        <w:rPr>
          <w:spacing w:val="-9"/>
        </w:rPr>
        <w:t xml:space="preserve"> </w:t>
      </w:r>
      <w:r>
        <w:t>East,</w:t>
      </w:r>
      <w:r>
        <w:rPr>
          <w:spacing w:val="-2"/>
        </w:rPr>
        <w:t xml:space="preserve"> </w:t>
      </w:r>
      <w:r>
        <w:t>in Cascade</w:t>
      </w:r>
      <w:r>
        <w:rPr>
          <w:spacing w:val="-1"/>
        </w:rPr>
        <w:t xml:space="preserve"> </w:t>
      </w:r>
      <w:r>
        <w:t>County 1401 52</w:t>
      </w:r>
      <w:r>
        <w:rPr>
          <w:vertAlign w:val="superscript"/>
        </w:rPr>
        <w:t>nd</w:t>
      </w:r>
      <w:r>
        <w:t xml:space="preserve"> Street North</w:t>
      </w:r>
    </w:p>
    <w:p w14:paraId="245EC564" w14:textId="77777777" w:rsidR="006C14B1" w:rsidRDefault="005C7B88">
      <w:pPr>
        <w:pStyle w:val="BodyText"/>
        <w:spacing w:line="267" w:lineRule="exact"/>
        <w:ind w:left="1302" w:right="1424"/>
        <w:jc w:val="center"/>
      </w:pPr>
      <w:r>
        <w:t>Great</w:t>
      </w:r>
      <w:r>
        <w:rPr>
          <w:spacing w:val="-4"/>
        </w:rPr>
        <w:t xml:space="preserve"> </w:t>
      </w:r>
      <w:r>
        <w:t>Falls,</w:t>
      </w:r>
      <w:r>
        <w:rPr>
          <w:spacing w:val="-1"/>
        </w:rPr>
        <w:t xml:space="preserve"> </w:t>
      </w:r>
      <w:r>
        <w:t xml:space="preserve">MT </w:t>
      </w:r>
      <w:r>
        <w:rPr>
          <w:spacing w:val="-2"/>
        </w:rPr>
        <w:t>59405</w:t>
      </w:r>
    </w:p>
    <w:p w14:paraId="245EC565" w14:textId="77777777" w:rsidR="006C14B1" w:rsidRDefault="006C14B1">
      <w:pPr>
        <w:pStyle w:val="BodyText"/>
        <w:spacing w:before="8"/>
        <w:rPr>
          <w:sz w:val="23"/>
        </w:rPr>
      </w:pPr>
    </w:p>
    <w:p w14:paraId="245EC566" w14:textId="77777777" w:rsidR="006C14B1" w:rsidRDefault="005C7B88">
      <w:pPr>
        <w:pStyle w:val="BodyText"/>
        <w:spacing w:line="242" w:lineRule="auto"/>
        <w:ind w:left="120" w:right="312"/>
      </w:pPr>
      <w:r>
        <w:t>The</w:t>
      </w:r>
      <w:r>
        <w:rPr>
          <w:spacing w:val="-1"/>
        </w:rPr>
        <w:t xml:space="preserve"> </w:t>
      </w:r>
      <w:r>
        <w:t>following</w:t>
      </w:r>
      <w:r>
        <w:rPr>
          <w:spacing w:val="-4"/>
        </w:rPr>
        <w:t xml:space="preserve"> </w:t>
      </w:r>
      <w:r>
        <w:t>table</w:t>
      </w:r>
      <w:r>
        <w:rPr>
          <w:spacing w:val="-1"/>
        </w:rPr>
        <w:t xml:space="preserve"> </w:t>
      </w:r>
      <w:r>
        <w:t>summarizes</w:t>
      </w:r>
      <w:r>
        <w:rPr>
          <w:spacing w:val="-3"/>
        </w:rPr>
        <w:t xml:space="preserve"> </w:t>
      </w:r>
      <w:r>
        <w:t>the</w:t>
      </w:r>
      <w:r>
        <w:rPr>
          <w:spacing w:val="-6"/>
        </w:rPr>
        <w:t xml:space="preserve"> </w:t>
      </w:r>
      <w:r>
        <w:t>air</w:t>
      </w:r>
      <w:r>
        <w:rPr>
          <w:spacing w:val="-1"/>
        </w:rPr>
        <w:t xml:space="preserve"> </w:t>
      </w:r>
      <w:r>
        <w:t>quality</w:t>
      </w:r>
      <w:r>
        <w:rPr>
          <w:spacing w:val="-1"/>
        </w:rPr>
        <w:t xml:space="preserve"> </w:t>
      </w:r>
      <w:r>
        <w:t>programs</w:t>
      </w:r>
      <w:r>
        <w:rPr>
          <w:spacing w:val="-3"/>
        </w:rPr>
        <w:t xml:space="preserve"> </w:t>
      </w:r>
      <w:r>
        <w:t>testing,</w:t>
      </w:r>
      <w:r>
        <w:rPr>
          <w:spacing w:val="-7"/>
        </w:rPr>
        <w:t xml:space="preserve"> </w:t>
      </w:r>
      <w:r>
        <w:t>monitoring,</w:t>
      </w:r>
      <w:r>
        <w:rPr>
          <w:spacing w:val="-2"/>
        </w:rPr>
        <w:t xml:space="preserve"> </w:t>
      </w:r>
      <w:r>
        <w:t>and</w:t>
      </w:r>
      <w:r>
        <w:rPr>
          <w:spacing w:val="-7"/>
        </w:rPr>
        <w:t xml:space="preserve"> </w:t>
      </w:r>
      <w:r>
        <w:t>reporting requirements applicable to this facility.</w:t>
      </w:r>
    </w:p>
    <w:p w14:paraId="245EC567" w14:textId="77777777" w:rsidR="006C14B1" w:rsidRDefault="006C14B1">
      <w:pPr>
        <w:pStyle w:val="BodyText"/>
        <w:spacing w:before="6"/>
      </w:pPr>
    </w:p>
    <w:tbl>
      <w:tblPr>
        <w:tblW w:w="0" w:type="auto"/>
        <w:tblInd w:w="259"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Layout w:type="fixed"/>
        <w:tblCellMar>
          <w:left w:w="0" w:type="dxa"/>
          <w:right w:w="0" w:type="dxa"/>
        </w:tblCellMar>
        <w:tblLook w:val="01E0" w:firstRow="1" w:lastRow="1" w:firstColumn="1" w:lastColumn="1" w:noHBand="0" w:noVBand="0"/>
      </w:tblPr>
      <w:tblGrid>
        <w:gridCol w:w="5938"/>
        <w:gridCol w:w="629"/>
        <w:gridCol w:w="543"/>
        <w:gridCol w:w="2252"/>
      </w:tblGrid>
      <w:tr w:rsidR="006C14B1" w14:paraId="245EC56C" w14:textId="77777777">
        <w:trPr>
          <w:trHeight w:val="402"/>
        </w:trPr>
        <w:tc>
          <w:tcPr>
            <w:tcW w:w="5938" w:type="dxa"/>
            <w:tcBorders>
              <w:right w:val="single" w:sz="4" w:space="0" w:color="000000"/>
            </w:tcBorders>
          </w:tcPr>
          <w:p w14:paraId="245EC568" w14:textId="77777777" w:rsidR="006C14B1" w:rsidRDefault="005C7B88">
            <w:pPr>
              <w:pStyle w:val="TableParagraph"/>
              <w:ind w:left="1189"/>
              <w:rPr>
                <w:b/>
                <w:sz w:val="24"/>
              </w:rPr>
            </w:pPr>
            <w:r>
              <w:rPr>
                <w:b/>
                <w:sz w:val="24"/>
              </w:rPr>
              <w:t>Facility</w:t>
            </w:r>
            <w:r>
              <w:rPr>
                <w:b/>
                <w:spacing w:val="-5"/>
                <w:sz w:val="24"/>
              </w:rPr>
              <w:t xml:space="preserve"> </w:t>
            </w:r>
            <w:r>
              <w:rPr>
                <w:b/>
                <w:sz w:val="24"/>
              </w:rPr>
              <w:t>Compliance</w:t>
            </w:r>
            <w:r>
              <w:rPr>
                <w:b/>
                <w:spacing w:val="-4"/>
                <w:sz w:val="24"/>
              </w:rPr>
              <w:t xml:space="preserve"> </w:t>
            </w:r>
            <w:r>
              <w:rPr>
                <w:b/>
                <w:spacing w:val="-2"/>
                <w:sz w:val="24"/>
              </w:rPr>
              <w:t>Requirements</w:t>
            </w:r>
          </w:p>
        </w:tc>
        <w:tc>
          <w:tcPr>
            <w:tcW w:w="629" w:type="dxa"/>
            <w:tcBorders>
              <w:left w:val="single" w:sz="4" w:space="0" w:color="000000"/>
              <w:right w:val="single" w:sz="4" w:space="0" w:color="000000"/>
            </w:tcBorders>
          </w:tcPr>
          <w:p w14:paraId="245EC569" w14:textId="77777777" w:rsidR="006C14B1" w:rsidRDefault="005C7B88">
            <w:pPr>
              <w:pStyle w:val="TableParagraph"/>
              <w:ind w:left="109"/>
              <w:rPr>
                <w:sz w:val="24"/>
              </w:rPr>
            </w:pPr>
            <w:r>
              <w:rPr>
                <w:spacing w:val="-5"/>
                <w:sz w:val="24"/>
              </w:rPr>
              <w:t>Yes</w:t>
            </w:r>
          </w:p>
        </w:tc>
        <w:tc>
          <w:tcPr>
            <w:tcW w:w="543" w:type="dxa"/>
            <w:tcBorders>
              <w:left w:val="single" w:sz="4" w:space="0" w:color="000000"/>
              <w:right w:val="single" w:sz="4" w:space="0" w:color="000000"/>
            </w:tcBorders>
          </w:tcPr>
          <w:p w14:paraId="245EC56A" w14:textId="77777777" w:rsidR="006C14B1" w:rsidRDefault="005C7B88">
            <w:pPr>
              <w:pStyle w:val="TableParagraph"/>
              <w:ind w:left="97" w:right="97"/>
              <w:jc w:val="center"/>
              <w:rPr>
                <w:sz w:val="24"/>
              </w:rPr>
            </w:pPr>
            <w:r>
              <w:rPr>
                <w:spacing w:val="-5"/>
                <w:sz w:val="24"/>
              </w:rPr>
              <w:t>No</w:t>
            </w:r>
          </w:p>
        </w:tc>
        <w:tc>
          <w:tcPr>
            <w:tcW w:w="2252" w:type="dxa"/>
            <w:tcBorders>
              <w:left w:val="single" w:sz="4" w:space="0" w:color="000000"/>
            </w:tcBorders>
          </w:tcPr>
          <w:p w14:paraId="245EC56B" w14:textId="77777777" w:rsidR="006C14B1" w:rsidRDefault="005C7B88">
            <w:pPr>
              <w:pStyle w:val="TableParagraph"/>
              <w:ind w:left="608"/>
              <w:rPr>
                <w:sz w:val="24"/>
              </w:rPr>
            </w:pPr>
            <w:r>
              <w:rPr>
                <w:spacing w:val="-2"/>
                <w:sz w:val="24"/>
              </w:rPr>
              <w:t>Comments</w:t>
            </w:r>
          </w:p>
        </w:tc>
      </w:tr>
      <w:tr w:rsidR="006C14B1" w14:paraId="245EC571" w14:textId="77777777">
        <w:trPr>
          <w:trHeight w:val="397"/>
        </w:trPr>
        <w:tc>
          <w:tcPr>
            <w:tcW w:w="5938" w:type="dxa"/>
            <w:tcBorders>
              <w:bottom w:val="single" w:sz="4" w:space="0" w:color="000000"/>
              <w:right w:val="single" w:sz="4" w:space="0" w:color="000000"/>
            </w:tcBorders>
          </w:tcPr>
          <w:p w14:paraId="245EC56D" w14:textId="77777777" w:rsidR="006C14B1" w:rsidRDefault="005C7B88">
            <w:pPr>
              <w:pStyle w:val="TableParagraph"/>
              <w:ind w:left="95"/>
              <w:rPr>
                <w:sz w:val="24"/>
              </w:rPr>
            </w:pPr>
            <w:r>
              <w:rPr>
                <w:sz w:val="24"/>
              </w:rPr>
              <w:t>Source</w:t>
            </w:r>
            <w:r>
              <w:rPr>
                <w:spacing w:val="-2"/>
                <w:sz w:val="24"/>
              </w:rPr>
              <w:t xml:space="preserve"> </w:t>
            </w:r>
            <w:r>
              <w:rPr>
                <w:sz w:val="24"/>
              </w:rPr>
              <w:t>Tests</w:t>
            </w:r>
            <w:r>
              <w:rPr>
                <w:spacing w:val="2"/>
                <w:sz w:val="24"/>
              </w:rPr>
              <w:t xml:space="preserve"> </w:t>
            </w:r>
            <w:r>
              <w:rPr>
                <w:spacing w:val="-2"/>
                <w:sz w:val="24"/>
              </w:rPr>
              <w:t>Required</w:t>
            </w:r>
          </w:p>
        </w:tc>
        <w:tc>
          <w:tcPr>
            <w:tcW w:w="629" w:type="dxa"/>
            <w:tcBorders>
              <w:left w:val="single" w:sz="4" w:space="0" w:color="000000"/>
              <w:bottom w:val="single" w:sz="4" w:space="0" w:color="000000"/>
              <w:right w:val="single" w:sz="4" w:space="0" w:color="000000"/>
            </w:tcBorders>
          </w:tcPr>
          <w:p w14:paraId="245EC56E" w14:textId="77777777" w:rsidR="006C14B1" w:rsidRDefault="005C7B88">
            <w:pPr>
              <w:pStyle w:val="TableParagraph"/>
              <w:ind w:left="109"/>
              <w:rPr>
                <w:sz w:val="24"/>
              </w:rPr>
            </w:pPr>
            <w:r>
              <w:rPr>
                <w:sz w:val="24"/>
              </w:rPr>
              <w:t>X</w:t>
            </w:r>
          </w:p>
        </w:tc>
        <w:tc>
          <w:tcPr>
            <w:tcW w:w="543" w:type="dxa"/>
            <w:tcBorders>
              <w:left w:val="single" w:sz="4" w:space="0" w:color="000000"/>
              <w:bottom w:val="single" w:sz="4" w:space="0" w:color="000000"/>
              <w:right w:val="single" w:sz="4" w:space="0" w:color="000000"/>
            </w:tcBorders>
          </w:tcPr>
          <w:p w14:paraId="245EC56F" w14:textId="77777777" w:rsidR="006C14B1" w:rsidRDefault="006C14B1">
            <w:pPr>
              <w:pStyle w:val="TableParagraph"/>
              <w:spacing w:line="240" w:lineRule="auto"/>
              <w:rPr>
                <w:rFonts w:ascii="Times New Roman"/>
              </w:rPr>
            </w:pPr>
          </w:p>
        </w:tc>
        <w:tc>
          <w:tcPr>
            <w:tcW w:w="2252" w:type="dxa"/>
            <w:tcBorders>
              <w:left w:val="single" w:sz="4" w:space="0" w:color="000000"/>
              <w:bottom w:val="single" w:sz="4" w:space="0" w:color="000000"/>
            </w:tcBorders>
          </w:tcPr>
          <w:p w14:paraId="245EC570" w14:textId="77777777" w:rsidR="006C14B1" w:rsidRDefault="005C7B88">
            <w:pPr>
              <w:pStyle w:val="TableParagraph"/>
              <w:ind w:left="104"/>
              <w:rPr>
                <w:sz w:val="24"/>
              </w:rPr>
            </w:pPr>
            <w:r>
              <w:rPr>
                <w:sz w:val="24"/>
              </w:rPr>
              <w:t>Method</w:t>
            </w:r>
            <w:r>
              <w:rPr>
                <w:spacing w:val="4"/>
                <w:sz w:val="24"/>
              </w:rPr>
              <w:t xml:space="preserve"> </w:t>
            </w:r>
            <w:r>
              <w:rPr>
                <w:spacing w:val="-10"/>
                <w:sz w:val="24"/>
              </w:rPr>
              <w:t>9</w:t>
            </w:r>
          </w:p>
        </w:tc>
      </w:tr>
      <w:tr w:rsidR="006C14B1" w14:paraId="245EC576" w14:textId="77777777">
        <w:trPr>
          <w:trHeight w:val="402"/>
        </w:trPr>
        <w:tc>
          <w:tcPr>
            <w:tcW w:w="5938" w:type="dxa"/>
            <w:tcBorders>
              <w:top w:val="single" w:sz="4" w:space="0" w:color="000000"/>
              <w:bottom w:val="single" w:sz="4" w:space="0" w:color="000000"/>
              <w:right w:val="single" w:sz="4" w:space="0" w:color="000000"/>
            </w:tcBorders>
          </w:tcPr>
          <w:p w14:paraId="245EC572" w14:textId="77777777" w:rsidR="006C14B1" w:rsidRDefault="005C7B88">
            <w:pPr>
              <w:pStyle w:val="TableParagraph"/>
              <w:ind w:left="95"/>
              <w:rPr>
                <w:sz w:val="24"/>
              </w:rPr>
            </w:pPr>
            <w:r>
              <w:rPr>
                <w:sz w:val="24"/>
              </w:rPr>
              <w:t>Ambient</w:t>
            </w:r>
            <w:r>
              <w:rPr>
                <w:spacing w:val="-2"/>
                <w:sz w:val="24"/>
              </w:rPr>
              <w:t xml:space="preserve"> </w:t>
            </w:r>
            <w:r>
              <w:rPr>
                <w:sz w:val="24"/>
              </w:rPr>
              <w:t>Monitoring</w:t>
            </w:r>
            <w:r>
              <w:rPr>
                <w:spacing w:val="-5"/>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3"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4"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5" w14:textId="77777777" w:rsidR="006C14B1" w:rsidRDefault="006C14B1">
            <w:pPr>
              <w:pStyle w:val="TableParagraph"/>
              <w:spacing w:line="240" w:lineRule="auto"/>
              <w:rPr>
                <w:rFonts w:ascii="Times New Roman"/>
              </w:rPr>
            </w:pPr>
          </w:p>
        </w:tc>
      </w:tr>
      <w:tr w:rsidR="006C14B1" w14:paraId="245EC57B" w14:textId="77777777">
        <w:trPr>
          <w:trHeight w:val="397"/>
        </w:trPr>
        <w:tc>
          <w:tcPr>
            <w:tcW w:w="5938" w:type="dxa"/>
            <w:tcBorders>
              <w:top w:val="single" w:sz="4" w:space="0" w:color="000000"/>
              <w:bottom w:val="single" w:sz="4" w:space="0" w:color="000000"/>
              <w:right w:val="single" w:sz="4" w:space="0" w:color="000000"/>
            </w:tcBorders>
          </w:tcPr>
          <w:p w14:paraId="245EC577" w14:textId="77777777" w:rsidR="006C14B1" w:rsidRDefault="005C7B88">
            <w:pPr>
              <w:pStyle w:val="TableParagraph"/>
              <w:ind w:left="95"/>
              <w:rPr>
                <w:sz w:val="24"/>
              </w:rPr>
            </w:pPr>
            <w:r>
              <w:rPr>
                <w:sz w:val="24"/>
              </w:rPr>
              <w:t>COMS</w:t>
            </w:r>
            <w:r>
              <w:rPr>
                <w:spacing w:val="3"/>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8"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9"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A" w14:textId="77777777" w:rsidR="006C14B1" w:rsidRDefault="006C14B1">
            <w:pPr>
              <w:pStyle w:val="TableParagraph"/>
              <w:spacing w:line="240" w:lineRule="auto"/>
              <w:rPr>
                <w:rFonts w:ascii="Times New Roman"/>
              </w:rPr>
            </w:pPr>
          </w:p>
        </w:tc>
      </w:tr>
      <w:tr w:rsidR="006C14B1" w14:paraId="245EC580" w14:textId="77777777">
        <w:trPr>
          <w:trHeight w:val="398"/>
        </w:trPr>
        <w:tc>
          <w:tcPr>
            <w:tcW w:w="5938" w:type="dxa"/>
            <w:tcBorders>
              <w:top w:val="single" w:sz="4" w:space="0" w:color="000000"/>
              <w:bottom w:val="single" w:sz="4" w:space="0" w:color="000000"/>
              <w:right w:val="single" w:sz="4" w:space="0" w:color="000000"/>
            </w:tcBorders>
          </w:tcPr>
          <w:p w14:paraId="245EC57C" w14:textId="77777777" w:rsidR="006C14B1" w:rsidRDefault="005C7B88">
            <w:pPr>
              <w:pStyle w:val="TableParagraph"/>
              <w:ind w:left="95"/>
              <w:rPr>
                <w:sz w:val="24"/>
              </w:rPr>
            </w:pPr>
            <w:r>
              <w:rPr>
                <w:sz w:val="24"/>
              </w:rPr>
              <w:t>CEMS</w:t>
            </w:r>
            <w:r>
              <w:rPr>
                <w:spacing w:val="2"/>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7D"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7E"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7F" w14:textId="77777777" w:rsidR="006C14B1" w:rsidRDefault="006C14B1">
            <w:pPr>
              <w:pStyle w:val="TableParagraph"/>
              <w:spacing w:line="240" w:lineRule="auto"/>
              <w:rPr>
                <w:rFonts w:ascii="Times New Roman"/>
              </w:rPr>
            </w:pPr>
          </w:p>
        </w:tc>
      </w:tr>
      <w:tr w:rsidR="006C14B1" w14:paraId="245EC585" w14:textId="77777777">
        <w:trPr>
          <w:trHeight w:val="402"/>
        </w:trPr>
        <w:tc>
          <w:tcPr>
            <w:tcW w:w="5938" w:type="dxa"/>
            <w:tcBorders>
              <w:top w:val="single" w:sz="4" w:space="0" w:color="000000"/>
              <w:bottom w:val="single" w:sz="4" w:space="0" w:color="000000"/>
              <w:right w:val="single" w:sz="4" w:space="0" w:color="000000"/>
            </w:tcBorders>
          </w:tcPr>
          <w:p w14:paraId="245EC581" w14:textId="77777777" w:rsidR="006C14B1" w:rsidRDefault="005C7B88">
            <w:pPr>
              <w:pStyle w:val="TableParagraph"/>
              <w:spacing w:before="4" w:line="240" w:lineRule="auto"/>
              <w:ind w:left="95"/>
              <w:rPr>
                <w:sz w:val="24"/>
              </w:rPr>
            </w:pPr>
            <w:r>
              <w:rPr>
                <w:sz w:val="24"/>
              </w:rPr>
              <w:t>Schedule</w:t>
            </w:r>
            <w:r>
              <w:rPr>
                <w:spacing w:val="-3"/>
                <w:sz w:val="24"/>
              </w:rPr>
              <w:t xml:space="preserve"> </w:t>
            </w:r>
            <w:r>
              <w:rPr>
                <w:sz w:val="24"/>
              </w:rPr>
              <w:t>of</w:t>
            </w:r>
            <w:r>
              <w:rPr>
                <w:spacing w:val="-4"/>
                <w:sz w:val="24"/>
              </w:rPr>
              <w:t xml:space="preserve"> </w:t>
            </w:r>
            <w:r>
              <w:rPr>
                <w:sz w:val="24"/>
              </w:rPr>
              <w:t>Compliance</w:t>
            </w:r>
            <w:r>
              <w:rPr>
                <w:spacing w:val="3"/>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2"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83" w14:textId="77777777" w:rsidR="006C14B1" w:rsidRDefault="005C7B88">
            <w:pPr>
              <w:pStyle w:val="TableParagraph"/>
              <w:spacing w:before="4" w:line="240" w:lineRule="auto"/>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84" w14:textId="77777777" w:rsidR="006C14B1" w:rsidRDefault="006C14B1">
            <w:pPr>
              <w:pStyle w:val="TableParagraph"/>
              <w:spacing w:line="240" w:lineRule="auto"/>
              <w:rPr>
                <w:rFonts w:ascii="Times New Roman"/>
              </w:rPr>
            </w:pPr>
          </w:p>
        </w:tc>
      </w:tr>
      <w:tr w:rsidR="006C14B1" w14:paraId="245EC58B" w14:textId="77777777">
        <w:trPr>
          <w:trHeight w:val="537"/>
        </w:trPr>
        <w:tc>
          <w:tcPr>
            <w:tcW w:w="5938" w:type="dxa"/>
            <w:tcBorders>
              <w:top w:val="single" w:sz="4" w:space="0" w:color="000000"/>
              <w:bottom w:val="single" w:sz="4" w:space="0" w:color="000000"/>
              <w:right w:val="single" w:sz="4" w:space="0" w:color="000000"/>
            </w:tcBorders>
          </w:tcPr>
          <w:p w14:paraId="245EC586" w14:textId="77777777" w:rsidR="006C14B1" w:rsidRDefault="005C7B88">
            <w:pPr>
              <w:pStyle w:val="TableParagraph"/>
              <w:ind w:left="95"/>
              <w:rPr>
                <w:sz w:val="24"/>
              </w:rPr>
            </w:pPr>
            <w:r>
              <w:rPr>
                <w:sz w:val="24"/>
              </w:rPr>
              <w:t>Annual</w:t>
            </w:r>
            <w:r>
              <w:rPr>
                <w:spacing w:val="-7"/>
                <w:sz w:val="24"/>
              </w:rPr>
              <w:t xml:space="preserve"> </w:t>
            </w:r>
            <w:r>
              <w:rPr>
                <w:sz w:val="24"/>
              </w:rPr>
              <w:t>Compliance</w:t>
            </w:r>
            <w:r>
              <w:rPr>
                <w:spacing w:val="-2"/>
                <w:sz w:val="24"/>
              </w:rPr>
              <w:t xml:space="preserve"> </w:t>
            </w:r>
            <w:r>
              <w:rPr>
                <w:sz w:val="24"/>
              </w:rPr>
              <w:t>Certification</w:t>
            </w:r>
            <w:r>
              <w:rPr>
                <w:spacing w:val="-5"/>
                <w:sz w:val="24"/>
              </w:rPr>
              <w:t xml:space="preserve"> </w:t>
            </w:r>
            <w:r>
              <w:rPr>
                <w:sz w:val="24"/>
              </w:rPr>
              <w:t>and</w:t>
            </w:r>
            <w:r>
              <w:rPr>
                <w:spacing w:val="-3"/>
                <w:sz w:val="24"/>
              </w:rPr>
              <w:t xml:space="preserve"> </w:t>
            </w:r>
            <w:r>
              <w:rPr>
                <w:sz w:val="24"/>
              </w:rPr>
              <w:t>Semiannual</w:t>
            </w:r>
            <w:r>
              <w:rPr>
                <w:spacing w:val="-4"/>
                <w:sz w:val="24"/>
              </w:rPr>
              <w:t xml:space="preserve"> </w:t>
            </w:r>
            <w:r>
              <w:rPr>
                <w:spacing w:val="-2"/>
                <w:sz w:val="24"/>
              </w:rPr>
              <w:t>Reporting</w:t>
            </w:r>
          </w:p>
          <w:p w14:paraId="245EC587" w14:textId="77777777" w:rsidR="006C14B1" w:rsidRDefault="005C7B88">
            <w:pPr>
              <w:pStyle w:val="TableParagraph"/>
              <w:spacing w:line="248" w:lineRule="exact"/>
              <w:ind w:left="95"/>
              <w:rPr>
                <w:sz w:val="24"/>
              </w:rPr>
            </w:pP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8"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89"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8A" w14:textId="77777777" w:rsidR="006C14B1" w:rsidRDefault="005C7B88">
            <w:pPr>
              <w:pStyle w:val="TableParagraph"/>
              <w:ind w:left="104"/>
              <w:rPr>
                <w:sz w:val="24"/>
              </w:rPr>
            </w:pPr>
            <w:r>
              <w:rPr>
                <w:sz w:val="24"/>
              </w:rPr>
              <w:t>As</w:t>
            </w:r>
            <w:r>
              <w:rPr>
                <w:spacing w:val="-1"/>
                <w:sz w:val="24"/>
              </w:rPr>
              <w:t xml:space="preserve"> </w:t>
            </w:r>
            <w:r>
              <w:rPr>
                <w:spacing w:val="-2"/>
                <w:sz w:val="24"/>
              </w:rPr>
              <w:t>Applicable</w:t>
            </w:r>
          </w:p>
        </w:tc>
      </w:tr>
      <w:tr w:rsidR="006C14B1" w14:paraId="245EC590" w14:textId="77777777">
        <w:trPr>
          <w:trHeight w:val="402"/>
        </w:trPr>
        <w:tc>
          <w:tcPr>
            <w:tcW w:w="5938" w:type="dxa"/>
            <w:tcBorders>
              <w:top w:val="single" w:sz="4" w:space="0" w:color="000000"/>
              <w:bottom w:val="single" w:sz="4" w:space="0" w:color="000000"/>
              <w:right w:val="single" w:sz="4" w:space="0" w:color="000000"/>
            </w:tcBorders>
          </w:tcPr>
          <w:p w14:paraId="245EC58C" w14:textId="77777777" w:rsidR="006C14B1" w:rsidRDefault="005C7B88">
            <w:pPr>
              <w:pStyle w:val="TableParagraph"/>
              <w:spacing w:before="4" w:line="240" w:lineRule="auto"/>
              <w:ind w:left="95"/>
              <w:rPr>
                <w:sz w:val="24"/>
              </w:rPr>
            </w:pPr>
            <w:r>
              <w:rPr>
                <w:sz w:val="24"/>
              </w:rPr>
              <w:t>Monthly</w:t>
            </w:r>
            <w:r>
              <w:rPr>
                <w:spacing w:val="-2"/>
                <w:sz w:val="24"/>
              </w:rPr>
              <w:t xml:space="preserve"> </w:t>
            </w:r>
            <w:r>
              <w:rPr>
                <w:sz w:val="24"/>
              </w:rPr>
              <w:t>Reporting</w:t>
            </w:r>
            <w:r>
              <w:rPr>
                <w:spacing w:val="-1"/>
                <w:sz w:val="24"/>
              </w:rPr>
              <w:t xml:space="preserve"> </w:t>
            </w:r>
            <w:r>
              <w:rPr>
                <w:spacing w:val="-2"/>
                <w:sz w:val="24"/>
              </w:rPr>
              <w:t>Required</w:t>
            </w:r>
          </w:p>
        </w:tc>
        <w:tc>
          <w:tcPr>
            <w:tcW w:w="629" w:type="dxa"/>
            <w:tcBorders>
              <w:top w:val="single" w:sz="4" w:space="0" w:color="000000"/>
              <w:left w:val="single" w:sz="4" w:space="0" w:color="000000"/>
              <w:bottom w:val="single" w:sz="4" w:space="0" w:color="000000"/>
              <w:right w:val="single" w:sz="4" w:space="0" w:color="000000"/>
            </w:tcBorders>
          </w:tcPr>
          <w:p w14:paraId="245EC58D" w14:textId="77777777" w:rsidR="006C14B1" w:rsidRDefault="005C7B88">
            <w:pPr>
              <w:pStyle w:val="TableParagraph"/>
              <w:spacing w:before="4" w:line="240" w:lineRule="auto"/>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8E"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8F" w14:textId="77777777" w:rsidR="006C14B1" w:rsidRDefault="005C7B88">
            <w:pPr>
              <w:pStyle w:val="TableParagraph"/>
              <w:spacing w:before="4" w:line="240" w:lineRule="auto"/>
              <w:ind w:left="104"/>
              <w:rPr>
                <w:sz w:val="24"/>
              </w:rPr>
            </w:pPr>
            <w:r>
              <w:rPr>
                <w:sz w:val="24"/>
              </w:rPr>
              <w:t>As</w:t>
            </w:r>
            <w:r>
              <w:rPr>
                <w:spacing w:val="-1"/>
                <w:sz w:val="24"/>
              </w:rPr>
              <w:t xml:space="preserve"> </w:t>
            </w:r>
            <w:r>
              <w:rPr>
                <w:spacing w:val="-2"/>
                <w:sz w:val="24"/>
              </w:rPr>
              <w:t>Applicable</w:t>
            </w:r>
          </w:p>
        </w:tc>
      </w:tr>
      <w:tr w:rsidR="006C14B1" w14:paraId="245EC595" w14:textId="77777777">
        <w:trPr>
          <w:trHeight w:val="397"/>
        </w:trPr>
        <w:tc>
          <w:tcPr>
            <w:tcW w:w="5938" w:type="dxa"/>
            <w:tcBorders>
              <w:top w:val="single" w:sz="4" w:space="0" w:color="000000"/>
              <w:right w:val="single" w:sz="4" w:space="0" w:color="000000"/>
            </w:tcBorders>
          </w:tcPr>
          <w:p w14:paraId="245EC591" w14:textId="77777777" w:rsidR="006C14B1" w:rsidRDefault="005C7B88">
            <w:pPr>
              <w:pStyle w:val="TableParagraph"/>
              <w:ind w:left="95"/>
              <w:rPr>
                <w:sz w:val="24"/>
              </w:rPr>
            </w:pPr>
            <w:r>
              <w:rPr>
                <w:sz w:val="24"/>
              </w:rPr>
              <w:t>Quarterly</w:t>
            </w:r>
            <w:r>
              <w:rPr>
                <w:spacing w:val="-1"/>
                <w:sz w:val="24"/>
              </w:rPr>
              <w:t xml:space="preserve"> </w:t>
            </w:r>
            <w:r>
              <w:rPr>
                <w:sz w:val="24"/>
              </w:rPr>
              <w:t>Reporting</w:t>
            </w:r>
            <w:r>
              <w:rPr>
                <w:spacing w:val="-3"/>
                <w:sz w:val="24"/>
              </w:rPr>
              <w:t xml:space="preserve"> </w:t>
            </w:r>
            <w:r>
              <w:rPr>
                <w:spacing w:val="-2"/>
                <w:sz w:val="24"/>
              </w:rPr>
              <w:t>Required</w:t>
            </w:r>
          </w:p>
        </w:tc>
        <w:tc>
          <w:tcPr>
            <w:tcW w:w="629" w:type="dxa"/>
            <w:tcBorders>
              <w:top w:val="single" w:sz="4" w:space="0" w:color="000000"/>
              <w:left w:val="single" w:sz="4" w:space="0" w:color="000000"/>
              <w:right w:val="single" w:sz="4" w:space="0" w:color="000000"/>
            </w:tcBorders>
          </w:tcPr>
          <w:p w14:paraId="245EC592"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right w:val="single" w:sz="4" w:space="0" w:color="000000"/>
            </w:tcBorders>
          </w:tcPr>
          <w:p w14:paraId="245EC593"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tcBorders>
          </w:tcPr>
          <w:p w14:paraId="245EC594" w14:textId="77777777" w:rsidR="006C14B1" w:rsidRDefault="006C14B1">
            <w:pPr>
              <w:pStyle w:val="TableParagraph"/>
              <w:spacing w:line="240" w:lineRule="auto"/>
              <w:rPr>
                <w:rFonts w:ascii="Times New Roman"/>
              </w:rPr>
            </w:pPr>
          </w:p>
        </w:tc>
      </w:tr>
      <w:tr w:rsidR="006C14B1" w14:paraId="245EC59A" w14:textId="77777777">
        <w:trPr>
          <w:trHeight w:val="402"/>
        </w:trPr>
        <w:tc>
          <w:tcPr>
            <w:tcW w:w="5938" w:type="dxa"/>
            <w:tcBorders>
              <w:right w:val="single" w:sz="4" w:space="0" w:color="000000"/>
            </w:tcBorders>
          </w:tcPr>
          <w:p w14:paraId="245EC596" w14:textId="77777777" w:rsidR="006C14B1" w:rsidRDefault="005C7B88">
            <w:pPr>
              <w:pStyle w:val="TableParagraph"/>
              <w:spacing w:before="3" w:line="240" w:lineRule="auto"/>
              <w:ind w:left="1300"/>
              <w:rPr>
                <w:b/>
                <w:sz w:val="24"/>
              </w:rPr>
            </w:pPr>
            <w:r>
              <w:rPr>
                <w:b/>
                <w:sz w:val="24"/>
              </w:rPr>
              <w:t>Applicable</w:t>
            </w:r>
            <w:r>
              <w:rPr>
                <w:b/>
                <w:spacing w:val="-3"/>
                <w:sz w:val="24"/>
              </w:rPr>
              <w:t xml:space="preserve"> </w:t>
            </w:r>
            <w:r>
              <w:rPr>
                <w:b/>
                <w:sz w:val="24"/>
              </w:rPr>
              <w:t>Air</w:t>
            </w:r>
            <w:r>
              <w:rPr>
                <w:b/>
                <w:spacing w:val="-7"/>
                <w:sz w:val="24"/>
              </w:rPr>
              <w:t xml:space="preserve"> </w:t>
            </w:r>
            <w:r>
              <w:rPr>
                <w:b/>
                <w:sz w:val="24"/>
              </w:rPr>
              <w:t>Quality</w:t>
            </w:r>
            <w:r>
              <w:rPr>
                <w:b/>
                <w:spacing w:val="-2"/>
                <w:sz w:val="24"/>
              </w:rPr>
              <w:t xml:space="preserve"> Programs</w:t>
            </w:r>
          </w:p>
        </w:tc>
        <w:tc>
          <w:tcPr>
            <w:tcW w:w="629" w:type="dxa"/>
            <w:tcBorders>
              <w:left w:val="single" w:sz="4" w:space="0" w:color="000000"/>
              <w:right w:val="single" w:sz="4" w:space="0" w:color="000000"/>
            </w:tcBorders>
          </w:tcPr>
          <w:p w14:paraId="245EC597" w14:textId="77777777" w:rsidR="006C14B1" w:rsidRDefault="006C14B1">
            <w:pPr>
              <w:pStyle w:val="TableParagraph"/>
              <w:spacing w:line="240" w:lineRule="auto"/>
              <w:rPr>
                <w:rFonts w:ascii="Times New Roman"/>
              </w:rPr>
            </w:pPr>
          </w:p>
        </w:tc>
        <w:tc>
          <w:tcPr>
            <w:tcW w:w="543" w:type="dxa"/>
            <w:tcBorders>
              <w:left w:val="single" w:sz="4" w:space="0" w:color="000000"/>
              <w:right w:val="single" w:sz="4" w:space="0" w:color="000000"/>
            </w:tcBorders>
          </w:tcPr>
          <w:p w14:paraId="245EC598" w14:textId="77777777" w:rsidR="006C14B1" w:rsidRDefault="006C14B1">
            <w:pPr>
              <w:pStyle w:val="TableParagraph"/>
              <w:spacing w:line="240" w:lineRule="auto"/>
              <w:rPr>
                <w:rFonts w:ascii="Times New Roman"/>
              </w:rPr>
            </w:pPr>
          </w:p>
        </w:tc>
        <w:tc>
          <w:tcPr>
            <w:tcW w:w="2252" w:type="dxa"/>
            <w:tcBorders>
              <w:left w:val="single" w:sz="4" w:space="0" w:color="000000"/>
            </w:tcBorders>
          </w:tcPr>
          <w:p w14:paraId="245EC599" w14:textId="77777777" w:rsidR="006C14B1" w:rsidRDefault="006C14B1">
            <w:pPr>
              <w:pStyle w:val="TableParagraph"/>
              <w:spacing w:line="240" w:lineRule="auto"/>
              <w:rPr>
                <w:rFonts w:ascii="Times New Roman"/>
              </w:rPr>
            </w:pPr>
          </w:p>
        </w:tc>
      </w:tr>
      <w:tr w:rsidR="006C14B1" w14:paraId="245EC59F" w14:textId="77777777">
        <w:trPr>
          <w:trHeight w:val="397"/>
        </w:trPr>
        <w:tc>
          <w:tcPr>
            <w:tcW w:w="5938" w:type="dxa"/>
            <w:tcBorders>
              <w:bottom w:val="single" w:sz="4" w:space="0" w:color="000000"/>
              <w:right w:val="single" w:sz="4" w:space="0" w:color="000000"/>
            </w:tcBorders>
          </w:tcPr>
          <w:p w14:paraId="245EC59B" w14:textId="77777777" w:rsidR="006C14B1" w:rsidRDefault="005C7B88">
            <w:pPr>
              <w:pStyle w:val="TableParagraph"/>
              <w:ind w:left="95"/>
              <w:rPr>
                <w:sz w:val="24"/>
              </w:rPr>
            </w:pPr>
            <w:r>
              <w:rPr>
                <w:sz w:val="24"/>
              </w:rPr>
              <w:t>ARM</w:t>
            </w:r>
            <w:r>
              <w:rPr>
                <w:spacing w:val="-2"/>
                <w:sz w:val="24"/>
              </w:rPr>
              <w:t xml:space="preserve"> </w:t>
            </w:r>
            <w:r>
              <w:rPr>
                <w:sz w:val="24"/>
              </w:rPr>
              <w:t>Subchapter 7</w:t>
            </w:r>
            <w:r>
              <w:rPr>
                <w:spacing w:val="-4"/>
                <w:sz w:val="24"/>
              </w:rPr>
              <w:t xml:space="preserve"> </w:t>
            </w:r>
            <w:r>
              <w:rPr>
                <w:sz w:val="24"/>
              </w:rPr>
              <w:t>–</w:t>
            </w:r>
            <w:r>
              <w:rPr>
                <w:spacing w:val="-5"/>
                <w:sz w:val="24"/>
              </w:rPr>
              <w:t xml:space="preserve"> </w:t>
            </w:r>
            <w:r>
              <w:rPr>
                <w:sz w:val="24"/>
              </w:rPr>
              <w:t>Montana</w:t>
            </w:r>
            <w:r>
              <w:rPr>
                <w:spacing w:val="-3"/>
                <w:sz w:val="24"/>
              </w:rPr>
              <w:t xml:space="preserve"> </w:t>
            </w:r>
            <w:r>
              <w:rPr>
                <w:sz w:val="24"/>
              </w:rPr>
              <w:t>Air</w:t>
            </w:r>
            <w:r>
              <w:rPr>
                <w:spacing w:val="-3"/>
                <w:sz w:val="24"/>
              </w:rPr>
              <w:t xml:space="preserve"> </w:t>
            </w:r>
            <w:r>
              <w:rPr>
                <w:sz w:val="24"/>
              </w:rPr>
              <w:t>Quality Permit</w:t>
            </w:r>
            <w:r>
              <w:rPr>
                <w:spacing w:val="-3"/>
                <w:sz w:val="24"/>
              </w:rPr>
              <w:t xml:space="preserve"> </w:t>
            </w:r>
            <w:r>
              <w:rPr>
                <w:spacing w:val="-2"/>
                <w:sz w:val="24"/>
              </w:rPr>
              <w:t>(MAQP)</w:t>
            </w:r>
          </w:p>
        </w:tc>
        <w:tc>
          <w:tcPr>
            <w:tcW w:w="629" w:type="dxa"/>
            <w:tcBorders>
              <w:left w:val="single" w:sz="4" w:space="0" w:color="000000"/>
              <w:bottom w:val="single" w:sz="4" w:space="0" w:color="000000"/>
              <w:right w:val="single" w:sz="4" w:space="0" w:color="000000"/>
            </w:tcBorders>
          </w:tcPr>
          <w:p w14:paraId="245EC59C" w14:textId="77777777" w:rsidR="006C14B1" w:rsidRDefault="005C7B88">
            <w:pPr>
              <w:pStyle w:val="TableParagraph"/>
              <w:ind w:left="109"/>
              <w:rPr>
                <w:sz w:val="24"/>
              </w:rPr>
            </w:pPr>
            <w:r>
              <w:rPr>
                <w:sz w:val="24"/>
              </w:rPr>
              <w:t>X</w:t>
            </w:r>
          </w:p>
        </w:tc>
        <w:tc>
          <w:tcPr>
            <w:tcW w:w="543" w:type="dxa"/>
            <w:tcBorders>
              <w:left w:val="single" w:sz="4" w:space="0" w:color="000000"/>
              <w:bottom w:val="single" w:sz="4" w:space="0" w:color="000000"/>
              <w:right w:val="single" w:sz="4" w:space="0" w:color="000000"/>
            </w:tcBorders>
          </w:tcPr>
          <w:p w14:paraId="245EC59D" w14:textId="77777777" w:rsidR="006C14B1" w:rsidRDefault="006C14B1">
            <w:pPr>
              <w:pStyle w:val="TableParagraph"/>
              <w:spacing w:line="240" w:lineRule="auto"/>
              <w:rPr>
                <w:rFonts w:ascii="Times New Roman"/>
              </w:rPr>
            </w:pPr>
          </w:p>
        </w:tc>
        <w:tc>
          <w:tcPr>
            <w:tcW w:w="2252" w:type="dxa"/>
            <w:tcBorders>
              <w:left w:val="single" w:sz="4" w:space="0" w:color="000000"/>
              <w:bottom w:val="single" w:sz="4" w:space="0" w:color="000000"/>
            </w:tcBorders>
          </w:tcPr>
          <w:p w14:paraId="245EC59E" w14:textId="77777777" w:rsidR="006C14B1" w:rsidRDefault="005C7B88">
            <w:pPr>
              <w:pStyle w:val="TableParagraph"/>
              <w:ind w:left="104"/>
              <w:rPr>
                <w:sz w:val="24"/>
              </w:rPr>
            </w:pPr>
            <w:r>
              <w:rPr>
                <w:spacing w:val="-4"/>
                <w:sz w:val="24"/>
              </w:rPr>
              <w:t>2946</w:t>
            </w:r>
          </w:p>
        </w:tc>
      </w:tr>
      <w:tr w:rsidR="006C14B1" w14:paraId="245EC5A5" w14:textId="77777777">
        <w:trPr>
          <w:trHeight w:val="541"/>
        </w:trPr>
        <w:tc>
          <w:tcPr>
            <w:tcW w:w="5938" w:type="dxa"/>
            <w:tcBorders>
              <w:top w:val="single" w:sz="4" w:space="0" w:color="000000"/>
              <w:bottom w:val="single" w:sz="4" w:space="0" w:color="000000"/>
              <w:right w:val="single" w:sz="4" w:space="0" w:color="000000"/>
            </w:tcBorders>
          </w:tcPr>
          <w:p w14:paraId="245EC5A0" w14:textId="77777777" w:rsidR="006C14B1" w:rsidRDefault="005C7B88">
            <w:pPr>
              <w:pStyle w:val="TableParagraph"/>
              <w:spacing w:before="4" w:line="240" w:lineRule="auto"/>
              <w:ind w:left="95"/>
              <w:rPr>
                <w:sz w:val="24"/>
              </w:rPr>
            </w:pPr>
            <w:r>
              <w:rPr>
                <w:sz w:val="24"/>
              </w:rPr>
              <w:t>New</w:t>
            </w:r>
            <w:r>
              <w:rPr>
                <w:spacing w:val="-2"/>
                <w:sz w:val="24"/>
              </w:rPr>
              <w:t xml:space="preserve"> </w:t>
            </w:r>
            <w:r>
              <w:rPr>
                <w:sz w:val="24"/>
              </w:rPr>
              <w:t>Source</w:t>
            </w:r>
            <w:r>
              <w:rPr>
                <w:spacing w:val="1"/>
                <w:sz w:val="24"/>
              </w:rPr>
              <w:t xml:space="preserve"> </w:t>
            </w:r>
            <w:r>
              <w:rPr>
                <w:sz w:val="24"/>
              </w:rPr>
              <w:t>Performance</w:t>
            </w:r>
            <w:r>
              <w:rPr>
                <w:spacing w:val="-4"/>
                <w:sz w:val="24"/>
              </w:rPr>
              <w:t xml:space="preserve"> </w:t>
            </w:r>
            <w:r>
              <w:rPr>
                <w:sz w:val="24"/>
              </w:rPr>
              <w:t>Standards</w:t>
            </w:r>
            <w:r>
              <w:rPr>
                <w:spacing w:val="-5"/>
                <w:sz w:val="24"/>
              </w:rPr>
              <w:t xml:space="preserve"> </w:t>
            </w:r>
            <w:r>
              <w:rPr>
                <w:spacing w:val="-2"/>
                <w:sz w:val="24"/>
              </w:rPr>
              <w:t>(NSPS)</w:t>
            </w:r>
          </w:p>
        </w:tc>
        <w:tc>
          <w:tcPr>
            <w:tcW w:w="629" w:type="dxa"/>
            <w:tcBorders>
              <w:top w:val="single" w:sz="4" w:space="0" w:color="000000"/>
              <w:left w:val="single" w:sz="4" w:space="0" w:color="000000"/>
              <w:bottom w:val="single" w:sz="4" w:space="0" w:color="000000"/>
              <w:right w:val="single" w:sz="4" w:space="0" w:color="000000"/>
            </w:tcBorders>
          </w:tcPr>
          <w:p w14:paraId="245EC5A1" w14:textId="77777777" w:rsidR="006C14B1" w:rsidRDefault="005C7B88">
            <w:pPr>
              <w:pStyle w:val="TableParagraph"/>
              <w:spacing w:before="4" w:line="240" w:lineRule="auto"/>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A2"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A3" w14:textId="77777777" w:rsidR="006C14B1" w:rsidRDefault="005C7B88">
            <w:pPr>
              <w:pStyle w:val="TableParagraph"/>
              <w:spacing w:before="4"/>
              <w:ind w:left="104"/>
              <w:rPr>
                <w:sz w:val="24"/>
              </w:rPr>
            </w:pPr>
            <w:r>
              <w:rPr>
                <w:sz w:val="24"/>
              </w:rPr>
              <w:t>40</w:t>
            </w:r>
            <w:r>
              <w:rPr>
                <w:spacing w:val="-2"/>
                <w:sz w:val="24"/>
              </w:rPr>
              <w:t xml:space="preserve"> </w:t>
            </w:r>
            <w:r>
              <w:rPr>
                <w:sz w:val="24"/>
              </w:rPr>
              <w:t>CFR</w:t>
            </w:r>
            <w:r>
              <w:rPr>
                <w:spacing w:val="-2"/>
                <w:sz w:val="24"/>
              </w:rPr>
              <w:t xml:space="preserve"> </w:t>
            </w:r>
            <w:r>
              <w:rPr>
                <w:sz w:val="24"/>
              </w:rPr>
              <w:t>60</w:t>
            </w:r>
            <w:r>
              <w:rPr>
                <w:spacing w:val="-1"/>
                <w:sz w:val="24"/>
              </w:rPr>
              <w:t xml:space="preserve"> </w:t>
            </w:r>
            <w:r>
              <w:rPr>
                <w:spacing w:val="-2"/>
                <w:sz w:val="24"/>
              </w:rPr>
              <w:t>Subpart</w:t>
            </w:r>
          </w:p>
          <w:p w14:paraId="245EC5A4" w14:textId="77777777" w:rsidR="006C14B1" w:rsidRDefault="005C7B88">
            <w:pPr>
              <w:pStyle w:val="TableParagraph"/>
              <w:spacing w:line="248" w:lineRule="exact"/>
              <w:ind w:left="104"/>
              <w:rPr>
                <w:sz w:val="24"/>
              </w:rPr>
            </w:pPr>
            <w:proofErr w:type="spellStart"/>
            <w:r>
              <w:rPr>
                <w:spacing w:val="-5"/>
                <w:sz w:val="24"/>
              </w:rPr>
              <w:t>Kb</w:t>
            </w:r>
            <w:proofErr w:type="spellEnd"/>
          </w:p>
        </w:tc>
      </w:tr>
      <w:tr w:rsidR="006C14B1" w14:paraId="245EC5AB" w14:textId="77777777">
        <w:trPr>
          <w:trHeight w:val="542"/>
        </w:trPr>
        <w:tc>
          <w:tcPr>
            <w:tcW w:w="5938" w:type="dxa"/>
            <w:tcBorders>
              <w:top w:val="single" w:sz="4" w:space="0" w:color="000000"/>
              <w:bottom w:val="single" w:sz="4" w:space="0" w:color="000000"/>
              <w:right w:val="single" w:sz="4" w:space="0" w:color="000000"/>
            </w:tcBorders>
          </w:tcPr>
          <w:p w14:paraId="245EC5A6" w14:textId="77777777" w:rsidR="006C14B1" w:rsidRDefault="005C7B88">
            <w:pPr>
              <w:pStyle w:val="TableParagraph"/>
              <w:ind w:left="95"/>
              <w:rPr>
                <w:sz w:val="24"/>
              </w:rPr>
            </w:pPr>
            <w:r>
              <w:rPr>
                <w:sz w:val="24"/>
              </w:rPr>
              <w:t>National</w:t>
            </w:r>
            <w:r>
              <w:rPr>
                <w:spacing w:val="-3"/>
                <w:sz w:val="24"/>
              </w:rPr>
              <w:t xml:space="preserve"> </w:t>
            </w:r>
            <w:r>
              <w:rPr>
                <w:sz w:val="24"/>
              </w:rPr>
              <w:t>Emission</w:t>
            </w:r>
            <w:r>
              <w:rPr>
                <w:spacing w:val="2"/>
                <w:sz w:val="24"/>
              </w:rPr>
              <w:t xml:space="preserve"> </w:t>
            </w:r>
            <w:r>
              <w:rPr>
                <w:sz w:val="24"/>
              </w:rPr>
              <w:t>Standards</w:t>
            </w:r>
            <w:r>
              <w:rPr>
                <w:spacing w:val="-6"/>
                <w:sz w:val="24"/>
              </w:rPr>
              <w:t xml:space="preserve"> </w:t>
            </w:r>
            <w:r>
              <w:rPr>
                <w:sz w:val="24"/>
              </w:rPr>
              <w:t>for</w:t>
            </w:r>
            <w:r>
              <w:rPr>
                <w:spacing w:val="-3"/>
                <w:sz w:val="24"/>
              </w:rPr>
              <w:t xml:space="preserve"> </w:t>
            </w:r>
            <w:r>
              <w:rPr>
                <w:sz w:val="24"/>
              </w:rPr>
              <w:t>Hazardous</w:t>
            </w:r>
            <w:r>
              <w:rPr>
                <w:spacing w:val="-5"/>
                <w:sz w:val="24"/>
              </w:rPr>
              <w:t xml:space="preserve"> </w:t>
            </w:r>
            <w:r>
              <w:rPr>
                <w:sz w:val="24"/>
              </w:rPr>
              <w:t>Air</w:t>
            </w:r>
            <w:r>
              <w:rPr>
                <w:spacing w:val="1"/>
                <w:sz w:val="24"/>
              </w:rPr>
              <w:t xml:space="preserve"> </w:t>
            </w:r>
            <w:r>
              <w:rPr>
                <w:spacing w:val="-2"/>
                <w:sz w:val="24"/>
              </w:rPr>
              <w:t>Pollutants</w:t>
            </w:r>
          </w:p>
          <w:p w14:paraId="245EC5A7" w14:textId="77777777" w:rsidR="006C14B1" w:rsidRDefault="005C7B88">
            <w:pPr>
              <w:pStyle w:val="TableParagraph"/>
              <w:spacing w:line="253" w:lineRule="exact"/>
              <w:ind w:left="95"/>
              <w:rPr>
                <w:sz w:val="24"/>
              </w:rPr>
            </w:pPr>
            <w:r>
              <w:rPr>
                <w:spacing w:val="-2"/>
                <w:sz w:val="24"/>
              </w:rPr>
              <w:t>(NESHAPS)</w:t>
            </w:r>
          </w:p>
        </w:tc>
        <w:tc>
          <w:tcPr>
            <w:tcW w:w="629" w:type="dxa"/>
            <w:tcBorders>
              <w:top w:val="single" w:sz="4" w:space="0" w:color="000000"/>
              <w:left w:val="single" w:sz="4" w:space="0" w:color="000000"/>
              <w:bottom w:val="single" w:sz="4" w:space="0" w:color="000000"/>
              <w:right w:val="single" w:sz="4" w:space="0" w:color="000000"/>
            </w:tcBorders>
          </w:tcPr>
          <w:p w14:paraId="245EC5A8"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A9"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AA" w14:textId="77777777" w:rsidR="006C14B1" w:rsidRDefault="006C14B1">
            <w:pPr>
              <w:pStyle w:val="TableParagraph"/>
              <w:spacing w:line="240" w:lineRule="auto"/>
              <w:rPr>
                <w:rFonts w:ascii="Times New Roman"/>
              </w:rPr>
            </w:pPr>
          </w:p>
        </w:tc>
      </w:tr>
      <w:tr w:rsidR="006C14B1" w14:paraId="245EC5B1" w14:textId="77777777">
        <w:trPr>
          <w:trHeight w:val="537"/>
        </w:trPr>
        <w:tc>
          <w:tcPr>
            <w:tcW w:w="5938" w:type="dxa"/>
            <w:tcBorders>
              <w:top w:val="single" w:sz="4" w:space="0" w:color="000000"/>
              <w:bottom w:val="single" w:sz="4" w:space="0" w:color="000000"/>
              <w:right w:val="single" w:sz="4" w:space="0" w:color="000000"/>
            </w:tcBorders>
          </w:tcPr>
          <w:p w14:paraId="245EC5AC" w14:textId="77777777" w:rsidR="006C14B1" w:rsidRDefault="005C7B88">
            <w:pPr>
              <w:pStyle w:val="TableParagraph"/>
              <w:ind w:left="95"/>
              <w:rPr>
                <w:sz w:val="24"/>
              </w:rPr>
            </w:pPr>
            <w:r>
              <w:rPr>
                <w:sz w:val="24"/>
              </w:rPr>
              <w:t>Maximum</w:t>
            </w:r>
            <w:r>
              <w:rPr>
                <w:spacing w:val="-6"/>
                <w:sz w:val="24"/>
              </w:rPr>
              <w:t xml:space="preserve"> </w:t>
            </w:r>
            <w:r>
              <w:rPr>
                <w:sz w:val="24"/>
              </w:rPr>
              <w:t>Achievable</w:t>
            </w:r>
            <w:r>
              <w:rPr>
                <w:spacing w:val="-1"/>
                <w:sz w:val="24"/>
              </w:rPr>
              <w:t xml:space="preserve"> </w:t>
            </w:r>
            <w:r>
              <w:rPr>
                <w:sz w:val="24"/>
              </w:rPr>
              <w:t>Control</w:t>
            </w:r>
            <w:r>
              <w:rPr>
                <w:spacing w:val="-4"/>
                <w:sz w:val="24"/>
              </w:rPr>
              <w:t xml:space="preserve"> </w:t>
            </w:r>
            <w:r>
              <w:rPr>
                <w:sz w:val="24"/>
              </w:rPr>
              <w:t>Technology</w:t>
            </w:r>
            <w:r>
              <w:rPr>
                <w:spacing w:val="-1"/>
                <w:sz w:val="24"/>
              </w:rPr>
              <w:t xml:space="preserve"> </w:t>
            </w:r>
            <w:r>
              <w:rPr>
                <w:spacing w:val="-2"/>
                <w:sz w:val="24"/>
              </w:rPr>
              <w:t>(MACT)</w:t>
            </w:r>
          </w:p>
        </w:tc>
        <w:tc>
          <w:tcPr>
            <w:tcW w:w="629" w:type="dxa"/>
            <w:tcBorders>
              <w:top w:val="single" w:sz="4" w:space="0" w:color="000000"/>
              <w:left w:val="single" w:sz="4" w:space="0" w:color="000000"/>
              <w:bottom w:val="single" w:sz="4" w:space="0" w:color="000000"/>
              <w:right w:val="single" w:sz="4" w:space="0" w:color="000000"/>
            </w:tcBorders>
          </w:tcPr>
          <w:p w14:paraId="245EC5AD"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bottom w:val="single" w:sz="4" w:space="0" w:color="000000"/>
              <w:right w:val="single" w:sz="4" w:space="0" w:color="000000"/>
            </w:tcBorders>
          </w:tcPr>
          <w:p w14:paraId="245EC5AE"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bottom w:val="single" w:sz="4" w:space="0" w:color="000000"/>
            </w:tcBorders>
          </w:tcPr>
          <w:p w14:paraId="245EC5AF" w14:textId="77777777" w:rsidR="006C14B1" w:rsidRDefault="005C7B88">
            <w:pPr>
              <w:pStyle w:val="TableParagraph"/>
              <w:ind w:left="104"/>
              <w:rPr>
                <w:sz w:val="24"/>
              </w:rPr>
            </w:pPr>
            <w:r>
              <w:rPr>
                <w:sz w:val="24"/>
              </w:rPr>
              <w:t>40</w:t>
            </w:r>
            <w:r>
              <w:rPr>
                <w:spacing w:val="-2"/>
                <w:sz w:val="24"/>
              </w:rPr>
              <w:t xml:space="preserve"> </w:t>
            </w:r>
            <w:r>
              <w:rPr>
                <w:sz w:val="24"/>
              </w:rPr>
              <w:t>CFR</w:t>
            </w:r>
            <w:r>
              <w:rPr>
                <w:spacing w:val="-2"/>
                <w:sz w:val="24"/>
              </w:rPr>
              <w:t xml:space="preserve"> </w:t>
            </w:r>
            <w:r>
              <w:rPr>
                <w:sz w:val="24"/>
              </w:rPr>
              <w:t>63</w:t>
            </w:r>
            <w:r>
              <w:rPr>
                <w:spacing w:val="-1"/>
                <w:sz w:val="24"/>
              </w:rPr>
              <w:t xml:space="preserve"> </w:t>
            </w:r>
            <w:r>
              <w:rPr>
                <w:spacing w:val="-2"/>
                <w:sz w:val="24"/>
              </w:rPr>
              <w:t>Subpart</w:t>
            </w:r>
          </w:p>
          <w:p w14:paraId="245EC5B0" w14:textId="77777777" w:rsidR="006C14B1" w:rsidRDefault="005C7B88">
            <w:pPr>
              <w:pStyle w:val="TableParagraph"/>
              <w:spacing w:line="248" w:lineRule="exact"/>
              <w:ind w:left="104"/>
              <w:rPr>
                <w:sz w:val="24"/>
              </w:rPr>
            </w:pPr>
            <w:r>
              <w:rPr>
                <w:spacing w:val="-2"/>
                <w:sz w:val="24"/>
              </w:rPr>
              <w:t>BBBBBB</w:t>
            </w:r>
          </w:p>
        </w:tc>
      </w:tr>
      <w:tr w:rsidR="006C14B1" w14:paraId="245EC5B7" w14:textId="77777777">
        <w:trPr>
          <w:trHeight w:val="810"/>
        </w:trPr>
        <w:tc>
          <w:tcPr>
            <w:tcW w:w="5938" w:type="dxa"/>
            <w:tcBorders>
              <w:top w:val="single" w:sz="4" w:space="0" w:color="000000"/>
              <w:bottom w:val="single" w:sz="4" w:space="0" w:color="000000"/>
              <w:right w:val="single" w:sz="4" w:space="0" w:color="000000"/>
            </w:tcBorders>
          </w:tcPr>
          <w:p w14:paraId="245EC5B2" w14:textId="77777777" w:rsidR="006C14B1" w:rsidRDefault="005C7B88">
            <w:pPr>
              <w:pStyle w:val="TableParagraph"/>
              <w:spacing w:line="242" w:lineRule="auto"/>
              <w:ind w:left="95"/>
              <w:rPr>
                <w:sz w:val="24"/>
              </w:rPr>
            </w:pPr>
            <w:r>
              <w:rPr>
                <w:sz w:val="24"/>
              </w:rPr>
              <w:t>Major New Source Review (NSR) – includes Prevention of Significant</w:t>
            </w:r>
            <w:r>
              <w:rPr>
                <w:spacing w:val="-5"/>
                <w:sz w:val="24"/>
              </w:rPr>
              <w:t xml:space="preserve"> </w:t>
            </w:r>
            <w:r>
              <w:rPr>
                <w:sz w:val="24"/>
              </w:rPr>
              <w:t>Deterioration</w:t>
            </w:r>
            <w:r>
              <w:rPr>
                <w:spacing w:val="-5"/>
                <w:sz w:val="24"/>
              </w:rPr>
              <w:t xml:space="preserve"> </w:t>
            </w:r>
            <w:r>
              <w:rPr>
                <w:sz w:val="24"/>
              </w:rPr>
              <w:t>(PSD)</w:t>
            </w:r>
            <w:r>
              <w:rPr>
                <w:spacing w:val="-10"/>
                <w:sz w:val="24"/>
              </w:rPr>
              <w:t xml:space="preserve"> </w:t>
            </w:r>
            <w:r>
              <w:rPr>
                <w:sz w:val="24"/>
              </w:rPr>
              <w:t>and/or</w:t>
            </w:r>
            <w:r>
              <w:rPr>
                <w:spacing w:val="-10"/>
                <w:sz w:val="24"/>
              </w:rPr>
              <w:t xml:space="preserve"> </w:t>
            </w:r>
            <w:r>
              <w:rPr>
                <w:sz w:val="24"/>
              </w:rPr>
              <w:t>Non-attainment</w:t>
            </w:r>
            <w:r>
              <w:rPr>
                <w:spacing w:val="-5"/>
                <w:sz w:val="24"/>
              </w:rPr>
              <w:t xml:space="preserve"> </w:t>
            </w:r>
            <w:r>
              <w:rPr>
                <w:sz w:val="24"/>
              </w:rPr>
              <w:t>Area</w:t>
            </w:r>
          </w:p>
          <w:p w14:paraId="245EC5B3" w14:textId="77777777" w:rsidR="006C14B1" w:rsidRDefault="005C7B88">
            <w:pPr>
              <w:pStyle w:val="TableParagraph"/>
              <w:spacing w:line="246" w:lineRule="exact"/>
              <w:ind w:left="95"/>
              <w:rPr>
                <w:sz w:val="24"/>
              </w:rPr>
            </w:pPr>
            <w:r>
              <w:rPr>
                <w:sz w:val="24"/>
              </w:rPr>
              <w:t>(NAA)</w:t>
            </w:r>
            <w:r>
              <w:rPr>
                <w:spacing w:val="-2"/>
                <w:sz w:val="24"/>
              </w:rPr>
              <w:t xml:space="preserve"> </w:t>
            </w:r>
            <w:r>
              <w:rPr>
                <w:spacing w:val="-5"/>
                <w:sz w:val="24"/>
              </w:rPr>
              <w:t>NSR</w:t>
            </w:r>
          </w:p>
        </w:tc>
        <w:tc>
          <w:tcPr>
            <w:tcW w:w="629" w:type="dxa"/>
            <w:tcBorders>
              <w:top w:val="single" w:sz="4" w:space="0" w:color="000000"/>
              <w:left w:val="single" w:sz="4" w:space="0" w:color="000000"/>
              <w:bottom w:val="single" w:sz="4" w:space="0" w:color="000000"/>
              <w:right w:val="single" w:sz="4" w:space="0" w:color="000000"/>
            </w:tcBorders>
          </w:tcPr>
          <w:p w14:paraId="245EC5B4"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5"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B6" w14:textId="77777777" w:rsidR="006C14B1" w:rsidRDefault="006C14B1">
            <w:pPr>
              <w:pStyle w:val="TableParagraph"/>
              <w:spacing w:line="240" w:lineRule="auto"/>
              <w:rPr>
                <w:rFonts w:ascii="Times New Roman"/>
              </w:rPr>
            </w:pPr>
          </w:p>
        </w:tc>
      </w:tr>
      <w:tr w:rsidR="006C14B1" w14:paraId="245EC5BC" w14:textId="77777777">
        <w:trPr>
          <w:trHeight w:val="397"/>
        </w:trPr>
        <w:tc>
          <w:tcPr>
            <w:tcW w:w="5938" w:type="dxa"/>
            <w:tcBorders>
              <w:top w:val="single" w:sz="4" w:space="0" w:color="000000"/>
              <w:bottom w:val="single" w:sz="4" w:space="0" w:color="000000"/>
              <w:right w:val="single" w:sz="4" w:space="0" w:color="000000"/>
            </w:tcBorders>
          </w:tcPr>
          <w:p w14:paraId="245EC5B8" w14:textId="77777777" w:rsidR="006C14B1" w:rsidRDefault="005C7B88">
            <w:pPr>
              <w:pStyle w:val="TableParagraph"/>
              <w:ind w:left="95"/>
              <w:rPr>
                <w:sz w:val="24"/>
              </w:rPr>
            </w:pPr>
            <w:r>
              <w:rPr>
                <w:sz w:val="24"/>
              </w:rPr>
              <w:t>Risk</w:t>
            </w:r>
            <w:r>
              <w:rPr>
                <w:spacing w:val="-4"/>
                <w:sz w:val="24"/>
              </w:rPr>
              <w:t xml:space="preserve"> </w:t>
            </w:r>
            <w:r>
              <w:rPr>
                <w:sz w:val="24"/>
              </w:rPr>
              <w:t>Management</w:t>
            </w:r>
            <w:r>
              <w:rPr>
                <w:spacing w:val="-1"/>
                <w:sz w:val="24"/>
              </w:rPr>
              <w:t xml:space="preserve"> </w:t>
            </w:r>
            <w:r>
              <w:rPr>
                <w:sz w:val="24"/>
              </w:rPr>
              <w:t>Plan Required</w:t>
            </w:r>
            <w:r>
              <w:rPr>
                <w:spacing w:val="-6"/>
                <w:sz w:val="24"/>
              </w:rPr>
              <w:t xml:space="preserve"> </w:t>
            </w:r>
            <w:r>
              <w:rPr>
                <w:spacing w:val="-4"/>
                <w:sz w:val="24"/>
              </w:rPr>
              <w:t>(RMP)</w:t>
            </w:r>
          </w:p>
        </w:tc>
        <w:tc>
          <w:tcPr>
            <w:tcW w:w="629" w:type="dxa"/>
            <w:tcBorders>
              <w:top w:val="single" w:sz="4" w:space="0" w:color="000000"/>
              <w:left w:val="single" w:sz="4" w:space="0" w:color="000000"/>
              <w:bottom w:val="single" w:sz="4" w:space="0" w:color="000000"/>
              <w:right w:val="single" w:sz="4" w:space="0" w:color="000000"/>
            </w:tcBorders>
          </w:tcPr>
          <w:p w14:paraId="245EC5B9"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A"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BB" w14:textId="77777777" w:rsidR="006C14B1" w:rsidRDefault="006C14B1">
            <w:pPr>
              <w:pStyle w:val="TableParagraph"/>
              <w:spacing w:line="240" w:lineRule="auto"/>
              <w:rPr>
                <w:rFonts w:ascii="Times New Roman"/>
              </w:rPr>
            </w:pPr>
          </w:p>
        </w:tc>
      </w:tr>
      <w:tr w:rsidR="006C14B1" w14:paraId="245EC5C1" w14:textId="77777777">
        <w:trPr>
          <w:trHeight w:val="402"/>
        </w:trPr>
        <w:tc>
          <w:tcPr>
            <w:tcW w:w="5938" w:type="dxa"/>
            <w:tcBorders>
              <w:top w:val="single" w:sz="4" w:space="0" w:color="000000"/>
              <w:bottom w:val="single" w:sz="4" w:space="0" w:color="000000"/>
              <w:right w:val="single" w:sz="4" w:space="0" w:color="000000"/>
            </w:tcBorders>
          </w:tcPr>
          <w:p w14:paraId="245EC5BD" w14:textId="77777777" w:rsidR="006C14B1" w:rsidRDefault="005C7B88">
            <w:pPr>
              <w:pStyle w:val="TableParagraph"/>
              <w:spacing w:before="4" w:line="240" w:lineRule="auto"/>
              <w:ind w:left="95"/>
              <w:rPr>
                <w:sz w:val="24"/>
              </w:rPr>
            </w:pPr>
            <w:r>
              <w:rPr>
                <w:sz w:val="24"/>
              </w:rPr>
              <w:t>Acid</w:t>
            </w:r>
            <w:r>
              <w:rPr>
                <w:spacing w:val="-3"/>
                <w:sz w:val="24"/>
              </w:rPr>
              <w:t xml:space="preserve"> </w:t>
            </w:r>
            <w:r>
              <w:rPr>
                <w:sz w:val="24"/>
              </w:rPr>
              <w:t>Rain Title</w:t>
            </w:r>
            <w:r>
              <w:rPr>
                <w:spacing w:val="-1"/>
                <w:sz w:val="24"/>
              </w:rPr>
              <w:t xml:space="preserve"> </w:t>
            </w:r>
            <w:r>
              <w:rPr>
                <w:spacing w:val="-5"/>
                <w:sz w:val="24"/>
              </w:rPr>
              <w:t>IV</w:t>
            </w:r>
          </w:p>
        </w:tc>
        <w:tc>
          <w:tcPr>
            <w:tcW w:w="629" w:type="dxa"/>
            <w:tcBorders>
              <w:top w:val="single" w:sz="4" w:space="0" w:color="000000"/>
              <w:left w:val="single" w:sz="4" w:space="0" w:color="000000"/>
              <w:bottom w:val="single" w:sz="4" w:space="0" w:color="000000"/>
              <w:right w:val="single" w:sz="4" w:space="0" w:color="000000"/>
            </w:tcBorders>
          </w:tcPr>
          <w:p w14:paraId="245EC5BE"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BF" w14:textId="77777777" w:rsidR="006C14B1" w:rsidRDefault="005C7B88">
            <w:pPr>
              <w:pStyle w:val="TableParagraph"/>
              <w:spacing w:before="4" w:line="240" w:lineRule="auto"/>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C0" w14:textId="77777777" w:rsidR="006C14B1" w:rsidRDefault="006C14B1">
            <w:pPr>
              <w:pStyle w:val="TableParagraph"/>
              <w:spacing w:line="240" w:lineRule="auto"/>
              <w:rPr>
                <w:rFonts w:ascii="Times New Roman"/>
              </w:rPr>
            </w:pPr>
          </w:p>
        </w:tc>
      </w:tr>
      <w:tr w:rsidR="006C14B1" w14:paraId="245EC5C6" w14:textId="77777777">
        <w:trPr>
          <w:trHeight w:val="398"/>
        </w:trPr>
        <w:tc>
          <w:tcPr>
            <w:tcW w:w="5938" w:type="dxa"/>
            <w:tcBorders>
              <w:top w:val="single" w:sz="4" w:space="0" w:color="000000"/>
              <w:bottom w:val="single" w:sz="4" w:space="0" w:color="000000"/>
              <w:right w:val="single" w:sz="4" w:space="0" w:color="000000"/>
            </w:tcBorders>
          </w:tcPr>
          <w:p w14:paraId="245EC5C2" w14:textId="77777777" w:rsidR="006C14B1" w:rsidRDefault="005C7B88">
            <w:pPr>
              <w:pStyle w:val="TableParagraph"/>
              <w:ind w:left="95"/>
              <w:rPr>
                <w:sz w:val="24"/>
              </w:rPr>
            </w:pPr>
            <w:r>
              <w:rPr>
                <w:sz w:val="24"/>
              </w:rPr>
              <w:t>Compliance</w:t>
            </w:r>
            <w:r>
              <w:rPr>
                <w:spacing w:val="-2"/>
                <w:sz w:val="24"/>
              </w:rPr>
              <w:t xml:space="preserve"> </w:t>
            </w:r>
            <w:r>
              <w:rPr>
                <w:sz w:val="24"/>
              </w:rPr>
              <w:t>Assurance</w:t>
            </w:r>
            <w:r>
              <w:rPr>
                <w:spacing w:val="-6"/>
                <w:sz w:val="24"/>
              </w:rPr>
              <w:t xml:space="preserve"> </w:t>
            </w:r>
            <w:r>
              <w:rPr>
                <w:sz w:val="24"/>
              </w:rPr>
              <w:t>Monitoring</w:t>
            </w:r>
            <w:r>
              <w:rPr>
                <w:spacing w:val="-4"/>
                <w:sz w:val="24"/>
              </w:rPr>
              <w:t xml:space="preserve"> (CAM)</w:t>
            </w:r>
          </w:p>
        </w:tc>
        <w:tc>
          <w:tcPr>
            <w:tcW w:w="629" w:type="dxa"/>
            <w:tcBorders>
              <w:top w:val="single" w:sz="4" w:space="0" w:color="000000"/>
              <w:left w:val="single" w:sz="4" w:space="0" w:color="000000"/>
              <w:bottom w:val="single" w:sz="4" w:space="0" w:color="000000"/>
              <w:right w:val="single" w:sz="4" w:space="0" w:color="000000"/>
            </w:tcBorders>
          </w:tcPr>
          <w:p w14:paraId="245EC5C3" w14:textId="77777777" w:rsidR="006C14B1" w:rsidRDefault="006C14B1">
            <w:pPr>
              <w:pStyle w:val="TableParagraph"/>
              <w:spacing w:line="240" w:lineRule="auto"/>
              <w:rPr>
                <w:rFonts w:ascii="Times New Roman"/>
              </w:rPr>
            </w:pPr>
          </w:p>
        </w:tc>
        <w:tc>
          <w:tcPr>
            <w:tcW w:w="543" w:type="dxa"/>
            <w:tcBorders>
              <w:top w:val="single" w:sz="4" w:space="0" w:color="000000"/>
              <w:left w:val="single" w:sz="4" w:space="0" w:color="000000"/>
              <w:bottom w:val="single" w:sz="4" w:space="0" w:color="000000"/>
              <w:right w:val="single" w:sz="4" w:space="0" w:color="000000"/>
            </w:tcBorders>
          </w:tcPr>
          <w:p w14:paraId="245EC5C4" w14:textId="77777777" w:rsidR="006C14B1" w:rsidRDefault="005C7B88">
            <w:pPr>
              <w:pStyle w:val="TableParagraph"/>
              <w:ind w:right="144"/>
              <w:jc w:val="center"/>
              <w:rPr>
                <w:sz w:val="24"/>
              </w:rPr>
            </w:pPr>
            <w:r>
              <w:rPr>
                <w:sz w:val="24"/>
              </w:rPr>
              <w:t>X</w:t>
            </w:r>
          </w:p>
        </w:tc>
        <w:tc>
          <w:tcPr>
            <w:tcW w:w="2252" w:type="dxa"/>
            <w:tcBorders>
              <w:top w:val="single" w:sz="4" w:space="0" w:color="000000"/>
              <w:left w:val="single" w:sz="4" w:space="0" w:color="000000"/>
              <w:bottom w:val="single" w:sz="4" w:space="0" w:color="000000"/>
            </w:tcBorders>
          </w:tcPr>
          <w:p w14:paraId="245EC5C5" w14:textId="77777777" w:rsidR="006C14B1" w:rsidRDefault="006C14B1">
            <w:pPr>
              <w:pStyle w:val="TableParagraph"/>
              <w:spacing w:line="240" w:lineRule="auto"/>
              <w:rPr>
                <w:rFonts w:ascii="Times New Roman"/>
              </w:rPr>
            </w:pPr>
          </w:p>
        </w:tc>
      </w:tr>
      <w:tr w:rsidR="006C14B1" w14:paraId="245EC5CB" w14:textId="77777777">
        <w:trPr>
          <w:trHeight w:val="402"/>
        </w:trPr>
        <w:tc>
          <w:tcPr>
            <w:tcW w:w="5938" w:type="dxa"/>
            <w:tcBorders>
              <w:top w:val="single" w:sz="4" w:space="0" w:color="000000"/>
              <w:right w:val="single" w:sz="4" w:space="0" w:color="000000"/>
            </w:tcBorders>
          </w:tcPr>
          <w:p w14:paraId="245EC5C7" w14:textId="77777777" w:rsidR="006C14B1" w:rsidRDefault="005C7B88">
            <w:pPr>
              <w:pStyle w:val="TableParagraph"/>
              <w:ind w:left="95"/>
              <w:rPr>
                <w:sz w:val="24"/>
              </w:rPr>
            </w:pPr>
            <w:r>
              <w:rPr>
                <w:sz w:val="24"/>
              </w:rPr>
              <w:t>State</w:t>
            </w:r>
            <w:r>
              <w:rPr>
                <w:spacing w:val="-5"/>
                <w:sz w:val="24"/>
              </w:rPr>
              <w:t xml:space="preserve"> </w:t>
            </w:r>
            <w:r>
              <w:rPr>
                <w:sz w:val="24"/>
              </w:rPr>
              <w:t>Implementation</w:t>
            </w:r>
            <w:r>
              <w:rPr>
                <w:spacing w:val="-3"/>
                <w:sz w:val="24"/>
              </w:rPr>
              <w:t xml:space="preserve"> </w:t>
            </w:r>
            <w:r>
              <w:rPr>
                <w:sz w:val="24"/>
              </w:rPr>
              <w:t>Plan</w:t>
            </w:r>
            <w:r>
              <w:rPr>
                <w:spacing w:val="-3"/>
                <w:sz w:val="24"/>
              </w:rPr>
              <w:t xml:space="preserve"> </w:t>
            </w:r>
            <w:r>
              <w:rPr>
                <w:spacing w:val="-4"/>
                <w:sz w:val="24"/>
              </w:rPr>
              <w:t>(SIP)</w:t>
            </w:r>
          </w:p>
        </w:tc>
        <w:tc>
          <w:tcPr>
            <w:tcW w:w="629" w:type="dxa"/>
            <w:tcBorders>
              <w:top w:val="single" w:sz="4" w:space="0" w:color="000000"/>
              <w:left w:val="single" w:sz="4" w:space="0" w:color="000000"/>
              <w:right w:val="single" w:sz="4" w:space="0" w:color="000000"/>
            </w:tcBorders>
          </w:tcPr>
          <w:p w14:paraId="245EC5C8" w14:textId="77777777" w:rsidR="006C14B1" w:rsidRDefault="005C7B88">
            <w:pPr>
              <w:pStyle w:val="TableParagraph"/>
              <w:ind w:left="109"/>
              <w:rPr>
                <w:sz w:val="24"/>
              </w:rPr>
            </w:pPr>
            <w:r>
              <w:rPr>
                <w:sz w:val="24"/>
              </w:rPr>
              <w:t>X</w:t>
            </w:r>
          </w:p>
        </w:tc>
        <w:tc>
          <w:tcPr>
            <w:tcW w:w="543" w:type="dxa"/>
            <w:tcBorders>
              <w:top w:val="single" w:sz="4" w:space="0" w:color="000000"/>
              <w:left w:val="single" w:sz="4" w:space="0" w:color="000000"/>
              <w:right w:val="single" w:sz="4" w:space="0" w:color="000000"/>
            </w:tcBorders>
          </w:tcPr>
          <w:p w14:paraId="245EC5C9" w14:textId="77777777" w:rsidR="006C14B1" w:rsidRDefault="006C14B1">
            <w:pPr>
              <w:pStyle w:val="TableParagraph"/>
              <w:spacing w:line="240" w:lineRule="auto"/>
              <w:rPr>
                <w:rFonts w:ascii="Times New Roman"/>
              </w:rPr>
            </w:pPr>
          </w:p>
        </w:tc>
        <w:tc>
          <w:tcPr>
            <w:tcW w:w="2252" w:type="dxa"/>
            <w:tcBorders>
              <w:top w:val="single" w:sz="4" w:space="0" w:color="000000"/>
              <w:left w:val="single" w:sz="4" w:space="0" w:color="000000"/>
            </w:tcBorders>
          </w:tcPr>
          <w:p w14:paraId="7E45E41A" w14:textId="77777777" w:rsidR="006C14B1" w:rsidRDefault="005C7B88">
            <w:pPr>
              <w:pStyle w:val="TableParagraph"/>
              <w:ind w:left="104"/>
              <w:rPr>
                <w:spacing w:val="-5"/>
                <w:sz w:val="24"/>
              </w:rPr>
            </w:pPr>
            <w:r>
              <w:rPr>
                <w:sz w:val="24"/>
              </w:rPr>
              <w:t>General</w:t>
            </w:r>
            <w:r>
              <w:rPr>
                <w:spacing w:val="-1"/>
                <w:sz w:val="24"/>
              </w:rPr>
              <w:t xml:space="preserve"> </w:t>
            </w:r>
            <w:r>
              <w:rPr>
                <w:spacing w:val="-5"/>
                <w:sz w:val="24"/>
              </w:rPr>
              <w:t>SIP</w:t>
            </w:r>
          </w:p>
          <w:p w14:paraId="245EC5CA" w14:textId="77777777" w:rsidR="00030B25" w:rsidRPr="00030B25" w:rsidRDefault="00030B25" w:rsidP="00030B25"/>
        </w:tc>
      </w:tr>
    </w:tbl>
    <w:p w14:paraId="245EC5CC" w14:textId="77777777" w:rsidR="006C14B1" w:rsidRDefault="006C14B1">
      <w:pPr>
        <w:rPr>
          <w:sz w:val="24"/>
        </w:rPr>
        <w:sectPr w:rsidR="006C14B1">
          <w:footerReference w:type="default" r:id="rId7"/>
          <w:type w:val="continuous"/>
          <w:pgSz w:w="12240" w:h="15840"/>
          <w:pgMar w:top="1080" w:right="1200" w:bottom="1260" w:left="1320" w:header="0" w:footer="1073" w:gutter="0"/>
          <w:pgNumType w:start="1"/>
          <w:cols w:space="720"/>
        </w:sectPr>
      </w:pPr>
    </w:p>
    <w:p w14:paraId="245EC5CD" w14:textId="77777777" w:rsidR="006C14B1" w:rsidRDefault="005C7B88">
      <w:pPr>
        <w:pStyle w:val="BodyText"/>
        <w:spacing w:before="71"/>
        <w:ind w:left="1307" w:right="1424"/>
        <w:jc w:val="center"/>
      </w:pPr>
      <w:r>
        <w:rPr>
          <w:u w:val="single"/>
        </w:rPr>
        <w:lastRenderedPageBreak/>
        <w:t>TABLE</w:t>
      </w:r>
      <w:r>
        <w:rPr>
          <w:spacing w:val="-2"/>
          <w:u w:val="single"/>
        </w:rPr>
        <w:t xml:space="preserve"> </w:t>
      </w:r>
      <w:r>
        <w:rPr>
          <w:u w:val="single"/>
        </w:rPr>
        <w:t>OF</w:t>
      </w:r>
      <w:r>
        <w:rPr>
          <w:spacing w:val="3"/>
          <w:u w:val="single"/>
        </w:rPr>
        <w:t xml:space="preserve"> </w:t>
      </w:r>
      <w:r>
        <w:rPr>
          <w:spacing w:val="-2"/>
          <w:u w:val="single"/>
        </w:rPr>
        <w:t>CONTENTS</w:t>
      </w:r>
    </w:p>
    <w:p w14:paraId="245EC5CE" w14:textId="77777777" w:rsidR="006C14B1" w:rsidRDefault="006C14B1">
      <w:pPr>
        <w:pStyle w:val="BodyText"/>
        <w:rPr>
          <w:sz w:val="20"/>
        </w:rPr>
      </w:pPr>
    </w:p>
    <w:p w14:paraId="245EC5CF" w14:textId="77777777" w:rsidR="006C14B1" w:rsidRDefault="006C14B1">
      <w:pPr>
        <w:pStyle w:val="BodyText"/>
        <w:rPr>
          <w:sz w:val="20"/>
        </w:rPr>
      </w:pPr>
    </w:p>
    <w:sdt>
      <w:sdtPr>
        <w:rPr>
          <w:b w:val="0"/>
          <w:bCs w:val="0"/>
        </w:rPr>
        <w:id w:val="-259684947"/>
        <w:docPartObj>
          <w:docPartGallery w:val="Table of Contents"/>
          <w:docPartUnique/>
        </w:docPartObj>
      </w:sdtPr>
      <w:sdtEndPr/>
      <w:sdtContent>
        <w:p w14:paraId="245EC5D0" w14:textId="77777777" w:rsidR="006C14B1" w:rsidRDefault="005C7B88" w:rsidP="009C6496">
          <w:pPr>
            <w:pStyle w:val="TOC1"/>
            <w:tabs>
              <w:tab w:val="right" w:leader="dot" w:pos="8820"/>
            </w:tabs>
            <w:spacing w:before="212"/>
            <w:rPr>
              <w:rFonts w:ascii="Times New Roman"/>
            </w:rPr>
          </w:pPr>
          <w:hyperlink w:anchor="_TOC_250019" w:history="1">
            <w:r>
              <w:t>SECTION</w:t>
            </w:r>
            <w:r>
              <w:rPr>
                <w:spacing w:val="-10"/>
              </w:rPr>
              <w:t xml:space="preserve"> </w:t>
            </w:r>
            <w:r>
              <w:t>I.</w:t>
            </w:r>
            <w:r>
              <w:rPr>
                <w:spacing w:val="-6"/>
              </w:rPr>
              <w:t xml:space="preserve"> </w:t>
            </w:r>
            <w:r>
              <w:t>GENERAL</w:t>
            </w:r>
            <w:r>
              <w:rPr>
                <w:spacing w:val="-5"/>
              </w:rPr>
              <w:t xml:space="preserve"> </w:t>
            </w:r>
            <w:r>
              <w:rPr>
                <w:spacing w:val="-2"/>
              </w:rPr>
              <w:t>INFORMATION</w:t>
            </w:r>
            <w:r>
              <w:tab/>
            </w:r>
            <w:r>
              <w:rPr>
                <w:rFonts w:ascii="Times New Roman"/>
                <w:spacing w:val="-10"/>
              </w:rPr>
              <w:t>3</w:t>
            </w:r>
          </w:hyperlink>
        </w:p>
        <w:p w14:paraId="245EC5D1" w14:textId="77777777" w:rsidR="006C14B1" w:rsidRDefault="005C7B88" w:rsidP="009C6496">
          <w:pPr>
            <w:pStyle w:val="TOC2"/>
            <w:numPr>
              <w:ilvl w:val="0"/>
              <w:numId w:val="8"/>
            </w:numPr>
            <w:tabs>
              <w:tab w:val="left" w:pos="719"/>
              <w:tab w:val="right" w:leader="dot" w:pos="8750"/>
              <w:tab w:val="right" w:leader="dot" w:pos="9540"/>
            </w:tabs>
            <w:spacing w:before="116"/>
            <w:ind w:left="719" w:hanging="398"/>
            <w:rPr>
              <w:rFonts w:ascii="Times New Roman"/>
            </w:rPr>
          </w:pPr>
          <w:hyperlink w:anchor="_TOC_250018" w:history="1">
            <w:r>
              <w:rPr>
                <w:smallCaps/>
                <w:spacing w:val="-2"/>
              </w:rPr>
              <w:t>Purpose</w:t>
            </w:r>
            <w:r>
              <w:rPr>
                <w:smallCaps/>
              </w:rPr>
              <w:tab/>
            </w:r>
            <w:r>
              <w:rPr>
                <w:rFonts w:ascii="Times New Roman"/>
                <w:spacing w:val="-10"/>
              </w:rPr>
              <w:t>3</w:t>
            </w:r>
          </w:hyperlink>
        </w:p>
        <w:p w14:paraId="245EC5D2"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hyperlink w:anchor="_TOC_250017" w:history="1">
            <w:r>
              <w:rPr>
                <w:smallCaps/>
              </w:rPr>
              <w:t>Facility</w:t>
            </w:r>
            <w:r>
              <w:rPr>
                <w:smallCaps/>
                <w:spacing w:val="-9"/>
              </w:rPr>
              <w:t xml:space="preserve"> </w:t>
            </w:r>
            <w:r>
              <w:rPr>
                <w:smallCaps/>
                <w:spacing w:val="-2"/>
              </w:rPr>
              <w:t>Location</w:t>
            </w:r>
            <w:r>
              <w:rPr>
                <w:smallCaps/>
              </w:rPr>
              <w:tab/>
            </w:r>
            <w:r>
              <w:rPr>
                <w:rFonts w:ascii="Times New Roman"/>
                <w:spacing w:val="-12"/>
              </w:rPr>
              <w:t>3</w:t>
            </w:r>
          </w:hyperlink>
        </w:p>
        <w:p w14:paraId="245EC5D3"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r>
            <w:rPr>
              <w:smallCaps/>
              <w:spacing w:val="-2"/>
            </w:rPr>
            <w:t>Facility</w:t>
          </w:r>
          <w:r>
            <w:rPr>
              <w:smallCaps/>
              <w:spacing w:val="9"/>
            </w:rPr>
            <w:t xml:space="preserve"> </w:t>
          </w:r>
          <w:r>
            <w:rPr>
              <w:smallCaps/>
              <w:spacing w:val="-2"/>
            </w:rPr>
            <w:t>Background</w:t>
          </w:r>
          <w:r>
            <w:rPr>
              <w:smallCaps/>
              <w:spacing w:val="6"/>
            </w:rPr>
            <w:t xml:space="preserve"> </w:t>
          </w:r>
          <w:r>
            <w:rPr>
              <w:smallCaps/>
              <w:spacing w:val="-2"/>
            </w:rPr>
            <w:t>Information</w:t>
          </w:r>
          <w:r>
            <w:rPr>
              <w:smallCaps/>
            </w:rPr>
            <w:tab/>
          </w:r>
          <w:r>
            <w:rPr>
              <w:rFonts w:ascii="Times New Roman"/>
              <w:spacing w:val="-10"/>
            </w:rPr>
            <w:t>3</w:t>
          </w:r>
        </w:p>
        <w:p w14:paraId="245EC5D4" w14:textId="77777777" w:rsidR="006C14B1" w:rsidRDefault="005C7B88" w:rsidP="009C6496">
          <w:pPr>
            <w:pStyle w:val="TOC2"/>
            <w:numPr>
              <w:ilvl w:val="0"/>
              <w:numId w:val="8"/>
            </w:numPr>
            <w:tabs>
              <w:tab w:val="left" w:pos="719"/>
              <w:tab w:val="right" w:leader="dot" w:pos="8750"/>
              <w:tab w:val="right" w:leader="dot" w:pos="9540"/>
            </w:tabs>
            <w:ind w:left="719" w:hanging="398"/>
            <w:rPr>
              <w:rFonts w:ascii="Times New Roman"/>
            </w:rPr>
          </w:pPr>
          <w:hyperlink w:anchor="_TOC_250016" w:history="1">
            <w:r>
              <w:rPr>
                <w:smallCaps/>
              </w:rPr>
              <w:t>Current</w:t>
            </w:r>
            <w:r>
              <w:rPr>
                <w:smallCaps/>
                <w:spacing w:val="-7"/>
              </w:rPr>
              <w:t xml:space="preserve"> </w:t>
            </w:r>
            <w:r>
              <w:rPr>
                <w:smallCaps/>
              </w:rPr>
              <w:t>Permit</w:t>
            </w:r>
            <w:r>
              <w:rPr>
                <w:smallCaps/>
                <w:spacing w:val="-7"/>
              </w:rPr>
              <w:t xml:space="preserve"> </w:t>
            </w:r>
            <w:r>
              <w:rPr>
                <w:smallCaps/>
                <w:spacing w:val="-2"/>
              </w:rPr>
              <w:t>Action</w:t>
            </w:r>
            <w:r>
              <w:rPr>
                <w:smallCaps/>
              </w:rPr>
              <w:tab/>
            </w:r>
            <w:r>
              <w:rPr>
                <w:rFonts w:ascii="Times New Roman"/>
                <w:spacing w:val="-12"/>
              </w:rPr>
              <w:t>6</w:t>
            </w:r>
          </w:hyperlink>
        </w:p>
        <w:p w14:paraId="245EC5D5" w14:textId="77777777" w:rsidR="006C14B1" w:rsidRDefault="005C7B88" w:rsidP="009C6496">
          <w:pPr>
            <w:pStyle w:val="TOC2"/>
            <w:numPr>
              <w:ilvl w:val="0"/>
              <w:numId w:val="8"/>
            </w:numPr>
            <w:tabs>
              <w:tab w:val="left" w:pos="719"/>
              <w:tab w:val="right" w:leader="dot" w:pos="8750"/>
              <w:tab w:val="right" w:leader="dot" w:pos="9540"/>
            </w:tabs>
            <w:spacing w:before="1"/>
            <w:ind w:left="719" w:hanging="398"/>
            <w:rPr>
              <w:rFonts w:ascii="Times New Roman"/>
            </w:rPr>
          </w:pPr>
          <w:hyperlink w:anchor="_TOC_250015" w:history="1">
            <w:r>
              <w:rPr>
                <w:smallCaps/>
              </w:rPr>
              <w:t>Taking</w:t>
            </w:r>
            <w:r>
              <w:rPr>
                <w:smallCaps/>
                <w:spacing w:val="-4"/>
              </w:rPr>
              <w:t xml:space="preserve"> </w:t>
            </w:r>
            <w:r>
              <w:rPr>
                <w:smallCaps/>
              </w:rPr>
              <w:t>and</w:t>
            </w:r>
            <w:r>
              <w:rPr>
                <w:smallCaps/>
                <w:spacing w:val="-3"/>
              </w:rPr>
              <w:t xml:space="preserve"> </w:t>
            </w:r>
            <w:r>
              <w:rPr>
                <w:smallCaps/>
              </w:rPr>
              <w:t>Damaging</w:t>
            </w:r>
            <w:r>
              <w:rPr>
                <w:smallCaps/>
                <w:spacing w:val="-8"/>
              </w:rPr>
              <w:t xml:space="preserve"> </w:t>
            </w:r>
            <w:r>
              <w:rPr>
                <w:smallCaps/>
                <w:spacing w:val="-2"/>
              </w:rPr>
              <w:t>Analysis</w:t>
            </w:r>
            <w:r>
              <w:rPr>
                <w:smallCaps/>
              </w:rPr>
              <w:tab/>
            </w:r>
            <w:r>
              <w:rPr>
                <w:rFonts w:ascii="Times New Roman"/>
                <w:spacing w:val="-10"/>
              </w:rPr>
              <w:t>6</w:t>
            </w:r>
          </w:hyperlink>
        </w:p>
        <w:p w14:paraId="245EC5D6" w14:textId="77777777" w:rsidR="006C14B1" w:rsidRDefault="005C7B88" w:rsidP="009C6496">
          <w:pPr>
            <w:pStyle w:val="TOC2"/>
            <w:numPr>
              <w:ilvl w:val="0"/>
              <w:numId w:val="8"/>
            </w:numPr>
            <w:tabs>
              <w:tab w:val="left" w:pos="719"/>
              <w:tab w:val="right" w:leader="dot" w:pos="8750"/>
              <w:tab w:val="right" w:leader="dot" w:pos="9540"/>
            </w:tabs>
            <w:ind w:left="719" w:hanging="398"/>
            <w:rPr>
              <w:rFonts w:ascii="Times New Roman"/>
            </w:rPr>
          </w:pPr>
          <w:hyperlink w:anchor="_TOC_250014" w:history="1">
            <w:r>
              <w:rPr>
                <w:smallCaps/>
              </w:rPr>
              <w:t>Compliance</w:t>
            </w:r>
            <w:r>
              <w:rPr>
                <w:smallCaps/>
                <w:spacing w:val="-8"/>
              </w:rPr>
              <w:t xml:space="preserve"> </w:t>
            </w:r>
            <w:r>
              <w:rPr>
                <w:smallCaps/>
                <w:spacing w:val="-2"/>
              </w:rPr>
              <w:t>Designation</w:t>
            </w:r>
            <w:r>
              <w:rPr>
                <w:smallCaps/>
              </w:rPr>
              <w:tab/>
            </w:r>
            <w:r>
              <w:rPr>
                <w:rFonts w:ascii="Times New Roman"/>
                <w:spacing w:val="-10"/>
              </w:rPr>
              <w:t>7</w:t>
            </w:r>
          </w:hyperlink>
        </w:p>
        <w:p w14:paraId="245EC5D7" w14:textId="77777777" w:rsidR="006C14B1" w:rsidRDefault="005C7B88" w:rsidP="009C6496">
          <w:pPr>
            <w:pStyle w:val="TOC1"/>
            <w:tabs>
              <w:tab w:val="right" w:leader="dot" w:pos="8820"/>
            </w:tabs>
            <w:rPr>
              <w:rFonts w:ascii="Times New Roman"/>
            </w:rPr>
          </w:pPr>
          <w:r>
            <w:t>SECTION</w:t>
          </w:r>
          <w:r>
            <w:rPr>
              <w:spacing w:val="-11"/>
            </w:rPr>
            <w:t xml:space="preserve"> </w:t>
          </w:r>
          <w:r>
            <w:t>II.</w:t>
          </w:r>
          <w:r>
            <w:rPr>
              <w:spacing w:val="-8"/>
            </w:rPr>
            <w:t xml:space="preserve"> </w:t>
          </w:r>
          <w:r>
            <w:t>SUMMARY</w:t>
          </w:r>
          <w:r>
            <w:rPr>
              <w:spacing w:val="-5"/>
            </w:rPr>
            <w:t xml:space="preserve"> </w:t>
          </w:r>
          <w:r>
            <w:t>OF</w:t>
          </w:r>
          <w:r>
            <w:rPr>
              <w:spacing w:val="-8"/>
            </w:rPr>
            <w:t xml:space="preserve"> </w:t>
          </w:r>
          <w:r>
            <w:t>EMISSION</w:t>
          </w:r>
          <w:r>
            <w:rPr>
              <w:spacing w:val="-10"/>
            </w:rPr>
            <w:t xml:space="preserve"> </w:t>
          </w:r>
          <w:r>
            <w:rPr>
              <w:spacing w:val="-4"/>
            </w:rPr>
            <w:t>UNITS</w:t>
          </w:r>
          <w:r>
            <w:tab/>
          </w:r>
          <w:r>
            <w:rPr>
              <w:rFonts w:ascii="Times New Roman"/>
              <w:spacing w:val="-10"/>
            </w:rPr>
            <w:t>8</w:t>
          </w:r>
        </w:p>
        <w:p w14:paraId="245EC5D8" w14:textId="77777777" w:rsidR="006C14B1" w:rsidRDefault="005C7B88" w:rsidP="009C6496">
          <w:pPr>
            <w:pStyle w:val="TOC2"/>
            <w:numPr>
              <w:ilvl w:val="0"/>
              <w:numId w:val="7"/>
            </w:numPr>
            <w:tabs>
              <w:tab w:val="left" w:pos="719"/>
              <w:tab w:val="right" w:leader="dot" w:pos="8750"/>
              <w:tab w:val="right" w:leader="dot" w:pos="9540"/>
            </w:tabs>
            <w:spacing w:before="121" w:line="237" w:lineRule="exact"/>
            <w:ind w:left="719" w:hanging="398"/>
            <w:rPr>
              <w:rFonts w:ascii="Times New Roman"/>
            </w:rPr>
          </w:pPr>
          <w:hyperlink w:anchor="_TOC_250013" w:history="1">
            <w:r>
              <w:rPr>
                <w:smallCaps/>
              </w:rPr>
              <w:t>Facility</w:t>
            </w:r>
            <w:r>
              <w:rPr>
                <w:smallCaps/>
                <w:spacing w:val="-6"/>
              </w:rPr>
              <w:t xml:space="preserve"> </w:t>
            </w:r>
            <w:r>
              <w:rPr>
                <w:smallCaps/>
              </w:rPr>
              <w:t>Process</w:t>
            </w:r>
            <w:r>
              <w:rPr>
                <w:smallCaps/>
                <w:spacing w:val="-6"/>
              </w:rPr>
              <w:t xml:space="preserve"> </w:t>
            </w:r>
            <w:r>
              <w:rPr>
                <w:smallCaps/>
                <w:spacing w:val="-2"/>
              </w:rPr>
              <w:t>Description</w:t>
            </w:r>
            <w:r>
              <w:rPr>
                <w:smallCaps/>
              </w:rPr>
              <w:tab/>
            </w:r>
            <w:r>
              <w:rPr>
                <w:rFonts w:ascii="Times New Roman"/>
                <w:spacing w:val="-12"/>
              </w:rPr>
              <w:t>8</w:t>
            </w:r>
          </w:hyperlink>
        </w:p>
        <w:p w14:paraId="245EC5D9" w14:textId="77777777" w:rsidR="006C14B1" w:rsidRDefault="005C7B88" w:rsidP="009C6496">
          <w:pPr>
            <w:pStyle w:val="TOC2"/>
            <w:numPr>
              <w:ilvl w:val="0"/>
              <w:numId w:val="7"/>
            </w:numPr>
            <w:tabs>
              <w:tab w:val="left" w:pos="719"/>
              <w:tab w:val="right" w:leader="dot" w:pos="8750"/>
              <w:tab w:val="right" w:leader="dot" w:pos="9540"/>
            </w:tabs>
            <w:spacing w:line="237" w:lineRule="exact"/>
            <w:ind w:left="719" w:hanging="398"/>
            <w:rPr>
              <w:rFonts w:ascii="Times New Roman"/>
            </w:rPr>
          </w:pPr>
          <w:hyperlink w:anchor="_TOC_250012" w:history="1">
            <w:r>
              <w:rPr>
                <w:smallCaps/>
              </w:rPr>
              <w:t>Emission</w:t>
            </w:r>
            <w:r>
              <w:rPr>
                <w:smallCaps/>
                <w:spacing w:val="-8"/>
              </w:rPr>
              <w:t xml:space="preserve"> </w:t>
            </w:r>
            <w:r>
              <w:rPr>
                <w:smallCaps/>
              </w:rPr>
              <w:t>Units</w:t>
            </w:r>
            <w:r>
              <w:rPr>
                <w:smallCaps/>
                <w:spacing w:val="-5"/>
              </w:rPr>
              <w:t xml:space="preserve"> </w:t>
            </w:r>
            <w:r>
              <w:rPr>
                <w:smallCaps/>
              </w:rPr>
              <w:t>and</w:t>
            </w:r>
            <w:r>
              <w:rPr>
                <w:smallCaps/>
                <w:spacing w:val="-3"/>
              </w:rPr>
              <w:t xml:space="preserve"> </w:t>
            </w:r>
            <w:r>
              <w:rPr>
                <w:smallCaps/>
              </w:rPr>
              <w:t>Pollution</w:t>
            </w:r>
            <w:r>
              <w:rPr>
                <w:smallCaps/>
                <w:spacing w:val="-8"/>
              </w:rPr>
              <w:t xml:space="preserve"> </w:t>
            </w:r>
            <w:r>
              <w:rPr>
                <w:smallCaps/>
              </w:rPr>
              <w:t>Control</w:t>
            </w:r>
            <w:r>
              <w:rPr>
                <w:smallCaps/>
                <w:spacing w:val="-2"/>
              </w:rPr>
              <w:t xml:space="preserve"> </w:t>
            </w:r>
            <w:r>
              <w:rPr>
                <w:smallCaps/>
              </w:rPr>
              <w:t>Device</w:t>
            </w:r>
            <w:r>
              <w:rPr>
                <w:smallCaps/>
                <w:spacing w:val="-4"/>
              </w:rPr>
              <w:t xml:space="preserve"> </w:t>
            </w:r>
            <w:r>
              <w:rPr>
                <w:smallCaps/>
                <w:spacing w:val="-2"/>
              </w:rPr>
              <w:t>Identification</w:t>
            </w:r>
            <w:r>
              <w:rPr>
                <w:smallCaps/>
              </w:rPr>
              <w:tab/>
            </w:r>
            <w:r>
              <w:rPr>
                <w:rFonts w:ascii="Times New Roman"/>
                <w:spacing w:val="-10"/>
              </w:rPr>
              <w:t>8</w:t>
            </w:r>
          </w:hyperlink>
        </w:p>
        <w:p w14:paraId="245EC5DA" w14:textId="77777777" w:rsidR="006C14B1" w:rsidRDefault="005C7B88" w:rsidP="009C6496">
          <w:pPr>
            <w:pStyle w:val="TOC2"/>
            <w:numPr>
              <w:ilvl w:val="0"/>
              <w:numId w:val="7"/>
            </w:numPr>
            <w:tabs>
              <w:tab w:val="left" w:pos="719"/>
              <w:tab w:val="right" w:leader="dot" w:pos="8750"/>
              <w:tab w:val="right" w:leader="dot" w:pos="9540"/>
            </w:tabs>
            <w:ind w:left="719" w:hanging="398"/>
            <w:rPr>
              <w:rFonts w:ascii="Times New Roman"/>
            </w:rPr>
          </w:pPr>
          <w:hyperlink w:anchor="_TOC_250011" w:history="1">
            <w:r>
              <w:rPr>
                <w:smallCaps/>
                <w:spacing w:val="-2"/>
              </w:rPr>
              <w:t>Categorically</w:t>
            </w:r>
            <w:r>
              <w:rPr>
                <w:smallCaps/>
                <w:spacing w:val="17"/>
              </w:rPr>
              <w:t xml:space="preserve"> </w:t>
            </w:r>
            <w:r>
              <w:rPr>
                <w:smallCaps/>
                <w:spacing w:val="-2"/>
              </w:rPr>
              <w:t>Insignificant</w:t>
            </w:r>
            <w:r>
              <w:rPr>
                <w:smallCaps/>
                <w:spacing w:val="12"/>
              </w:rPr>
              <w:t xml:space="preserve"> </w:t>
            </w:r>
            <w:r>
              <w:rPr>
                <w:smallCaps/>
                <w:spacing w:val="-2"/>
              </w:rPr>
              <w:t>Sources/Activities</w:t>
            </w:r>
            <w:r>
              <w:rPr>
                <w:smallCaps/>
              </w:rPr>
              <w:tab/>
            </w:r>
            <w:r>
              <w:rPr>
                <w:rFonts w:ascii="Times New Roman"/>
                <w:spacing w:val="-10"/>
              </w:rPr>
              <w:t>8</w:t>
            </w:r>
          </w:hyperlink>
        </w:p>
        <w:p w14:paraId="245EC5DB" w14:textId="77777777" w:rsidR="006C14B1" w:rsidRDefault="005C7B88" w:rsidP="009C6496">
          <w:pPr>
            <w:pStyle w:val="TOC1"/>
            <w:tabs>
              <w:tab w:val="right" w:leader="dot" w:pos="8730"/>
            </w:tabs>
            <w:rPr>
              <w:rFonts w:ascii="Times New Roman"/>
            </w:rPr>
          </w:pPr>
          <w:r>
            <w:t>SECTION</w:t>
          </w:r>
          <w:r>
            <w:rPr>
              <w:spacing w:val="-11"/>
            </w:rPr>
            <w:t xml:space="preserve"> </w:t>
          </w:r>
          <w:r>
            <w:t>III.</w:t>
          </w:r>
          <w:r>
            <w:rPr>
              <w:spacing w:val="-7"/>
            </w:rPr>
            <w:t xml:space="preserve"> </w:t>
          </w:r>
          <w:r>
            <w:t>PERMIT</w:t>
          </w:r>
          <w:r>
            <w:rPr>
              <w:spacing w:val="-7"/>
            </w:rPr>
            <w:t xml:space="preserve"> </w:t>
          </w:r>
          <w:r>
            <w:rPr>
              <w:spacing w:val="-2"/>
            </w:rPr>
            <w:t>CONDITIONS</w:t>
          </w:r>
          <w:r>
            <w:tab/>
          </w:r>
          <w:r>
            <w:rPr>
              <w:rFonts w:ascii="Times New Roman"/>
              <w:spacing w:val="-10"/>
            </w:rPr>
            <w:t>9</w:t>
          </w:r>
        </w:p>
        <w:p w14:paraId="245EC5DC" w14:textId="77777777" w:rsidR="006C14B1" w:rsidRDefault="005C7B88" w:rsidP="009C6496">
          <w:pPr>
            <w:pStyle w:val="TOC2"/>
            <w:numPr>
              <w:ilvl w:val="0"/>
              <w:numId w:val="6"/>
            </w:numPr>
            <w:tabs>
              <w:tab w:val="left" w:pos="719"/>
              <w:tab w:val="right" w:leader="dot" w:pos="8750"/>
              <w:tab w:val="right" w:leader="dot" w:pos="9540"/>
            </w:tabs>
            <w:spacing w:before="121"/>
            <w:ind w:left="719" w:hanging="398"/>
            <w:rPr>
              <w:rFonts w:ascii="Times New Roman"/>
            </w:rPr>
          </w:pPr>
          <w:hyperlink w:anchor="_TOC_250010" w:history="1">
            <w:r>
              <w:rPr>
                <w:smallCaps/>
              </w:rPr>
              <w:t>Emission</w:t>
            </w:r>
            <w:r>
              <w:rPr>
                <w:smallCaps/>
                <w:spacing w:val="-7"/>
              </w:rPr>
              <w:t xml:space="preserve"> </w:t>
            </w:r>
            <w:r>
              <w:rPr>
                <w:smallCaps/>
              </w:rPr>
              <w:t>Limits</w:t>
            </w:r>
            <w:r>
              <w:rPr>
                <w:smallCaps/>
                <w:spacing w:val="-3"/>
              </w:rPr>
              <w:t xml:space="preserve"> </w:t>
            </w:r>
            <w:r>
              <w:rPr>
                <w:smallCaps/>
              </w:rPr>
              <w:t>and</w:t>
            </w:r>
            <w:r>
              <w:rPr>
                <w:smallCaps/>
                <w:spacing w:val="-6"/>
              </w:rPr>
              <w:t xml:space="preserve"> </w:t>
            </w:r>
            <w:r>
              <w:rPr>
                <w:smallCaps/>
                <w:spacing w:val="-2"/>
              </w:rPr>
              <w:t>Standards</w:t>
            </w:r>
            <w:r>
              <w:rPr>
                <w:smallCaps/>
              </w:rPr>
              <w:tab/>
            </w:r>
            <w:r>
              <w:rPr>
                <w:rFonts w:ascii="Times New Roman"/>
                <w:spacing w:val="-10"/>
              </w:rPr>
              <w:t>9</w:t>
            </w:r>
          </w:hyperlink>
        </w:p>
        <w:p w14:paraId="245EC5DD" w14:textId="77777777" w:rsidR="006C14B1" w:rsidRDefault="005C7B88" w:rsidP="009C6496">
          <w:pPr>
            <w:pStyle w:val="TOC2"/>
            <w:numPr>
              <w:ilvl w:val="0"/>
              <w:numId w:val="6"/>
            </w:numPr>
            <w:tabs>
              <w:tab w:val="left" w:pos="719"/>
              <w:tab w:val="right" w:leader="dot" w:pos="8750"/>
              <w:tab w:val="right" w:leader="dot" w:pos="9540"/>
            </w:tabs>
            <w:ind w:left="719" w:hanging="398"/>
            <w:rPr>
              <w:rFonts w:ascii="Times New Roman"/>
            </w:rPr>
          </w:pPr>
          <w:hyperlink w:anchor="_TOC_250009" w:history="1">
            <w:r>
              <w:rPr>
                <w:smallCaps/>
                <w:spacing w:val="-2"/>
              </w:rPr>
              <w:t>Monitoring</w:t>
            </w:r>
            <w:r>
              <w:rPr>
                <w:smallCaps/>
                <w:spacing w:val="7"/>
              </w:rPr>
              <w:t xml:space="preserve"> </w:t>
            </w:r>
            <w:r>
              <w:rPr>
                <w:smallCaps/>
                <w:spacing w:val="-2"/>
              </w:rPr>
              <w:t>Requirements</w:t>
            </w:r>
            <w:r>
              <w:rPr>
                <w:smallCaps/>
              </w:rPr>
              <w:tab/>
            </w:r>
            <w:r>
              <w:rPr>
                <w:rFonts w:ascii="Times New Roman"/>
                <w:spacing w:val="-10"/>
              </w:rPr>
              <w:t>9</w:t>
            </w:r>
          </w:hyperlink>
        </w:p>
        <w:p w14:paraId="245EC5DE" w14:textId="77777777" w:rsidR="006C14B1" w:rsidRDefault="005C7B88" w:rsidP="009C6496">
          <w:pPr>
            <w:pStyle w:val="TOC2"/>
            <w:numPr>
              <w:ilvl w:val="0"/>
              <w:numId w:val="6"/>
            </w:numPr>
            <w:tabs>
              <w:tab w:val="left" w:pos="719"/>
              <w:tab w:val="right" w:leader="dot" w:pos="8750"/>
              <w:tab w:val="right" w:leader="dot" w:pos="9540"/>
            </w:tabs>
            <w:spacing w:before="1"/>
            <w:ind w:left="719" w:hanging="398"/>
            <w:rPr>
              <w:rFonts w:ascii="Times New Roman"/>
            </w:rPr>
          </w:pPr>
          <w:hyperlink w:anchor="_TOC_250008" w:history="1">
            <w:r>
              <w:rPr>
                <w:smallCaps/>
              </w:rPr>
              <w:t>Test</w:t>
            </w:r>
            <w:r>
              <w:rPr>
                <w:smallCaps/>
                <w:spacing w:val="-7"/>
              </w:rPr>
              <w:t xml:space="preserve"> </w:t>
            </w:r>
            <w:r>
              <w:rPr>
                <w:smallCaps/>
              </w:rPr>
              <w:t>Methods</w:t>
            </w:r>
            <w:r>
              <w:rPr>
                <w:smallCaps/>
                <w:spacing w:val="-1"/>
              </w:rPr>
              <w:t xml:space="preserve"> </w:t>
            </w:r>
            <w:r>
              <w:rPr>
                <w:smallCaps/>
              </w:rPr>
              <w:t>and</w:t>
            </w:r>
            <w:r>
              <w:rPr>
                <w:smallCaps/>
                <w:spacing w:val="-7"/>
              </w:rPr>
              <w:t xml:space="preserve"> </w:t>
            </w:r>
            <w:r>
              <w:rPr>
                <w:smallCaps/>
                <w:spacing w:val="-2"/>
              </w:rPr>
              <w:t>Procedures</w:t>
            </w:r>
            <w:r>
              <w:rPr>
                <w:smallCaps/>
              </w:rPr>
              <w:tab/>
            </w:r>
            <w:r>
              <w:rPr>
                <w:rFonts w:ascii="Times New Roman"/>
                <w:spacing w:val="-5"/>
              </w:rPr>
              <w:t>10</w:t>
            </w:r>
          </w:hyperlink>
        </w:p>
        <w:p w14:paraId="245EC5DF" w14:textId="77777777" w:rsidR="006C14B1" w:rsidRDefault="005C7B88" w:rsidP="009C6496">
          <w:pPr>
            <w:pStyle w:val="TOC2"/>
            <w:numPr>
              <w:ilvl w:val="0"/>
              <w:numId w:val="6"/>
            </w:numPr>
            <w:tabs>
              <w:tab w:val="left" w:pos="719"/>
              <w:tab w:val="right" w:leader="dot" w:pos="8750"/>
              <w:tab w:val="right" w:leader="dot" w:pos="9540"/>
            </w:tabs>
            <w:spacing w:before="1" w:line="237" w:lineRule="exact"/>
            <w:ind w:left="719" w:hanging="398"/>
            <w:rPr>
              <w:rFonts w:ascii="Times New Roman"/>
            </w:rPr>
          </w:pPr>
          <w:hyperlink w:anchor="_TOC_250007" w:history="1">
            <w:r>
              <w:rPr>
                <w:smallCaps/>
                <w:spacing w:val="-2"/>
              </w:rPr>
              <w:t>Recordkeeping</w:t>
            </w:r>
            <w:r>
              <w:rPr>
                <w:smallCaps/>
                <w:spacing w:val="12"/>
              </w:rPr>
              <w:t xml:space="preserve"> </w:t>
            </w:r>
            <w:r>
              <w:rPr>
                <w:smallCaps/>
                <w:spacing w:val="-2"/>
              </w:rPr>
              <w:t>Requirements</w:t>
            </w:r>
            <w:r>
              <w:rPr>
                <w:smallCaps/>
              </w:rPr>
              <w:tab/>
            </w:r>
            <w:r>
              <w:rPr>
                <w:rFonts w:ascii="Times New Roman"/>
                <w:spacing w:val="-5"/>
              </w:rPr>
              <w:t>10</w:t>
            </w:r>
          </w:hyperlink>
        </w:p>
        <w:p w14:paraId="245EC5E0" w14:textId="77777777" w:rsidR="006C14B1" w:rsidRDefault="005C7B88" w:rsidP="009C6496">
          <w:pPr>
            <w:pStyle w:val="TOC2"/>
            <w:numPr>
              <w:ilvl w:val="0"/>
              <w:numId w:val="6"/>
            </w:numPr>
            <w:tabs>
              <w:tab w:val="left" w:pos="719"/>
              <w:tab w:val="right" w:leader="dot" w:pos="8750"/>
              <w:tab w:val="right" w:leader="dot" w:pos="9540"/>
            </w:tabs>
            <w:spacing w:line="237" w:lineRule="exact"/>
            <w:ind w:left="719" w:hanging="398"/>
            <w:rPr>
              <w:rFonts w:ascii="Times New Roman"/>
            </w:rPr>
          </w:pPr>
          <w:hyperlink w:anchor="_TOC_250006" w:history="1">
            <w:r>
              <w:rPr>
                <w:smallCaps/>
              </w:rPr>
              <w:t>Reporting</w:t>
            </w:r>
            <w:r>
              <w:rPr>
                <w:smallCaps/>
                <w:spacing w:val="-9"/>
              </w:rPr>
              <w:t xml:space="preserve"> </w:t>
            </w:r>
            <w:r>
              <w:rPr>
                <w:smallCaps/>
                <w:spacing w:val="-2"/>
              </w:rPr>
              <w:t>Requirements</w:t>
            </w:r>
            <w:r>
              <w:rPr>
                <w:smallCaps/>
              </w:rPr>
              <w:tab/>
            </w:r>
            <w:r>
              <w:rPr>
                <w:rFonts w:ascii="Times New Roman"/>
                <w:spacing w:val="-7"/>
              </w:rPr>
              <w:t>10</w:t>
            </w:r>
          </w:hyperlink>
        </w:p>
        <w:p w14:paraId="245EC5E1" w14:textId="77777777" w:rsidR="006C14B1" w:rsidRDefault="005C7B88" w:rsidP="009C6496">
          <w:pPr>
            <w:pStyle w:val="TOC2"/>
            <w:numPr>
              <w:ilvl w:val="0"/>
              <w:numId w:val="6"/>
            </w:numPr>
            <w:tabs>
              <w:tab w:val="left" w:pos="719"/>
              <w:tab w:val="right" w:leader="dot" w:pos="8750"/>
              <w:tab w:val="right" w:leader="dot" w:pos="9540"/>
            </w:tabs>
            <w:ind w:left="719" w:hanging="398"/>
            <w:rPr>
              <w:rFonts w:ascii="Times New Roman"/>
            </w:rPr>
          </w:pPr>
          <w:hyperlink w:anchor="_TOC_250005" w:history="1">
            <w:r>
              <w:rPr>
                <w:smallCaps/>
              </w:rPr>
              <w:t>Public</w:t>
            </w:r>
            <w:r>
              <w:rPr>
                <w:smallCaps/>
                <w:spacing w:val="-9"/>
              </w:rPr>
              <w:t xml:space="preserve"> </w:t>
            </w:r>
            <w:r>
              <w:rPr>
                <w:smallCaps/>
                <w:spacing w:val="-2"/>
              </w:rPr>
              <w:t>Notice</w:t>
            </w:r>
            <w:r>
              <w:rPr>
                <w:smallCaps/>
              </w:rPr>
              <w:tab/>
            </w:r>
            <w:r>
              <w:rPr>
                <w:rFonts w:ascii="Times New Roman"/>
                <w:spacing w:val="-5"/>
              </w:rPr>
              <w:t>10</w:t>
            </w:r>
          </w:hyperlink>
        </w:p>
        <w:p w14:paraId="245EC5E2" w14:textId="77777777" w:rsidR="006C14B1" w:rsidRDefault="005C7B88" w:rsidP="009C6496">
          <w:pPr>
            <w:pStyle w:val="TOC1"/>
            <w:tabs>
              <w:tab w:val="right" w:leader="dot" w:pos="8730"/>
            </w:tabs>
            <w:rPr>
              <w:rFonts w:ascii="Times New Roman"/>
            </w:rPr>
          </w:pPr>
          <w:r>
            <w:rPr>
              <w:spacing w:val="-2"/>
            </w:rPr>
            <w:t>SECTION</w:t>
          </w:r>
          <w:r>
            <w:rPr>
              <w:spacing w:val="-1"/>
            </w:rPr>
            <w:t xml:space="preserve"> </w:t>
          </w:r>
          <w:r>
            <w:rPr>
              <w:spacing w:val="-2"/>
            </w:rPr>
            <w:t>IV.</w:t>
          </w:r>
          <w:r>
            <w:rPr>
              <w:spacing w:val="6"/>
            </w:rPr>
            <w:t xml:space="preserve"> </w:t>
          </w:r>
          <w:r>
            <w:rPr>
              <w:spacing w:val="-2"/>
            </w:rPr>
            <w:t>NON-APPLICABLE</w:t>
          </w:r>
          <w:r>
            <w:rPr>
              <w:spacing w:val="6"/>
            </w:rPr>
            <w:t xml:space="preserve"> </w:t>
          </w:r>
          <w:r>
            <w:rPr>
              <w:spacing w:val="-2"/>
            </w:rPr>
            <w:t>REQUIREMENT</w:t>
          </w:r>
          <w:r>
            <w:t xml:space="preserve"> </w:t>
          </w:r>
          <w:r>
            <w:rPr>
              <w:spacing w:val="-2"/>
            </w:rPr>
            <w:t>ANALYSIS</w:t>
          </w:r>
          <w:r>
            <w:tab/>
          </w:r>
          <w:r>
            <w:rPr>
              <w:rFonts w:ascii="Times New Roman"/>
              <w:spacing w:val="-5"/>
            </w:rPr>
            <w:t>11</w:t>
          </w:r>
        </w:p>
        <w:p w14:paraId="245EC5E3" w14:textId="77777777" w:rsidR="006C14B1" w:rsidRDefault="005C7B88" w:rsidP="009C6496">
          <w:pPr>
            <w:pStyle w:val="TOC1"/>
            <w:tabs>
              <w:tab w:val="right" w:leader="dot" w:pos="8730"/>
            </w:tabs>
            <w:rPr>
              <w:rFonts w:ascii="Times New Roman"/>
            </w:rPr>
          </w:pPr>
          <w:r>
            <w:t>SECTION</w:t>
          </w:r>
          <w:r>
            <w:rPr>
              <w:spacing w:val="-10"/>
            </w:rPr>
            <w:t xml:space="preserve"> </w:t>
          </w:r>
          <w:r>
            <w:t>V.</w:t>
          </w:r>
          <w:r>
            <w:rPr>
              <w:spacing w:val="-7"/>
            </w:rPr>
            <w:t xml:space="preserve"> </w:t>
          </w:r>
          <w:r>
            <w:t>FUTURE</w:t>
          </w:r>
          <w:r>
            <w:rPr>
              <w:spacing w:val="-6"/>
            </w:rPr>
            <w:t xml:space="preserve"> </w:t>
          </w:r>
          <w:r>
            <w:t>PERMIT</w:t>
          </w:r>
          <w:r>
            <w:rPr>
              <w:spacing w:val="-6"/>
            </w:rPr>
            <w:t xml:space="preserve"> </w:t>
          </w:r>
          <w:r>
            <w:rPr>
              <w:spacing w:val="-2"/>
            </w:rPr>
            <w:t>CONSIDERATIONS</w:t>
          </w:r>
          <w:r>
            <w:tab/>
          </w:r>
          <w:r>
            <w:rPr>
              <w:rFonts w:ascii="Times New Roman"/>
              <w:spacing w:val="-5"/>
            </w:rPr>
            <w:t>12</w:t>
          </w:r>
        </w:p>
        <w:p w14:paraId="245EC5E4" w14:textId="77777777" w:rsidR="006C14B1" w:rsidRDefault="005C7B88" w:rsidP="009C6496">
          <w:pPr>
            <w:pStyle w:val="TOC2"/>
            <w:numPr>
              <w:ilvl w:val="0"/>
              <w:numId w:val="5"/>
            </w:numPr>
            <w:tabs>
              <w:tab w:val="left" w:pos="719"/>
              <w:tab w:val="right" w:leader="dot" w:pos="8750"/>
              <w:tab w:val="right" w:leader="dot" w:pos="9540"/>
            </w:tabs>
            <w:spacing w:before="120"/>
            <w:ind w:left="719" w:hanging="398"/>
            <w:rPr>
              <w:rFonts w:ascii="Times New Roman"/>
            </w:rPr>
          </w:pPr>
          <w:hyperlink w:anchor="_TOC_250004" w:history="1">
            <w:r>
              <w:rPr>
                <w:smallCaps/>
                <w:spacing w:val="-2"/>
              </w:rPr>
              <w:t>MACT</w:t>
            </w:r>
            <w:r>
              <w:rPr>
                <w:smallCaps/>
                <w:spacing w:val="-7"/>
              </w:rPr>
              <w:t xml:space="preserve"> </w:t>
            </w:r>
            <w:r>
              <w:rPr>
                <w:smallCaps/>
                <w:spacing w:val="-2"/>
              </w:rPr>
              <w:t>Standards</w:t>
            </w:r>
            <w:r>
              <w:rPr>
                <w:smallCaps/>
                <w:spacing w:val="10"/>
              </w:rPr>
              <w:t xml:space="preserve"> </w:t>
            </w:r>
            <w:r>
              <w:rPr>
                <w:smallCaps/>
                <w:spacing w:val="-2"/>
              </w:rPr>
              <w:t>and</w:t>
            </w:r>
            <w:r>
              <w:rPr>
                <w:smallCaps/>
                <w:spacing w:val="5"/>
              </w:rPr>
              <w:t xml:space="preserve"> </w:t>
            </w:r>
            <w:r>
              <w:rPr>
                <w:smallCaps/>
                <w:spacing w:val="-2"/>
              </w:rPr>
              <w:t>NESHAP</w:t>
            </w:r>
            <w:r>
              <w:rPr>
                <w:smallCaps/>
                <w:spacing w:val="-6"/>
              </w:rPr>
              <w:t xml:space="preserve"> </w:t>
            </w:r>
            <w:r>
              <w:rPr>
                <w:smallCaps/>
                <w:spacing w:val="-2"/>
              </w:rPr>
              <w:t>Standards</w:t>
            </w:r>
            <w:r>
              <w:rPr>
                <w:smallCaps/>
              </w:rPr>
              <w:tab/>
            </w:r>
            <w:r>
              <w:rPr>
                <w:rFonts w:ascii="Times New Roman"/>
                <w:spacing w:val="-5"/>
              </w:rPr>
              <w:t>12</w:t>
            </w:r>
          </w:hyperlink>
        </w:p>
        <w:p w14:paraId="245EC5E5" w14:textId="77777777" w:rsidR="006C14B1" w:rsidRDefault="005C7B88" w:rsidP="009C6496">
          <w:pPr>
            <w:pStyle w:val="TOC2"/>
            <w:numPr>
              <w:ilvl w:val="0"/>
              <w:numId w:val="5"/>
            </w:numPr>
            <w:tabs>
              <w:tab w:val="left" w:pos="719"/>
              <w:tab w:val="right" w:leader="dot" w:pos="8750"/>
              <w:tab w:val="right" w:leader="dot" w:pos="9540"/>
            </w:tabs>
            <w:spacing w:before="1"/>
            <w:ind w:left="719" w:hanging="398"/>
            <w:rPr>
              <w:rFonts w:ascii="Times New Roman"/>
            </w:rPr>
          </w:pPr>
          <w:hyperlink w:anchor="_TOC_250003" w:history="1">
            <w:r>
              <w:rPr>
                <w:smallCaps/>
                <w:spacing w:val="-2"/>
              </w:rPr>
              <w:t>NSPS</w:t>
            </w:r>
            <w:r>
              <w:rPr>
                <w:smallCaps/>
                <w:spacing w:val="-7"/>
              </w:rPr>
              <w:t xml:space="preserve"> </w:t>
            </w:r>
            <w:r>
              <w:rPr>
                <w:smallCaps/>
                <w:spacing w:val="-2"/>
              </w:rPr>
              <w:t>Standards</w:t>
            </w:r>
            <w:r>
              <w:rPr>
                <w:smallCaps/>
              </w:rPr>
              <w:tab/>
            </w:r>
            <w:r>
              <w:rPr>
                <w:rFonts w:ascii="Times New Roman"/>
                <w:spacing w:val="-5"/>
              </w:rPr>
              <w:t>12</w:t>
            </w:r>
          </w:hyperlink>
        </w:p>
        <w:p w14:paraId="245EC5E6" w14:textId="77777777" w:rsidR="006C14B1" w:rsidRDefault="005C7B88" w:rsidP="009C6496">
          <w:pPr>
            <w:pStyle w:val="TOC2"/>
            <w:numPr>
              <w:ilvl w:val="0"/>
              <w:numId w:val="5"/>
            </w:numPr>
            <w:tabs>
              <w:tab w:val="left" w:pos="719"/>
              <w:tab w:val="right" w:leader="dot" w:pos="8750"/>
              <w:tab w:val="right" w:leader="dot" w:pos="9540"/>
            </w:tabs>
            <w:ind w:left="719" w:hanging="398"/>
            <w:rPr>
              <w:rFonts w:ascii="Times New Roman"/>
            </w:rPr>
          </w:pPr>
          <w:hyperlink w:anchor="_TOC_250002" w:history="1">
            <w:r>
              <w:rPr>
                <w:smallCaps/>
              </w:rPr>
              <w:t>Risk</w:t>
            </w:r>
            <w:r>
              <w:rPr>
                <w:smallCaps/>
                <w:spacing w:val="-9"/>
              </w:rPr>
              <w:t xml:space="preserve"> </w:t>
            </w:r>
            <w:r>
              <w:rPr>
                <w:smallCaps/>
              </w:rPr>
              <w:t>Management</w:t>
            </w:r>
            <w:r>
              <w:rPr>
                <w:smallCaps/>
                <w:spacing w:val="-7"/>
              </w:rPr>
              <w:t xml:space="preserve"> </w:t>
            </w:r>
            <w:r>
              <w:rPr>
                <w:smallCaps/>
                <w:spacing w:val="-4"/>
              </w:rPr>
              <w:t>Plan</w:t>
            </w:r>
            <w:r>
              <w:rPr>
                <w:smallCaps/>
              </w:rPr>
              <w:tab/>
            </w:r>
            <w:r>
              <w:rPr>
                <w:rFonts w:ascii="Times New Roman"/>
                <w:spacing w:val="-5"/>
              </w:rPr>
              <w:t>12</w:t>
            </w:r>
          </w:hyperlink>
        </w:p>
        <w:p w14:paraId="245EC5E7" w14:textId="77777777" w:rsidR="006C14B1" w:rsidRDefault="005C7B88" w:rsidP="009C6496">
          <w:pPr>
            <w:pStyle w:val="TOC2"/>
            <w:numPr>
              <w:ilvl w:val="0"/>
              <w:numId w:val="5"/>
            </w:numPr>
            <w:tabs>
              <w:tab w:val="left" w:pos="719"/>
              <w:tab w:val="right" w:leader="dot" w:pos="8750"/>
              <w:tab w:val="right" w:leader="dot" w:pos="9540"/>
            </w:tabs>
            <w:spacing w:before="1" w:line="237" w:lineRule="exact"/>
            <w:ind w:left="719" w:hanging="398"/>
            <w:rPr>
              <w:rFonts w:ascii="Times New Roman"/>
            </w:rPr>
          </w:pPr>
          <w:hyperlink w:anchor="_TOC_250001" w:history="1">
            <w:r>
              <w:rPr>
                <w:smallCaps/>
                <w:spacing w:val="-2"/>
              </w:rPr>
              <w:t>CAM</w:t>
            </w:r>
            <w:r>
              <w:rPr>
                <w:smallCaps/>
                <w:spacing w:val="-8"/>
              </w:rPr>
              <w:t xml:space="preserve"> </w:t>
            </w:r>
            <w:r>
              <w:rPr>
                <w:smallCaps/>
                <w:spacing w:val="-2"/>
              </w:rPr>
              <w:t>Applicability</w:t>
            </w:r>
            <w:r>
              <w:rPr>
                <w:smallCaps/>
              </w:rPr>
              <w:tab/>
            </w:r>
            <w:r>
              <w:rPr>
                <w:rFonts w:ascii="Times New Roman"/>
                <w:spacing w:val="-5"/>
              </w:rPr>
              <w:t>13</w:t>
            </w:r>
          </w:hyperlink>
        </w:p>
        <w:p w14:paraId="245EC5E8" w14:textId="77777777" w:rsidR="006C14B1" w:rsidRDefault="005C7B88" w:rsidP="009C6496">
          <w:pPr>
            <w:pStyle w:val="TOC2"/>
            <w:numPr>
              <w:ilvl w:val="0"/>
              <w:numId w:val="5"/>
            </w:numPr>
            <w:tabs>
              <w:tab w:val="left" w:pos="719"/>
              <w:tab w:val="right" w:leader="dot" w:pos="8750"/>
              <w:tab w:val="right" w:leader="dot" w:pos="9540"/>
            </w:tabs>
            <w:spacing w:line="237" w:lineRule="exact"/>
            <w:ind w:left="719" w:hanging="398"/>
            <w:rPr>
              <w:rFonts w:ascii="Times New Roman"/>
            </w:rPr>
          </w:pPr>
          <w:hyperlink w:anchor="_TOC_250000" w:history="1">
            <w:r>
              <w:rPr>
                <w:smallCaps/>
              </w:rPr>
              <w:t>PSD</w:t>
            </w:r>
            <w:r>
              <w:rPr>
                <w:smallCaps/>
                <w:spacing w:val="-14"/>
              </w:rPr>
              <w:t xml:space="preserve"> </w:t>
            </w:r>
            <w:r>
              <w:rPr>
                <w:smallCaps/>
              </w:rPr>
              <w:t>and</w:t>
            </w:r>
            <w:r>
              <w:rPr>
                <w:smallCaps/>
                <w:spacing w:val="-10"/>
              </w:rPr>
              <w:t xml:space="preserve"> </w:t>
            </w:r>
            <w:r>
              <w:rPr>
                <w:smallCaps/>
              </w:rPr>
              <w:t>Title</w:t>
            </w:r>
            <w:r>
              <w:rPr>
                <w:smallCaps/>
                <w:spacing w:val="-2"/>
              </w:rPr>
              <w:t xml:space="preserve"> </w:t>
            </w:r>
            <w:r>
              <w:rPr>
                <w:smallCaps/>
              </w:rPr>
              <w:t>V</w:t>
            </w:r>
            <w:r>
              <w:rPr>
                <w:smallCaps/>
                <w:spacing w:val="-14"/>
              </w:rPr>
              <w:t xml:space="preserve"> </w:t>
            </w:r>
            <w:r>
              <w:rPr>
                <w:smallCaps/>
              </w:rPr>
              <w:t>Greenhouse Gas</w:t>
            </w:r>
            <w:r>
              <w:rPr>
                <w:smallCaps/>
                <w:spacing w:val="-4"/>
              </w:rPr>
              <w:t xml:space="preserve"> </w:t>
            </w:r>
            <w:r>
              <w:rPr>
                <w:smallCaps/>
              </w:rPr>
              <w:t>Tailoring</w:t>
            </w:r>
            <w:r>
              <w:rPr>
                <w:smallCaps/>
                <w:spacing w:val="-7"/>
              </w:rPr>
              <w:t xml:space="preserve"> </w:t>
            </w:r>
            <w:r>
              <w:rPr>
                <w:smallCaps/>
                <w:spacing w:val="-4"/>
              </w:rPr>
              <w:t>Rule</w:t>
            </w:r>
            <w:r>
              <w:rPr>
                <w:smallCaps/>
              </w:rPr>
              <w:tab/>
            </w:r>
            <w:r>
              <w:rPr>
                <w:rFonts w:ascii="Times New Roman"/>
                <w:spacing w:val="-5"/>
              </w:rPr>
              <w:t>13</w:t>
            </w:r>
          </w:hyperlink>
        </w:p>
      </w:sdtContent>
    </w:sdt>
    <w:p w14:paraId="245EC5E9" w14:textId="77777777" w:rsidR="006C14B1" w:rsidRDefault="006C14B1">
      <w:pPr>
        <w:spacing w:line="237" w:lineRule="exact"/>
        <w:rPr>
          <w:rFonts w:ascii="Times New Roman"/>
        </w:rPr>
        <w:sectPr w:rsidR="006C14B1" w:rsidSect="00D20D8A">
          <w:pgSz w:w="12240" w:h="15840"/>
          <w:pgMar w:top="1080" w:right="1200" w:bottom="1320" w:left="1320" w:header="720" w:footer="1008" w:gutter="0"/>
          <w:cols w:space="720"/>
          <w:docGrid w:linePitch="299"/>
        </w:sectPr>
      </w:pPr>
    </w:p>
    <w:p w14:paraId="245EC5EA" w14:textId="77777777" w:rsidR="006C14B1" w:rsidRDefault="005C7B88">
      <w:pPr>
        <w:pStyle w:val="Heading1"/>
        <w:ind w:right="1420"/>
      </w:pPr>
      <w:bookmarkStart w:id="1" w:name="_TOC_250019"/>
      <w:r>
        <w:lastRenderedPageBreak/>
        <w:t>SECTION</w:t>
      </w:r>
      <w:r>
        <w:rPr>
          <w:spacing w:val="-1"/>
        </w:rPr>
        <w:t xml:space="preserve"> </w:t>
      </w:r>
      <w:r>
        <w:t>I.</w:t>
      </w:r>
      <w:r>
        <w:rPr>
          <w:spacing w:val="30"/>
        </w:rPr>
        <w:t xml:space="preserve">  </w:t>
      </w:r>
      <w:r>
        <w:t>GENERAL</w:t>
      </w:r>
      <w:r>
        <w:rPr>
          <w:spacing w:val="2"/>
        </w:rPr>
        <w:t xml:space="preserve"> </w:t>
      </w:r>
      <w:bookmarkEnd w:id="1"/>
      <w:r>
        <w:rPr>
          <w:spacing w:val="-2"/>
        </w:rPr>
        <w:t>INFORMATION</w:t>
      </w:r>
    </w:p>
    <w:p w14:paraId="245EC5EB" w14:textId="77777777" w:rsidR="006C14B1" w:rsidRDefault="006C14B1">
      <w:pPr>
        <w:pStyle w:val="BodyText"/>
        <w:spacing w:before="2"/>
        <w:rPr>
          <w:b/>
        </w:rPr>
      </w:pPr>
    </w:p>
    <w:p w14:paraId="245EC5EC" w14:textId="77777777" w:rsidR="006C14B1" w:rsidRDefault="005C7B88">
      <w:pPr>
        <w:pStyle w:val="Heading2"/>
        <w:numPr>
          <w:ilvl w:val="0"/>
          <w:numId w:val="4"/>
        </w:numPr>
        <w:tabs>
          <w:tab w:val="left" w:pos="478"/>
        </w:tabs>
        <w:spacing w:before="1"/>
        <w:ind w:left="478" w:hanging="358"/>
      </w:pPr>
      <w:bookmarkStart w:id="2" w:name="_TOC_250018"/>
      <w:bookmarkEnd w:id="2"/>
      <w:r>
        <w:rPr>
          <w:spacing w:val="-2"/>
        </w:rPr>
        <w:t>Purpose</w:t>
      </w:r>
    </w:p>
    <w:p w14:paraId="245EC5ED" w14:textId="77777777" w:rsidR="006C14B1" w:rsidRDefault="006C14B1">
      <w:pPr>
        <w:pStyle w:val="BodyText"/>
        <w:spacing w:before="8"/>
        <w:rPr>
          <w:b/>
          <w:sz w:val="23"/>
        </w:rPr>
      </w:pPr>
    </w:p>
    <w:p w14:paraId="08CD4129" w14:textId="77777777" w:rsidR="0035195F" w:rsidRDefault="005C7B88">
      <w:pPr>
        <w:pStyle w:val="BodyText"/>
        <w:spacing w:before="1"/>
        <w:ind w:left="479" w:right="279"/>
        <w:rPr>
          <w:spacing w:val="40"/>
        </w:rPr>
      </w:pPr>
      <w:r>
        <w:t>This document establishes the basis for the decisions made regarding the applicable requirements, monitoring plan, and compliance status of emission units affected by the</w:t>
      </w:r>
      <w:r>
        <w:rPr>
          <w:spacing w:val="40"/>
        </w:rPr>
        <w:t xml:space="preserve"> </w:t>
      </w:r>
      <w:r>
        <w:t>operating permit proposed for this facility.</w:t>
      </w:r>
      <w:r>
        <w:rPr>
          <w:spacing w:val="40"/>
        </w:rPr>
        <w:t xml:space="preserve"> </w:t>
      </w:r>
      <w:r>
        <w:t>The EPA and the public intend the document for reference during review of the proposed permit.</w:t>
      </w:r>
      <w:r>
        <w:rPr>
          <w:spacing w:val="40"/>
        </w:rPr>
        <w:t xml:space="preserve"> </w:t>
      </w:r>
      <w:r>
        <w:t>It is also intended to provide background information not included in the operating permit and to document issues that may become important during modifications or renewals of the permit.</w:t>
      </w:r>
      <w:r>
        <w:rPr>
          <w:spacing w:val="40"/>
        </w:rPr>
        <w:t xml:space="preserve"> </w:t>
      </w:r>
    </w:p>
    <w:p w14:paraId="2CAA4063" w14:textId="77777777" w:rsidR="0035195F" w:rsidRDefault="0035195F">
      <w:pPr>
        <w:pStyle w:val="BodyText"/>
        <w:spacing w:before="1"/>
        <w:ind w:left="479" w:right="279"/>
        <w:rPr>
          <w:spacing w:val="40"/>
        </w:rPr>
      </w:pPr>
    </w:p>
    <w:p w14:paraId="245EC5EE" w14:textId="45496B68" w:rsidR="006C14B1" w:rsidRDefault="005C7B88">
      <w:pPr>
        <w:pStyle w:val="BodyText"/>
        <w:spacing w:before="1"/>
        <w:ind w:left="479" w:right="279"/>
      </w:pPr>
      <w:r>
        <w:t>Conclusions in this document are based on information submitted in the Title V Operating Permit administrative amendment request received on December 14, 2022, the renewal application by Phillips 66 Company (Phillips)</w:t>
      </w:r>
      <w:r>
        <w:rPr>
          <w:spacing w:val="-1"/>
        </w:rPr>
        <w:t xml:space="preserve"> </w:t>
      </w:r>
      <w:r>
        <w:t>to</w:t>
      </w:r>
      <w:r>
        <w:rPr>
          <w:spacing w:val="-6"/>
        </w:rPr>
        <w:t xml:space="preserve"> </w:t>
      </w:r>
      <w:r>
        <w:t>the</w:t>
      </w:r>
      <w:r>
        <w:rPr>
          <w:spacing w:val="-7"/>
        </w:rPr>
        <w:t xml:space="preserve"> </w:t>
      </w:r>
      <w:r>
        <w:t>Department</w:t>
      </w:r>
      <w:r>
        <w:rPr>
          <w:spacing w:val="-6"/>
        </w:rPr>
        <w:t xml:space="preserve"> </w:t>
      </w:r>
      <w:r>
        <w:t>of</w:t>
      </w:r>
      <w:r>
        <w:rPr>
          <w:spacing w:val="-8"/>
        </w:rPr>
        <w:t xml:space="preserve"> </w:t>
      </w:r>
      <w:r>
        <w:t>Environmental</w:t>
      </w:r>
      <w:r>
        <w:rPr>
          <w:spacing w:val="-9"/>
        </w:rPr>
        <w:t xml:space="preserve"> </w:t>
      </w:r>
      <w:r>
        <w:t>Quality</w:t>
      </w:r>
      <w:r>
        <w:rPr>
          <w:spacing w:val="-2"/>
        </w:rPr>
        <w:t xml:space="preserve"> </w:t>
      </w:r>
      <w:r>
        <w:t>(</w:t>
      </w:r>
      <w:r w:rsidR="00402E8D">
        <w:t>DEQ</w:t>
      </w:r>
      <w:r>
        <w:t>)</w:t>
      </w:r>
      <w:r>
        <w:rPr>
          <w:spacing w:val="-1"/>
        </w:rPr>
        <w:t xml:space="preserve"> </w:t>
      </w:r>
      <w:r>
        <w:t>received</w:t>
      </w:r>
      <w:r>
        <w:rPr>
          <w:spacing w:val="-3"/>
        </w:rPr>
        <w:t xml:space="preserve"> </w:t>
      </w:r>
      <w:r>
        <w:t>on</w:t>
      </w:r>
      <w:r>
        <w:rPr>
          <w:spacing w:val="-1"/>
        </w:rPr>
        <w:t xml:space="preserve"> </w:t>
      </w:r>
      <w:r>
        <w:t>April</w:t>
      </w:r>
      <w:r>
        <w:rPr>
          <w:spacing w:val="-5"/>
        </w:rPr>
        <w:t xml:space="preserve"> </w:t>
      </w:r>
      <w:r>
        <w:t>28,</w:t>
      </w:r>
      <w:r>
        <w:rPr>
          <w:spacing w:val="-3"/>
        </w:rPr>
        <w:t xml:space="preserve"> </w:t>
      </w:r>
      <w:r>
        <w:t>2020, the</w:t>
      </w:r>
      <w:r>
        <w:rPr>
          <w:spacing w:val="-2"/>
        </w:rPr>
        <w:t xml:space="preserve"> </w:t>
      </w:r>
      <w:r>
        <w:t>administrative amendment</w:t>
      </w:r>
      <w:r>
        <w:rPr>
          <w:spacing w:val="-1"/>
        </w:rPr>
        <w:t xml:space="preserve"> </w:t>
      </w:r>
      <w:r>
        <w:t>request received on</w:t>
      </w:r>
      <w:r>
        <w:rPr>
          <w:spacing w:val="-1"/>
        </w:rPr>
        <w:t xml:space="preserve"> </w:t>
      </w:r>
      <w:r>
        <w:t>October</w:t>
      </w:r>
      <w:r>
        <w:rPr>
          <w:spacing w:val="-1"/>
        </w:rPr>
        <w:t xml:space="preserve"> </w:t>
      </w:r>
      <w:r>
        <w:t>24, 2018 and on September 4,</w:t>
      </w:r>
      <w:r>
        <w:rPr>
          <w:spacing w:val="-3"/>
        </w:rPr>
        <w:t xml:space="preserve"> </w:t>
      </w:r>
      <w:r>
        <w:t xml:space="preserve">2015, the renewal operating permit application submitted on May 14, 2014, the administrative amendment received by </w:t>
      </w:r>
      <w:r w:rsidR="00402E8D">
        <w:t>DEQ</w:t>
      </w:r>
      <w:r>
        <w:t xml:space="preserve"> on April 2, 2012, the administrative amendment received by Department on December 22, 2004, the administrative amendment received by </w:t>
      </w:r>
      <w:r w:rsidR="00402E8D">
        <w:t>DEQ</w:t>
      </w:r>
      <w:r>
        <w:t xml:space="preserve"> on March 4, 2004, the renewal operating permit application submitted by ConocoPhillips Company (ConocoPhillips), formerly Conoco, Inc. (Conoco), and received by </w:t>
      </w:r>
      <w:r w:rsidR="00402E8D">
        <w:t>DEQ</w:t>
      </w:r>
      <w:r>
        <w:rPr>
          <w:spacing w:val="-2"/>
        </w:rPr>
        <w:t xml:space="preserve"> </w:t>
      </w:r>
      <w:r>
        <w:t>on</w:t>
      </w:r>
      <w:r>
        <w:rPr>
          <w:spacing w:val="-2"/>
        </w:rPr>
        <w:t xml:space="preserve"> </w:t>
      </w:r>
      <w:r>
        <w:t>April</w:t>
      </w:r>
      <w:r>
        <w:rPr>
          <w:spacing w:val="-1"/>
        </w:rPr>
        <w:t xml:space="preserve"> </w:t>
      </w:r>
      <w:r>
        <w:t>11, 2003, an administrative amendment</w:t>
      </w:r>
      <w:r>
        <w:rPr>
          <w:spacing w:val="-2"/>
        </w:rPr>
        <w:t xml:space="preserve"> </w:t>
      </w:r>
      <w:r>
        <w:t xml:space="preserve">received February 21, 2003, an error identified by Phillips that </w:t>
      </w:r>
      <w:r w:rsidR="00402E8D">
        <w:t>DEQ</w:t>
      </w:r>
      <w:r>
        <w:t xml:space="preserve"> concurred with in a July 13, 2017 Field Services Section Inspection Report, an administrative amendment received September 25, 2017, as well</w:t>
      </w:r>
      <w:r>
        <w:rPr>
          <w:spacing w:val="40"/>
        </w:rPr>
        <w:t xml:space="preserve"> </w:t>
      </w:r>
      <w:r>
        <w:t>as the original operating permit application received on June 10, 1996.</w:t>
      </w:r>
    </w:p>
    <w:p w14:paraId="245EC5EF" w14:textId="77777777" w:rsidR="006C14B1" w:rsidRDefault="006C14B1">
      <w:pPr>
        <w:pStyle w:val="BodyText"/>
        <w:spacing w:before="11"/>
        <w:rPr>
          <w:sz w:val="23"/>
        </w:rPr>
      </w:pPr>
    </w:p>
    <w:p w14:paraId="245EC5F0" w14:textId="77777777" w:rsidR="006C14B1" w:rsidRDefault="005C7B88">
      <w:pPr>
        <w:pStyle w:val="Heading2"/>
        <w:numPr>
          <w:ilvl w:val="0"/>
          <w:numId w:val="4"/>
        </w:numPr>
        <w:tabs>
          <w:tab w:val="left" w:pos="478"/>
        </w:tabs>
        <w:ind w:left="478" w:hanging="359"/>
      </w:pPr>
      <w:bookmarkStart w:id="3" w:name="_TOC_250017"/>
      <w:r>
        <w:t>Facility</w:t>
      </w:r>
      <w:r>
        <w:rPr>
          <w:spacing w:val="-4"/>
        </w:rPr>
        <w:t xml:space="preserve"> </w:t>
      </w:r>
      <w:bookmarkEnd w:id="3"/>
      <w:r>
        <w:rPr>
          <w:spacing w:val="-2"/>
        </w:rPr>
        <w:t>Location</w:t>
      </w:r>
    </w:p>
    <w:p w14:paraId="245EC5F1" w14:textId="77777777" w:rsidR="006C14B1" w:rsidRDefault="006C14B1">
      <w:pPr>
        <w:pStyle w:val="BodyText"/>
        <w:spacing w:before="2"/>
        <w:rPr>
          <w:b/>
        </w:rPr>
      </w:pPr>
    </w:p>
    <w:p w14:paraId="245EC5F2" w14:textId="77777777" w:rsidR="006C14B1" w:rsidRDefault="005C7B88">
      <w:pPr>
        <w:pStyle w:val="BodyText"/>
        <w:ind w:left="479" w:right="312"/>
      </w:pPr>
      <w:r>
        <w:t>Phillips owns and operates the Great Falls Product Terminal located in the NW¼ of Section 3, Township 20 North, Range 4</w:t>
      </w:r>
      <w:r>
        <w:rPr>
          <w:spacing w:val="-4"/>
        </w:rPr>
        <w:t xml:space="preserve"> </w:t>
      </w:r>
      <w:r>
        <w:t>East in Cascade County, Montana.</w:t>
      </w:r>
      <w:r>
        <w:rPr>
          <w:spacing w:val="40"/>
        </w:rPr>
        <w:t xml:space="preserve"> </w:t>
      </w:r>
      <w:r>
        <w:t>Cascade County</w:t>
      </w:r>
      <w:r>
        <w:rPr>
          <w:spacing w:val="-1"/>
        </w:rPr>
        <w:t xml:space="preserve"> </w:t>
      </w:r>
      <w:r>
        <w:t>is designated as</w:t>
      </w:r>
      <w:r>
        <w:rPr>
          <w:spacing w:val="-4"/>
        </w:rPr>
        <w:t xml:space="preserve"> </w:t>
      </w:r>
      <w:r>
        <w:t>an</w:t>
      </w:r>
      <w:r>
        <w:rPr>
          <w:spacing w:val="-1"/>
        </w:rPr>
        <w:t xml:space="preserve"> </w:t>
      </w:r>
      <w:r>
        <w:t>Unclassifiable/Attainment</w:t>
      </w:r>
      <w:r>
        <w:rPr>
          <w:spacing w:val="-1"/>
        </w:rPr>
        <w:t xml:space="preserve"> </w:t>
      </w:r>
      <w:r>
        <w:t>area</w:t>
      </w:r>
      <w:r>
        <w:rPr>
          <w:spacing w:val="-5"/>
        </w:rPr>
        <w:t xml:space="preserve"> </w:t>
      </w:r>
      <w:r>
        <w:t>for</w:t>
      </w:r>
      <w:r>
        <w:rPr>
          <w:spacing w:val="-6"/>
        </w:rPr>
        <w:t xml:space="preserve"> </w:t>
      </w:r>
      <w:r>
        <w:t>National</w:t>
      </w:r>
      <w:r>
        <w:rPr>
          <w:spacing w:val="-5"/>
        </w:rPr>
        <w:t xml:space="preserve"> </w:t>
      </w:r>
      <w:r>
        <w:t>Ambient</w:t>
      </w:r>
      <w:r>
        <w:rPr>
          <w:spacing w:val="-1"/>
        </w:rPr>
        <w:t xml:space="preserve"> </w:t>
      </w:r>
      <w:r>
        <w:t>Air</w:t>
      </w:r>
      <w:r>
        <w:rPr>
          <w:spacing w:val="-6"/>
        </w:rPr>
        <w:t xml:space="preserve"> </w:t>
      </w:r>
      <w:r>
        <w:t>Quality</w:t>
      </w:r>
      <w:r>
        <w:rPr>
          <w:spacing w:val="-2"/>
        </w:rPr>
        <w:t xml:space="preserve"> </w:t>
      </w:r>
      <w:r>
        <w:t>Standards</w:t>
      </w:r>
      <w:r>
        <w:rPr>
          <w:spacing w:val="-9"/>
        </w:rPr>
        <w:t xml:space="preserve"> </w:t>
      </w:r>
      <w:r>
        <w:t>(NAAQS)</w:t>
      </w:r>
      <w:r>
        <w:rPr>
          <w:spacing w:val="-1"/>
        </w:rPr>
        <w:t xml:space="preserve"> </w:t>
      </w:r>
      <w:r>
        <w:t>for all criteria pollutants.</w:t>
      </w:r>
      <w:r>
        <w:rPr>
          <w:spacing w:val="40"/>
        </w:rPr>
        <w:t xml:space="preserve"> </w:t>
      </w:r>
      <w:r>
        <w:t>The Great Falls Product Terminal is located just east of the Great Falls city limits at the intersection of Highway 87 and 52nd Street.</w:t>
      </w:r>
      <w:r>
        <w:rPr>
          <w:spacing w:val="40"/>
        </w:rPr>
        <w:t xml:space="preserve"> </w:t>
      </w:r>
      <w:r>
        <w:t>The facility is surrounded by a meat packing plant on the north, a construction company and a few residences to the west, a distribution company on the south and a field and fertilizer plant northeast and northwest, respectively.</w:t>
      </w:r>
      <w:r>
        <w:rPr>
          <w:spacing w:val="40"/>
        </w:rPr>
        <w:t xml:space="preserve"> </w:t>
      </w:r>
      <w:r>
        <w:t>There are no schools, medical facilities, or recreational areas in the immediate vicinity of the terminal.</w:t>
      </w:r>
    </w:p>
    <w:p w14:paraId="245EC5F3" w14:textId="77777777" w:rsidR="006C14B1" w:rsidRDefault="006C14B1" w:rsidP="009C6496">
      <w:pPr>
        <w:pStyle w:val="BodyText"/>
        <w:rPr>
          <w:sz w:val="23"/>
        </w:rPr>
      </w:pPr>
    </w:p>
    <w:p w14:paraId="245EC5F4" w14:textId="77777777" w:rsidR="006C14B1" w:rsidRDefault="005C7B88" w:rsidP="009C6496">
      <w:pPr>
        <w:pStyle w:val="ListParagraph"/>
        <w:numPr>
          <w:ilvl w:val="0"/>
          <w:numId w:val="4"/>
        </w:numPr>
        <w:tabs>
          <w:tab w:val="left" w:pos="479"/>
        </w:tabs>
        <w:spacing w:line="482" w:lineRule="auto"/>
        <w:ind w:left="479" w:right="5447"/>
        <w:rPr>
          <w:b/>
          <w:sz w:val="24"/>
        </w:rPr>
      </w:pPr>
      <w:bookmarkStart w:id="4" w:name="C._Facility_Background_Information"/>
      <w:bookmarkEnd w:id="4"/>
      <w:r>
        <w:rPr>
          <w:b/>
          <w:sz w:val="24"/>
        </w:rPr>
        <w:t xml:space="preserve">Facility Background Information </w:t>
      </w:r>
      <w:r>
        <w:rPr>
          <w:b/>
          <w:sz w:val="24"/>
          <w:u w:val="single"/>
        </w:rPr>
        <w:t>Montana</w:t>
      </w:r>
      <w:r>
        <w:rPr>
          <w:b/>
          <w:spacing w:val="-11"/>
          <w:sz w:val="24"/>
          <w:u w:val="single"/>
        </w:rPr>
        <w:t xml:space="preserve"> </w:t>
      </w:r>
      <w:r>
        <w:rPr>
          <w:b/>
          <w:sz w:val="24"/>
          <w:u w:val="single"/>
        </w:rPr>
        <w:t>Air</w:t>
      </w:r>
      <w:r>
        <w:rPr>
          <w:b/>
          <w:spacing w:val="-12"/>
          <w:sz w:val="24"/>
          <w:u w:val="single"/>
        </w:rPr>
        <w:t xml:space="preserve"> </w:t>
      </w:r>
      <w:r>
        <w:rPr>
          <w:b/>
          <w:sz w:val="24"/>
          <w:u w:val="single"/>
        </w:rPr>
        <w:t>Quality</w:t>
      </w:r>
      <w:r>
        <w:rPr>
          <w:b/>
          <w:spacing w:val="-9"/>
          <w:sz w:val="24"/>
          <w:u w:val="single"/>
        </w:rPr>
        <w:t xml:space="preserve"> </w:t>
      </w:r>
      <w:r>
        <w:rPr>
          <w:b/>
          <w:sz w:val="24"/>
          <w:u w:val="single"/>
        </w:rPr>
        <w:t>Permit</w:t>
      </w:r>
      <w:r>
        <w:rPr>
          <w:b/>
          <w:spacing w:val="-5"/>
          <w:sz w:val="24"/>
          <w:u w:val="single"/>
        </w:rPr>
        <w:t xml:space="preserve"> </w:t>
      </w:r>
      <w:r>
        <w:rPr>
          <w:b/>
          <w:sz w:val="24"/>
          <w:u w:val="single"/>
        </w:rPr>
        <w:t>(MAQP)</w:t>
      </w:r>
    </w:p>
    <w:p w14:paraId="245EC5F5" w14:textId="77777777" w:rsidR="006C14B1" w:rsidRDefault="005C7B88">
      <w:pPr>
        <w:pStyle w:val="BodyText"/>
        <w:ind w:left="480" w:right="241"/>
      </w:pPr>
      <w:r>
        <w:t>On October</w:t>
      </w:r>
      <w:r>
        <w:rPr>
          <w:spacing w:val="-1"/>
        </w:rPr>
        <w:t xml:space="preserve"> </w:t>
      </w:r>
      <w:r>
        <w:t>9,</w:t>
      </w:r>
      <w:r>
        <w:rPr>
          <w:spacing w:val="-7"/>
        </w:rPr>
        <w:t xml:space="preserve"> </w:t>
      </w:r>
      <w:r>
        <w:t>1997,</w:t>
      </w:r>
      <w:r>
        <w:rPr>
          <w:spacing w:val="-2"/>
        </w:rPr>
        <w:t xml:space="preserve"> </w:t>
      </w:r>
      <w:r>
        <w:rPr>
          <w:b/>
        </w:rPr>
        <w:t>MAQP</w:t>
      </w:r>
      <w:r>
        <w:rPr>
          <w:b/>
          <w:spacing w:val="-1"/>
        </w:rPr>
        <w:t xml:space="preserve"> </w:t>
      </w:r>
      <w:r>
        <w:rPr>
          <w:b/>
        </w:rPr>
        <w:t>#2946-00</w:t>
      </w:r>
      <w:r>
        <w:rPr>
          <w:b/>
          <w:spacing w:val="-4"/>
        </w:rPr>
        <w:t xml:space="preserve"> </w:t>
      </w:r>
      <w:r>
        <w:t>was</w:t>
      </w:r>
      <w:r>
        <w:rPr>
          <w:spacing w:val="-3"/>
        </w:rPr>
        <w:t xml:space="preserve"> </w:t>
      </w:r>
      <w:r>
        <w:t>issued</w:t>
      </w:r>
      <w:r>
        <w:rPr>
          <w:spacing w:val="-2"/>
        </w:rPr>
        <w:t xml:space="preserve"> </w:t>
      </w:r>
      <w:r>
        <w:t>to Conoco</w:t>
      </w:r>
      <w:r>
        <w:rPr>
          <w:spacing w:val="-5"/>
        </w:rPr>
        <w:t xml:space="preserve"> </w:t>
      </w:r>
      <w:r>
        <w:t>to exempt</w:t>
      </w:r>
      <w:r>
        <w:rPr>
          <w:spacing w:val="-5"/>
        </w:rPr>
        <w:t xml:space="preserve"> </w:t>
      </w:r>
      <w:r>
        <w:t>them</w:t>
      </w:r>
      <w:r>
        <w:rPr>
          <w:spacing w:val="-5"/>
        </w:rPr>
        <w:t xml:space="preserve"> </w:t>
      </w:r>
      <w:r>
        <w:t>from 40</w:t>
      </w:r>
      <w:r>
        <w:rPr>
          <w:spacing w:val="-4"/>
        </w:rPr>
        <w:t xml:space="preserve"> </w:t>
      </w:r>
      <w:r>
        <w:t>CFR</w:t>
      </w:r>
      <w:r>
        <w:rPr>
          <w:spacing w:val="-3"/>
        </w:rPr>
        <w:t xml:space="preserve"> </w:t>
      </w:r>
      <w:r>
        <w:t>63, Subpart R (Gasoline Distribution MACT (Maximum Achievable Control Technology)) applicability.</w:t>
      </w:r>
      <w:r>
        <w:rPr>
          <w:spacing w:val="40"/>
        </w:rPr>
        <w:t xml:space="preserve"> </w:t>
      </w:r>
      <w:r>
        <w:t>The Great Falls Product Terminal tanks were constructed in 1960.</w:t>
      </w:r>
    </w:p>
    <w:p w14:paraId="245EC5F6" w14:textId="77777777" w:rsidR="006C14B1" w:rsidRDefault="006C14B1">
      <w:pPr>
        <w:pStyle w:val="BodyText"/>
        <w:spacing w:before="6"/>
        <w:rPr>
          <w:sz w:val="23"/>
        </w:rPr>
      </w:pPr>
    </w:p>
    <w:p w14:paraId="245EC5F7" w14:textId="5E9F7570" w:rsidR="006C14B1" w:rsidRDefault="005C7B88">
      <w:pPr>
        <w:pStyle w:val="BodyText"/>
        <w:ind w:left="480" w:right="241"/>
      </w:pPr>
      <w:r>
        <w:t>A</w:t>
      </w:r>
      <w:r>
        <w:rPr>
          <w:spacing w:val="-1"/>
        </w:rPr>
        <w:t xml:space="preserve"> </w:t>
      </w:r>
      <w:r>
        <w:t>letter</w:t>
      </w:r>
      <w:r>
        <w:rPr>
          <w:spacing w:val="-1"/>
        </w:rPr>
        <w:t xml:space="preserve"> </w:t>
      </w:r>
      <w:r>
        <w:t>from</w:t>
      </w:r>
      <w:r>
        <w:rPr>
          <w:spacing w:val="-5"/>
        </w:rPr>
        <w:t xml:space="preserve"> </w:t>
      </w:r>
      <w:r>
        <w:t>ConocoPhillips</w:t>
      </w:r>
      <w:r>
        <w:rPr>
          <w:spacing w:val="-3"/>
        </w:rPr>
        <w:t xml:space="preserve"> </w:t>
      </w:r>
      <w:r>
        <w:t>dated</w:t>
      </w:r>
      <w:r>
        <w:rPr>
          <w:spacing w:val="-2"/>
        </w:rPr>
        <w:t xml:space="preserve"> </w:t>
      </w:r>
      <w:r>
        <w:t>January</w:t>
      </w:r>
      <w:r>
        <w:rPr>
          <w:spacing w:val="-1"/>
        </w:rPr>
        <w:t xml:space="preserve"> </w:t>
      </w:r>
      <w:r>
        <w:t>3,</w:t>
      </w:r>
      <w:r>
        <w:rPr>
          <w:spacing w:val="-2"/>
        </w:rPr>
        <w:t xml:space="preserve"> </w:t>
      </w:r>
      <w:r>
        <w:t>2003,</w:t>
      </w:r>
      <w:r>
        <w:rPr>
          <w:spacing w:val="-2"/>
        </w:rPr>
        <w:t xml:space="preserve"> </w:t>
      </w:r>
      <w:r>
        <w:t>and</w:t>
      </w:r>
      <w:r>
        <w:rPr>
          <w:spacing w:val="-2"/>
        </w:rPr>
        <w:t xml:space="preserve"> </w:t>
      </w:r>
      <w:r>
        <w:t>received</w:t>
      </w:r>
      <w:r>
        <w:rPr>
          <w:spacing w:val="-2"/>
        </w:rPr>
        <w:t xml:space="preserve"> </w:t>
      </w:r>
      <w:r>
        <w:t>by</w:t>
      </w:r>
      <w:r>
        <w:rPr>
          <w:spacing w:val="-6"/>
        </w:rPr>
        <w:t xml:space="preserve"> </w:t>
      </w:r>
      <w:r w:rsidR="00402E8D">
        <w:t>DEQ</w:t>
      </w:r>
      <w:r>
        <w:rPr>
          <w:spacing w:val="-5"/>
        </w:rPr>
        <w:t xml:space="preserve"> </w:t>
      </w:r>
      <w:r>
        <w:t>on</w:t>
      </w:r>
      <w:r>
        <w:rPr>
          <w:spacing w:val="-5"/>
        </w:rPr>
        <w:t xml:space="preserve"> </w:t>
      </w:r>
      <w:r>
        <w:t xml:space="preserve">January 10, 2003, notified </w:t>
      </w:r>
      <w:r w:rsidR="00402E8D">
        <w:t>DEQ</w:t>
      </w:r>
      <w:r>
        <w:t xml:space="preserve"> that Conoco had changed its name to ConocoPhillips and requested the name change on both their Montana Air Quality Permit and Title V Operating Permit.</w:t>
      </w:r>
      <w:r>
        <w:rPr>
          <w:spacing w:val="40"/>
        </w:rPr>
        <w:t xml:space="preserve"> </w:t>
      </w:r>
      <w:r>
        <w:t>The current permit action changed the name on the permit from Conoco to</w:t>
      </w:r>
    </w:p>
    <w:p w14:paraId="245EC5F8" w14:textId="77777777" w:rsidR="006C14B1" w:rsidRDefault="006C14B1">
      <w:pPr>
        <w:sectPr w:rsidR="006C14B1">
          <w:pgSz w:w="12240" w:h="15840"/>
          <w:pgMar w:top="1080" w:right="1200" w:bottom="1320" w:left="1320" w:header="0" w:footer="1073" w:gutter="0"/>
          <w:cols w:space="720"/>
        </w:sectPr>
      </w:pPr>
    </w:p>
    <w:p w14:paraId="245EC5F9" w14:textId="6F24D413" w:rsidR="006C14B1" w:rsidRDefault="005C7B88">
      <w:pPr>
        <w:pStyle w:val="BodyText"/>
        <w:spacing w:before="71"/>
        <w:ind w:left="480"/>
      </w:pPr>
      <w:r>
        <w:lastRenderedPageBreak/>
        <w:t>ConocoPhillips.</w:t>
      </w:r>
      <w:r>
        <w:rPr>
          <w:spacing w:val="40"/>
        </w:rPr>
        <w:t xml:space="preserve"> </w:t>
      </w:r>
      <w:r>
        <w:t>Permit</w:t>
      </w:r>
      <w:r>
        <w:rPr>
          <w:spacing w:val="-5"/>
        </w:rPr>
        <w:t xml:space="preserve"> </w:t>
      </w:r>
      <w:r>
        <w:t>#2946-01</w:t>
      </w:r>
      <w:r>
        <w:rPr>
          <w:spacing w:val="-4"/>
        </w:rPr>
        <w:t xml:space="preserve"> </w:t>
      </w:r>
      <w:r>
        <w:t>has</w:t>
      </w:r>
      <w:r>
        <w:rPr>
          <w:spacing w:val="-3"/>
        </w:rPr>
        <w:t xml:space="preserve"> </w:t>
      </w:r>
      <w:r>
        <w:t>been</w:t>
      </w:r>
      <w:r>
        <w:rPr>
          <w:spacing w:val="-5"/>
        </w:rPr>
        <w:t xml:space="preserve"> </w:t>
      </w:r>
      <w:r>
        <w:t>updated</w:t>
      </w:r>
      <w:r>
        <w:rPr>
          <w:spacing w:val="-6"/>
        </w:rPr>
        <w:t xml:space="preserve"> </w:t>
      </w:r>
      <w:r>
        <w:t>to</w:t>
      </w:r>
      <w:r>
        <w:rPr>
          <w:spacing w:val="-5"/>
        </w:rPr>
        <w:t xml:space="preserve"> </w:t>
      </w:r>
      <w:r>
        <w:t>reflect current</w:t>
      </w:r>
      <w:r>
        <w:rPr>
          <w:spacing w:val="-5"/>
        </w:rPr>
        <w:t xml:space="preserve"> </w:t>
      </w:r>
      <w:r>
        <w:t>permit language</w:t>
      </w:r>
      <w:r>
        <w:rPr>
          <w:spacing w:val="-1"/>
        </w:rPr>
        <w:t xml:space="preserve"> </w:t>
      </w:r>
      <w:r>
        <w:t>and</w:t>
      </w:r>
      <w:r>
        <w:rPr>
          <w:spacing w:val="-6"/>
        </w:rPr>
        <w:t xml:space="preserve"> </w:t>
      </w:r>
      <w:r>
        <w:t xml:space="preserve">rule references used by </w:t>
      </w:r>
      <w:r w:rsidR="00402E8D">
        <w:t>DEQ</w:t>
      </w:r>
      <w:r>
        <w:t>.</w:t>
      </w:r>
      <w:r>
        <w:rPr>
          <w:spacing w:val="40"/>
        </w:rPr>
        <w:t xml:space="preserve"> </w:t>
      </w:r>
      <w:r>
        <w:rPr>
          <w:b/>
        </w:rPr>
        <w:t xml:space="preserve">MAQP #2946-01 </w:t>
      </w:r>
      <w:r>
        <w:t>replaced MAQP#2946-00.</w:t>
      </w:r>
    </w:p>
    <w:p w14:paraId="245EC5FA" w14:textId="77777777" w:rsidR="006C14B1" w:rsidRDefault="006C14B1">
      <w:pPr>
        <w:pStyle w:val="BodyText"/>
        <w:spacing w:before="1"/>
      </w:pPr>
    </w:p>
    <w:p w14:paraId="245EC5FB" w14:textId="77998F4B" w:rsidR="006C14B1" w:rsidRDefault="005C7B88">
      <w:pPr>
        <w:pStyle w:val="BodyText"/>
        <w:ind w:left="479" w:right="241"/>
      </w:pPr>
      <w:r>
        <w:t xml:space="preserve">A letter from ConocoPhillips dated December 6, 2004, and received by </w:t>
      </w:r>
      <w:r w:rsidR="00402E8D">
        <w:t>DEQ</w:t>
      </w:r>
      <w:r>
        <w:t xml:space="preserve"> December 15, 2004, notified </w:t>
      </w:r>
      <w:r w:rsidR="00402E8D">
        <w:t>DEQ</w:t>
      </w:r>
      <w:r>
        <w:t xml:space="preserve"> that ConocoPhillips planned to install a 20,000- barrel internal floating roof tank used to store a combination of distillates and gasoline.</w:t>
      </w:r>
      <w:r>
        <w:rPr>
          <w:spacing w:val="80"/>
        </w:rPr>
        <w:t xml:space="preserve"> </w:t>
      </w:r>
      <w:r>
        <w:t>Since the</w:t>
      </w:r>
      <w:r>
        <w:rPr>
          <w:spacing w:val="-4"/>
        </w:rPr>
        <w:t xml:space="preserve"> </w:t>
      </w:r>
      <w:r>
        <w:t>uncontrolled Potential</w:t>
      </w:r>
      <w:r>
        <w:rPr>
          <w:spacing w:val="-2"/>
        </w:rPr>
        <w:t xml:space="preserve"> </w:t>
      </w:r>
      <w:r>
        <w:t>to</w:t>
      </w:r>
      <w:r>
        <w:rPr>
          <w:spacing w:val="-3"/>
        </w:rPr>
        <w:t xml:space="preserve"> </w:t>
      </w:r>
      <w:r>
        <w:t>Emit</w:t>
      </w:r>
      <w:r>
        <w:rPr>
          <w:spacing w:val="-3"/>
        </w:rPr>
        <w:t xml:space="preserve"> </w:t>
      </w:r>
      <w:r>
        <w:t>(PTE)</w:t>
      </w:r>
      <w:r>
        <w:rPr>
          <w:spacing w:val="-3"/>
        </w:rPr>
        <w:t xml:space="preserve"> </w:t>
      </w:r>
      <w:r>
        <w:t>of</w:t>
      </w:r>
      <w:r>
        <w:rPr>
          <w:spacing w:val="-6"/>
        </w:rPr>
        <w:t xml:space="preserve"> </w:t>
      </w:r>
      <w:r>
        <w:t>the</w:t>
      </w:r>
      <w:r>
        <w:rPr>
          <w:spacing w:val="-4"/>
        </w:rPr>
        <w:t xml:space="preserve"> </w:t>
      </w:r>
      <w:r>
        <w:t>20,000-barrel</w:t>
      </w:r>
      <w:r>
        <w:rPr>
          <w:spacing w:val="-2"/>
        </w:rPr>
        <w:t xml:space="preserve"> </w:t>
      </w:r>
      <w:r>
        <w:t>internal</w:t>
      </w:r>
      <w:r>
        <w:rPr>
          <w:spacing w:val="-3"/>
        </w:rPr>
        <w:t xml:space="preserve"> </w:t>
      </w:r>
      <w:r>
        <w:t>floating</w:t>
      </w:r>
      <w:r>
        <w:rPr>
          <w:spacing w:val="-2"/>
        </w:rPr>
        <w:t xml:space="preserve"> </w:t>
      </w:r>
      <w:r>
        <w:t>roof</w:t>
      </w:r>
      <w:r>
        <w:rPr>
          <w:spacing w:val="-6"/>
        </w:rPr>
        <w:t xml:space="preserve"> </w:t>
      </w:r>
      <w:r>
        <w:t>tank</w:t>
      </w:r>
      <w:r>
        <w:rPr>
          <w:spacing w:val="-2"/>
        </w:rPr>
        <w:t xml:space="preserve"> </w:t>
      </w:r>
      <w:r>
        <w:t>was</w:t>
      </w:r>
      <w:r>
        <w:rPr>
          <w:spacing w:val="-1"/>
        </w:rPr>
        <w:t xml:space="preserve"> </w:t>
      </w:r>
      <w:r>
        <w:t xml:space="preserve">less than 15 tons per year of any regulated pollutant the tank was added to the permit under the provisions of ARM 17.8.745 Montana Air Quality Permits--Exclusion for De Minimis Changes. ConocoPhillips was considered a New Source Performance Standard (NSPS) affected facility under 40 Code of Federal Regulations (CFR) 60, Subpart </w:t>
      </w:r>
      <w:proofErr w:type="spellStart"/>
      <w:r>
        <w:t>Kb</w:t>
      </w:r>
      <w:proofErr w:type="spellEnd"/>
      <w:r>
        <w:t>,</w:t>
      </w:r>
      <w:r>
        <w:rPr>
          <w:spacing w:val="-3"/>
        </w:rPr>
        <w:t xml:space="preserve"> </w:t>
      </w:r>
      <w:r>
        <w:t>Standards</w:t>
      </w:r>
      <w:r>
        <w:rPr>
          <w:spacing w:val="-5"/>
        </w:rPr>
        <w:t xml:space="preserve"> </w:t>
      </w:r>
      <w:r>
        <w:t>of</w:t>
      </w:r>
      <w:r>
        <w:rPr>
          <w:spacing w:val="-4"/>
        </w:rPr>
        <w:t xml:space="preserve"> </w:t>
      </w:r>
      <w:r>
        <w:t>Performance for Volatile Organic Liquid</w:t>
      </w:r>
      <w:r>
        <w:rPr>
          <w:spacing w:val="-4"/>
        </w:rPr>
        <w:t xml:space="preserve"> </w:t>
      </w:r>
      <w:r>
        <w:t>Storage</w:t>
      </w:r>
      <w:r>
        <w:rPr>
          <w:spacing w:val="-3"/>
        </w:rPr>
        <w:t xml:space="preserve"> </w:t>
      </w:r>
      <w:r>
        <w:t>Vessels.</w:t>
      </w:r>
      <w:r>
        <w:rPr>
          <w:spacing w:val="40"/>
        </w:rPr>
        <w:t xml:space="preserve"> </w:t>
      </w:r>
      <w:r>
        <w:t>The emissions were conservatively calculated using more total throughput than allowed by the current permit.</w:t>
      </w:r>
      <w:r>
        <w:rPr>
          <w:spacing w:val="40"/>
        </w:rPr>
        <w:t xml:space="preserve"> </w:t>
      </w:r>
      <w:r>
        <w:rPr>
          <w:b/>
        </w:rPr>
        <w:t xml:space="preserve">MAQP #2946-03 </w:t>
      </w:r>
      <w:r>
        <w:t xml:space="preserve">replaced MAQP </w:t>
      </w:r>
      <w:r>
        <w:rPr>
          <w:spacing w:val="-2"/>
        </w:rPr>
        <w:t>#2946-02.</w:t>
      </w:r>
    </w:p>
    <w:p w14:paraId="245EC5FC" w14:textId="77777777" w:rsidR="006C14B1" w:rsidRDefault="006C14B1">
      <w:pPr>
        <w:pStyle w:val="BodyText"/>
      </w:pPr>
    </w:p>
    <w:p w14:paraId="245EC5FD" w14:textId="77777777" w:rsidR="006C14B1" w:rsidRDefault="005C7B88">
      <w:pPr>
        <w:pStyle w:val="BodyText"/>
        <w:ind w:left="479" w:right="261"/>
      </w:pPr>
      <w:r>
        <w:t>ConocoPhillips, in review of the information for the Title V Renewal Application, it was identified</w:t>
      </w:r>
      <w:r>
        <w:rPr>
          <w:spacing w:val="-1"/>
        </w:rPr>
        <w:t xml:space="preserve"> </w:t>
      </w:r>
      <w:r>
        <w:t>that</w:t>
      </w:r>
      <w:r>
        <w:rPr>
          <w:spacing w:val="-4"/>
        </w:rPr>
        <w:t xml:space="preserve"> </w:t>
      </w:r>
      <w:r>
        <w:t>the de</w:t>
      </w:r>
      <w:r>
        <w:rPr>
          <w:spacing w:val="-4"/>
        </w:rPr>
        <w:t xml:space="preserve"> </w:t>
      </w:r>
      <w:r>
        <w:t>minimis</w:t>
      </w:r>
      <w:r>
        <w:rPr>
          <w:spacing w:val="-2"/>
        </w:rPr>
        <w:t xml:space="preserve"> </w:t>
      </w:r>
      <w:r>
        <w:t>addition</w:t>
      </w:r>
      <w:r>
        <w:rPr>
          <w:spacing w:val="-4"/>
        </w:rPr>
        <w:t xml:space="preserve"> </w:t>
      </w:r>
      <w:r>
        <w:t>previously</w:t>
      </w:r>
      <w:r>
        <w:rPr>
          <w:spacing w:val="-4"/>
        </w:rPr>
        <w:t xml:space="preserve"> </w:t>
      </w:r>
      <w:r>
        <w:t>permitted</w:t>
      </w:r>
      <w:r>
        <w:rPr>
          <w:spacing w:val="-5"/>
        </w:rPr>
        <w:t xml:space="preserve"> </w:t>
      </w:r>
      <w:r>
        <w:t>as</w:t>
      </w:r>
      <w:r>
        <w:rPr>
          <w:spacing w:val="-2"/>
        </w:rPr>
        <w:t xml:space="preserve"> </w:t>
      </w:r>
      <w:r>
        <w:t>the</w:t>
      </w:r>
      <w:r>
        <w:rPr>
          <w:spacing w:val="-4"/>
        </w:rPr>
        <w:t xml:space="preserve"> </w:t>
      </w:r>
      <w:r>
        <w:t>Transmix</w:t>
      </w:r>
      <w:r>
        <w:rPr>
          <w:spacing w:val="-5"/>
        </w:rPr>
        <w:t xml:space="preserve"> </w:t>
      </w:r>
      <w:r>
        <w:t>Tank</w:t>
      </w:r>
      <w:r>
        <w:rPr>
          <w:spacing w:val="-7"/>
        </w:rPr>
        <w:t xml:space="preserve"> </w:t>
      </w:r>
      <w:r>
        <w:t>(permit action for MAQP #2946-03) had not to date been installed.</w:t>
      </w:r>
      <w:r>
        <w:rPr>
          <w:spacing w:val="80"/>
        </w:rPr>
        <w:t xml:space="preserve"> </w:t>
      </w:r>
      <w:r>
        <w:t>The application also identified applicability of 40 CFR 63 Subpart BBBBBB to this facility.</w:t>
      </w:r>
      <w:r>
        <w:rPr>
          <w:spacing w:val="40"/>
        </w:rPr>
        <w:t xml:space="preserve"> </w:t>
      </w:r>
      <w:r>
        <w:t>This permit action was an administrative action pursuant to ARM 17.8.764 to remove the Transmix Tank from the listed permitted</w:t>
      </w:r>
      <w:r>
        <w:rPr>
          <w:spacing w:val="-2"/>
        </w:rPr>
        <w:t xml:space="preserve"> </w:t>
      </w:r>
      <w:r>
        <w:t>equipment and</w:t>
      </w:r>
      <w:r>
        <w:rPr>
          <w:spacing w:val="-2"/>
        </w:rPr>
        <w:t xml:space="preserve"> </w:t>
      </w:r>
      <w:r>
        <w:t>emissions inventory sections of</w:t>
      </w:r>
      <w:r>
        <w:rPr>
          <w:spacing w:val="-3"/>
        </w:rPr>
        <w:t xml:space="preserve"> </w:t>
      </w:r>
      <w:r>
        <w:t>the Permit Analysis, added 40 CFR 63 Subpart</w:t>
      </w:r>
      <w:r>
        <w:rPr>
          <w:spacing w:val="-2"/>
        </w:rPr>
        <w:t xml:space="preserve"> </w:t>
      </w:r>
      <w:r>
        <w:t>BBBBBB</w:t>
      </w:r>
      <w:r>
        <w:rPr>
          <w:spacing w:val="-3"/>
        </w:rPr>
        <w:t xml:space="preserve"> </w:t>
      </w:r>
      <w:r>
        <w:t>to the</w:t>
      </w:r>
      <w:r>
        <w:rPr>
          <w:spacing w:val="-3"/>
        </w:rPr>
        <w:t xml:space="preserve"> </w:t>
      </w:r>
      <w:r>
        <w:t>Permit</w:t>
      </w:r>
      <w:r>
        <w:rPr>
          <w:spacing w:val="-2"/>
        </w:rPr>
        <w:t xml:space="preserve"> </w:t>
      </w:r>
      <w:r>
        <w:t>Analysis, and updated the emissions inventory.</w:t>
      </w:r>
      <w:r>
        <w:rPr>
          <w:spacing w:val="40"/>
        </w:rPr>
        <w:t xml:space="preserve"> </w:t>
      </w:r>
      <w:r>
        <w:rPr>
          <w:b/>
        </w:rPr>
        <w:t xml:space="preserve">MAQP #2946- 04 </w:t>
      </w:r>
      <w:r>
        <w:t>replaced MAQP #2946-03.</w:t>
      </w:r>
    </w:p>
    <w:p w14:paraId="245EC5FE" w14:textId="77777777" w:rsidR="006C14B1" w:rsidRDefault="006C14B1">
      <w:pPr>
        <w:pStyle w:val="BodyText"/>
        <w:spacing w:before="10"/>
        <w:rPr>
          <w:sz w:val="23"/>
        </w:rPr>
      </w:pPr>
    </w:p>
    <w:p w14:paraId="245EC5FF" w14:textId="7F642875" w:rsidR="006C14B1" w:rsidRDefault="00402E8D">
      <w:pPr>
        <w:pStyle w:val="BodyText"/>
        <w:spacing w:before="1"/>
        <w:ind w:left="479" w:right="264"/>
      </w:pPr>
      <w:r>
        <w:t>DEQ</w:t>
      </w:r>
      <w:r w:rsidR="005C7B88">
        <w:t xml:space="preserve"> received a letter from ConocoPhillips on April 2, 2012, to change the name of the</w:t>
      </w:r>
      <w:r w:rsidR="005C7B88">
        <w:rPr>
          <w:spacing w:val="-6"/>
        </w:rPr>
        <w:t xml:space="preserve"> </w:t>
      </w:r>
      <w:r w:rsidR="005C7B88">
        <w:t>company</w:t>
      </w:r>
      <w:r w:rsidR="005C7B88">
        <w:rPr>
          <w:spacing w:val="-1"/>
        </w:rPr>
        <w:t xml:space="preserve"> </w:t>
      </w:r>
      <w:r w:rsidR="005C7B88">
        <w:t>from</w:t>
      </w:r>
      <w:r w:rsidR="005C7B88">
        <w:rPr>
          <w:spacing w:val="-5"/>
        </w:rPr>
        <w:t xml:space="preserve"> </w:t>
      </w:r>
      <w:r w:rsidR="005C7B88">
        <w:t>ConocoPhillips</w:t>
      </w:r>
      <w:r w:rsidR="005C7B88">
        <w:rPr>
          <w:spacing w:val="-3"/>
        </w:rPr>
        <w:t xml:space="preserve"> </w:t>
      </w:r>
      <w:r w:rsidR="005C7B88">
        <w:t>Company</w:t>
      </w:r>
      <w:r w:rsidR="005C7B88">
        <w:rPr>
          <w:spacing w:val="-6"/>
        </w:rPr>
        <w:t xml:space="preserve"> </w:t>
      </w:r>
      <w:r w:rsidR="005C7B88">
        <w:t>to Phillips</w:t>
      </w:r>
      <w:r w:rsidR="005C7B88">
        <w:rPr>
          <w:spacing w:val="-3"/>
        </w:rPr>
        <w:t xml:space="preserve"> </w:t>
      </w:r>
      <w:r w:rsidR="005C7B88">
        <w:t>66</w:t>
      </w:r>
      <w:r w:rsidR="005C7B88">
        <w:rPr>
          <w:spacing w:val="-4"/>
        </w:rPr>
        <w:t xml:space="preserve"> </w:t>
      </w:r>
      <w:r w:rsidR="005C7B88">
        <w:t>Company</w:t>
      </w:r>
      <w:r w:rsidR="005C7B88">
        <w:rPr>
          <w:spacing w:val="-1"/>
        </w:rPr>
        <w:t xml:space="preserve"> </w:t>
      </w:r>
      <w:r w:rsidR="005C7B88">
        <w:t>for</w:t>
      </w:r>
      <w:r w:rsidR="005C7B88">
        <w:rPr>
          <w:spacing w:val="-5"/>
        </w:rPr>
        <w:t xml:space="preserve"> </w:t>
      </w:r>
      <w:r w:rsidR="005C7B88">
        <w:t>both</w:t>
      </w:r>
      <w:r w:rsidR="005C7B88">
        <w:rPr>
          <w:spacing w:val="-5"/>
        </w:rPr>
        <w:t xml:space="preserve"> </w:t>
      </w:r>
      <w:r w:rsidR="005C7B88">
        <w:t>MAQP</w:t>
      </w:r>
      <w:r w:rsidR="005C7B88">
        <w:rPr>
          <w:spacing w:val="-4"/>
        </w:rPr>
        <w:t xml:space="preserve"> </w:t>
      </w:r>
      <w:r w:rsidR="005C7B88">
        <w:t>#2946-04 and Operating Permit #OP2946-06.</w:t>
      </w:r>
      <w:r w:rsidR="005C7B88">
        <w:rPr>
          <w:spacing w:val="40"/>
        </w:rPr>
        <w:t xml:space="preserve"> </w:t>
      </w:r>
      <w:r w:rsidR="005C7B88">
        <w:t xml:space="preserve">On May 12, 2012, </w:t>
      </w:r>
      <w:r w:rsidR="005C7B88">
        <w:rPr>
          <w:b/>
        </w:rPr>
        <w:t xml:space="preserve">MAQP #2946-05 </w:t>
      </w:r>
      <w:r w:rsidR="005C7B88">
        <w:t xml:space="preserve">replaced MAQP </w:t>
      </w:r>
      <w:r w:rsidR="005C7B88">
        <w:rPr>
          <w:spacing w:val="-2"/>
        </w:rPr>
        <w:t>#2946-04.</w:t>
      </w:r>
    </w:p>
    <w:p w14:paraId="245EC600" w14:textId="77777777" w:rsidR="006C14B1" w:rsidRDefault="006C14B1">
      <w:pPr>
        <w:pStyle w:val="BodyText"/>
        <w:rPr>
          <w:sz w:val="26"/>
        </w:rPr>
      </w:pPr>
    </w:p>
    <w:p w14:paraId="245EC601" w14:textId="77777777" w:rsidR="006C14B1" w:rsidRDefault="005C7B88" w:rsidP="009C6496">
      <w:pPr>
        <w:ind w:left="475"/>
        <w:rPr>
          <w:b/>
          <w:sz w:val="24"/>
        </w:rPr>
      </w:pPr>
      <w:r>
        <w:rPr>
          <w:b/>
          <w:sz w:val="24"/>
          <w:u w:val="single"/>
        </w:rPr>
        <w:t>Title</w:t>
      </w:r>
      <w:r>
        <w:rPr>
          <w:b/>
          <w:spacing w:val="-2"/>
          <w:sz w:val="24"/>
          <w:u w:val="single"/>
        </w:rPr>
        <w:t xml:space="preserve"> </w:t>
      </w:r>
      <w:r>
        <w:rPr>
          <w:b/>
          <w:sz w:val="24"/>
          <w:u w:val="single"/>
        </w:rPr>
        <w:t>V</w:t>
      </w:r>
      <w:r>
        <w:rPr>
          <w:b/>
          <w:spacing w:val="-1"/>
          <w:sz w:val="24"/>
          <w:u w:val="single"/>
        </w:rPr>
        <w:t xml:space="preserve"> </w:t>
      </w:r>
      <w:r>
        <w:rPr>
          <w:b/>
          <w:sz w:val="24"/>
          <w:u w:val="single"/>
        </w:rPr>
        <w:t>Operating</w:t>
      </w:r>
      <w:r>
        <w:rPr>
          <w:b/>
          <w:spacing w:val="-3"/>
          <w:sz w:val="24"/>
          <w:u w:val="single"/>
        </w:rPr>
        <w:t xml:space="preserve"> </w:t>
      </w:r>
      <w:r>
        <w:rPr>
          <w:b/>
          <w:spacing w:val="-2"/>
          <w:sz w:val="24"/>
          <w:u w:val="single"/>
        </w:rPr>
        <w:t>Permit</w:t>
      </w:r>
    </w:p>
    <w:p w14:paraId="245EC602" w14:textId="77777777" w:rsidR="006C14B1" w:rsidRDefault="006C14B1">
      <w:pPr>
        <w:pStyle w:val="BodyText"/>
        <w:spacing w:before="4"/>
        <w:rPr>
          <w:b/>
          <w:sz w:val="15"/>
        </w:rPr>
      </w:pPr>
    </w:p>
    <w:p w14:paraId="245EC603" w14:textId="77777777" w:rsidR="006C14B1" w:rsidRDefault="005C7B88">
      <w:pPr>
        <w:pStyle w:val="BodyText"/>
        <w:spacing w:before="100"/>
        <w:ind w:left="480" w:right="312"/>
      </w:pPr>
      <w:r>
        <w:t>Conoco’s</w:t>
      </w:r>
      <w:r>
        <w:rPr>
          <w:spacing w:val="-7"/>
        </w:rPr>
        <w:t xml:space="preserve"> </w:t>
      </w:r>
      <w:r>
        <w:t>Great Falls</w:t>
      </w:r>
      <w:r>
        <w:rPr>
          <w:spacing w:val="-3"/>
        </w:rPr>
        <w:t xml:space="preserve"> </w:t>
      </w:r>
      <w:r>
        <w:t>Product</w:t>
      </w:r>
      <w:r>
        <w:rPr>
          <w:spacing w:val="-5"/>
        </w:rPr>
        <w:t xml:space="preserve"> </w:t>
      </w:r>
      <w:r>
        <w:t>Terminal</w:t>
      </w:r>
      <w:r>
        <w:rPr>
          <w:spacing w:val="-4"/>
        </w:rPr>
        <w:t xml:space="preserve"> </w:t>
      </w:r>
      <w:r>
        <w:t>was</w:t>
      </w:r>
      <w:r>
        <w:rPr>
          <w:spacing w:val="-3"/>
        </w:rPr>
        <w:t xml:space="preserve"> </w:t>
      </w:r>
      <w:r>
        <w:t>not required</w:t>
      </w:r>
      <w:r>
        <w:rPr>
          <w:spacing w:val="-6"/>
        </w:rPr>
        <w:t xml:space="preserve"> </w:t>
      </w:r>
      <w:r>
        <w:t>to</w:t>
      </w:r>
      <w:r>
        <w:rPr>
          <w:spacing w:val="-5"/>
        </w:rPr>
        <w:t xml:space="preserve"> </w:t>
      </w:r>
      <w:r>
        <w:t>obtain an</w:t>
      </w:r>
      <w:r>
        <w:rPr>
          <w:spacing w:val="-5"/>
        </w:rPr>
        <w:t xml:space="preserve"> </w:t>
      </w:r>
      <w:r>
        <w:t>air</w:t>
      </w:r>
      <w:r>
        <w:rPr>
          <w:spacing w:val="-1"/>
        </w:rPr>
        <w:t xml:space="preserve"> </w:t>
      </w:r>
      <w:r>
        <w:t>quality</w:t>
      </w:r>
      <w:r>
        <w:rPr>
          <w:spacing w:val="-1"/>
        </w:rPr>
        <w:t xml:space="preserve"> </w:t>
      </w:r>
      <w:r>
        <w:t>permit</w:t>
      </w:r>
      <w:r>
        <w:rPr>
          <w:spacing w:val="-5"/>
        </w:rPr>
        <w:t xml:space="preserve"> </w:t>
      </w:r>
      <w:r>
        <w:t>because the facility was constructed prior to November 23, 1968; however, Conoco requested a throughput limit on the facility to keep them below the 40 CFR 63, Subpart R applicability threshold.</w:t>
      </w:r>
      <w:r>
        <w:rPr>
          <w:spacing w:val="40"/>
        </w:rPr>
        <w:t xml:space="preserve"> </w:t>
      </w:r>
      <w:r>
        <w:rPr>
          <w:b/>
        </w:rPr>
        <w:t xml:space="preserve">Operating Permit #OP2946-00 </w:t>
      </w:r>
      <w:r>
        <w:t>was issued final and</w:t>
      </w:r>
      <w:r>
        <w:rPr>
          <w:spacing w:val="-3"/>
        </w:rPr>
        <w:t xml:space="preserve"> </w:t>
      </w:r>
      <w:r>
        <w:t>effective</w:t>
      </w:r>
      <w:r>
        <w:rPr>
          <w:spacing w:val="-2"/>
        </w:rPr>
        <w:t xml:space="preserve"> </w:t>
      </w:r>
      <w:r>
        <w:t>on</w:t>
      </w:r>
      <w:r>
        <w:rPr>
          <w:spacing w:val="-1"/>
        </w:rPr>
        <w:t xml:space="preserve"> </w:t>
      </w:r>
      <w:r>
        <w:t>October 9, 1997.</w:t>
      </w:r>
    </w:p>
    <w:p w14:paraId="245EC604" w14:textId="77777777" w:rsidR="006C14B1" w:rsidRDefault="006C14B1">
      <w:pPr>
        <w:pStyle w:val="BodyText"/>
        <w:spacing w:before="10"/>
        <w:rPr>
          <w:sz w:val="23"/>
        </w:rPr>
      </w:pPr>
    </w:p>
    <w:p w14:paraId="245EC605" w14:textId="77777777" w:rsidR="006C14B1" w:rsidRDefault="005C7B88">
      <w:pPr>
        <w:pStyle w:val="BodyText"/>
        <w:ind w:left="480"/>
      </w:pPr>
      <w:r>
        <w:t>The</w:t>
      </w:r>
      <w:r>
        <w:rPr>
          <w:spacing w:val="-5"/>
        </w:rPr>
        <w:t xml:space="preserve"> </w:t>
      </w:r>
      <w:r>
        <w:t>permit action</w:t>
      </w:r>
      <w:r>
        <w:rPr>
          <w:spacing w:val="-4"/>
        </w:rPr>
        <w:t xml:space="preserve"> </w:t>
      </w:r>
      <w:r>
        <w:t>contained</w:t>
      </w:r>
      <w:r>
        <w:rPr>
          <w:spacing w:val="-6"/>
        </w:rPr>
        <w:t xml:space="preserve"> </w:t>
      </w:r>
      <w:r>
        <w:t>in #OP2946-01</w:t>
      </w:r>
      <w:r>
        <w:rPr>
          <w:spacing w:val="-3"/>
        </w:rPr>
        <w:t xml:space="preserve"> </w:t>
      </w:r>
      <w:r>
        <w:t>changed</w:t>
      </w:r>
      <w:r>
        <w:rPr>
          <w:spacing w:val="-2"/>
        </w:rPr>
        <w:t xml:space="preserve"> </w:t>
      </w:r>
      <w:r>
        <w:t>the</w:t>
      </w:r>
      <w:r>
        <w:rPr>
          <w:spacing w:val="-5"/>
        </w:rPr>
        <w:t xml:space="preserve"> </w:t>
      </w:r>
      <w:r>
        <w:t>name</w:t>
      </w:r>
      <w:r>
        <w:rPr>
          <w:spacing w:val="-5"/>
        </w:rPr>
        <w:t xml:space="preserve"> </w:t>
      </w:r>
      <w:r>
        <w:t>on</w:t>
      </w:r>
      <w:r>
        <w:rPr>
          <w:spacing w:val="-4"/>
        </w:rPr>
        <w:t xml:space="preserve"> </w:t>
      </w:r>
      <w:r>
        <w:t>the</w:t>
      </w:r>
      <w:r>
        <w:rPr>
          <w:spacing w:val="-5"/>
        </w:rPr>
        <w:t xml:space="preserve"> </w:t>
      </w:r>
      <w:r>
        <w:t>permit from Conoco</w:t>
      </w:r>
      <w:r>
        <w:rPr>
          <w:spacing w:val="-4"/>
        </w:rPr>
        <w:t xml:space="preserve"> </w:t>
      </w:r>
      <w:r>
        <w:t>to ConocoPhillips.</w:t>
      </w:r>
      <w:r>
        <w:rPr>
          <w:spacing w:val="40"/>
        </w:rPr>
        <w:t xml:space="preserve"> </w:t>
      </w:r>
      <w:r>
        <w:rPr>
          <w:b/>
        </w:rPr>
        <w:t xml:space="preserve">Operating Permit #OP2946-01 </w:t>
      </w:r>
      <w:r>
        <w:t>replaced Operating Permit #OP2946-00.</w:t>
      </w:r>
    </w:p>
    <w:p w14:paraId="245EC606" w14:textId="77777777" w:rsidR="006C14B1" w:rsidRDefault="006C14B1">
      <w:pPr>
        <w:pStyle w:val="BodyText"/>
        <w:spacing w:before="1"/>
      </w:pPr>
    </w:p>
    <w:p w14:paraId="245EC607" w14:textId="77777777" w:rsidR="006C14B1" w:rsidRDefault="005C7B88">
      <w:pPr>
        <w:pStyle w:val="BodyText"/>
        <w:ind w:left="480" w:right="312"/>
      </w:pPr>
      <w:r>
        <w:t>The</w:t>
      </w:r>
      <w:r>
        <w:rPr>
          <w:spacing w:val="-2"/>
        </w:rPr>
        <w:t xml:space="preserve"> </w:t>
      </w:r>
      <w:r>
        <w:t>permit action</w:t>
      </w:r>
      <w:r>
        <w:rPr>
          <w:spacing w:val="-1"/>
        </w:rPr>
        <w:t xml:space="preserve"> </w:t>
      </w:r>
      <w:r>
        <w:t>was a renewal of ConocoPhillips’ Title V Operating Permit</w:t>
      </w:r>
      <w:r>
        <w:rPr>
          <w:spacing w:val="-1"/>
        </w:rPr>
        <w:t xml:space="preserve"> </w:t>
      </w:r>
      <w:r>
        <w:t>#OP2946-01 for the Great Falls Product Terminal.</w:t>
      </w:r>
      <w:r>
        <w:rPr>
          <w:spacing w:val="40"/>
        </w:rPr>
        <w:t xml:space="preserve"> </w:t>
      </w:r>
      <w:r>
        <w:t>ConocoPhillips’ Operating Permit #OP2946-01 was applicable for</w:t>
      </w:r>
      <w:r>
        <w:rPr>
          <w:spacing w:val="-4"/>
        </w:rPr>
        <w:t xml:space="preserve"> </w:t>
      </w:r>
      <w:r>
        <w:t>5</w:t>
      </w:r>
      <w:r>
        <w:rPr>
          <w:spacing w:val="-3"/>
        </w:rPr>
        <w:t xml:space="preserve"> </w:t>
      </w:r>
      <w:r>
        <w:t>years</w:t>
      </w:r>
      <w:r>
        <w:rPr>
          <w:spacing w:val="-2"/>
        </w:rPr>
        <w:t xml:space="preserve"> </w:t>
      </w:r>
      <w:r>
        <w:t>and</w:t>
      </w:r>
      <w:r>
        <w:rPr>
          <w:spacing w:val="-6"/>
        </w:rPr>
        <w:t xml:space="preserve"> </w:t>
      </w:r>
      <w:r>
        <w:t>expired</w:t>
      </w:r>
      <w:r>
        <w:rPr>
          <w:spacing w:val="-6"/>
        </w:rPr>
        <w:t xml:space="preserve"> </w:t>
      </w:r>
      <w:r>
        <w:t>on</w:t>
      </w:r>
      <w:r>
        <w:rPr>
          <w:spacing w:val="-4"/>
        </w:rPr>
        <w:t xml:space="preserve"> </w:t>
      </w:r>
      <w:r>
        <w:t>January 12,</w:t>
      </w:r>
      <w:r>
        <w:rPr>
          <w:spacing w:val="-1"/>
        </w:rPr>
        <w:t xml:space="preserve"> </w:t>
      </w:r>
      <w:r>
        <w:t>2004.</w:t>
      </w:r>
      <w:r>
        <w:rPr>
          <w:spacing w:val="40"/>
        </w:rPr>
        <w:t xml:space="preserve"> </w:t>
      </w:r>
      <w:r>
        <w:t>ConocoPhillips</w:t>
      </w:r>
      <w:r>
        <w:rPr>
          <w:spacing w:val="-2"/>
        </w:rPr>
        <w:t xml:space="preserve"> </w:t>
      </w:r>
      <w:r>
        <w:t>applied</w:t>
      </w:r>
      <w:r>
        <w:rPr>
          <w:spacing w:val="-1"/>
        </w:rPr>
        <w:t xml:space="preserve"> </w:t>
      </w:r>
      <w:r>
        <w:t>for</w:t>
      </w:r>
      <w:r>
        <w:rPr>
          <w:spacing w:val="-4"/>
        </w:rPr>
        <w:t xml:space="preserve"> </w:t>
      </w:r>
      <w:r>
        <w:t>a</w:t>
      </w:r>
      <w:r>
        <w:rPr>
          <w:spacing w:val="-7"/>
        </w:rPr>
        <w:t xml:space="preserve"> </w:t>
      </w:r>
      <w:r>
        <w:t>renewal</w:t>
      </w:r>
      <w:r>
        <w:rPr>
          <w:spacing w:val="-3"/>
        </w:rPr>
        <w:t xml:space="preserve"> </w:t>
      </w:r>
      <w:r>
        <w:t>of their Title V Operating Permit on April 11, 2003.</w:t>
      </w:r>
      <w:r>
        <w:rPr>
          <w:spacing w:val="40"/>
        </w:rPr>
        <w:t xml:space="preserve"> </w:t>
      </w:r>
      <w:r>
        <w:rPr>
          <w:b/>
        </w:rPr>
        <w:t xml:space="preserve">Operating Permit #OP2946-02 </w:t>
      </w:r>
      <w:r>
        <w:t>replaced Operating Permit #OP2946-01.</w:t>
      </w:r>
    </w:p>
    <w:p w14:paraId="245EC608" w14:textId="77777777" w:rsidR="006C14B1" w:rsidRDefault="006C14B1">
      <w:pPr>
        <w:pStyle w:val="BodyText"/>
        <w:spacing w:before="9"/>
        <w:rPr>
          <w:sz w:val="23"/>
        </w:rPr>
      </w:pPr>
    </w:p>
    <w:p w14:paraId="245EC609" w14:textId="4BA66C91" w:rsidR="006C14B1" w:rsidRDefault="005C7B88">
      <w:pPr>
        <w:pStyle w:val="BodyText"/>
        <w:ind w:left="480" w:right="312"/>
      </w:pPr>
      <w:r>
        <w:t xml:space="preserve">On March 4, 2004, </w:t>
      </w:r>
      <w:r w:rsidR="00402E8D">
        <w:t>DEQ</w:t>
      </w:r>
      <w:r>
        <w:t xml:space="preserve"> received a letter from ConocoPhillips to change the responsible</w:t>
      </w:r>
      <w:r>
        <w:rPr>
          <w:spacing w:val="-2"/>
        </w:rPr>
        <w:t xml:space="preserve"> </w:t>
      </w:r>
      <w:r>
        <w:t>official</w:t>
      </w:r>
      <w:r>
        <w:rPr>
          <w:spacing w:val="-4"/>
        </w:rPr>
        <w:t xml:space="preserve"> </w:t>
      </w:r>
      <w:r>
        <w:t>from</w:t>
      </w:r>
      <w:r>
        <w:rPr>
          <w:spacing w:val="-5"/>
        </w:rPr>
        <w:t xml:space="preserve"> </w:t>
      </w:r>
      <w:r>
        <w:t>Tom</w:t>
      </w:r>
      <w:r>
        <w:rPr>
          <w:spacing w:val="-1"/>
        </w:rPr>
        <w:t xml:space="preserve"> </w:t>
      </w:r>
      <w:r>
        <w:t>Wanzeck</w:t>
      </w:r>
      <w:r>
        <w:rPr>
          <w:spacing w:val="-9"/>
        </w:rPr>
        <w:t xml:space="preserve"> </w:t>
      </w:r>
      <w:r>
        <w:t>to</w:t>
      </w:r>
      <w:r>
        <w:rPr>
          <w:spacing w:val="-5"/>
        </w:rPr>
        <w:t xml:space="preserve"> </w:t>
      </w:r>
      <w:r>
        <w:t>Karen</w:t>
      </w:r>
      <w:r>
        <w:rPr>
          <w:spacing w:val="-1"/>
        </w:rPr>
        <w:t xml:space="preserve"> </w:t>
      </w:r>
      <w:r>
        <w:t>L.</w:t>
      </w:r>
      <w:r>
        <w:rPr>
          <w:spacing w:val="-11"/>
        </w:rPr>
        <w:t xml:space="preserve"> </w:t>
      </w:r>
      <w:r>
        <w:t>Kennedy.</w:t>
      </w:r>
      <w:r>
        <w:rPr>
          <w:spacing w:val="40"/>
        </w:rPr>
        <w:t xml:space="preserve"> </w:t>
      </w:r>
      <w:r>
        <w:rPr>
          <w:b/>
        </w:rPr>
        <w:t>Operating</w:t>
      </w:r>
      <w:r>
        <w:rPr>
          <w:b/>
          <w:spacing w:val="-2"/>
        </w:rPr>
        <w:t xml:space="preserve"> </w:t>
      </w:r>
      <w:r>
        <w:rPr>
          <w:b/>
        </w:rPr>
        <w:t>Permit</w:t>
      </w:r>
      <w:r>
        <w:rPr>
          <w:b/>
          <w:spacing w:val="-2"/>
        </w:rPr>
        <w:t xml:space="preserve"> </w:t>
      </w:r>
      <w:r>
        <w:rPr>
          <w:b/>
        </w:rPr>
        <w:t xml:space="preserve">#OP2946- 03 </w:t>
      </w:r>
      <w:r>
        <w:t>replaced Operating Permit #OP2946-02.</w:t>
      </w:r>
    </w:p>
    <w:p w14:paraId="245EC60A" w14:textId="77777777" w:rsidR="006C14B1" w:rsidRDefault="006C14B1">
      <w:pPr>
        <w:sectPr w:rsidR="006C14B1">
          <w:pgSz w:w="12240" w:h="15840"/>
          <w:pgMar w:top="1080" w:right="1200" w:bottom="1320" w:left="1320" w:header="0" w:footer="1073" w:gutter="0"/>
          <w:cols w:space="720"/>
        </w:sectPr>
      </w:pPr>
    </w:p>
    <w:p w14:paraId="245EC60B" w14:textId="61A0D043" w:rsidR="006C14B1" w:rsidRDefault="005C7B88">
      <w:pPr>
        <w:pStyle w:val="BodyText"/>
        <w:spacing w:before="80"/>
        <w:ind w:left="479" w:right="275"/>
      </w:pPr>
      <w:r>
        <w:lastRenderedPageBreak/>
        <w:t xml:space="preserve">A letter from ConocoPhillips dated December 21, 2004, and received by </w:t>
      </w:r>
      <w:r w:rsidR="00402E8D">
        <w:t>DEQ</w:t>
      </w:r>
      <w:r>
        <w:t xml:space="preserve"> December 22, 2004, notified </w:t>
      </w:r>
      <w:r w:rsidR="00402E8D">
        <w:t>DEQ</w:t>
      </w:r>
      <w:r>
        <w:t xml:space="preserve"> that ConocoPhillips planned to install a 20,000- barrel internal floating roof tank used to store a combination of distillates and gasoline.</w:t>
      </w:r>
      <w:r>
        <w:rPr>
          <w:spacing w:val="80"/>
        </w:rPr>
        <w:t xml:space="preserve"> </w:t>
      </w:r>
      <w:r>
        <w:t>Since the uncontrolled PTE of the 20,000-barrel internal floating roof tank was less than 15 tons per year of any regulated pollutant the tank was added to the permit under the provisions of ARM 17.8.745 Montana Air Quality Permits--Exclusion for De Minimis Changes.</w:t>
      </w:r>
      <w:r>
        <w:rPr>
          <w:spacing w:val="40"/>
        </w:rPr>
        <w:t xml:space="preserve"> </w:t>
      </w:r>
      <w:r>
        <w:t>ConocoPhillips is considered a New Source Performance Standard (NSPS) affected facility under 40 Code of Federal</w:t>
      </w:r>
      <w:r>
        <w:rPr>
          <w:spacing w:val="-15"/>
        </w:rPr>
        <w:t xml:space="preserve"> </w:t>
      </w:r>
      <w:r>
        <w:t>Regulations</w:t>
      </w:r>
      <w:r>
        <w:rPr>
          <w:spacing w:val="-15"/>
        </w:rPr>
        <w:t xml:space="preserve"> </w:t>
      </w:r>
      <w:r>
        <w:t>(CFR)</w:t>
      </w:r>
      <w:r>
        <w:rPr>
          <w:spacing w:val="-8"/>
        </w:rPr>
        <w:t xml:space="preserve"> </w:t>
      </w:r>
      <w:r>
        <w:t>60,</w:t>
      </w:r>
      <w:r>
        <w:rPr>
          <w:spacing w:val="-10"/>
        </w:rPr>
        <w:t xml:space="preserve"> </w:t>
      </w:r>
      <w:r>
        <w:t>Subpart</w:t>
      </w:r>
      <w:r>
        <w:rPr>
          <w:spacing w:val="-13"/>
        </w:rPr>
        <w:t xml:space="preserve"> </w:t>
      </w:r>
      <w:proofErr w:type="spellStart"/>
      <w:r>
        <w:t>Kb</w:t>
      </w:r>
      <w:proofErr w:type="spellEnd"/>
      <w:r>
        <w:t>,</w:t>
      </w:r>
      <w:r>
        <w:rPr>
          <w:spacing w:val="-15"/>
        </w:rPr>
        <w:t xml:space="preserve"> </w:t>
      </w:r>
      <w:r>
        <w:t>Standards</w:t>
      </w:r>
      <w:r>
        <w:rPr>
          <w:spacing w:val="-15"/>
        </w:rPr>
        <w:t xml:space="preserve"> </w:t>
      </w:r>
      <w:r>
        <w:t>of</w:t>
      </w:r>
      <w:r>
        <w:rPr>
          <w:spacing w:val="-15"/>
        </w:rPr>
        <w:t xml:space="preserve"> </w:t>
      </w:r>
      <w:r>
        <w:t>Performance</w:t>
      </w:r>
      <w:r>
        <w:rPr>
          <w:spacing w:val="-14"/>
        </w:rPr>
        <w:t xml:space="preserve"> </w:t>
      </w:r>
      <w:r>
        <w:t>for</w:t>
      </w:r>
      <w:r>
        <w:rPr>
          <w:spacing w:val="-13"/>
        </w:rPr>
        <w:t xml:space="preserve"> </w:t>
      </w:r>
      <w:r>
        <w:t>Volatile</w:t>
      </w:r>
      <w:r>
        <w:rPr>
          <w:spacing w:val="-14"/>
        </w:rPr>
        <w:t xml:space="preserve"> </w:t>
      </w:r>
      <w:r>
        <w:t>Organic</w:t>
      </w:r>
      <w:r>
        <w:rPr>
          <w:spacing w:val="-15"/>
        </w:rPr>
        <w:t xml:space="preserve"> </w:t>
      </w:r>
      <w:r>
        <w:t>Liquid Storage</w:t>
      </w:r>
      <w:r>
        <w:rPr>
          <w:spacing w:val="-4"/>
        </w:rPr>
        <w:t xml:space="preserve"> </w:t>
      </w:r>
      <w:r>
        <w:t>Vessels.</w:t>
      </w:r>
      <w:r>
        <w:rPr>
          <w:spacing w:val="40"/>
        </w:rPr>
        <w:t xml:space="preserve"> </w:t>
      </w:r>
      <w:r>
        <w:t>The</w:t>
      </w:r>
      <w:r>
        <w:rPr>
          <w:spacing w:val="-4"/>
        </w:rPr>
        <w:t xml:space="preserve"> </w:t>
      </w:r>
      <w:r>
        <w:t>emissions</w:t>
      </w:r>
      <w:r>
        <w:rPr>
          <w:spacing w:val="-1"/>
        </w:rPr>
        <w:t xml:space="preserve"> </w:t>
      </w:r>
      <w:r>
        <w:t>were</w:t>
      </w:r>
      <w:r>
        <w:rPr>
          <w:spacing w:val="-4"/>
        </w:rPr>
        <w:t xml:space="preserve"> </w:t>
      </w:r>
      <w:r>
        <w:t>conservatively calculated using</w:t>
      </w:r>
      <w:r>
        <w:rPr>
          <w:spacing w:val="-2"/>
        </w:rPr>
        <w:t xml:space="preserve"> </w:t>
      </w:r>
      <w:r>
        <w:t>more</w:t>
      </w:r>
      <w:r>
        <w:rPr>
          <w:spacing w:val="-4"/>
        </w:rPr>
        <w:t xml:space="preserve"> </w:t>
      </w:r>
      <w:r>
        <w:t>total</w:t>
      </w:r>
      <w:r>
        <w:rPr>
          <w:spacing w:val="-2"/>
        </w:rPr>
        <w:t xml:space="preserve"> </w:t>
      </w:r>
      <w:r>
        <w:t>throughput</w:t>
      </w:r>
      <w:r>
        <w:rPr>
          <w:spacing w:val="-3"/>
        </w:rPr>
        <w:t xml:space="preserve"> </w:t>
      </w:r>
      <w:r>
        <w:t>than allowed by the current permit.</w:t>
      </w:r>
      <w:r>
        <w:rPr>
          <w:spacing w:val="40"/>
        </w:rPr>
        <w:t xml:space="preserve"> </w:t>
      </w:r>
      <w:r>
        <w:rPr>
          <w:b/>
        </w:rPr>
        <w:t xml:space="preserve">Operating Permit #OP2946-04 </w:t>
      </w:r>
      <w:r>
        <w:t xml:space="preserve">replaced Operating Permit </w:t>
      </w:r>
      <w:r>
        <w:rPr>
          <w:spacing w:val="-2"/>
        </w:rPr>
        <w:t>#OP2946-03.</w:t>
      </w:r>
    </w:p>
    <w:p w14:paraId="245EC60C" w14:textId="77777777" w:rsidR="006C14B1" w:rsidRDefault="006C14B1">
      <w:pPr>
        <w:pStyle w:val="BodyText"/>
      </w:pPr>
    </w:p>
    <w:p w14:paraId="245EC60D" w14:textId="68D65CF8" w:rsidR="006C14B1" w:rsidRDefault="005C7B88">
      <w:pPr>
        <w:pStyle w:val="BodyText"/>
        <w:ind w:left="479" w:right="312"/>
      </w:pPr>
      <w:r>
        <w:t xml:space="preserve">On March 30, 2006, </w:t>
      </w:r>
      <w:r w:rsidR="00402E8D">
        <w:t>DEQ</w:t>
      </w:r>
      <w:r>
        <w:t xml:space="preserve"> received a letter from ConocoPhillips to change the responsible</w:t>
      </w:r>
      <w:r>
        <w:rPr>
          <w:spacing w:val="-1"/>
        </w:rPr>
        <w:t xml:space="preserve"> </w:t>
      </w:r>
      <w:r>
        <w:t>official</w:t>
      </w:r>
      <w:r>
        <w:rPr>
          <w:spacing w:val="-4"/>
        </w:rPr>
        <w:t xml:space="preserve"> </w:t>
      </w:r>
      <w:r>
        <w:t>from</w:t>
      </w:r>
      <w:r>
        <w:rPr>
          <w:spacing w:val="-5"/>
        </w:rPr>
        <w:t xml:space="preserve"> </w:t>
      </w:r>
      <w:r>
        <w:t>Karen</w:t>
      </w:r>
      <w:r>
        <w:rPr>
          <w:spacing w:val="-5"/>
        </w:rPr>
        <w:t xml:space="preserve"> </w:t>
      </w:r>
      <w:r>
        <w:t>L.</w:t>
      </w:r>
      <w:r>
        <w:rPr>
          <w:spacing w:val="-7"/>
        </w:rPr>
        <w:t xml:space="preserve"> </w:t>
      </w:r>
      <w:r>
        <w:t>Kennedy</w:t>
      </w:r>
      <w:r>
        <w:rPr>
          <w:spacing w:val="-6"/>
        </w:rPr>
        <w:t xml:space="preserve"> </w:t>
      </w:r>
      <w:r>
        <w:t>to</w:t>
      </w:r>
      <w:r>
        <w:rPr>
          <w:spacing w:val="-5"/>
        </w:rPr>
        <w:t xml:space="preserve"> </w:t>
      </w:r>
      <w:r>
        <w:t>John</w:t>
      </w:r>
      <w:r>
        <w:rPr>
          <w:spacing w:val="-8"/>
        </w:rPr>
        <w:t xml:space="preserve"> </w:t>
      </w:r>
      <w:r>
        <w:t>T.</w:t>
      </w:r>
      <w:r>
        <w:rPr>
          <w:spacing w:val="-2"/>
        </w:rPr>
        <w:t xml:space="preserve"> </w:t>
      </w:r>
      <w:r>
        <w:t>Barrett.</w:t>
      </w:r>
      <w:r>
        <w:rPr>
          <w:spacing w:val="40"/>
        </w:rPr>
        <w:t xml:space="preserve"> </w:t>
      </w:r>
      <w:r>
        <w:rPr>
          <w:b/>
        </w:rPr>
        <w:t>Operating</w:t>
      </w:r>
      <w:r>
        <w:rPr>
          <w:b/>
          <w:spacing w:val="-2"/>
        </w:rPr>
        <w:t xml:space="preserve"> </w:t>
      </w:r>
      <w:r>
        <w:rPr>
          <w:b/>
        </w:rPr>
        <w:t>Permit</w:t>
      </w:r>
      <w:r>
        <w:rPr>
          <w:b/>
          <w:spacing w:val="-1"/>
        </w:rPr>
        <w:t xml:space="preserve"> </w:t>
      </w:r>
      <w:r>
        <w:rPr>
          <w:b/>
        </w:rPr>
        <w:t xml:space="preserve">#OP2946- 05 </w:t>
      </w:r>
      <w:r>
        <w:t>replaced Operating Permit #OP2946-04.</w:t>
      </w:r>
    </w:p>
    <w:p w14:paraId="245EC60E" w14:textId="77777777" w:rsidR="006C14B1" w:rsidRDefault="006C14B1">
      <w:pPr>
        <w:pStyle w:val="BodyText"/>
      </w:pPr>
    </w:p>
    <w:p w14:paraId="245EC60F" w14:textId="6FE1E6F6" w:rsidR="006C14B1" w:rsidRDefault="005C7B88">
      <w:pPr>
        <w:pStyle w:val="BodyText"/>
        <w:ind w:left="479" w:right="241"/>
      </w:pPr>
      <w:r>
        <w:t xml:space="preserve">On July 18, 2008, </w:t>
      </w:r>
      <w:r w:rsidR="00402E8D">
        <w:t>DEQ</w:t>
      </w:r>
      <w:r>
        <w:t xml:space="preserve"> received a renewal application letter from ConocoPhillips dated July 11, 2008, to renew their current Title V Operating Permit.</w:t>
      </w:r>
      <w:r>
        <w:rPr>
          <w:spacing w:val="40"/>
        </w:rPr>
        <w:t xml:space="preserve"> </w:t>
      </w:r>
      <w:r>
        <w:t xml:space="preserve">The fee associated with renewal was received by </w:t>
      </w:r>
      <w:r w:rsidR="00402E8D">
        <w:t>DEQ</w:t>
      </w:r>
      <w:r>
        <w:t xml:space="preserve"> on July 31, 2008, completing the application.</w:t>
      </w:r>
      <w:r>
        <w:rPr>
          <w:spacing w:val="40"/>
        </w:rPr>
        <w:t xml:space="preserve"> </w:t>
      </w:r>
      <w:r>
        <w:t>The only change requested was the inclusion of 40 CFR 63, Subpart BBBBBB.</w:t>
      </w:r>
      <w:r>
        <w:rPr>
          <w:spacing w:val="40"/>
        </w:rPr>
        <w:t xml:space="preserve"> </w:t>
      </w:r>
      <w:r w:rsidR="00402E8D">
        <w:t>DEQ</w:t>
      </w:r>
      <w:r>
        <w:t xml:space="preserve"> also added or modified rule references and language including prompt deviation language and the general requirement for NESHAP SSM plans.</w:t>
      </w:r>
      <w:r>
        <w:rPr>
          <w:spacing w:val="40"/>
        </w:rPr>
        <w:t xml:space="preserve"> </w:t>
      </w:r>
      <w:r>
        <w:t>Other changes include incorporation of de- minimis</w:t>
      </w:r>
      <w:r>
        <w:rPr>
          <w:spacing w:val="-1"/>
        </w:rPr>
        <w:t xml:space="preserve"> </w:t>
      </w:r>
      <w:r>
        <w:t>additions</w:t>
      </w:r>
      <w:r>
        <w:rPr>
          <w:spacing w:val="-1"/>
        </w:rPr>
        <w:t xml:space="preserve"> </w:t>
      </w:r>
      <w:r>
        <w:t>and</w:t>
      </w:r>
      <w:r>
        <w:rPr>
          <w:spacing w:val="-5"/>
        </w:rPr>
        <w:t xml:space="preserve"> </w:t>
      </w:r>
      <w:r>
        <w:t>removal</w:t>
      </w:r>
      <w:r>
        <w:rPr>
          <w:spacing w:val="-2"/>
        </w:rPr>
        <w:t xml:space="preserve"> </w:t>
      </w:r>
      <w:r>
        <w:t>of</w:t>
      </w:r>
      <w:r>
        <w:rPr>
          <w:spacing w:val="-6"/>
        </w:rPr>
        <w:t xml:space="preserve"> </w:t>
      </w:r>
      <w:r>
        <w:t>the</w:t>
      </w:r>
      <w:r>
        <w:rPr>
          <w:spacing w:val="-4"/>
        </w:rPr>
        <w:t xml:space="preserve"> </w:t>
      </w:r>
      <w:r>
        <w:t>previously permitted</w:t>
      </w:r>
      <w:r>
        <w:rPr>
          <w:spacing w:val="-5"/>
        </w:rPr>
        <w:t xml:space="preserve"> </w:t>
      </w:r>
      <w:r>
        <w:t>Transmix tank</w:t>
      </w:r>
      <w:r>
        <w:rPr>
          <w:spacing w:val="-2"/>
        </w:rPr>
        <w:t xml:space="preserve"> </w:t>
      </w:r>
      <w:r>
        <w:t>which</w:t>
      </w:r>
      <w:r>
        <w:rPr>
          <w:spacing w:val="-3"/>
        </w:rPr>
        <w:t xml:space="preserve"> </w:t>
      </w:r>
      <w:r>
        <w:t>to</w:t>
      </w:r>
      <w:r>
        <w:rPr>
          <w:spacing w:val="-3"/>
        </w:rPr>
        <w:t xml:space="preserve"> </w:t>
      </w:r>
      <w:r>
        <w:t>date</w:t>
      </w:r>
      <w:r>
        <w:rPr>
          <w:spacing w:val="-4"/>
        </w:rPr>
        <w:t xml:space="preserve"> </w:t>
      </w:r>
      <w:r>
        <w:t>had</w:t>
      </w:r>
      <w:r>
        <w:rPr>
          <w:spacing w:val="-5"/>
        </w:rPr>
        <w:t xml:space="preserve"> </w:t>
      </w:r>
      <w:r>
        <w:t>not been installed.</w:t>
      </w:r>
      <w:r>
        <w:rPr>
          <w:spacing w:val="40"/>
        </w:rPr>
        <w:t xml:space="preserve"> </w:t>
      </w:r>
      <w:r>
        <w:rPr>
          <w:b/>
        </w:rPr>
        <w:t xml:space="preserve">Operating Permit #OP2946-06 </w:t>
      </w:r>
      <w:r>
        <w:t>replaced Operating Permit #OP2946-05.</w:t>
      </w:r>
    </w:p>
    <w:p w14:paraId="245EC610" w14:textId="77777777" w:rsidR="006C14B1" w:rsidRDefault="006C14B1">
      <w:pPr>
        <w:pStyle w:val="BodyText"/>
        <w:spacing w:before="3"/>
      </w:pPr>
    </w:p>
    <w:p w14:paraId="245EC611" w14:textId="1A7C05C2" w:rsidR="006C14B1" w:rsidRDefault="00402E8D">
      <w:pPr>
        <w:pStyle w:val="BodyText"/>
        <w:spacing w:before="1"/>
        <w:ind w:left="479" w:right="368"/>
      </w:pPr>
      <w:r>
        <w:t>DEQ</w:t>
      </w:r>
      <w:r w:rsidR="005C7B88">
        <w:t xml:space="preserve"> received</w:t>
      </w:r>
      <w:r w:rsidR="005C7B88">
        <w:rPr>
          <w:spacing w:val="-2"/>
        </w:rPr>
        <w:t xml:space="preserve"> </w:t>
      </w:r>
      <w:r w:rsidR="005C7B88">
        <w:t>a</w:t>
      </w:r>
      <w:r w:rsidR="005C7B88">
        <w:rPr>
          <w:spacing w:val="-3"/>
        </w:rPr>
        <w:t xml:space="preserve"> </w:t>
      </w:r>
      <w:r w:rsidR="005C7B88">
        <w:t>letter</w:t>
      </w:r>
      <w:r w:rsidR="005C7B88">
        <w:rPr>
          <w:spacing w:val="-4"/>
        </w:rPr>
        <w:t xml:space="preserve"> </w:t>
      </w:r>
      <w:r w:rsidR="005C7B88">
        <w:t>from ConocoPhillips</w:t>
      </w:r>
      <w:r w:rsidR="005C7B88">
        <w:rPr>
          <w:spacing w:val="-2"/>
        </w:rPr>
        <w:t xml:space="preserve"> </w:t>
      </w:r>
      <w:r w:rsidR="005C7B88">
        <w:t>on April</w:t>
      </w:r>
      <w:r w:rsidR="005C7B88">
        <w:rPr>
          <w:spacing w:val="-3"/>
        </w:rPr>
        <w:t xml:space="preserve"> </w:t>
      </w:r>
      <w:r w:rsidR="005C7B88">
        <w:t>2,</w:t>
      </w:r>
      <w:r w:rsidR="005C7B88">
        <w:rPr>
          <w:spacing w:val="-2"/>
        </w:rPr>
        <w:t xml:space="preserve"> </w:t>
      </w:r>
      <w:r w:rsidR="005C7B88">
        <w:t>2012,</w:t>
      </w:r>
      <w:r w:rsidR="005C7B88">
        <w:rPr>
          <w:spacing w:val="-2"/>
        </w:rPr>
        <w:t xml:space="preserve"> </w:t>
      </w:r>
      <w:r w:rsidR="005C7B88">
        <w:t>to change</w:t>
      </w:r>
      <w:r w:rsidR="005C7B88">
        <w:rPr>
          <w:spacing w:val="-5"/>
        </w:rPr>
        <w:t xml:space="preserve"> </w:t>
      </w:r>
      <w:r w:rsidR="005C7B88">
        <w:t>the</w:t>
      </w:r>
      <w:r w:rsidR="005C7B88">
        <w:rPr>
          <w:spacing w:val="-5"/>
        </w:rPr>
        <w:t xml:space="preserve"> </w:t>
      </w:r>
      <w:r w:rsidR="005C7B88">
        <w:t>name</w:t>
      </w:r>
      <w:r w:rsidR="005C7B88">
        <w:rPr>
          <w:spacing w:val="-5"/>
        </w:rPr>
        <w:t xml:space="preserve"> </w:t>
      </w:r>
      <w:r w:rsidR="005C7B88">
        <w:t>of the company from ConocoPhillips Company to Phillips 66 Company for both the MAQP#2946-04 and #OP2946-06.</w:t>
      </w:r>
      <w:r w:rsidR="005C7B88">
        <w:rPr>
          <w:spacing w:val="40"/>
        </w:rPr>
        <w:t xml:space="preserve"> </w:t>
      </w:r>
      <w:r w:rsidR="005C7B88">
        <w:t>All new facility references added to the permit and TRD document used “Phillips 66 Company” or “Phillips”, leaving the old name only in the description of historical permit actions.</w:t>
      </w:r>
      <w:r w:rsidR="005C7B88">
        <w:rPr>
          <w:spacing w:val="40"/>
        </w:rPr>
        <w:t xml:space="preserve"> </w:t>
      </w:r>
      <w:r w:rsidR="005C7B88">
        <w:rPr>
          <w:b/>
        </w:rPr>
        <w:t xml:space="preserve">Operating Permit #OP2946-07 </w:t>
      </w:r>
      <w:r w:rsidR="005C7B88">
        <w:t>replaced Operating Permit #OP2946-06.</w:t>
      </w:r>
    </w:p>
    <w:p w14:paraId="245EC612" w14:textId="77777777" w:rsidR="006C14B1" w:rsidRDefault="006C14B1">
      <w:pPr>
        <w:pStyle w:val="BodyText"/>
        <w:spacing w:before="7"/>
        <w:rPr>
          <w:sz w:val="23"/>
        </w:rPr>
      </w:pPr>
    </w:p>
    <w:p w14:paraId="245EC613" w14:textId="747E40AB" w:rsidR="006C14B1" w:rsidRDefault="005C7B88">
      <w:pPr>
        <w:pStyle w:val="BodyText"/>
        <w:ind w:left="479" w:right="263"/>
      </w:pPr>
      <w:r>
        <w:t xml:space="preserve">On May 14, 2014, </w:t>
      </w:r>
      <w:r w:rsidR="00402E8D">
        <w:t>DEQ</w:t>
      </w:r>
      <w:r>
        <w:t xml:space="preserve"> received a renewal application for Operating Permit #OP2946-07 from Phillips 66 Company.</w:t>
      </w:r>
      <w:r>
        <w:rPr>
          <w:spacing w:val="40"/>
        </w:rPr>
        <w:t xml:space="preserve"> </w:t>
      </w:r>
      <w:r>
        <w:t xml:space="preserve">The renewal application addressed any operational changes that would need to be incorporated into the renewal permit. Phillips added one </w:t>
      </w:r>
      <w:proofErr w:type="gramStart"/>
      <w:r>
        <w:t>6000 barrel</w:t>
      </w:r>
      <w:proofErr w:type="gramEnd"/>
      <w:r>
        <w:rPr>
          <w:spacing w:val="-3"/>
        </w:rPr>
        <w:t xml:space="preserve"> </w:t>
      </w:r>
      <w:r>
        <w:t>internal</w:t>
      </w:r>
      <w:r>
        <w:rPr>
          <w:spacing w:val="-3"/>
        </w:rPr>
        <w:t xml:space="preserve"> </w:t>
      </w:r>
      <w:r>
        <w:t>floating</w:t>
      </w:r>
      <w:r>
        <w:rPr>
          <w:spacing w:val="-3"/>
        </w:rPr>
        <w:t xml:space="preserve"> </w:t>
      </w:r>
      <w:r>
        <w:t>roof</w:t>
      </w:r>
      <w:r>
        <w:rPr>
          <w:spacing w:val="-7"/>
        </w:rPr>
        <w:t xml:space="preserve"> </w:t>
      </w:r>
      <w:r>
        <w:t>tank</w:t>
      </w:r>
      <w:r>
        <w:rPr>
          <w:spacing w:val="-3"/>
        </w:rPr>
        <w:t xml:space="preserve"> </w:t>
      </w:r>
      <w:r>
        <w:t>as</w:t>
      </w:r>
      <w:r>
        <w:rPr>
          <w:spacing w:val="-2"/>
        </w:rPr>
        <w:t xml:space="preserve"> </w:t>
      </w:r>
      <w:r>
        <w:t>a</w:t>
      </w:r>
      <w:r>
        <w:rPr>
          <w:spacing w:val="-3"/>
        </w:rPr>
        <w:t xml:space="preserve"> </w:t>
      </w:r>
      <w:r>
        <w:t>de</w:t>
      </w:r>
      <w:r>
        <w:rPr>
          <w:spacing w:val="-5"/>
        </w:rPr>
        <w:t xml:space="preserve"> </w:t>
      </w:r>
      <w:r>
        <w:t>minimis</w:t>
      </w:r>
      <w:r>
        <w:rPr>
          <w:spacing w:val="-2"/>
        </w:rPr>
        <w:t xml:space="preserve"> </w:t>
      </w:r>
      <w:r>
        <w:t>action and</w:t>
      </w:r>
      <w:r>
        <w:rPr>
          <w:spacing w:val="-1"/>
        </w:rPr>
        <w:t xml:space="preserve"> </w:t>
      </w:r>
      <w:r>
        <w:t>sent</w:t>
      </w:r>
      <w:r>
        <w:rPr>
          <w:spacing w:val="-4"/>
        </w:rPr>
        <w:t xml:space="preserve"> </w:t>
      </w:r>
      <w:r>
        <w:t>a</w:t>
      </w:r>
      <w:r>
        <w:rPr>
          <w:spacing w:val="-3"/>
        </w:rPr>
        <w:t xml:space="preserve"> </w:t>
      </w:r>
      <w:r>
        <w:t>notification</w:t>
      </w:r>
      <w:r>
        <w:rPr>
          <w:spacing w:val="-4"/>
        </w:rPr>
        <w:t xml:space="preserve"> </w:t>
      </w:r>
      <w:r>
        <w:t>of</w:t>
      </w:r>
      <w:r>
        <w:rPr>
          <w:spacing w:val="-2"/>
        </w:rPr>
        <w:t xml:space="preserve"> </w:t>
      </w:r>
      <w:r>
        <w:t>construction</w:t>
      </w:r>
      <w:r>
        <w:rPr>
          <w:spacing w:val="-4"/>
        </w:rPr>
        <w:t xml:space="preserve"> </w:t>
      </w:r>
      <w:r>
        <w:t xml:space="preserve">to </w:t>
      </w:r>
      <w:r w:rsidR="00402E8D">
        <w:t>DEQ</w:t>
      </w:r>
      <w:r>
        <w:t xml:space="preserve"> on August 13, 2013.</w:t>
      </w:r>
      <w:r>
        <w:rPr>
          <w:spacing w:val="40"/>
        </w:rPr>
        <w:t xml:space="preserve"> </w:t>
      </w:r>
      <w:r>
        <w:t>Tank 96 stores denatured ethanol has a maximum throughput rate of 8,820,000 gallons per year and has a PTE of 332 lbs/yr VOC as calculated using TANKS 4.0.9.</w:t>
      </w:r>
      <w:r>
        <w:rPr>
          <w:spacing w:val="78"/>
        </w:rPr>
        <w:t xml:space="preserve"> </w:t>
      </w:r>
      <w:r>
        <w:t xml:space="preserve">The tank is subject to 40 CFR 60 Subpart </w:t>
      </w:r>
      <w:proofErr w:type="spellStart"/>
      <w:r>
        <w:t>Kb</w:t>
      </w:r>
      <w:proofErr w:type="spellEnd"/>
      <w:r>
        <w:t xml:space="preserve"> as it was constructed in 2013, has a capacity of greater than 472 barrels and stores a volatile organic compound with a true</w:t>
      </w:r>
      <w:r>
        <w:rPr>
          <w:spacing w:val="-4"/>
        </w:rPr>
        <w:t xml:space="preserve"> </w:t>
      </w:r>
      <w:r>
        <w:t>vapor</w:t>
      </w:r>
      <w:r>
        <w:rPr>
          <w:spacing w:val="-3"/>
        </w:rPr>
        <w:t xml:space="preserve"> </w:t>
      </w:r>
      <w:r>
        <w:t>pressure greater</w:t>
      </w:r>
      <w:r>
        <w:rPr>
          <w:spacing w:val="-3"/>
        </w:rPr>
        <w:t xml:space="preserve"> </w:t>
      </w:r>
      <w:r>
        <w:t>than</w:t>
      </w:r>
      <w:r>
        <w:rPr>
          <w:spacing w:val="-3"/>
        </w:rPr>
        <w:t xml:space="preserve"> </w:t>
      </w:r>
      <w:r>
        <w:t>3.5</w:t>
      </w:r>
      <w:r>
        <w:rPr>
          <w:spacing w:val="-2"/>
        </w:rPr>
        <w:t xml:space="preserve"> </w:t>
      </w:r>
      <w:r>
        <w:t>kPa.</w:t>
      </w:r>
      <w:r>
        <w:rPr>
          <w:spacing w:val="40"/>
        </w:rPr>
        <w:t xml:space="preserve"> </w:t>
      </w:r>
      <w:r>
        <w:t>This</w:t>
      </w:r>
      <w:r>
        <w:rPr>
          <w:spacing w:val="-1"/>
        </w:rPr>
        <w:t xml:space="preserve"> </w:t>
      </w:r>
      <w:r>
        <w:t>tank</w:t>
      </w:r>
      <w:r>
        <w:rPr>
          <w:spacing w:val="-2"/>
        </w:rPr>
        <w:t xml:space="preserve"> </w:t>
      </w:r>
      <w:r>
        <w:t>is</w:t>
      </w:r>
      <w:r>
        <w:rPr>
          <w:spacing w:val="-1"/>
        </w:rPr>
        <w:t xml:space="preserve"> </w:t>
      </w:r>
      <w:r>
        <w:t>the</w:t>
      </w:r>
      <w:r>
        <w:rPr>
          <w:spacing w:val="-4"/>
        </w:rPr>
        <w:t xml:space="preserve"> </w:t>
      </w:r>
      <w:r>
        <w:t>only</w:t>
      </w:r>
      <w:r>
        <w:rPr>
          <w:spacing w:val="-4"/>
        </w:rPr>
        <w:t xml:space="preserve"> </w:t>
      </w:r>
      <w:r>
        <w:t>new</w:t>
      </w:r>
      <w:r>
        <w:rPr>
          <w:spacing w:val="-2"/>
        </w:rPr>
        <w:t xml:space="preserve"> </w:t>
      </w:r>
      <w:r>
        <w:t>regulated source</w:t>
      </w:r>
      <w:r>
        <w:rPr>
          <w:spacing w:val="-4"/>
        </w:rPr>
        <w:t xml:space="preserve"> </w:t>
      </w:r>
      <w:r>
        <w:t>at</w:t>
      </w:r>
      <w:r>
        <w:rPr>
          <w:spacing w:val="-3"/>
        </w:rPr>
        <w:t xml:space="preserve"> </w:t>
      </w:r>
      <w:r>
        <w:t>the</w:t>
      </w:r>
      <w:r>
        <w:rPr>
          <w:spacing w:val="-4"/>
        </w:rPr>
        <w:t xml:space="preserve"> </w:t>
      </w:r>
      <w:r>
        <w:t>Great Falls Terminal since the last renewal and has been added to the permit.</w:t>
      </w:r>
      <w:r>
        <w:rPr>
          <w:spacing w:val="40"/>
        </w:rPr>
        <w:t xml:space="preserve"> </w:t>
      </w:r>
      <w:r>
        <w:rPr>
          <w:b/>
        </w:rPr>
        <w:t xml:space="preserve">Operating Permit #OP2946-08 </w:t>
      </w:r>
      <w:r>
        <w:t>replaced Operating Permit #OP2946-07.</w:t>
      </w:r>
    </w:p>
    <w:p w14:paraId="245EC614" w14:textId="77777777" w:rsidR="006C14B1" w:rsidRDefault="006C14B1">
      <w:pPr>
        <w:pStyle w:val="BodyText"/>
      </w:pPr>
    </w:p>
    <w:p w14:paraId="245EC615" w14:textId="1E0B5B74" w:rsidR="006C14B1" w:rsidRDefault="005C7B88">
      <w:pPr>
        <w:pStyle w:val="BodyText"/>
        <w:ind w:left="479" w:right="312"/>
      </w:pPr>
      <w:r>
        <w:t>On</w:t>
      </w:r>
      <w:r>
        <w:rPr>
          <w:spacing w:val="-1"/>
        </w:rPr>
        <w:t xml:space="preserve"> </w:t>
      </w:r>
      <w:r>
        <w:t>September</w:t>
      </w:r>
      <w:r>
        <w:rPr>
          <w:spacing w:val="-2"/>
        </w:rPr>
        <w:t xml:space="preserve"> </w:t>
      </w:r>
      <w:r>
        <w:t>4,</w:t>
      </w:r>
      <w:r>
        <w:rPr>
          <w:spacing w:val="-3"/>
        </w:rPr>
        <w:t xml:space="preserve"> </w:t>
      </w:r>
      <w:r>
        <w:t>2015,</w:t>
      </w:r>
      <w:r>
        <w:rPr>
          <w:spacing w:val="-3"/>
        </w:rPr>
        <w:t xml:space="preserve"> </w:t>
      </w:r>
      <w:r w:rsidR="00402E8D">
        <w:t>DEQ</w:t>
      </w:r>
      <w:r>
        <w:rPr>
          <w:spacing w:val="-5"/>
        </w:rPr>
        <w:t xml:space="preserve"> </w:t>
      </w:r>
      <w:r>
        <w:t>received</w:t>
      </w:r>
      <w:r>
        <w:rPr>
          <w:spacing w:val="-7"/>
        </w:rPr>
        <w:t xml:space="preserve"> </w:t>
      </w:r>
      <w:r>
        <w:t>notification</w:t>
      </w:r>
      <w:r>
        <w:rPr>
          <w:spacing w:val="-1"/>
        </w:rPr>
        <w:t xml:space="preserve"> </w:t>
      </w:r>
      <w:r>
        <w:t>of</w:t>
      </w:r>
      <w:r>
        <w:rPr>
          <w:spacing w:val="-4"/>
        </w:rPr>
        <w:t xml:space="preserve"> </w:t>
      </w:r>
      <w:r>
        <w:t>a</w:t>
      </w:r>
      <w:r>
        <w:rPr>
          <w:spacing w:val="-8"/>
        </w:rPr>
        <w:t xml:space="preserve"> </w:t>
      </w:r>
      <w:r>
        <w:t>change</w:t>
      </w:r>
      <w:r>
        <w:rPr>
          <w:spacing w:val="-2"/>
        </w:rPr>
        <w:t xml:space="preserve"> </w:t>
      </w:r>
      <w:r>
        <w:t>in</w:t>
      </w:r>
      <w:r>
        <w:rPr>
          <w:spacing w:val="-1"/>
        </w:rPr>
        <w:t xml:space="preserve"> </w:t>
      </w:r>
      <w:r>
        <w:t>responsible</w:t>
      </w:r>
      <w:r>
        <w:rPr>
          <w:spacing w:val="-2"/>
        </w:rPr>
        <w:t xml:space="preserve"> </w:t>
      </w:r>
      <w:r>
        <w:t>official, with Eli Kliewer replacing Amy Gross.</w:t>
      </w:r>
      <w:r>
        <w:rPr>
          <w:spacing w:val="40"/>
        </w:rPr>
        <w:t xml:space="preserve"> </w:t>
      </w:r>
      <w:r>
        <w:t xml:space="preserve">As such, </w:t>
      </w:r>
      <w:r>
        <w:rPr>
          <w:b/>
        </w:rPr>
        <w:t xml:space="preserve">Operating Permit #OP2946-09 </w:t>
      </w:r>
      <w:r>
        <w:t>replaced Operating Permit #OP2946-08.</w:t>
      </w:r>
    </w:p>
    <w:p w14:paraId="245EC616" w14:textId="77777777" w:rsidR="006C14B1" w:rsidRDefault="006C14B1">
      <w:pPr>
        <w:sectPr w:rsidR="006C14B1">
          <w:pgSz w:w="12240" w:h="15840"/>
          <w:pgMar w:top="1340" w:right="1200" w:bottom="1320" w:left="1320" w:header="0" w:footer="1073" w:gutter="0"/>
          <w:cols w:space="720"/>
        </w:sectPr>
      </w:pPr>
    </w:p>
    <w:p w14:paraId="245EC617" w14:textId="7429C803" w:rsidR="006C14B1" w:rsidRDefault="005C7B88">
      <w:pPr>
        <w:pStyle w:val="BodyText"/>
        <w:spacing w:before="71"/>
        <w:ind w:left="479" w:right="235"/>
      </w:pPr>
      <w:r>
        <w:lastRenderedPageBreak/>
        <w:t xml:space="preserve">On March 27, 2017, Phillips notified </w:t>
      </w:r>
      <w:r w:rsidR="00402E8D">
        <w:t>DEQ</w:t>
      </w:r>
      <w:r>
        <w:t xml:space="preserve"> of an issue with a permit condition in #OP2946-09 for the loading rack with respect to applicable 40 CFR 63, Subpart BBBBBB requirements.</w:t>
      </w:r>
      <w:r>
        <w:rPr>
          <w:spacing w:val="40"/>
        </w:rPr>
        <w:t xml:space="preserve"> </w:t>
      </w:r>
      <w:r>
        <w:t>The condition stated that Phillips shall comply with certain vapor-tightness requirements for trucks and rail cars based on 40 CFR 63, Subpart BBBBBB; however, Phillips indicated that</w:t>
      </w:r>
      <w:r>
        <w:rPr>
          <w:spacing w:val="-2"/>
        </w:rPr>
        <w:t xml:space="preserve"> </w:t>
      </w:r>
      <w:r>
        <w:t>the</w:t>
      </w:r>
      <w:r>
        <w:rPr>
          <w:spacing w:val="-3"/>
        </w:rPr>
        <w:t xml:space="preserve"> </w:t>
      </w:r>
      <w:r>
        <w:t>Great Falls Terminal</w:t>
      </w:r>
      <w:r>
        <w:rPr>
          <w:spacing w:val="-1"/>
        </w:rPr>
        <w:t xml:space="preserve"> </w:t>
      </w:r>
      <w:r>
        <w:t>was not</w:t>
      </w:r>
      <w:r>
        <w:rPr>
          <w:spacing w:val="-2"/>
        </w:rPr>
        <w:t xml:space="preserve"> </w:t>
      </w:r>
      <w:r>
        <w:t>subject</w:t>
      </w:r>
      <w:r>
        <w:rPr>
          <w:spacing w:val="-2"/>
        </w:rPr>
        <w:t xml:space="preserve"> </w:t>
      </w:r>
      <w:r>
        <w:t>to</w:t>
      </w:r>
      <w:r>
        <w:rPr>
          <w:spacing w:val="-2"/>
        </w:rPr>
        <w:t xml:space="preserve"> </w:t>
      </w:r>
      <w:r>
        <w:t>this portion</w:t>
      </w:r>
      <w:r>
        <w:rPr>
          <w:spacing w:val="-2"/>
        </w:rPr>
        <w:t xml:space="preserve"> </w:t>
      </w:r>
      <w:r>
        <w:t>of</w:t>
      </w:r>
      <w:r>
        <w:rPr>
          <w:spacing w:val="-5"/>
        </w:rPr>
        <w:t xml:space="preserve"> </w:t>
      </w:r>
      <w:r>
        <w:t>the</w:t>
      </w:r>
      <w:r>
        <w:rPr>
          <w:spacing w:val="-3"/>
        </w:rPr>
        <w:t xml:space="preserve"> </w:t>
      </w:r>
      <w:r>
        <w:t>regulation</w:t>
      </w:r>
      <w:r>
        <w:rPr>
          <w:spacing w:val="-2"/>
        </w:rPr>
        <w:t xml:space="preserve"> </w:t>
      </w:r>
      <w:r>
        <w:t>based on throughput levels.</w:t>
      </w:r>
      <w:r>
        <w:rPr>
          <w:spacing w:val="40"/>
        </w:rPr>
        <w:t xml:space="preserve"> </w:t>
      </w:r>
      <w:r w:rsidR="00402E8D">
        <w:t>DEQ</w:t>
      </w:r>
      <w:r>
        <w:rPr>
          <w:spacing w:val="-5"/>
        </w:rPr>
        <w:t xml:space="preserve"> </w:t>
      </w:r>
      <w:r>
        <w:t>provided</w:t>
      </w:r>
      <w:r>
        <w:rPr>
          <w:spacing w:val="-2"/>
        </w:rPr>
        <w:t xml:space="preserve"> </w:t>
      </w:r>
      <w:r>
        <w:t>a</w:t>
      </w:r>
      <w:r>
        <w:rPr>
          <w:spacing w:val="-4"/>
        </w:rPr>
        <w:t xml:space="preserve"> </w:t>
      </w:r>
      <w:r>
        <w:t>concurrence</w:t>
      </w:r>
      <w:r>
        <w:rPr>
          <w:spacing w:val="-6"/>
        </w:rPr>
        <w:t xml:space="preserve"> </w:t>
      </w:r>
      <w:r>
        <w:t>with</w:t>
      </w:r>
      <w:r>
        <w:rPr>
          <w:spacing w:val="-5"/>
        </w:rPr>
        <w:t xml:space="preserve"> </w:t>
      </w:r>
      <w:r>
        <w:t>this</w:t>
      </w:r>
      <w:r>
        <w:rPr>
          <w:spacing w:val="-8"/>
        </w:rPr>
        <w:t xml:space="preserve"> </w:t>
      </w:r>
      <w:r>
        <w:t>permit condition issue</w:t>
      </w:r>
      <w:r>
        <w:rPr>
          <w:spacing w:val="-1"/>
        </w:rPr>
        <w:t xml:space="preserve"> </w:t>
      </w:r>
      <w:r>
        <w:t xml:space="preserve">in a July 13, </w:t>
      </w:r>
      <w:proofErr w:type="gramStart"/>
      <w:r>
        <w:t>2017</w:t>
      </w:r>
      <w:proofErr w:type="gramEnd"/>
      <w:r>
        <w:t xml:space="preserve"> Field Services Section Report, which served as a notification of intent to correct</w:t>
      </w:r>
      <w:r>
        <w:rPr>
          <w:spacing w:val="40"/>
        </w:rPr>
        <w:t xml:space="preserve"> </w:t>
      </w:r>
      <w:r>
        <w:t>the condition via administrative amendment.</w:t>
      </w:r>
    </w:p>
    <w:p w14:paraId="245EC618" w14:textId="77777777" w:rsidR="006C14B1" w:rsidRDefault="006C14B1">
      <w:pPr>
        <w:pStyle w:val="BodyText"/>
        <w:spacing w:before="10"/>
        <w:rPr>
          <w:sz w:val="23"/>
        </w:rPr>
      </w:pPr>
    </w:p>
    <w:p w14:paraId="245EC619" w14:textId="30949FD3" w:rsidR="006C14B1" w:rsidRDefault="005C7B88">
      <w:pPr>
        <w:pStyle w:val="BodyText"/>
        <w:spacing w:line="242" w:lineRule="auto"/>
        <w:ind w:left="480"/>
      </w:pPr>
      <w:r>
        <w:t>On</w:t>
      </w:r>
      <w:r>
        <w:rPr>
          <w:spacing w:val="-1"/>
        </w:rPr>
        <w:t xml:space="preserve"> </w:t>
      </w:r>
      <w:r>
        <w:t>September</w:t>
      </w:r>
      <w:r>
        <w:rPr>
          <w:spacing w:val="-2"/>
        </w:rPr>
        <w:t xml:space="preserve"> </w:t>
      </w:r>
      <w:r>
        <w:t>25,</w:t>
      </w:r>
      <w:r>
        <w:rPr>
          <w:spacing w:val="-3"/>
        </w:rPr>
        <w:t xml:space="preserve"> </w:t>
      </w:r>
      <w:r>
        <w:t>2017,</w:t>
      </w:r>
      <w:r>
        <w:rPr>
          <w:spacing w:val="-3"/>
        </w:rPr>
        <w:t xml:space="preserve"> </w:t>
      </w:r>
      <w:r w:rsidR="00402E8D">
        <w:t>DEQ</w:t>
      </w:r>
      <w:r>
        <w:rPr>
          <w:spacing w:val="-6"/>
        </w:rPr>
        <w:t xml:space="preserve"> </w:t>
      </w:r>
      <w:r>
        <w:t>received</w:t>
      </w:r>
      <w:r>
        <w:rPr>
          <w:spacing w:val="-3"/>
        </w:rPr>
        <w:t xml:space="preserve"> </w:t>
      </w:r>
      <w:r>
        <w:t>notification</w:t>
      </w:r>
      <w:r>
        <w:rPr>
          <w:spacing w:val="-6"/>
        </w:rPr>
        <w:t xml:space="preserve"> </w:t>
      </w:r>
      <w:r>
        <w:t>of</w:t>
      </w:r>
      <w:r>
        <w:rPr>
          <w:spacing w:val="-4"/>
        </w:rPr>
        <w:t xml:space="preserve"> </w:t>
      </w:r>
      <w:r>
        <w:t>a</w:t>
      </w:r>
      <w:r>
        <w:rPr>
          <w:spacing w:val="-5"/>
        </w:rPr>
        <w:t xml:space="preserve"> </w:t>
      </w:r>
      <w:r>
        <w:t>change</w:t>
      </w:r>
      <w:r>
        <w:rPr>
          <w:spacing w:val="-2"/>
        </w:rPr>
        <w:t xml:space="preserve"> </w:t>
      </w:r>
      <w:r>
        <w:t>in</w:t>
      </w:r>
      <w:r>
        <w:rPr>
          <w:spacing w:val="-6"/>
        </w:rPr>
        <w:t xml:space="preserve"> </w:t>
      </w:r>
      <w:r>
        <w:t>responsible</w:t>
      </w:r>
      <w:r>
        <w:rPr>
          <w:spacing w:val="-2"/>
        </w:rPr>
        <w:t xml:space="preserve"> </w:t>
      </w:r>
      <w:r>
        <w:t>official, with Morgan Remus replacing Eli Kliewer.</w:t>
      </w:r>
    </w:p>
    <w:p w14:paraId="245EC61A" w14:textId="77777777" w:rsidR="006C14B1" w:rsidRDefault="006C14B1">
      <w:pPr>
        <w:pStyle w:val="BodyText"/>
        <w:spacing w:before="7"/>
        <w:rPr>
          <w:sz w:val="23"/>
        </w:rPr>
      </w:pPr>
    </w:p>
    <w:p w14:paraId="245EC61B" w14:textId="77777777" w:rsidR="006C14B1" w:rsidRDefault="005C7B88">
      <w:pPr>
        <w:pStyle w:val="BodyText"/>
        <w:ind w:left="480" w:right="264"/>
      </w:pPr>
      <w:r>
        <w:t>This</w:t>
      </w:r>
      <w:r>
        <w:rPr>
          <w:spacing w:val="-2"/>
        </w:rPr>
        <w:t xml:space="preserve"> </w:t>
      </w:r>
      <w:r>
        <w:t>permit</w:t>
      </w:r>
      <w:r>
        <w:rPr>
          <w:spacing w:val="-4"/>
        </w:rPr>
        <w:t xml:space="preserve"> </w:t>
      </w:r>
      <w:r>
        <w:t>action</w:t>
      </w:r>
      <w:r>
        <w:rPr>
          <w:spacing w:val="-4"/>
        </w:rPr>
        <w:t xml:space="preserve"> </w:t>
      </w:r>
      <w:r>
        <w:t>was</w:t>
      </w:r>
      <w:r>
        <w:rPr>
          <w:spacing w:val="-2"/>
        </w:rPr>
        <w:t xml:space="preserve"> </w:t>
      </w:r>
      <w:r>
        <w:t>an administrative amendment to</w:t>
      </w:r>
      <w:r>
        <w:rPr>
          <w:spacing w:val="-4"/>
        </w:rPr>
        <w:t xml:space="preserve"> </w:t>
      </w:r>
      <w:r>
        <w:t>update</w:t>
      </w:r>
      <w:r>
        <w:rPr>
          <w:spacing w:val="-5"/>
        </w:rPr>
        <w:t xml:space="preserve"> </w:t>
      </w:r>
      <w:r>
        <w:t>the</w:t>
      </w:r>
      <w:r>
        <w:rPr>
          <w:spacing w:val="-5"/>
        </w:rPr>
        <w:t xml:space="preserve"> </w:t>
      </w:r>
      <w:r>
        <w:t>operating</w:t>
      </w:r>
      <w:r>
        <w:rPr>
          <w:spacing w:val="-8"/>
        </w:rPr>
        <w:t xml:space="preserve"> </w:t>
      </w:r>
      <w:r>
        <w:t>permit</w:t>
      </w:r>
      <w:r>
        <w:rPr>
          <w:spacing w:val="-4"/>
        </w:rPr>
        <w:t xml:space="preserve"> </w:t>
      </w:r>
      <w:r>
        <w:t>to</w:t>
      </w:r>
      <w:r>
        <w:rPr>
          <w:spacing w:val="-4"/>
        </w:rPr>
        <w:t xml:space="preserve"> </w:t>
      </w:r>
      <w:r>
        <w:t>address these items.</w:t>
      </w:r>
      <w:r>
        <w:rPr>
          <w:spacing w:val="40"/>
        </w:rPr>
        <w:t xml:space="preserve"> </w:t>
      </w:r>
      <w:r>
        <w:rPr>
          <w:b/>
        </w:rPr>
        <w:t xml:space="preserve">Operating Permit #OP2946-10 </w:t>
      </w:r>
      <w:r>
        <w:t>replaced #OP2946-09.</w:t>
      </w:r>
    </w:p>
    <w:p w14:paraId="245EC61C" w14:textId="77777777" w:rsidR="006C14B1" w:rsidRDefault="006C14B1">
      <w:pPr>
        <w:pStyle w:val="BodyText"/>
        <w:spacing w:before="1"/>
      </w:pPr>
    </w:p>
    <w:p w14:paraId="245EC61D" w14:textId="0FA781EE" w:rsidR="006C14B1" w:rsidRDefault="005C7B88">
      <w:pPr>
        <w:pStyle w:val="BodyText"/>
        <w:spacing w:before="1"/>
        <w:ind w:left="480" w:right="312"/>
      </w:pPr>
      <w:r>
        <w:t>On October</w:t>
      </w:r>
      <w:r>
        <w:rPr>
          <w:spacing w:val="-1"/>
        </w:rPr>
        <w:t xml:space="preserve"> </w:t>
      </w:r>
      <w:r>
        <w:t>24,</w:t>
      </w:r>
      <w:r>
        <w:rPr>
          <w:spacing w:val="-2"/>
        </w:rPr>
        <w:t xml:space="preserve"> </w:t>
      </w:r>
      <w:r>
        <w:t>2018,</w:t>
      </w:r>
      <w:r>
        <w:rPr>
          <w:spacing w:val="-2"/>
        </w:rPr>
        <w:t xml:space="preserve"> </w:t>
      </w:r>
      <w:r w:rsidR="00402E8D">
        <w:t>DEQ</w:t>
      </w:r>
      <w:r>
        <w:rPr>
          <w:spacing w:val="-5"/>
        </w:rPr>
        <w:t xml:space="preserve"> </w:t>
      </w:r>
      <w:r>
        <w:t>received</w:t>
      </w:r>
      <w:r>
        <w:rPr>
          <w:spacing w:val="-2"/>
        </w:rPr>
        <w:t xml:space="preserve"> </w:t>
      </w:r>
      <w:r>
        <w:t>a</w:t>
      </w:r>
      <w:r>
        <w:rPr>
          <w:spacing w:val="-4"/>
        </w:rPr>
        <w:t xml:space="preserve"> </w:t>
      </w:r>
      <w:r>
        <w:t>letter</w:t>
      </w:r>
      <w:r>
        <w:rPr>
          <w:spacing w:val="-1"/>
        </w:rPr>
        <w:t xml:space="preserve"> </w:t>
      </w:r>
      <w:r>
        <w:t>from Phillips</w:t>
      </w:r>
      <w:r>
        <w:rPr>
          <w:spacing w:val="-3"/>
        </w:rPr>
        <w:t xml:space="preserve"> </w:t>
      </w:r>
      <w:r>
        <w:t>to</w:t>
      </w:r>
      <w:r>
        <w:rPr>
          <w:spacing w:val="-5"/>
        </w:rPr>
        <w:t xml:space="preserve"> </w:t>
      </w:r>
      <w:r>
        <w:t>change</w:t>
      </w:r>
      <w:r>
        <w:rPr>
          <w:spacing w:val="-1"/>
        </w:rPr>
        <w:t xml:space="preserve"> </w:t>
      </w:r>
      <w:r>
        <w:t>the</w:t>
      </w:r>
      <w:r>
        <w:rPr>
          <w:spacing w:val="-6"/>
        </w:rPr>
        <w:t xml:space="preserve"> </w:t>
      </w:r>
      <w:r>
        <w:t>responsible official from Morgan Remus to Eli Kliewer.</w:t>
      </w:r>
      <w:r>
        <w:rPr>
          <w:spacing w:val="40"/>
        </w:rPr>
        <w:t xml:space="preserve"> </w:t>
      </w:r>
      <w:r>
        <w:rPr>
          <w:b/>
        </w:rPr>
        <w:t xml:space="preserve">Operating Permit #OP2946-11 </w:t>
      </w:r>
      <w:r>
        <w:t>replaced Operating Permit #OP2946-10.</w:t>
      </w:r>
    </w:p>
    <w:p w14:paraId="245EC61E" w14:textId="5F79C207" w:rsidR="006C14B1" w:rsidRDefault="005C7B88">
      <w:pPr>
        <w:pStyle w:val="BodyText"/>
        <w:spacing w:before="226"/>
        <w:ind w:left="480" w:right="312"/>
      </w:pPr>
      <w:r>
        <w:t xml:space="preserve">On April 28, 2020, </w:t>
      </w:r>
      <w:r w:rsidR="00402E8D">
        <w:t>DEQ</w:t>
      </w:r>
      <w:r>
        <w:t xml:space="preserve"> received from Phillips a Title V renewal application.</w:t>
      </w:r>
      <w:r>
        <w:rPr>
          <w:spacing w:val="40"/>
        </w:rPr>
        <w:t xml:space="preserve"> </w:t>
      </w:r>
      <w:r>
        <w:t>The permitting action renewed the Title V permit.</w:t>
      </w:r>
      <w:r>
        <w:rPr>
          <w:spacing w:val="40"/>
        </w:rPr>
        <w:t xml:space="preserve"> </w:t>
      </w:r>
      <w:r>
        <w:t>Updates included specifying applicability of 40 CFR 63 Subpart BBBBBB to the tanks; updating startup, shutdown, and malfunction requirements</w:t>
      </w:r>
      <w:r>
        <w:rPr>
          <w:spacing w:val="-7"/>
        </w:rPr>
        <w:t xml:space="preserve"> </w:t>
      </w:r>
      <w:r>
        <w:t>of</w:t>
      </w:r>
      <w:r>
        <w:rPr>
          <w:spacing w:val="-2"/>
        </w:rPr>
        <w:t xml:space="preserve"> </w:t>
      </w:r>
      <w:r>
        <w:t>40</w:t>
      </w:r>
      <w:r>
        <w:rPr>
          <w:spacing w:val="-3"/>
        </w:rPr>
        <w:t xml:space="preserve"> </w:t>
      </w:r>
      <w:r>
        <w:t>CFR</w:t>
      </w:r>
      <w:r>
        <w:rPr>
          <w:spacing w:val="-2"/>
        </w:rPr>
        <w:t xml:space="preserve"> </w:t>
      </w:r>
      <w:r>
        <w:t>63.6;</w:t>
      </w:r>
      <w:r>
        <w:rPr>
          <w:spacing w:val="-1"/>
        </w:rPr>
        <w:t xml:space="preserve"> </w:t>
      </w:r>
      <w:r>
        <w:t>and</w:t>
      </w:r>
      <w:r>
        <w:rPr>
          <w:spacing w:val="-1"/>
        </w:rPr>
        <w:t xml:space="preserve"> </w:t>
      </w:r>
      <w:r>
        <w:t>adding</w:t>
      </w:r>
      <w:r>
        <w:rPr>
          <w:spacing w:val="-3"/>
        </w:rPr>
        <w:t xml:space="preserve"> </w:t>
      </w:r>
      <w:r>
        <w:t>an</w:t>
      </w:r>
      <w:r>
        <w:rPr>
          <w:spacing w:val="-4"/>
        </w:rPr>
        <w:t xml:space="preserve"> </w:t>
      </w:r>
      <w:r>
        <w:t>insignificant emitting</w:t>
      </w:r>
      <w:r>
        <w:rPr>
          <w:spacing w:val="-8"/>
        </w:rPr>
        <w:t xml:space="preserve"> </w:t>
      </w:r>
      <w:r>
        <w:t>unit</w:t>
      </w:r>
      <w:r>
        <w:rPr>
          <w:spacing w:val="-4"/>
        </w:rPr>
        <w:t xml:space="preserve"> </w:t>
      </w:r>
      <w:r>
        <w:t>(a</w:t>
      </w:r>
      <w:r>
        <w:rPr>
          <w:spacing w:val="-3"/>
        </w:rPr>
        <w:t xml:space="preserve"> </w:t>
      </w:r>
      <w:r>
        <w:t>diesel</w:t>
      </w:r>
      <w:r>
        <w:rPr>
          <w:spacing w:val="-3"/>
        </w:rPr>
        <w:t xml:space="preserve"> </w:t>
      </w:r>
      <w:r>
        <w:t xml:space="preserve">additive tank). </w:t>
      </w:r>
      <w:r>
        <w:rPr>
          <w:b/>
        </w:rPr>
        <w:t xml:space="preserve">Operating Permit #OP2946-12 </w:t>
      </w:r>
      <w:r>
        <w:t>replaced #OP2946-11.</w:t>
      </w:r>
    </w:p>
    <w:p w14:paraId="338A7721" w14:textId="77777777" w:rsidR="00B400D4" w:rsidRDefault="00B400D4" w:rsidP="00B400D4">
      <w:pPr>
        <w:pStyle w:val="BodyText"/>
        <w:ind w:left="475" w:right="346"/>
      </w:pPr>
    </w:p>
    <w:p w14:paraId="488A2649" w14:textId="5C39E170" w:rsidR="00B400D4" w:rsidRDefault="00B400D4" w:rsidP="00B400D4">
      <w:pPr>
        <w:pStyle w:val="BodyText"/>
        <w:ind w:left="475" w:right="346"/>
        <w:rPr>
          <w:spacing w:val="-2"/>
        </w:rPr>
      </w:pPr>
      <w:r>
        <w:t>On</w:t>
      </w:r>
      <w:r>
        <w:rPr>
          <w:spacing w:val="-2"/>
        </w:rPr>
        <w:t xml:space="preserve"> </w:t>
      </w:r>
      <w:r>
        <w:t>December</w:t>
      </w:r>
      <w:r>
        <w:rPr>
          <w:spacing w:val="-6"/>
        </w:rPr>
        <w:t xml:space="preserve"> </w:t>
      </w:r>
      <w:r>
        <w:t>14,</w:t>
      </w:r>
      <w:r>
        <w:rPr>
          <w:spacing w:val="-3"/>
        </w:rPr>
        <w:t xml:space="preserve"> </w:t>
      </w:r>
      <w:r>
        <w:t>2022,</w:t>
      </w:r>
      <w:r>
        <w:rPr>
          <w:spacing w:val="-3"/>
        </w:rPr>
        <w:t xml:space="preserve"> </w:t>
      </w:r>
      <w:r>
        <w:t>DEQ</w:t>
      </w:r>
      <w:r>
        <w:rPr>
          <w:spacing w:val="-2"/>
        </w:rPr>
        <w:t xml:space="preserve"> </w:t>
      </w:r>
      <w:r>
        <w:t>received</w:t>
      </w:r>
      <w:r>
        <w:rPr>
          <w:spacing w:val="-3"/>
        </w:rPr>
        <w:t xml:space="preserve"> </w:t>
      </w:r>
      <w:r>
        <w:t>an</w:t>
      </w:r>
      <w:r>
        <w:rPr>
          <w:spacing w:val="-2"/>
        </w:rPr>
        <w:t xml:space="preserve"> </w:t>
      </w:r>
      <w:r>
        <w:t>administrative</w:t>
      </w:r>
      <w:r>
        <w:rPr>
          <w:spacing w:val="-3"/>
        </w:rPr>
        <w:t xml:space="preserve"> </w:t>
      </w:r>
      <w:r>
        <w:t>amendment</w:t>
      </w:r>
      <w:r>
        <w:rPr>
          <w:spacing w:val="-6"/>
        </w:rPr>
        <w:t xml:space="preserve"> </w:t>
      </w:r>
      <w:r>
        <w:t>to</w:t>
      </w:r>
      <w:r>
        <w:rPr>
          <w:spacing w:val="-2"/>
        </w:rPr>
        <w:t xml:space="preserve"> </w:t>
      </w:r>
      <w:r>
        <w:t>change</w:t>
      </w:r>
      <w:r>
        <w:rPr>
          <w:spacing w:val="-7"/>
        </w:rPr>
        <w:t xml:space="preserve"> </w:t>
      </w:r>
      <w:r>
        <w:t>the</w:t>
      </w:r>
      <w:r>
        <w:rPr>
          <w:spacing w:val="-7"/>
        </w:rPr>
        <w:t xml:space="preserve"> </w:t>
      </w:r>
      <w:r>
        <w:t xml:space="preserve">responsible official from Eli Kleiwer to Jesse McKee. On January 9, 2023, DEQ received a request to change the responsible official from Jesse McKee to Clint Loobey, Yellowstone Pipeline Operations Superintendent – Northwest Region. Operating Permit </w:t>
      </w:r>
      <w:r>
        <w:rPr>
          <w:b/>
        </w:rPr>
        <w:t xml:space="preserve">#OP2946-13 </w:t>
      </w:r>
      <w:r>
        <w:t xml:space="preserve">replaces </w:t>
      </w:r>
      <w:r>
        <w:rPr>
          <w:spacing w:val="-2"/>
        </w:rPr>
        <w:t>#OP2946-12.</w:t>
      </w:r>
    </w:p>
    <w:p w14:paraId="245EC61F" w14:textId="77777777" w:rsidR="006C14B1" w:rsidRDefault="006C14B1">
      <w:pPr>
        <w:pStyle w:val="BodyText"/>
        <w:spacing w:before="3"/>
      </w:pPr>
    </w:p>
    <w:p w14:paraId="245EC620" w14:textId="77777777" w:rsidR="006C14B1" w:rsidRPr="00154A34" w:rsidRDefault="005C7B88">
      <w:pPr>
        <w:pStyle w:val="Heading2"/>
        <w:numPr>
          <w:ilvl w:val="0"/>
          <w:numId w:val="4"/>
        </w:numPr>
        <w:tabs>
          <w:tab w:val="left" w:pos="478"/>
        </w:tabs>
        <w:ind w:left="478" w:hanging="358"/>
      </w:pPr>
      <w:bookmarkStart w:id="5" w:name="_TOC_250016"/>
      <w:r>
        <w:t>Current Permit</w:t>
      </w:r>
      <w:r>
        <w:rPr>
          <w:spacing w:val="1"/>
        </w:rPr>
        <w:t xml:space="preserve"> </w:t>
      </w:r>
      <w:bookmarkEnd w:id="5"/>
      <w:r>
        <w:rPr>
          <w:spacing w:val="-2"/>
        </w:rPr>
        <w:t>Action</w:t>
      </w:r>
    </w:p>
    <w:p w14:paraId="02E4F2FD" w14:textId="77777777" w:rsidR="00154A34" w:rsidRDefault="00154A34" w:rsidP="00154A34">
      <w:pPr>
        <w:pStyle w:val="Heading2"/>
        <w:tabs>
          <w:tab w:val="left" w:pos="478"/>
        </w:tabs>
        <w:ind w:left="478" w:firstLine="0"/>
      </w:pPr>
    </w:p>
    <w:p w14:paraId="245EC622" w14:textId="2F0FAAB1" w:rsidR="006C14B1" w:rsidRDefault="005C7B88" w:rsidP="00154A34">
      <w:pPr>
        <w:pStyle w:val="BodyText"/>
        <w:ind w:left="475" w:right="346"/>
        <w:rPr>
          <w:spacing w:val="-2"/>
        </w:rPr>
      </w:pPr>
      <w:r>
        <w:t>On</w:t>
      </w:r>
      <w:r>
        <w:rPr>
          <w:spacing w:val="-2"/>
        </w:rPr>
        <w:t xml:space="preserve"> </w:t>
      </w:r>
      <w:r w:rsidR="00B400D4">
        <w:t>February</w:t>
      </w:r>
      <w:r>
        <w:rPr>
          <w:spacing w:val="-6"/>
        </w:rPr>
        <w:t xml:space="preserve"> </w:t>
      </w:r>
      <w:r>
        <w:t>1</w:t>
      </w:r>
      <w:r w:rsidR="00B400D4">
        <w:t>2</w:t>
      </w:r>
      <w:r>
        <w:t>,</w:t>
      </w:r>
      <w:r>
        <w:rPr>
          <w:spacing w:val="-3"/>
        </w:rPr>
        <w:t xml:space="preserve"> </w:t>
      </w:r>
      <w:r>
        <w:t>202</w:t>
      </w:r>
      <w:r w:rsidR="00B400D4">
        <w:t>6</w:t>
      </w:r>
      <w:r>
        <w:t>,</w:t>
      </w:r>
      <w:r>
        <w:rPr>
          <w:spacing w:val="-2"/>
        </w:rPr>
        <w:t xml:space="preserve"> </w:t>
      </w:r>
      <w:r w:rsidR="00B400D4">
        <w:t xml:space="preserve">DEQ received an application from Phillips for renewal of Title V Operating Permit #OP2946-13.  The application stated that there were no changes in applicable requirements during this renewal. </w:t>
      </w:r>
      <w:r>
        <w:t xml:space="preserve">Operating Permit </w:t>
      </w:r>
      <w:r>
        <w:rPr>
          <w:b/>
        </w:rPr>
        <w:t>#OP2946-1</w:t>
      </w:r>
      <w:r w:rsidR="00B400D4">
        <w:rPr>
          <w:b/>
        </w:rPr>
        <w:t>4</w:t>
      </w:r>
      <w:r>
        <w:rPr>
          <w:b/>
        </w:rPr>
        <w:t xml:space="preserve"> </w:t>
      </w:r>
      <w:r>
        <w:t xml:space="preserve">replaces </w:t>
      </w:r>
      <w:r>
        <w:rPr>
          <w:spacing w:val="-2"/>
        </w:rPr>
        <w:t>#OP2946-1</w:t>
      </w:r>
      <w:r w:rsidR="00B400D4">
        <w:rPr>
          <w:spacing w:val="-2"/>
        </w:rPr>
        <w:t>3</w:t>
      </w:r>
      <w:r>
        <w:rPr>
          <w:spacing w:val="-2"/>
        </w:rPr>
        <w:t>.</w:t>
      </w:r>
    </w:p>
    <w:p w14:paraId="1EDD1269" w14:textId="77777777" w:rsidR="00B400D4" w:rsidRDefault="00B400D4" w:rsidP="00154A34">
      <w:pPr>
        <w:pStyle w:val="BodyText"/>
        <w:ind w:left="475" w:right="346"/>
      </w:pPr>
    </w:p>
    <w:p w14:paraId="245EC623" w14:textId="77777777" w:rsidR="006C14B1" w:rsidRDefault="005C7B88">
      <w:pPr>
        <w:pStyle w:val="Heading2"/>
        <w:numPr>
          <w:ilvl w:val="0"/>
          <w:numId w:val="4"/>
        </w:numPr>
        <w:tabs>
          <w:tab w:val="left" w:pos="479"/>
        </w:tabs>
        <w:ind w:left="479" w:hanging="359"/>
      </w:pPr>
      <w:bookmarkStart w:id="6" w:name="_TOC_250015"/>
      <w:r>
        <w:t>Taking</w:t>
      </w:r>
      <w:r>
        <w:rPr>
          <w:spacing w:val="-1"/>
        </w:rPr>
        <w:t xml:space="preserve"> </w:t>
      </w:r>
      <w:r>
        <w:t>and</w:t>
      </w:r>
      <w:r>
        <w:rPr>
          <w:spacing w:val="2"/>
        </w:rPr>
        <w:t xml:space="preserve"> </w:t>
      </w:r>
      <w:r>
        <w:t>Damaging</w:t>
      </w:r>
      <w:r>
        <w:rPr>
          <w:spacing w:val="-4"/>
        </w:rPr>
        <w:t xml:space="preserve"> </w:t>
      </w:r>
      <w:bookmarkEnd w:id="6"/>
      <w:r>
        <w:rPr>
          <w:spacing w:val="-2"/>
        </w:rPr>
        <w:t>Analysis</w:t>
      </w:r>
    </w:p>
    <w:p w14:paraId="245EC624" w14:textId="77777777" w:rsidR="006C14B1" w:rsidRDefault="006C14B1">
      <w:pPr>
        <w:pStyle w:val="BodyText"/>
        <w:spacing w:before="9"/>
        <w:rPr>
          <w:b/>
          <w:sz w:val="23"/>
        </w:rPr>
      </w:pPr>
    </w:p>
    <w:p w14:paraId="245EC625" w14:textId="491CF33B" w:rsidR="006C14B1" w:rsidRDefault="005C7B88">
      <w:pPr>
        <w:pStyle w:val="BodyText"/>
        <w:ind w:left="480" w:right="241"/>
      </w:pPr>
      <w:r>
        <w:t>HB 311,</w:t>
      </w:r>
      <w:r>
        <w:rPr>
          <w:spacing w:val="-1"/>
        </w:rPr>
        <w:t xml:space="preserve"> </w:t>
      </w:r>
      <w:r>
        <w:t>the</w:t>
      </w:r>
      <w:r>
        <w:rPr>
          <w:spacing w:val="-5"/>
        </w:rPr>
        <w:t xml:space="preserve"> </w:t>
      </w:r>
      <w:r>
        <w:t>Montana</w:t>
      </w:r>
      <w:r>
        <w:rPr>
          <w:spacing w:val="-3"/>
        </w:rPr>
        <w:t xml:space="preserve"> </w:t>
      </w:r>
      <w:r>
        <w:t>Private Property</w:t>
      </w:r>
      <w:r>
        <w:rPr>
          <w:spacing w:val="-5"/>
        </w:rPr>
        <w:t xml:space="preserve"> </w:t>
      </w:r>
      <w:r>
        <w:t>Assessment</w:t>
      </w:r>
      <w:r>
        <w:rPr>
          <w:spacing w:val="-4"/>
        </w:rPr>
        <w:t xml:space="preserve"> </w:t>
      </w:r>
      <w:r>
        <w:t>Act,</w:t>
      </w:r>
      <w:r>
        <w:rPr>
          <w:spacing w:val="-6"/>
        </w:rPr>
        <w:t xml:space="preserve"> </w:t>
      </w:r>
      <w:r>
        <w:t>requires</w:t>
      </w:r>
      <w:r>
        <w:rPr>
          <w:spacing w:val="-2"/>
        </w:rPr>
        <w:t xml:space="preserve"> </w:t>
      </w:r>
      <w:r>
        <w:t>analysis</w:t>
      </w:r>
      <w:r>
        <w:rPr>
          <w:spacing w:val="-2"/>
        </w:rPr>
        <w:t xml:space="preserve"> </w:t>
      </w:r>
      <w:r>
        <w:t>of</w:t>
      </w:r>
      <w:r>
        <w:rPr>
          <w:spacing w:val="-2"/>
        </w:rPr>
        <w:t xml:space="preserve"> </w:t>
      </w:r>
      <w:r>
        <w:t>every</w:t>
      </w:r>
      <w:r>
        <w:rPr>
          <w:spacing w:val="-5"/>
        </w:rPr>
        <w:t xml:space="preserve"> </w:t>
      </w:r>
      <w:r>
        <w:t>proposed</w:t>
      </w:r>
      <w:r>
        <w:rPr>
          <w:spacing w:val="-6"/>
        </w:rPr>
        <w:t xml:space="preserve"> </w:t>
      </w:r>
      <w:r>
        <w:t>state agency administrative rule, policy, permit condition or permit denial, pertaining to an environmental matter, to determine whether the state action constitutes</w:t>
      </w:r>
      <w:r>
        <w:rPr>
          <w:spacing w:val="-1"/>
        </w:rPr>
        <w:t xml:space="preserve"> </w:t>
      </w:r>
      <w:r>
        <w:t>a taking or damaging of private real property that requires compensation under the Montana or U.S. Constitution.</w:t>
      </w:r>
      <w:r>
        <w:rPr>
          <w:spacing w:val="40"/>
        </w:rPr>
        <w:t xml:space="preserve"> </w:t>
      </w:r>
      <w:r>
        <w:t xml:space="preserve">As part of issuing an operating permit, </w:t>
      </w:r>
      <w:r w:rsidR="00402E8D">
        <w:t>DEQ</w:t>
      </w:r>
      <w:r>
        <w:t xml:space="preserve"> is required to complete a Taking and Damaging Checklist.</w:t>
      </w:r>
      <w:r>
        <w:rPr>
          <w:spacing w:val="40"/>
        </w:rPr>
        <w:t xml:space="preserve"> </w:t>
      </w:r>
      <w:r>
        <w:t xml:space="preserve">As required by 2-10-101 through 2-10-105, MCA, </w:t>
      </w:r>
      <w:r w:rsidR="00402E8D">
        <w:t>DEQ</w:t>
      </w:r>
      <w:r>
        <w:t xml:space="preserve"> conducted the following private property taking and damaging assessment.</w:t>
      </w:r>
    </w:p>
    <w:p w14:paraId="245EC626" w14:textId="77777777" w:rsidR="006C14B1" w:rsidRDefault="006C14B1">
      <w:pPr>
        <w:sectPr w:rsidR="006C14B1">
          <w:pgSz w:w="12240" w:h="15840"/>
          <w:pgMar w:top="1080" w:right="1200" w:bottom="1320" w:left="1320" w:header="0" w:footer="1073"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67"/>
        <w:gridCol w:w="657"/>
        <w:gridCol w:w="8025"/>
      </w:tblGrid>
      <w:tr w:rsidR="006C14B1" w14:paraId="245EC62A" w14:textId="77777777">
        <w:trPr>
          <w:trHeight w:val="268"/>
        </w:trPr>
        <w:tc>
          <w:tcPr>
            <w:tcW w:w="667" w:type="dxa"/>
          </w:tcPr>
          <w:p w14:paraId="245EC627" w14:textId="77777777" w:rsidR="006C14B1" w:rsidRDefault="005C7B88">
            <w:pPr>
              <w:pStyle w:val="TableParagraph"/>
              <w:spacing w:line="248" w:lineRule="exact"/>
              <w:ind w:left="96" w:right="86"/>
              <w:jc w:val="center"/>
              <w:rPr>
                <w:b/>
                <w:sz w:val="24"/>
              </w:rPr>
            </w:pPr>
            <w:r>
              <w:rPr>
                <w:b/>
                <w:spacing w:val="-5"/>
                <w:sz w:val="24"/>
              </w:rPr>
              <w:lastRenderedPageBreak/>
              <w:t>YES</w:t>
            </w:r>
          </w:p>
        </w:tc>
        <w:tc>
          <w:tcPr>
            <w:tcW w:w="657" w:type="dxa"/>
            <w:shd w:val="clear" w:color="auto" w:fill="CCCCCC"/>
          </w:tcPr>
          <w:p w14:paraId="245EC628" w14:textId="77777777" w:rsidR="006C14B1" w:rsidRDefault="005C7B88">
            <w:pPr>
              <w:pStyle w:val="TableParagraph"/>
              <w:spacing w:line="248" w:lineRule="exact"/>
              <w:ind w:left="95" w:right="128"/>
              <w:jc w:val="center"/>
              <w:rPr>
                <w:b/>
                <w:sz w:val="24"/>
              </w:rPr>
            </w:pPr>
            <w:r>
              <w:rPr>
                <w:b/>
                <w:spacing w:val="-5"/>
                <w:sz w:val="24"/>
              </w:rPr>
              <w:t>NO</w:t>
            </w:r>
          </w:p>
        </w:tc>
        <w:tc>
          <w:tcPr>
            <w:tcW w:w="8025" w:type="dxa"/>
          </w:tcPr>
          <w:p w14:paraId="245EC629" w14:textId="77777777" w:rsidR="006C14B1" w:rsidRDefault="006C14B1">
            <w:pPr>
              <w:pStyle w:val="TableParagraph"/>
              <w:spacing w:line="240" w:lineRule="auto"/>
              <w:rPr>
                <w:rFonts w:ascii="Times New Roman"/>
                <w:sz w:val="18"/>
              </w:rPr>
            </w:pPr>
          </w:p>
        </w:tc>
      </w:tr>
      <w:tr w:rsidR="006C14B1" w14:paraId="245EC62F" w14:textId="77777777">
        <w:trPr>
          <w:trHeight w:val="541"/>
        </w:trPr>
        <w:tc>
          <w:tcPr>
            <w:tcW w:w="667" w:type="dxa"/>
          </w:tcPr>
          <w:p w14:paraId="245EC62B" w14:textId="77777777" w:rsidR="006C14B1" w:rsidRDefault="005C7B88">
            <w:pPr>
              <w:pStyle w:val="TableParagraph"/>
              <w:ind w:left="9"/>
              <w:jc w:val="center"/>
              <w:rPr>
                <w:sz w:val="24"/>
              </w:rPr>
            </w:pPr>
            <w:r>
              <w:rPr>
                <w:sz w:val="24"/>
              </w:rPr>
              <w:t>X</w:t>
            </w:r>
          </w:p>
        </w:tc>
        <w:tc>
          <w:tcPr>
            <w:tcW w:w="657" w:type="dxa"/>
            <w:shd w:val="clear" w:color="auto" w:fill="CCCCCC"/>
          </w:tcPr>
          <w:p w14:paraId="245EC62C" w14:textId="77777777" w:rsidR="006C14B1" w:rsidRDefault="006C14B1">
            <w:pPr>
              <w:pStyle w:val="TableParagraph"/>
              <w:spacing w:line="240" w:lineRule="auto"/>
              <w:rPr>
                <w:rFonts w:ascii="Times New Roman"/>
              </w:rPr>
            </w:pPr>
          </w:p>
        </w:tc>
        <w:tc>
          <w:tcPr>
            <w:tcW w:w="8025" w:type="dxa"/>
          </w:tcPr>
          <w:p w14:paraId="245EC62D" w14:textId="77777777" w:rsidR="006C14B1" w:rsidRDefault="005C7B88">
            <w:pPr>
              <w:pStyle w:val="TableParagraph"/>
              <w:ind w:left="106"/>
              <w:rPr>
                <w:sz w:val="24"/>
              </w:rPr>
            </w:pPr>
            <w:r>
              <w:rPr>
                <w:sz w:val="24"/>
              </w:rPr>
              <w:t>1.</w:t>
            </w:r>
            <w:r>
              <w:rPr>
                <w:spacing w:val="-2"/>
                <w:sz w:val="24"/>
              </w:rPr>
              <w:t xml:space="preserve"> </w:t>
            </w:r>
            <w:r>
              <w:rPr>
                <w:sz w:val="24"/>
              </w:rPr>
              <w:t>Does</w:t>
            </w:r>
            <w:r>
              <w:rPr>
                <w:spacing w:val="-6"/>
                <w:sz w:val="24"/>
              </w:rPr>
              <w:t xml:space="preserve"> </w:t>
            </w:r>
            <w:r>
              <w:rPr>
                <w:sz w:val="24"/>
              </w:rPr>
              <w:t>the</w:t>
            </w:r>
            <w:r>
              <w:rPr>
                <w:spacing w:val="2"/>
                <w:sz w:val="24"/>
              </w:rPr>
              <w:t xml:space="preserve"> </w:t>
            </w:r>
            <w:r>
              <w:rPr>
                <w:sz w:val="24"/>
              </w:rPr>
              <w:t>action</w:t>
            </w:r>
            <w:r>
              <w:rPr>
                <w:spacing w:val="-3"/>
                <w:sz w:val="24"/>
              </w:rPr>
              <w:t xml:space="preserve"> </w:t>
            </w:r>
            <w:r>
              <w:rPr>
                <w:sz w:val="24"/>
              </w:rPr>
              <w:t>pertain</w:t>
            </w:r>
            <w:r>
              <w:rPr>
                <w:spacing w:val="-3"/>
                <w:sz w:val="24"/>
              </w:rPr>
              <w:t xml:space="preserve"> </w:t>
            </w:r>
            <w:r>
              <w:rPr>
                <w:sz w:val="24"/>
              </w:rPr>
              <w:t>to</w:t>
            </w:r>
            <w:r>
              <w:rPr>
                <w:spacing w:val="-2"/>
                <w:sz w:val="24"/>
              </w:rPr>
              <w:t xml:space="preserve"> </w:t>
            </w:r>
            <w:r>
              <w:rPr>
                <w:sz w:val="24"/>
              </w:rPr>
              <w:t>land or</w:t>
            </w:r>
            <w:r>
              <w:rPr>
                <w:spacing w:val="1"/>
                <w:sz w:val="24"/>
              </w:rPr>
              <w:t xml:space="preserve"> </w:t>
            </w:r>
            <w:r>
              <w:rPr>
                <w:sz w:val="24"/>
              </w:rPr>
              <w:t>water</w:t>
            </w:r>
            <w:r>
              <w:rPr>
                <w:spacing w:val="-2"/>
                <w:sz w:val="24"/>
              </w:rPr>
              <w:t xml:space="preserve"> </w:t>
            </w:r>
            <w:r>
              <w:rPr>
                <w:sz w:val="24"/>
              </w:rPr>
              <w:t>management</w:t>
            </w:r>
            <w:r>
              <w:rPr>
                <w:spacing w:val="-3"/>
                <w:sz w:val="24"/>
              </w:rPr>
              <w:t xml:space="preserve"> </w:t>
            </w:r>
            <w:r>
              <w:rPr>
                <w:sz w:val="24"/>
              </w:rPr>
              <w:t>or</w:t>
            </w:r>
            <w:r>
              <w:rPr>
                <w:spacing w:val="-2"/>
                <w:sz w:val="24"/>
              </w:rPr>
              <w:t xml:space="preserve"> environmental</w:t>
            </w:r>
          </w:p>
          <w:p w14:paraId="245EC62E" w14:textId="77777777" w:rsidR="006C14B1" w:rsidRDefault="005C7B88">
            <w:pPr>
              <w:pStyle w:val="TableParagraph"/>
              <w:spacing w:before="3" w:line="249" w:lineRule="exact"/>
              <w:ind w:left="106"/>
              <w:rPr>
                <w:sz w:val="24"/>
              </w:rPr>
            </w:pPr>
            <w:r>
              <w:rPr>
                <w:sz w:val="24"/>
              </w:rPr>
              <w:t>regulation</w:t>
            </w:r>
            <w:r>
              <w:rPr>
                <w:spacing w:val="-1"/>
                <w:sz w:val="24"/>
              </w:rPr>
              <w:t xml:space="preserve"> </w:t>
            </w:r>
            <w:r>
              <w:rPr>
                <w:sz w:val="24"/>
              </w:rPr>
              <w:t>affecting</w:t>
            </w:r>
            <w:r>
              <w:rPr>
                <w:spacing w:val="-4"/>
                <w:sz w:val="24"/>
              </w:rPr>
              <w:t xml:space="preserve"> </w:t>
            </w:r>
            <w:r>
              <w:rPr>
                <w:sz w:val="24"/>
              </w:rPr>
              <w:t>private</w:t>
            </w:r>
            <w:r>
              <w:rPr>
                <w:spacing w:val="-1"/>
                <w:sz w:val="24"/>
              </w:rPr>
              <w:t xml:space="preserve"> </w:t>
            </w:r>
            <w:r>
              <w:rPr>
                <w:sz w:val="24"/>
              </w:rPr>
              <w:t>real</w:t>
            </w:r>
            <w:r>
              <w:rPr>
                <w:spacing w:val="-4"/>
                <w:sz w:val="24"/>
              </w:rPr>
              <w:t xml:space="preserve"> </w:t>
            </w:r>
            <w:r>
              <w:rPr>
                <w:sz w:val="24"/>
              </w:rPr>
              <w:t>property</w:t>
            </w:r>
            <w:r>
              <w:rPr>
                <w:spacing w:val="-5"/>
                <w:sz w:val="24"/>
              </w:rPr>
              <w:t xml:space="preserve"> </w:t>
            </w:r>
            <w:r>
              <w:rPr>
                <w:sz w:val="24"/>
              </w:rPr>
              <w:t>or</w:t>
            </w:r>
            <w:r>
              <w:rPr>
                <w:spacing w:val="-2"/>
                <w:sz w:val="24"/>
              </w:rPr>
              <w:t xml:space="preserve"> </w:t>
            </w:r>
            <w:r>
              <w:rPr>
                <w:sz w:val="24"/>
              </w:rPr>
              <w:t>water</w:t>
            </w:r>
            <w:r>
              <w:rPr>
                <w:spacing w:val="-4"/>
                <w:sz w:val="24"/>
              </w:rPr>
              <w:t xml:space="preserve"> </w:t>
            </w:r>
            <w:r>
              <w:rPr>
                <w:spacing w:val="-2"/>
                <w:sz w:val="24"/>
              </w:rPr>
              <w:t>rights?</w:t>
            </w:r>
          </w:p>
        </w:tc>
      </w:tr>
      <w:tr w:rsidR="006C14B1" w14:paraId="245EC634" w14:textId="77777777">
        <w:trPr>
          <w:trHeight w:val="542"/>
        </w:trPr>
        <w:tc>
          <w:tcPr>
            <w:tcW w:w="667" w:type="dxa"/>
            <w:shd w:val="clear" w:color="auto" w:fill="D9D9D9"/>
          </w:tcPr>
          <w:p w14:paraId="245EC630" w14:textId="77777777" w:rsidR="006C14B1" w:rsidRDefault="006C14B1">
            <w:pPr>
              <w:pStyle w:val="TableParagraph"/>
              <w:spacing w:line="240" w:lineRule="auto"/>
              <w:rPr>
                <w:rFonts w:ascii="Times New Roman"/>
              </w:rPr>
            </w:pPr>
          </w:p>
        </w:tc>
        <w:tc>
          <w:tcPr>
            <w:tcW w:w="657" w:type="dxa"/>
          </w:tcPr>
          <w:p w14:paraId="245EC631" w14:textId="77777777" w:rsidR="006C14B1" w:rsidRDefault="005C7B88">
            <w:pPr>
              <w:pStyle w:val="TableParagraph"/>
              <w:ind w:left="10"/>
              <w:jc w:val="center"/>
              <w:rPr>
                <w:sz w:val="24"/>
              </w:rPr>
            </w:pPr>
            <w:r>
              <w:rPr>
                <w:sz w:val="24"/>
              </w:rPr>
              <w:t>X</w:t>
            </w:r>
          </w:p>
        </w:tc>
        <w:tc>
          <w:tcPr>
            <w:tcW w:w="8025" w:type="dxa"/>
          </w:tcPr>
          <w:p w14:paraId="245EC632" w14:textId="77777777" w:rsidR="006C14B1" w:rsidRDefault="005C7B88">
            <w:pPr>
              <w:pStyle w:val="TableParagraph"/>
              <w:ind w:left="106"/>
              <w:rPr>
                <w:sz w:val="24"/>
              </w:rPr>
            </w:pPr>
            <w:r>
              <w:rPr>
                <w:sz w:val="24"/>
              </w:rPr>
              <w:t>2.</w:t>
            </w:r>
            <w:r>
              <w:rPr>
                <w:spacing w:val="58"/>
                <w:sz w:val="24"/>
              </w:rPr>
              <w:t xml:space="preserve"> </w:t>
            </w:r>
            <w:r>
              <w:rPr>
                <w:sz w:val="24"/>
              </w:rPr>
              <w:t>Does</w:t>
            </w:r>
            <w:r>
              <w:rPr>
                <w:spacing w:val="-2"/>
                <w:sz w:val="24"/>
              </w:rPr>
              <w:t xml:space="preserve"> </w:t>
            </w:r>
            <w:r>
              <w:rPr>
                <w:sz w:val="24"/>
              </w:rPr>
              <w:t>the</w:t>
            </w:r>
            <w:r>
              <w:rPr>
                <w:spacing w:val="-5"/>
                <w:sz w:val="24"/>
              </w:rPr>
              <w:t xml:space="preserve"> </w:t>
            </w:r>
            <w:r>
              <w:rPr>
                <w:sz w:val="24"/>
              </w:rPr>
              <w:t>action</w:t>
            </w:r>
            <w:r>
              <w:rPr>
                <w:spacing w:val="-4"/>
                <w:sz w:val="24"/>
              </w:rPr>
              <w:t xml:space="preserve"> </w:t>
            </w:r>
            <w:r>
              <w:rPr>
                <w:sz w:val="24"/>
              </w:rPr>
              <w:t>result in</w:t>
            </w:r>
            <w:r>
              <w:rPr>
                <w:spacing w:val="-4"/>
                <w:sz w:val="24"/>
              </w:rPr>
              <w:t xml:space="preserve"> </w:t>
            </w:r>
            <w:r>
              <w:rPr>
                <w:sz w:val="24"/>
              </w:rPr>
              <w:t>either a</w:t>
            </w:r>
            <w:r>
              <w:rPr>
                <w:spacing w:val="-7"/>
                <w:sz w:val="24"/>
              </w:rPr>
              <w:t xml:space="preserve"> </w:t>
            </w:r>
            <w:r>
              <w:rPr>
                <w:sz w:val="24"/>
              </w:rPr>
              <w:t>permanent</w:t>
            </w:r>
            <w:r>
              <w:rPr>
                <w:spacing w:val="-4"/>
                <w:sz w:val="24"/>
              </w:rPr>
              <w:t xml:space="preserve"> </w:t>
            </w:r>
            <w:r>
              <w:rPr>
                <w:sz w:val="24"/>
              </w:rPr>
              <w:t>or indefinite physical</w:t>
            </w:r>
            <w:r>
              <w:rPr>
                <w:spacing w:val="-3"/>
                <w:sz w:val="24"/>
              </w:rPr>
              <w:t xml:space="preserve"> </w:t>
            </w:r>
            <w:r>
              <w:rPr>
                <w:sz w:val="24"/>
              </w:rPr>
              <w:t>occupation</w:t>
            </w:r>
            <w:r>
              <w:rPr>
                <w:spacing w:val="-4"/>
                <w:sz w:val="24"/>
              </w:rPr>
              <w:t xml:space="preserve"> </w:t>
            </w:r>
            <w:r>
              <w:rPr>
                <w:spacing w:val="-5"/>
                <w:sz w:val="24"/>
              </w:rPr>
              <w:t>of</w:t>
            </w:r>
          </w:p>
          <w:p w14:paraId="245EC633" w14:textId="77777777" w:rsidR="006C14B1" w:rsidRDefault="005C7B88">
            <w:pPr>
              <w:pStyle w:val="TableParagraph"/>
              <w:spacing w:line="253" w:lineRule="exact"/>
              <w:ind w:left="106"/>
              <w:rPr>
                <w:sz w:val="24"/>
              </w:rPr>
            </w:pPr>
            <w:r>
              <w:rPr>
                <w:sz w:val="24"/>
              </w:rPr>
              <w:t xml:space="preserve">private </w:t>
            </w:r>
            <w:r>
              <w:rPr>
                <w:spacing w:val="-2"/>
                <w:sz w:val="24"/>
              </w:rPr>
              <w:t>property?</w:t>
            </w:r>
          </w:p>
        </w:tc>
      </w:tr>
      <w:tr w:rsidR="006C14B1" w14:paraId="245EC639" w14:textId="77777777">
        <w:trPr>
          <w:trHeight w:val="537"/>
        </w:trPr>
        <w:tc>
          <w:tcPr>
            <w:tcW w:w="667" w:type="dxa"/>
            <w:shd w:val="clear" w:color="auto" w:fill="D9D9D9"/>
          </w:tcPr>
          <w:p w14:paraId="245EC635" w14:textId="77777777" w:rsidR="006C14B1" w:rsidRDefault="006C14B1">
            <w:pPr>
              <w:pStyle w:val="TableParagraph"/>
              <w:spacing w:line="240" w:lineRule="auto"/>
              <w:rPr>
                <w:rFonts w:ascii="Times New Roman"/>
              </w:rPr>
            </w:pPr>
          </w:p>
        </w:tc>
        <w:tc>
          <w:tcPr>
            <w:tcW w:w="657" w:type="dxa"/>
          </w:tcPr>
          <w:p w14:paraId="245EC636" w14:textId="77777777" w:rsidR="006C14B1" w:rsidRDefault="005C7B88">
            <w:pPr>
              <w:pStyle w:val="TableParagraph"/>
              <w:ind w:left="10"/>
              <w:jc w:val="center"/>
              <w:rPr>
                <w:sz w:val="24"/>
              </w:rPr>
            </w:pPr>
            <w:r>
              <w:rPr>
                <w:sz w:val="24"/>
              </w:rPr>
              <w:t>X</w:t>
            </w:r>
          </w:p>
        </w:tc>
        <w:tc>
          <w:tcPr>
            <w:tcW w:w="8025" w:type="dxa"/>
          </w:tcPr>
          <w:p w14:paraId="245EC637" w14:textId="77777777" w:rsidR="006C14B1" w:rsidRDefault="005C7B88">
            <w:pPr>
              <w:pStyle w:val="TableParagraph"/>
              <w:ind w:left="106"/>
              <w:rPr>
                <w:sz w:val="24"/>
              </w:rPr>
            </w:pPr>
            <w:r>
              <w:rPr>
                <w:sz w:val="24"/>
              </w:rPr>
              <w:t>3.</w:t>
            </w:r>
            <w:r>
              <w:rPr>
                <w:spacing w:val="63"/>
                <w:sz w:val="24"/>
              </w:rPr>
              <w:t xml:space="preserve"> </w:t>
            </w:r>
            <w:r>
              <w:rPr>
                <w:sz w:val="24"/>
              </w:rPr>
              <w:t>Does the</w:t>
            </w:r>
            <w:r>
              <w:rPr>
                <w:spacing w:val="-3"/>
                <w:sz w:val="24"/>
              </w:rPr>
              <w:t xml:space="preserve"> </w:t>
            </w:r>
            <w:r>
              <w:rPr>
                <w:sz w:val="24"/>
              </w:rPr>
              <w:t>action</w:t>
            </w:r>
            <w:r>
              <w:rPr>
                <w:spacing w:val="-2"/>
                <w:sz w:val="24"/>
              </w:rPr>
              <w:t xml:space="preserve"> </w:t>
            </w:r>
            <w:r>
              <w:rPr>
                <w:sz w:val="24"/>
              </w:rPr>
              <w:t>deny</w:t>
            </w:r>
            <w:r>
              <w:rPr>
                <w:spacing w:val="2"/>
                <w:sz w:val="24"/>
              </w:rPr>
              <w:t xml:space="preserve"> </w:t>
            </w:r>
            <w:r>
              <w:rPr>
                <w:sz w:val="24"/>
              </w:rPr>
              <w:t>a</w:t>
            </w:r>
            <w:r>
              <w:rPr>
                <w:spacing w:val="-5"/>
                <w:sz w:val="24"/>
              </w:rPr>
              <w:t xml:space="preserve"> </w:t>
            </w:r>
            <w:r>
              <w:rPr>
                <w:sz w:val="24"/>
              </w:rPr>
              <w:t>fundamental</w:t>
            </w:r>
            <w:r>
              <w:rPr>
                <w:spacing w:val="-1"/>
                <w:sz w:val="24"/>
              </w:rPr>
              <w:t xml:space="preserve"> </w:t>
            </w:r>
            <w:r>
              <w:rPr>
                <w:sz w:val="24"/>
              </w:rPr>
              <w:t>attribute</w:t>
            </w:r>
            <w:r>
              <w:rPr>
                <w:spacing w:val="-3"/>
                <w:sz w:val="24"/>
              </w:rPr>
              <w:t xml:space="preserve"> </w:t>
            </w:r>
            <w:r>
              <w:rPr>
                <w:sz w:val="24"/>
              </w:rPr>
              <w:t>of</w:t>
            </w:r>
            <w:r>
              <w:rPr>
                <w:spacing w:val="-9"/>
                <w:sz w:val="24"/>
              </w:rPr>
              <w:t xml:space="preserve"> </w:t>
            </w:r>
            <w:r>
              <w:rPr>
                <w:sz w:val="24"/>
              </w:rPr>
              <w:t>ownership?</w:t>
            </w:r>
            <w:r>
              <w:rPr>
                <w:spacing w:val="-5"/>
                <w:sz w:val="24"/>
              </w:rPr>
              <w:t xml:space="preserve"> </w:t>
            </w:r>
            <w:r>
              <w:rPr>
                <w:sz w:val="24"/>
              </w:rPr>
              <w:t>(ex.:</w:t>
            </w:r>
            <w:r>
              <w:rPr>
                <w:spacing w:val="58"/>
                <w:sz w:val="24"/>
              </w:rPr>
              <w:t xml:space="preserve"> </w:t>
            </w:r>
            <w:r>
              <w:rPr>
                <w:sz w:val="24"/>
              </w:rPr>
              <w:t>right</w:t>
            </w:r>
            <w:r>
              <w:rPr>
                <w:spacing w:val="-1"/>
                <w:sz w:val="24"/>
              </w:rPr>
              <w:t xml:space="preserve"> </w:t>
            </w:r>
            <w:r>
              <w:rPr>
                <w:spacing w:val="-5"/>
                <w:sz w:val="24"/>
              </w:rPr>
              <w:t>to</w:t>
            </w:r>
          </w:p>
          <w:p w14:paraId="245EC638" w14:textId="77777777" w:rsidR="006C14B1" w:rsidRDefault="005C7B88">
            <w:pPr>
              <w:pStyle w:val="TableParagraph"/>
              <w:spacing w:line="248" w:lineRule="exact"/>
              <w:ind w:left="106"/>
              <w:rPr>
                <w:sz w:val="24"/>
              </w:rPr>
            </w:pPr>
            <w:r>
              <w:rPr>
                <w:sz w:val="24"/>
              </w:rPr>
              <w:t>exclude</w:t>
            </w:r>
            <w:r>
              <w:rPr>
                <w:spacing w:val="-5"/>
                <w:sz w:val="24"/>
              </w:rPr>
              <w:t xml:space="preserve"> </w:t>
            </w:r>
            <w:r>
              <w:rPr>
                <w:sz w:val="24"/>
              </w:rPr>
              <w:t>others, disposal</w:t>
            </w:r>
            <w:r>
              <w:rPr>
                <w:spacing w:val="-2"/>
                <w:sz w:val="24"/>
              </w:rPr>
              <w:t xml:space="preserve"> </w:t>
            </w:r>
            <w:r>
              <w:rPr>
                <w:sz w:val="24"/>
              </w:rPr>
              <w:t>of</w:t>
            </w:r>
            <w:r>
              <w:rPr>
                <w:spacing w:val="-6"/>
                <w:sz w:val="24"/>
              </w:rPr>
              <w:t xml:space="preserve"> </w:t>
            </w:r>
            <w:r>
              <w:rPr>
                <w:spacing w:val="-2"/>
                <w:sz w:val="24"/>
              </w:rPr>
              <w:t>property)</w:t>
            </w:r>
          </w:p>
        </w:tc>
      </w:tr>
      <w:tr w:rsidR="006C14B1" w14:paraId="245EC63E" w14:textId="77777777">
        <w:trPr>
          <w:trHeight w:val="542"/>
        </w:trPr>
        <w:tc>
          <w:tcPr>
            <w:tcW w:w="667" w:type="dxa"/>
            <w:shd w:val="clear" w:color="auto" w:fill="D9D9D9"/>
          </w:tcPr>
          <w:p w14:paraId="245EC63A" w14:textId="77777777" w:rsidR="006C14B1" w:rsidRDefault="006C14B1">
            <w:pPr>
              <w:pStyle w:val="TableParagraph"/>
              <w:spacing w:line="240" w:lineRule="auto"/>
              <w:rPr>
                <w:rFonts w:ascii="Times New Roman"/>
              </w:rPr>
            </w:pPr>
          </w:p>
        </w:tc>
        <w:tc>
          <w:tcPr>
            <w:tcW w:w="657" w:type="dxa"/>
          </w:tcPr>
          <w:p w14:paraId="245EC63B" w14:textId="77777777" w:rsidR="006C14B1" w:rsidRDefault="005C7B88">
            <w:pPr>
              <w:pStyle w:val="TableParagraph"/>
              <w:ind w:left="10"/>
              <w:jc w:val="center"/>
              <w:rPr>
                <w:sz w:val="24"/>
              </w:rPr>
            </w:pPr>
            <w:r>
              <w:rPr>
                <w:sz w:val="24"/>
              </w:rPr>
              <w:t>X</w:t>
            </w:r>
          </w:p>
        </w:tc>
        <w:tc>
          <w:tcPr>
            <w:tcW w:w="8025" w:type="dxa"/>
          </w:tcPr>
          <w:p w14:paraId="245EC63C" w14:textId="77777777" w:rsidR="006C14B1" w:rsidRDefault="005C7B88">
            <w:pPr>
              <w:pStyle w:val="TableParagraph"/>
              <w:ind w:left="106"/>
              <w:rPr>
                <w:sz w:val="24"/>
              </w:rPr>
            </w:pPr>
            <w:r>
              <w:rPr>
                <w:sz w:val="24"/>
              </w:rPr>
              <w:t>4.</w:t>
            </w:r>
            <w:r>
              <w:rPr>
                <w:spacing w:val="60"/>
                <w:sz w:val="24"/>
              </w:rPr>
              <w:t xml:space="preserve"> </w:t>
            </w:r>
            <w:r>
              <w:rPr>
                <w:sz w:val="24"/>
              </w:rPr>
              <w:t>Does</w:t>
            </w:r>
            <w:r>
              <w:rPr>
                <w:spacing w:val="-2"/>
                <w:sz w:val="24"/>
              </w:rPr>
              <w:t xml:space="preserve"> </w:t>
            </w:r>
            <w:r>
              <w:rPr>
                <w:sz w:val="24"/>
              </w:rPr>
              <w:t>the</w:t>
            </w:r>
            <w:r>
              <w:rPr>
                <w:spacing w:val="-4"/>
                <w:sz w:val="24"/>
              </w:rPr>
              <w:t xml:space="preserve"> </w:t>
            </w:r>
            <w:r>
              <w:rPr>
                <w:sz w:val="24"/>
              </w:rPr>
              <w:t>action</w:t>
            </w:r>
            <w:r>
              <w:rPr>
                <w:spacing w:val="-3"/>
                <w:sz w:val="24"/>
              </w:rPr>
              <w:t xml:space="preserve"> </w:t>
            </w:r>
            <w:r>
              <w:rPr>
                <w:sz w:val="24"/>
              </w:rPr>
              <w:t>deprive the</w:t>
            </w:r>
            <w:r>
              <w:rPr>
                <w:spacing w:val="-4"/>
                <w:sz w:val="24"/>
              </w:rPr>
              <w:t xml:space="preserve"> </w:t>
            </w:r>
            <w:r>
              <w:rPr>
                <w:sz w:val="24"/>
              </w:rPr>
              <w:t>owner</w:t>
            </w:r>
            <w:r>
              <w:rPr>
                <w:spacing w:val="-3"/>
                <w:sz w:val="24"/>
              </w:rPr>
              <w:t xml:space="preserve"> </w:t>
            </w:r>
            <w:r>
              <w:rPr>
                <w:sz w:val="24"/>
              </w:rPr>
              <w:t>of</w:t>
            </w:r>
            <w:r>
              <w:rPr>
                <w:spacing w:val="-2"/>
                <w:sz w:val="24"/>
              </w:rPr>
              <w:t xml:space="preserve"> </w:t>
            </w:r>
            <w:r>
              <w:rPr>
                <w:sz w:val="24"/>
              </w:rPr>
              <w:t>all</w:t>
            </w:r>
            <w:r>
              <w:rPr>
                <w:spacing w:val="-2"/>
                <w:sz w:val="24"/>
              </w:rPr>
              <w:t xml:space="preserve"> </w:t>
            </w:r>
            <w:r>
              <w:rPr>
                <w:sz w:val="24"/>
              </w:rPr>
              <w:t>economically</w:t>
            </w:r>
            <w:r>
              <w:rPr>
                <w:spacing w:val="1"/>
                <w:sz w:val="24"/>
              </w:rPr>
              <w:t xml:space="preserve"> </w:t>
            </w:r>
            <w:r>
              <w:rPr>
                <w:sz w:val="24"/>
              </w:rPr>
              <w:t>viable uses</w:t>
            </w:r>
            <w:r>
              <w:rPr>
                <w:spacing w:val="-1"/>
                <w:sz w:val="24"/>
              </w:rPr>
              <w:t xml:space="preserve"> </w:t>
            </w:r>
            <w:r>
              <w:rPr>
                <w:sz w:val="24"/>
              </w:rPr>
              <w:t>of</w:t>
            </w:r>
            <w:r>
              <w:rPr>
                <w:spacing w:val="-6"/>
                <w:sz w:val="24"/>
              </w:rPr>
              <w:t xml:space="preserve"> </w:t>
            </w:r>
            <w:r>
              <w:rPr>
                <w:spacing w:val="-5"/>
                <w:sz w:val="24"/>
              </w:rPr>
              <w:t>the</w:t>
            </w:r>
          </w:p>
          <w:p w14:paraId="245EC63D" w14:textId="77777777" w:rsidR="006C14B1" w:rsidRDefault="005C7B88">
            <w:pPr>
              <w:pStyle w:val="TableParagraph"/>
              <w:spacing w:line="253" w:lineRule="exact"/>
              <w:ind w:left="106"/>
              <w:rPr>
                <w:sz w:val="24"/>
              </w:rPr>
            </w:pPr>
            <w:r>
              <w:rPr>
                <w:spacing w:val="-2"/>
                <w:sz w:val="24"/>
              </w:rPr>
              <w:t>property?</w:t>
            </w:r>
          </w:p>
        </w:tc>
      </w:tr>
      <w:tr w:rsidR="006C14B1" w14:paraId="245EC643" w14:textId="77777777">
        <w:trPr>
          <w:trHeight w:val="537"/>
        </w:trPr>
        <w:tc>
          <w:tcPr>
            <w:tcW w:w="667" w:type="dxa"/>
          </w:tcPr>
          <w:p w14:paraId="245EC63F" w14:textId="77777777" w:rsidR="006C14B1" w:rsidRDefault="006C14B1">
            <w:pPr>
              <w:pStyle w:val="TableParagraph"/>
              <w:spacing w:line="240" w:lineRule="auto"/>
              <w:rPr>
                <w:rFonts w:ascii="Times New Roman"/>
              </w:rPr>
            </w:pPr>
          </w:p>
        </w:tc>
        <w:tc>
          <w:tcPr>
            <w:tcW w:w="657" w:type="dxa"/>
            <w:shd w:val="clear" w:color="auto" w:fill="D9D9D9"/>
          </w:tcPr>
          <w:p w14:paraId="245EC640" w14:textId="77777777" w:rsidR="006C14B1" w:rsidRDefault="006C14B1">
            <w:pPr>
              <w:pStyle w:val="TableParagraph"/>
              <w:spacing w:line="240" w:lineRule="auto"/>
              <w:rPr>
                <w:rFonts w:ascii="Times New Roman"/>
              </w:rPr>
            </w:pPr>
          </w:p>
        </w:tc>
        <w:tc>
          <w:tcPr>
            <w:tcW w:w="8025" w:type="dxa"/>
          </w:tcPr>
          <w:p w14:paraId="245EC641" w14:textId="77777777" w:rsidR="006C14B1" w:rsidRDefault="005C7B88">
            <w:pPr>
              <w:pStyle w:val="TableParagraph"/>
              <w:ind w:left="106"/>
              <w:rPr>
                <w:sz w:val="24"/>
              </w:rPr>
            </w:pPr>
            <w:r>
              <w:rPr>
                <w:sz w:val="24"/>
              </w:rPr>
              <w:t>5a.</w:t>
            </w:r>
            <w:r>
              <w:rPr>
                <w:spacing w:val="57"/>
                <w:sz w:val="24"/>
              </w:rPr>
              <w:t xml:space="preserve"> </w:t>
            </w:r>
            <w:r>
              <w:rPr>
                <w:sz w:val="24"/>
              </w:rPr>
              <w:t>Is</w:t>
            </w:r>
            <w:r>
              <w:rPr>
                <w:spacing w:val="-2"/>
                <w:sz w:val="24"/>
              </w:rPr>
              <w:t xml:space="preserve"> </w:t>
            </w:r>
            <w:r>
              <w:rPr>
                <w:sz w:val="24"/>
              </w:rPr>
              <w:t>there</w:t>
            </w:r>
            <w:r>
              <w:rPr>
                <w:spacing w:val="-4"/>
                <w:sz w:val="24"/>
              </w:rPr>
              <w:t xml:space="preserve"> </w:t>
            </w:r>
            <w:r>
              <w:rPr>
                <w:sz w:val="24"/>
              </w:rPr>
              <w:t>a</w:t>
            </w:r>
            <w:r>
              <w:rPr>
                <w:spacing w:val="-7"/>
                <w:sz w:val="24"/>
              </w:rPr>
              <w:t xml:space="preserve"> </w:t>
            </w:r>
            <w:r>
              <w:rPr>
                <w:sz w:val="24"/>
              </w:rPr>
              <w:t>reasonable,</w:t>
            </w:r>
            <w:r>
              <w:rPr>
                <w:spacing w:val="-5"/>
                <w:sz w:val="24"/>
              </w:rPr>
              <w:t xml:space="preserve"> </w:t>
            </w:r>
            <w:r>
              <w:rPr>
                <w:sz w:val="24"/>
              </w:rPr>
              <w:t>specific connection</w:t>
            </w:r>
            <w:r>
              <w:rPr>
                <w:spacing w:val="-4"/>
                <w:sz w:val="24"/>
              </w:rPr>
              <w:t xml:space="preserve"> </w:t>
            </w:r>
            <w:r>
              <w:rPr>
                <w:sz w:val="24"/>
              </w:rPr>
              <w:t>between</w:t>
            </w:r>
            <w:r>
              <w:rPr>
                <w:spacing w:val="2"/>
                <w:sz w:val="24"/>
              </w:rPr>
              <w:t xml:space="preserve"> </w:t>
            </w:r>
            <w:r>
              <w:rPr>
                <w:sz w:val="24"/>
              </w:rPr>
              <w:t>the</w:t>
            </w:r>
            <w:r>
              <w:rPr>
                <w:spacing w:val="-5"/>
                <w:sz w:val="24"/>
              </w:rPr>
              <w:t xml:space="preserve"> </w:t>
            </w:r>
            <w:r>
              <w:rPr>
                <w:sz w:val="24"/>
              </w:rPr>
              <w:t>government</w:t>
            </w:r>
            <w:r>
              <w:rPr>
                <w:spacing w:val="-3"/>
                <w:sz w:val="24"/>
              </w:rPr>
              <w:t xml:space="preserve"> </w:t>
            </w:r>
            <w:proofErr w:type="gramStart"/>
            <w:r>
              <w:rPr>
                <w:spacing w:val="-2"/>
                <w:sz w:val="24"/>
              </w:rPr>
              <w:t>requirement</w:t>
            </w:r>
            <w:proofErr w:type="gramEnd"/>
          </w:p>
          <w:p w14:paraId="245EC642" w14:textId="77777777" w:rsidR="006C14B1" w:rsidRDefault="005C7B88">
            <w:pPr>
              <w:pStyle w:val="TableParagraph"/>
              <w:spacing w:line="248" w:lineRule="exact"/>
              <w:ind w:left="106"/>
              <w:rPr>
                <w:sz w:val="24"/>
              </w:rPr>
            </w:pPr>
            <w:r>
              <w:rPr>
                <w:sz w:val="24"/>
              </w:rPr>
              <w:t>and</w:t>
            </w:r>
            <w:r>
              <w:rPr>
                <w:spacing w:val="-1"/>
                <w:sz w:val="24"/>
              </w:rPr>
              <w:t xml:space="preserve"> </w:t>
            </w:r>
            <w:r>
              <w:rPr>
                <w:sz w:val="24"/>
              </w:rPr>
              <w:t>legitimate</w:t>
            </w:r>
            <w:r>
              <w:rPr>
                <w:spacing w:val="1"/>
                <w:sz w:val="24"/>
              </w:rPr>
              <w:t xml:space="preserve"> </w:t>
            </w:r>
            <w:r>
              <w:rPr>
                <w:sz w:val="24"/>
              </w:rPr>
              <w:t>state</w:t>
            </w:r>
            <w:r>
              <w:rPr>
                <w:spacing w:val="-4"/>
                <w:sz w:val="24"/>
              </w:rPr>
              <w:t xml:space="preserve"> </w:t>
            </w:r>
            <w:r>
              <w:rPr>
                <w:spacing w:val="-2"/>
                <w:sz w:val="24"/>
              </w:rPr>
              <w:t>interests?</w:t>
            </w:r>
          </w:p>
        </w:tc>
      </w:tr>
      <w:tr w:rsidR="006C14B1" w14:paraId="245EC648" w14:textId="77777777">
        <w:trPr>
          <w:trHeight w:val="541"/>
        </w:trPr>
        <w:tc>
          <w:tcPr>
            <w:tcW w:w="667" w:type="dxa"/>
          </w:tcPr>
          <w:p w14:paraId="245EC644" w14:textId="77777777" w:rsidR="006C14B1" w:rsidRDefault="006C14B1">
            <w:pPr>
              <w:pStyle w:val="TableParagraph"/>
              <w:spacing w:line="240" w:lineRule="auto"/>
              <w:rPr>
                <w:rFonts w:ascii="Times New Roman"/>
              </w:rPr>
            </w:pPr>
          </w:p>
        </w:tc>
        <w:tc>
          <w:tcPr>
            <w:tcW w:w="657" w:type="dxa"/>
            <w:shd w:val="clear" w:color="auto" w:fill="D9D9D9"/>
          </w:tcPr>
          <w:p w14:paraId="245EC645" w14:textId="77777777" w:rsidR="006C14B1" w:rsidRDefault="006C14B1">
            <w:pPr>
              <w:pStyle w:val="TableParagraph"/>
              <w:spacing w:line="240" w:lineRule="auto"/>
              <w:rPr>
                <w:rFonts w:ascii="Times New Roman"/>
              </w:rPr>
            </w:pPr>
          </w:p>
        </w:tc>
        <w:tc>
          <w:tcPr>
            <w:tcW w:w="8025" w:type="dxa"/>
          </w:tcPr>
          <w:p w14:paraId="245EC646" w14:textId="77777777" w:rsidR="006C14B1" w:rsidRDefault="005C7B88">
            <w:pPr>
              <w:pStyle w:val="TableParagraph"/>
              <w:ind w:left="106"/>
              <w:rPr>
                <w:sz w:val="24"/>
              </w:rPr>
            </w:pPr>
            <w:r>
              <w:rPr>
                <w:sz w:val="24"/>
              </w:rPr>
              <w:t>5b.</w:t>
            </w:r>
            <w:r>
              <w:rPr>
                <w:spacing w:val="58"/>
                <w:sz w:val="24"/>
              </w:rPr>
              <w:t xml:space="preserve"> </w:t>
            </w:r>
            <w:r>
              <w:rPr>
                <w:sz w:val="24"/>
              </w:rPr>
              <w:t>Is</w:t>
            </w:r>
            <w:r>
              <w:rPr>
                <w:spacing w:val="-6"/>
                <w:sz w:val="24"/>
              </w:rPr>
              <w:t xml:space="preserve"> </w:t>
            </w:r>
            <w:r>
              <w:rPr>
                <w:sz w:val="24"/>
              </w:rPr>
              <w:t>the government</w:t>
            </w:r>
            <w:r>
              <w:rPr>
                <w:spacing w:val="2"/>
                <w:sz w:val="24"/>
              </w:rPr>
              <w:t xml:space="preserve"> </w:t>
            </w:r>
            <w:r>
              <w:rPr>
                <w:sz w:val="24"/>
              </w:rPr>
              <w:t>requirement</w:t>
            </w:r>
            <w:r>
              <w:rPr>
                <w:spacing w:val="-3"/>
                <w:sz w:val="24"/>
              </w:rPr>
              <w:t xml:space="preserve"> </w:t>
            </w:r>
            <w:r>
              <w:rPr>
                <w:sz w:val="24"/>
              </w:rPr>
              <w:t>roughly</w:t>
            </w:r>
            <w:r>
              <w:rPr>
                <w:spacing w:val="-4"/>
                <w:sz w:val="24"/>
              </w:rPr>
              <w:t xml:space="preserve"> </w:t>
            </w:r>
            <w:r>
              <w:rPr>
                <w:sz w:val="24"/>
              </w:rPr>
              <w:t>proportional</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impact</w:t>
            </w:r>
            <w:r>
              <w:rPr>
                <w:spacing w:val="-3"/>
                <w:sz w:val="24"/>
              </w:rPr>
              <w:t xml:space="preserve"> </w:t>
            </w:r>
            <w:r>
              <w:rPr>
                <w:sz w:val="24"/>
              </w:rPr>
              <w:t>of</w:t>
            </w:r>
            <w:r>
              <w:rPr>
                <w:spacing w:val="-1"/>
                <w:sz w:val="24"/>
              </w:rPr>
              <w:t xml:space="preserve"> </w:t>
            </w:r>
            <w:r>
              <w:rPr>
                <w:spacing w:val="-5"/>
                <w:sz w:val="24"/>
              </w:rPr>
              <w:t>the</w:t>
            </w:r>
          </w:p>
          <w:p w14:paraId="245EC647" w14:textId="77777777" w:rsidR="006C14B1" w:rsidRDefault="005C7B88">
            <w:pPr>
              <w:pStyle w:val="TableParagraph"/>
              <w:spacing w:before="3" w:line="249" w:lineRule="exact"/>
              <w:ind w:left="106"/>
              <w:rPr>
                <w:sz w:val="24"/>
              </w:rPr>
            </w:pPr>
            <w:r>
              <w:rPr>
                <w:sz w:val="24"/>
              </w:rPr>
              <w:t>proposed</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the</w:t>
            </w:r>
            <w:r>
              <w:rPr>
                <w:spacing w:val="-1"/>
                <w:sz w:val="24"/>
              </w:rPr>
              <w:t xml:space="preserve"> </w:t>
            </w:r>
            <w:r>
              <w:rPr>
                <w:spacing w:val="-2"/>
                <w:sz w:val="24"/>
              </w:rPr>
              <w:t>property?</w:t>
            </w:r>
          </w:p>
        </w:tc>
      </w:tr>
      <w:tr w:rsidR="006C14B1" w14:paraId="245EC64D" w14:textId="77777777">
        <w:trPr>
          <w:trHeight w:val="537"/>
        </w:trPr>
        <w:tc>
          <w:tcPr>
            <w:tcW w:w="667" w:type="dxa"/>
            <w:shd w:val="clear" w:color="auto" w:fill="D9D9D9"/>
          </w:tcPr>
          <w:p w14:paraId="245EC649" w14:textId="77777777" w:rsidR="006C14B1" w:rsidRDefault="006C14B1">
            <w:pPr>
              <w:pStyle w:val="TableParagraph"/>
              <w:spacing w:line="240" w:lineRule="auto"/>
              <w:rPr>
                <w:rFonts w:ascii="Times New Roman"/>
              </w:rPr>
            </w:pPr>
          </w:p>
        </w:tc>
        <w:tc>
          <w:tcPr>
            <w:tcW w:w="657" w:type="dxa"/>
          </w:tcPr>
          <w:p w14:paraId="245EC64A" w14:textId="77777777" w:rsidR="006C14B1" w:rsidRDefault="005C7B88">
            <w:pPr>
              <w:pStyle w:val="TableParagraph"/>
              <w:ind w:left="10"/>
              <w:jc w:val="center"/>
              <w:rPr>
                <w:sz w:val="24"/>
              </w:rPr>
            </w:pPr>
            <w:r>
              <w:rPr>
                <w:sz w:val="24"/>
              </w:rPr>
              <w:t>X</w:t>
            </w:r>
          </w:p>
        </w:tc>
        <w:tc>
          <w:tcPr>
            <w:tcW w:w="8025" w:type="dxa"/>
          </w:tcPr>
          <w:p w14:paraId="245EC64B" w14:textId="77777777" w:rsidR="006C14B1" w:rsidRDefault="005C7B88">
            <w:pPr>
              <w:pStyle w:val="TableParagraph"/>
              <w:ind w:left="106"/>
              <w:rPr>
                <w:sz w:val="24"/>
              </w:rPr>
            </w:pPr>
            <w:r>
              <w:rPr>
                <w:sz w:val="24"/>
              </w:rPr>
              <w:t>6.</w:t>
            </w:r>
            <w:r>
              <w:rPr>
                <w:spacing w:val="59"/>
                <w:sz w:val="24"/>
              </w:rPr>
              <w:t xml:space="preserve"> </w:t>
            </w:r>
            <w:r>
              <w:rPr>
                <w:sz w:val="24"/>
              </w:rPr>
              <w:t>Does</w:t>
            </w:r>
            <w:r>
              <w:rPr>
                <w:spacing w:val="-1"/>
                <w:sz w:val="24"/>
              </w:rPr>
              <w:t xml:space="preserve"> </w:t>
            </w:r>
            <w:r>
              <w:rPr>
                <w:sz w:val="24"/>
              </w:rPr>
              <w:t>the</w:t>
            </w:r>
            <w:r>
              <w:rPr>
                <w:spacing w:val="-4"/>
                <w:sz w:val="24"/>
              </w:rPr>
              <w:t xml:space="preserve"> </w:t>
            </w:r>
            <w:r>
              <w:rPr>
                <w:sz w:val="24"/>
              </w:rPr>
              <w:t>action</w:t>
            </w:r>
            <w:r>
              <w:rPr>
                <w:spacing w:val="-2"/>
                <w:sz w:val="24"/>
              </w:rPr>
              <w:t xml:space="preserve"> </w:t>
            </w:r>
            <w:r>
              <w:rPr>
                <w:sz w:val="24"/>
              </w:rPr>
              <w:t>have</w:t>
            </w:r>
            <w:r>
              <w:rPr>
                <w:spacing w:val="1"/>
                <w:sz w:val="24"/>
              </w:rPr>
              <w:t xml:space="preserve"> </w:t>
            </w:r>
            <w:r>
              <w:rPr>
                <w:sz w:val="24"/>
              </w:rPr>
              <w:t>a</w:t>
            </w:r>
            <w:r>
              <w:rPr>
                <w:spacing w:val="-6"/>
                <w:sz w:val="24"/>
              </w:rPr>
              <w:t xml:space="preserve"> </w:t>
            </w:r>
            <w:r>
              <w:rPr>
                <w:sz w:val="24"/>
              </w:rPr>
              <w:t>severe</w:t>
            </w:r>
            <w:r>
              <w:rPr>
                <w:spacing w:val="1"/>
                <w:sz w:val="24"/>
              </w:rPr>
              <w:t xml:space="preserve"> </w:t>
            </w:r>
            <w:r>
              <w:rPr>
                <w:sz w:val="24"/>
              </w:rPr>
              <w:t>impact</w:t>
            </w:r>
            <w:r>
              <w:rPr>
                <w:spacing w:val="-2"/>
                <w:sz w:val="24"/>
              </w:rPr>
              <w:t xml:space="preserve"> </w:t>
            </w:r>
            <w:r>
              <w:rPr>
                <w:sz w:val="24"/>
              </w:rPr>
              <w:t>on</w:t>
            </w:r>
            <w:r>
              <w:rPr>
                <w:spacing w:val="2"/>
                <w:sz w:val="24"/>
              </w:rPr>
              <w:t xml:space="preserve"> </w:t>
            </w:r>
            <w:r>
              <w:rPr>
                <w:sz w:val="24"/>
              </w:rPr>
              <w:t>the</w:t>
            </w:r>
            <w:r>
              <w:rPr>
                <w:spacing w:val="-4"/>
                <w:sz w:val="24"/>
              </w:rPr>
              <w:t xml:space="preserve"> </w:t>
            </w:r>
            <w:r>
              <w:rPr>
                <w:sz w:val="24"/>
              </w:rPr>
              <w:t>value</w:t>
            </w:r>
            <w:r>
              <w:rPr>
                <w:spacing w:val="1"/>
                <w:sz w:val="24"/>
              </w:rPr>
              <w:t xml:space="preserve"> </w:t>
            </w:r>
            <w:r>
              <w:rPr>
                <w:sz w:val="24"/>
              </w:rPr>
              <w:t>of</w:t>
            </w:r>
            <w:r>
              <w:rPr>
                <w:spacing w:val="-5"/>
                <w:sz w:val="24"/>
              </w:rPr>
              <w:t xml:space="preserve"> </w:t>
            </w:r>
            <w:r>
              <w:rPr>
                <w:sz w:val="24"/>
              </w:rPr>
              <w:t>the</w:t>
            </w:r>
            <w:r>
              <w:rPr>
                <w:spacing w:val="-4"/>
                <w:sz w:val="24"/>
              </w:rPr>
              <w:t xml:space="preserve"> </w:t>
            </w:r>
            <w:r>
              <w:rPr>
                <w:sz w:val="24"/>
              </w:rPr>
              <w:t>property?</w:t>
            </w:r>
            <w:r>
              <w:rPr>
                <w:spacing w:val="55"/>
                <w:sz w:val="24"/>
              </w:rPr>
              <w:t xml:space="preserve"> </w:t>
            </w:r>
            <w:r>
              <w:rPr>
                <w:spacing w:val="-2"/>
                <w:sz w:val="24"/>
              </w:rPr>
              <w:t>(</w:t>
            </w:r>
            <w:proofErr w:type="gramStart"/>
            <w:r>
              <w:rPr>
                <w:spacing w:val="-2"/>
                <w:sz w:val="24"/>
              </w:rPr>
              <w:t>consider</w:t>
            </w:r>
            <w:proofErr w:type="gramEnd"/>
          </w:p>
          <w:p w14:paraId="245EC64C" w14:textId="77777777" w:rsidR="006C14B1" w:rsidRDefault="005C7B88">
            <w:pPr>
              <w:pStyle w:val="TableParagraph"/>
              <w:spacing w:line="248" w:lineRule="exact"/>
              <w:ind w:left="106"/>
              <w:rPr>
                <w:sz w:val="24"/>
              </w:rPr>
            </w:pPr>
            <w:r>
              <w:rPr>
                <w:sz w:val="24"/>
              </w:rPr>
              <w:t>economic</w:t>
            </w:r>
            <w:r>
              <w:rPr>
                <w:spacing w:val="-7"/>
                <w:sz w:val="24"/>
              </w:rPr>
              <w:t xml:space="preserve"> </w:t>
            </w:r>
            <w:r>
              <w:rPr>
                <w:sz w:val="24"/>
              </w:rPr>
              <w:t>impact,</w:t>
            </w:r>
            <w:r>
              <w:rPr>
                <w:spacing w:val="-6"/>
                <w:sz w:val="24"/>
              </w:rPr>
              <w:t xml:space="preserve"> </w:t>
            </w:r>
            <w:r>
              <w:rPr>
                <w:sz w:val="24"/>
              </w:rPr>
              <w:t>investment-backed</w:t>
            </w:r>
            <w:r>
              <w:rPr>
                <w:spacing w:val="-6"/>
                <w:sz w:val="24"/>
              </w:rPr>
              <w:t xml:space="preserve"> </w:t>
            </w:r>
            <w:r>
              <w:rPr>
                <w:sz w:val="24"/>
              </w:rPr>
              <w:t>expectations,</w:t>
            </w:r>
            <w:r>
              <w:rPr>
                <w:spacing w:val="-1"/>
                <w:sz w:val="24"/>
              </w:rPr>
              <w:t xml:space="preserve"> </w:t>
            </w:r>
            <w:r>
              <w:rPr>
                <w:sz w:val="24"/>
              </w:rPr>
              <w:t>character</w:t>
            </w:r>
            <w:r>
              <w:rPr>
                <w:spacing w:val="-4"/>
                <w:sz w:val="24"/>
              </w:rPr>
              <w:t xml:space="preserve"> </w:t>
            </w:r>
            <w:r>
              <w:rPr>
                <w:sz w:val="24"/>
              </w:rPr>
              <w:t>of</w:t>
            </w:r>
            <w:r>
              <w:rPr>
                <w:spacing w:val="-7"/>
                <w:sz w:val="24"/>
              </w:rPr>
              <w:t xml:space="preserve"> </w:t>
            </w:r>
            <w:r>
              <w:rPr>
                <w:sz w:val="24"/>
              </w:rPr>
              <w:t>government</w:t>
            </w:r>
            <w:r>
              <w:rPr>
                <w:spacing w:val="1"/>
                <w:sz w:val="24"/>
              </w:rPr>
              <w:t xml:space="preserve"> </w:t>
            </w:r>
            <w:r>
              <w:rPr>
                <w:spacing w:val="-2"/>
                <w:sz w:val="24"/>
              </w:rPr>
              <w:t>action)</w:t>
            </w:r>
          </w:p>
        </w:tc>
      </w:tr>
      <w:tr w:rsidR="006C14B1" w14:paraId="245EC652" w14:textId="77777777">
        <w:trPr>
          <w:trHeight w:val="542"/>
        </w:trPr>
        <w:tc>
          <w:tcPr>
            <w:tcW w:w="667" w:type="dxa"/>
          </w:tcPr>
          <w:p w14:paraId="245EC64E" w14:textId="77777777" w:rsidR="006C14B1" w:rsidRDefault="006C14B1">
            <w:pPr>
              <w:pStyle w:val="TableParagraph"/>
              <w:spacing w:line="240" w:lineRule="auto"/>
              <w:rPr>
                <w:rFonts w:ascii="Times New Roman"/>
              </w:rPr>
            </w:pPr>
          </w:p>
        </w:tc>
        <w:tc>
          <w:tcPr>
            <w:tcW w:w="657" w:type="dxa"/>
          </w:tcPr>
          <w:p w14:paraId="245EC64F" w14:textId="77777777" w:rsidR="006C14B1" w:rsidRDefault="005C7B88">
            <w:pPr>
              <w:pStyle w:val="TableParagraph"/>
              <w:spacing w:before="4" w:line="240" w:lineRule="auto"/>
              <w:ind w:left="10"/>
              <w:jc w:val="center"/>
              <w:rPr>
                <w:sz w:val="24"/>
              </w:rPr>
            </w:pPr>
            <w:r>
              <w:rPr>
                <w:sz w:val="24"/>
              </w:rPr>
              <w:t>X</w:t>
            </w:r>
          </w:p>
        </w:tc>
        <w:tc>
          <w:tcPr>
            <w:tcW w:w="8025" w:type="dxa"/>
          </w:tcPr>
          <w:p w14:paraId="245EC650" w14:textId="77777777" w:rsidR="006C14B1" w:rsidRDefault="005C7B88">
            <w:pPr>
              <w:pStyle w:val="TableParagraph"/>
              <w:spacing w:before="4"/>
              <w:ind w:left="106"/>
              <w:rPr>
                <w:sz w:val="24"/>
              </w:rPr>
            </w:pPr>
            <w:r>
              <w:rPr>
                <w:sz w:val="24"/>
              </w:rPr>
              <w:t>7.</w:t>
            </w:r>
            <w:r>
              <w:rPr>
                <w:spacing w:val="61"/>
                <w:sz w:val="24"/>
              </w:rPr>
              <w:t xml:space="preserve"> </w:t>
            </w:r>
            <w:r>
              <w:rPr>
                <w:sz w:val="24"/>
              </w:rPr>
              <w:t>Does</w:t>
            </w:r>
            <w:r>
              <w:rPr>
                <w:spacing w:val="-1"/>
                <w:sz w:val="24"/>
              </w:rPr>
              <w:t xml:space="preserve"> </w:t>
            </w:r>
            <w:r>
              <w:rPr>
                <w:sz w:val="24"/>
              </w:rPr>
              <w:t>the</w:t>
            </w:r>
            <w:r>
              <w:rPr>
                <w:spacing w:val="-3"/>
                <w:sz w:val="24"/>
              </w:rPr>
              <w:t xml:space="preserve"> </w:t>
            </w:r>
            <w:r>
              <w:rPr>
                <w:sz w:val="24"/>
              </w:rPr>
              <w:t>action</w:t>
            </w:r>
            <w:r>
              <w:rPr>
                <w:spacing w:val="-3"/>
                <w:sz w:val="24"/>
              </w:rPr>
              <w:t xml:space="preserve"> </w:t>
            </w:r>
            <w:r>
              <w:rPr>
                <w:sz w:val="24"/>
              </w:rPr>
              <w:t>damage</w:t>
            </w:r>
            <w:r>
              <w:rPr>
                <w:spacing w:val="-3"/>
                <w:sz w:val="24"/>
              </w:rPr>
              <w:t xml:space="preserve"> </w:t>
            </w:r>
            <w:r>
              <w:rPr>
                <w:sz w:val="24"/>
              </w:rPr>
              <w:t>the</w:t>
            </w:r>
            <w:r>
              <w:rPr>
                <w:spacing w:val="-4"/>
                <w:sz w:val="24"/>
              </w:rPr>
              <w:t xml:space="preserve"> </w:t>
            </w:r>
            <w:r>
              <w:rPr>
                <w:sz w:val="24"/>
              </w:rPr>
              <w:t>property</w:t>
            </w:r>
            <w:r>
              <w:rPr>
                <w:spacing w:val="-3"/>
                <w:sz w:val="24"/>
              </w:rPr>
              <w:t xml:space="preserve"> </w:t>
            </w:r>
            <w:r>
              <w:rPr>
                <w:sz w:val="24"/>
              </w:rPr>
              <w:t>by</w:t>
            </w:r>
            <w:r>
              <w:rPr>
                <w:spacing w:val="1"/>
                <w:sz w:val="24"/>
              </w:rPr>
              <w:t xml:space="preserve"> </w:t>
            </w:r>
            <w:r>
              <w:rPr>
                <w:sz w:val="24"/>
              </w:rPr>
              <w:t>causing</w:t>
            </w:r>
            <w:r>
              <w:rPr>
                <w:spacing w:val="-7"/>
                <w:sz w:val="24"/>
              </w:rPr>
              <w:t xml:space="preserve"> </w:t>
            </w:r>
            <w:r>
              <w:rPr>
                <w:sz w:val="24"/>
              </w:rPr>
              <w:t>some</w:t>
            </w:r>
            <w:r>
              <w:rPr>
                <w:spacing w:val="-3"/>
                <w:sz w:val="24"/>
              </w:rPr>
              <w:t xml:space="preserve"> </w:t>
            </w:r>
            <w:r>
              <w:rPr>
                <w:sz w:val="24"/>
              </w:rPr>
              <w:t>physical</w:t>
            </w:r>
            <w:r>
              <w:rPr>
                <w:spacing w:val="-2"/>
                <w:sz w:val="24"/>
              </w:rPr>
              <w:t xml:space="preserve"> </w:t>
            </w:r>
            <w:r>
              <w:rPr>
                <w:sz w:val="24"/>
              </w:rPr>
              <w:t>disturbance</w:t>
            </w:r>
            <w:r>
              <w:rPr>
                <w:spacing w:val="-3"/>
                <w:sz w:val="24"/>
              </w:rPr>
              <w:t xml:space="preserve"> </w:t>
            </w:r>
            <w:r>
              <w:rPr>
                <w:spacing w:val="-4"/>
                <w:sz w:val="24"/>
              </w:rPr>
              <w:t>with</w:t>
            </w:r>
          </w:p>
          <w:p w14:paraId="245EC651" w14:textId="77777777" w:rsidR="006C14B1" w:rsidRDefault="005C7B88">
            <w:pPr>
              <w:pStyle w:val="TableParagraph"/>
              <w:spacing w:line="248" w:lineRule="exact"/>
              <w:ind w:left="106"/>
              <w:rPr>
                <w:sz w:val="24"/>
              </w:rPr>
            </w:pPr>
            <w:r>
              <w:rPr>
                <w:sz w:val="24"/>
              </w:rPr>
              <w:t>respect</w:t>
            </w:r>
            <w:r>
              <w:rPr>
                <w:spacing w:val="-2"/>
                <w:sz w:val="24"/>
              </w:rPr>
              <w:t xml:space="preserve"> </w:t>
            </w:r>
            <w:r>
              <w:rPr>
                <w:sz w:val="24"/>
              </w:rPr>
              <w:t>to</w:t>
            </w:r>
            <w:r>
              <w:rPr>
                <w:spacing w:val="-4"/>
                <w:sz w:val="24"/>
              </w:rPr>
              <w:t xml:space="preserve"> </w:t>
            </w:r>
            <w:r>
              <w:rPr>
                <w:sz w:val="24"/>
              </w:rPr>
              <w:t>the</w:t>
            </w:r>
            <w:r>
              <w:rPr>
                <w:spacing w:val="-5"/>
                <w:sz w:val="24"/>
              </w:rPr>
              <w:t xml:space="preserve"> </w:t>
            </w:r>
            <w:r>
              <w:rPr>
                <w:sz w:val="24"/>
              </w:rPr>
              <w:t xml:space="preserve">property </w:t>
            </w:r>
            <w:proofErr w:type="gramStart"/>
            <w:r>
              <w:rPr>
                <w:sz w:val="24"/>
              </w:rPr>
              <w:t>in</w:t>
            </w:r>
            <w:r>
              <w:rPr>
                <w:spacing w:val="1"/>
                <w:sz w:val="24"/>
              </w:rPr>
              <w:t xml:space="preserve"> </w:t>
            </w:r>
            <w:r>
              <w:rPr>
                <w:sz w:val="24"/>
              </w:rPr>
              <w:t>excess</w:t>
            </w:r>
            <w:r>
              <w:rPr>
                <w:spacing w:val="-2"/>
                <w:sz w:val="24"/>
              </w:rPr>
              <w:t xml:space="preserve"> </w:t>
            </w:r>
            <w:r>
              <w:rPr>
                <w:sz w:val="24"/>
              </w:rPr>
              <w:t>of</w:t>
            </w:r>
            <w:proofErr w:type="gramEnd"/>
            <w:r>
              <w:rPr>
                <w:spacing w:val="-7"/>
                <w:sz w:val="24"/>
              </w:rPr>
              <w:t xml:space="preserve"> </w:t>
            </w:r>
            <w:r>
              <w:rPr>
                <w:sz w:val="24"/>
              </w:rPr>
              <w:t>that</w:t>
            </w:r>
            <w:r>
              <w:rPr>
                <w:spacing w:val="1"/>
                <w:sz w:val="24"/>
              </w:rPr>
              <w:t xml:space="preserve"> </w:t>
            </w:r>
            <w:r>
              <w:rPr>
                <w:sz w:val="24"/>
              </w:rPr>
              <w:t>sustained</w:t>
            </w:r>
            <w:r>
              <w:rPr>
                <w:spacing w:val="-1"/>
                <w:sz w:val="24"/>
              </w:rPr>
              <w:t xml:space="preserve"> </w:t>
            </w:r>
            <w:r>
              <w:rPr>
                <w:sz w:val="24"/>
              </w:rPr>
              <w:t>by</w:t>
            </w:r>
            <w:r>
              <w:rPr>
                <w:spacing w:val="-5"/>
                <w:sz w:val="24"/>
              </w:rPr>
              <w:t xml:space="preserve"> </w:t>
            </w:r>
            <w:r>
              <w:rPr>
                <w:sz w:val="24"/>
              </w:rPr>
              <w:t>the</w:t>
            </w:r>
            <w:r>
              <w:rPr>
                <w:spacing w:val="-5"/>
                <w:sz w:val="24"/>
              </w:rPr>
              <w:t xml:space="preserve"> </w:t>
            </w:r>
            <w:r>
              <w:rPr>
                <w:sz w:val="24"/>
              </w:rPr>
              <w:t xml:space="preserve">public </w:t>
            </w:r>
            <w:r>
              <w:rPr>
                <w:spacing w:val="-2"/>
                <w:sz w:val="24"/>
              </w:rPr>
              <w:t>generally?</w:t>
            </w:r>
          </w:p>
        </w:tc>
      </w:tr>
      <w:tr w:rsidR="006C14B1" w14:paraId="245EC656" w14:textId="77777777">
        <w:trPr>
          <w:trHeight w:val="268"/>
        </w:trPr>
        <w:tc>
          <w:tcPr>
            <w:tcW w:w="667" w:type="dxa"/>
            <w:shd w:val="clear" w:color="auto" w:fill="D9D9D9"/>
          </w:tcPr>
          <w:p w14:paraId="245EC653" w14:textId="77777777" w:rsidR="006C14B1" w:rsidRDefault="006C14B1">
            <w:pPr>
              <w:pStyle w:val="TableParagraph"/>
              <w:spacing w:line="240" w:lineRule="auto"/>
              <w:rPr>
                <w:rFonts w:ascii="Times New Roman"/>
                <w:sz w:val="18"/>
              </w:rPr>
            </w:pPr>
          </w:p>
        </w:tc>
        <w:tc>
          <w:tcPr>
            <w:tcW w:w="657" w:type="dxa"/>
          </w:tcPr>
          <w:p w14:paraId="245EC654" w14:textId="77777777" w:rsidR="006C14B1" w:rsidRDefault="005C7B88">
            <w:pPr>
              <w:pStyle w:val="TableParagraph"/>
              <w:spacing w:line="248" w:lineRule="exact"/>
              <w:ind w:left="10"/>
              <w:jc w:val="center"/>
              <w:rPr>
                <w:sz w:val="24"/>
              </w:rPr>
            </w:pPr>
            <w:r>
              <w:rPr>
                <w:sz w:val="24"/>
              </w:rPr>
              <w:t>X</w:t>
            </w:r>
          </w:p>
        </w:tc>
        <w:tc>
          <w:tcPr>
            <w:tcW w:w="8025" w:type="dxa"/>
          </w:tcPr>
          <w:p w14:paraId="245EC655" w14:textId="77777777" w:rsidR="006C14B1" w:rsidRDefault="005C7B88">
            <w:pPr>
              <w:pStyle w:val="TableParagraph"/>
              <w:spacing w:line="248" w:lineRule="exact"/>
              <w:ind w:left="106"/>
              <w:rPr>
                <w:sz w:val="24"/>
              </w:rPr>
            </w:pPr>
            <w:r>
              <w:rPr>
                <w:sz w:val="24"/>
              </w:rPr>
              <w:t>7a.</w:t>
            </w:r>
            <w:r>
              <w:rPr>
                <w:spacing w:val="57"/>
                <w:sz w:val="24"/>
              </w:rPr>
              <w:t xml:space="preserve"> </w:t>
            </w:r>
            <w:r>
              <w:rPr>
                <w:sz w:val="24"/>
              </w:rPr>
              <w:t>Is</w:t>
            </w:r>
            <w:r>
              <w:rPr>
                <w:spacing w:val="-2"/>
                <w:sz w:val="24"/>
              </w:rPr>
              <w:t xml:space="preserve"> </w:t>
            </w:r>
            <w:r>
              <w:rPr>
                <w:sz w:val="24"/>
              </w:rPr>
              <w:t>the impact</w:t>
            </w:r>
            <w:r>
              <w:rPr>
                <w:spacing w:val="-4"/>
                <w:sz w:val="24"/>
              </w:rPr>
              <w:t xml:space="preserve"> </w:t>
            </w:r>
            <w:r>
              <w:rPr>
                <w:sz w:val="24"/>
              </w:rPr>
              <w:t>of</w:t>
            </w:r>
            <w:r>
              <w:rPr>
                <w:spacing w:val="-6"/>
                <w:sz w:val="24"/>
              </w:rPr>
              <w:t xml:space="preserve"> </w:t>
            </w:r>
            <w:r>
              <w:rPr>
                <w:sz w:val="24"/>
              </w:rPr>
              <w:t>government</w:t>
            </w:r>
            <w:r>
              <w:rPr>
                <w:spacing w:val="1"/>
                <w:sz w:val="24"/>
              </w:rPr>
              <w:t xml:space="preserve"> </w:t>
            </w:r>
            <w:r>
              <w:rPr>
                <w:sz w:val="24"/>
              </w:rPr>
              <w:t>action</w:t>
            </w:r>
            <w:r>
              <w:rPr>
                <w:spacing w:val="-4"/>
                <w:sz w:val="24"/>
              </w:rPr>
              <w:t xml:space="preserve"> </w:t>
            </w:r>
            <w:r>
              <w:rPr>
                <w:sz w:val="24"/>
              </w:rPr>
              <w:t>direct,</w:t>
            </w:r>
            <w:r>
              <w:rPr>
                <w:spacing w:val="-6"/>
                <w:sz w:val="24"/>
              </w:rPr>
              <w:t xml:space="preserve"> </w:t>
            </w:r>
            <w:r>
              <w:rPr>
                <w:sz w:val="24"/>
              </w:rPr>
              <w:t>peculiar,</w:t>
            </w:r>
            <w:r>
              <w:rPr>
                <w:spacing w:val="-1"/>
                <w:sz w:val="24"/>
              </w:rPr>
              <w:t xml:space="preserve"> </w:t>
            </w:r>
            <w:r>
              <w:rPr>
                <w:sz w:val="24"/>
              </w:rPr>
              <w:t xml:space="preserve">and </w:t>
            </w:r>
            <w:r>
              <w:rPr>
                <w:spacing w:val="-2"/>
                <w:sz w:val="24"/>
              </w:rPr>
              <w:t>significant?</w:t>
            </w:r>
          </w:p>
        </w:tc>
      </w:tr>
      <w:tr w:rsidR="006C14B1" w14:paraId="245EC65B" w14:textId="77777777">
        <w:trPr>
          <w:trHeight w:val="541"/>
        </w:trPr>
        <w:tc>
          <w:tcPr>
            <w:tcW w:w="667" w:type="dxa"/>
            <w:shd w:val="clear" w:color="auto" w:fill="D9D9D9"/>
          </w:tcPr>
          <w:p w14:paraId="245EC657" w14:textId="77777777" w:rsidR="006C14B1" w:rsidRDefault="006C14B1">
            <w:pPr>
              <w:pStyle w:val="TableParagraph"/>
              <w:spacing w:line="240" w:lineRule="auto"/>
              <w:rPr>
                <w:rFonts w:ascii="Times New Roman"/>
              </w:rPr>
            </w:pPr>
          </w:p>
        </w:tc>
        <w:tc>
          <w:tcPr>
            <w:tcW w:w="657" w:type="dxa"/>
          </w:tcPr>
          <w:p w14:paraId="245EC658" w14:textId="77777777" w:rsidR="006C14B1" w:rsidRDefault="005C7B88">
            <w:pPr>
              <w:pStyle w:val="TableParagraph"/>
              <w:ind w:left="10"/>
              <w:jc w:val="center"/>
              <w:rPr>
                <w:sz w:val="24"/>
              </w:rPr>
            </w:pPr>
            <w:r>
              <w:rPr>
                <w:sz w:val="24"/>
              </w:rPr>
              <w:t>X</w:t>
            </w:r>
          </w:p>
        </w:tc>
        <w:tc>
          <w:tcPr>
            <w:tcW w:w="8025" w:type="dxa"/>
          </w:tcPr>
          <w:p w14:paraId="245EC659" w14:textId="77777777" w:rsidR="006C14B1" w:rsidRDefault="005C7B88">
            <w:pPr>
              <w:pStyle w:val="TableParagraph"/>
              <w:ind w:left="106"/>
              <w:rPr>
                <w:sz w:val="24"/>
              </w:rPr>
            </w:pPr>
            <w:r>
              <w:rPr>
                <w:sz w:val="24"/>
              </w:rPr>
              <w:t>7b.</w:t>
            </w:r>
            <w:r>
              <w:rPr>
                <w:spacing w:val="58"/>
                <w:sz w:val="24"/>
              </w:rPr>
              <w:t xml:space="preserve"> </w:t>
            </w:r>
            <w:r>
              <w:rPr>
                <w:sz w:val="24"/>
              </w:rPr>
              <w:t>Has</w:t>
            </w:r>
            <w:r>
              <w:rPr>
                <w:spacing w:val="-2"/>
                <w:sz w:val="24"/>
              </w:rPr>
              <w:t xml:space="preserve"> </w:t>
            </w:r>
            <w:r>
              <w:rPr>
                <w:sz w:val="24"/>
              </w:rPr>
              <w:t>government</w:t>
            </w:r>
            <w:r>
              <w:rPr>
                <w:spacing w:val="-3"/>
                <w:sz w:val="24"/>
              </w:rPr>
              <w:t xml:space="preserve"> </w:t>
            </w:r>
            <w:r>
              <w:rPr>
                <w:sz w:val="24"/>
              </w:rPr>
              <w:t>action</w:t>
            </w:r>
            <w:r>
              <w:rPr>
                <w:spacing w:val="1"/>
                <w:sz w:val="24"/>
              </w:rPr>
              <w:t xml:space="preserve"> </w:t>
            </w:r>
            <w:r>
              <w:rPr>
                <w:sz w:val="24"/>
              </w:rPr>
              <w:t>resulted</w:t>
            </w:r>
            <w:r>
              <w:rPr>
                <w:spacing w:val="-5"/>
                <w:sz w:val="24"/>
              </w:rPr>
              <w:t xml:space="preserve"> </w:t>
            </w:r>
            <w:r>
              <w:rPr>
                <w:sz w:val="24"/>
              </w:rPr>
              <w:t>in</w:t>
            </w:r>
            <w:r>
              <w:rPr>
                <w:spacing w:val="-3"/>
                <w:sz w:val="24"/>
              </w:rPr>
              <w:t xml:space="preserve"> </w:t>
            </w:r>
            <w:r>
              <w:rPr>
                <w:sz w:val="24"/>
              </w:rPr>
              <w:t>the</w:t>
            </w:r>
            <w:r>
              <w:rPr>
                <w:spacing w:val="-5"/>
                <w:sz w:val="24"/>
              </w:rPr>
              <w:t xml:space="preserve"> </w:t>
            </w:r>
            <w:r>
              <w:rPr>
                <w:sz w:val="24"/>
              </w:rPr>
              <w:t>property</w:t>
            </w:r>
            <w:r>
              <w:rPr>
                <w:spacing w:val="-4"/>
                <w:sz w:val="24"/>
              </w:rPr>
              <w:t xml:space="preserve"> </w:t>
            </w:r>
            <w:r>
              <w:rPr>
                <w:sz w:val="24"/>
              </w:rPr>
              <w:t>becoming</w:t>
            </w:r>
            <w:r>
              <w:rPr>
                <w:spacing w:val="-2"/>
                <w:sz w:val="24"/>
              </w:rPr>
              <w:t xml:space="preserve"> practically</w:t>
            </w:r>
          </w:p>
          <w:p w14:paraId="245EC65A" w14:textId="77777777" w:rsidR="006C14B1" w:rsidRDefault="005C7B88">
            <w:pPr>
              <w:pStyle w:val="TableParagraph"/>
              <w:spacing w:before="3" w:line="249" w:lineRule="exact"/>
              <w:ind w:left="106"/>
              <w:rPr>
                <w:sz w:val="24"/>
              </w:rPr>
            </w:pPr>
            <w:r>
              <w:rPr>
                <w:sz w:val="24"/>
              </w:rPr>
              <w:t>inaccessible,</w:t>
            </w:r>
            <w:r>
              <w:rPr>
                <w:spacing w:val="-4"/>
                <w:sz w:val="24"/>
              </w:rPr>
              <w:t xml:space="preserve"> </w:t>
            </w:r>
            <w:r>
              <w:rPr>
                <w:sz w:val="24"/>
              </w:rPr>
              <w:t>waterlogged</w:t>
            </w:r>
            <w:r>
              <w:rPr>
                <w:spacing w:val="-3"/>
                <w:sz w:val="24"/>
              </w:rPr>
              <w:t xml:space="preserve"> </w:t>
            </w:r>
            <w:r>
              <w:rPr>
                <w:sz w:val="24"/>
              </w:rPr>
              <w:t>or</w:t>
            </w:r>
            <w:r>
              <w:rPr>
                <w:spacing w:val="-5"/>
                <w:sz w:val="24"/>
              </w:rPr>
              <w:t xml:space="preserve"> </w:t>
            </w:r>
            <w:r>
              <w:rPr>
                <w:spacing w:val="-2"/>
                <w:sz w:val="24"/>
              </w:rPr>
              <w:t>flooded?</w:t>
            </w:r>
          </w:p>
        </w:tc>
      </w:tr>
      <w:tr w:rsidR="006C14B1" w14:paraId="245EC660" w14:textId="77777777">
        <w:trPr>
          <w:trHeight w:val="810"/>
        </w:trPr>
        <w:tc>
          <w:tcPr>
            <w:tcW w:w="667" w:type="dxa"/>
            <w:shd w:val="clear" w:color="auto" w:fill="D9D9D9"/>
          </w:tcPr>
          <w:p w14:paraId="245EC65C" w14:textId="77777777" w:rsidR="006C14B1" w:rsidRDefault="006C14B1">
            <w:pPr>
              <w:pStyle w:val="TableParagraph"/>
              <w:spacing w:line="240" w:lineRule="auto"/>
              <w:rPr>
                <w:rFonts w:ascii="Times New Roman"/>
              </w:rPr>
            </w:pPr>
          </w:p>
        </w:tc>
        <w:tc>
          <w:tcPr>
            <w:tcW w:w="657" w:type="dxa"/>
          </w:tcPr>
          <w:p w14:paraId="245EC65D" w14:textId="77777777" w:rsidR="006C14B1" w:rsidRDefault="005C7B88">
            <w:pPr>
              <w:pStyle w:val="TableParagraph"/>
              <w:ind w:left="10"/>
              <w:jc w:val="center"/>
              <w:rPr>
                <w:sz w:val="24"/>
              </w:rPr>
            </w:pPr>
            <w:r>
              <w:rPr>
                <w:sz w:val="24"/>
              </w:rPr>
              <w:t>X</w:t>
            </w:r>
          </w:p>
        </w:tc>
        <w:tc>
          <w:tcPr>
            <w:tcW w:w="8025" w:type="dxa"/>
          </w:tcPr>
          <w:p w14:paraId="245EC65E" w14:textId="77777777" w:rsidR="006C14B1" w:rsidRDefault="005C7B88">
            <w:pPr>
              <w:pStyle w:val="TableParagraph"/>
              <w:spacing w:line="240" w:lineRule="auto"/>
              <w:ind w:left="106"/>
              <w:rPr>
                <w:sz w:val="24"/>
              </w:rPr>
            </w:pPr>
            <w:r>
              <w:rPr>
                <w:sz w:val="24"/>
              </w:rPr>
              <w:t>7c.</w:t>
            </w:r>
            <w:r>
              <w:rPr>
                <w:spacing w:val="40"/>
                <w:sz w:val="24"/>
              </w:rPr>
              <w:t xml:space="preserve"> </w:t>
            </w:r>
            <w:r>
              <w:rPr>
                <w:sz w:val="24"/>
              </w:rPr>
              <w:t>Has government action lowered property values by more than 30% and necessitated</w:t>
            </w:r>
            <w:r>
              <w:rPr>
                <w:spacing w:val="-6"/>
                <w:sz w:val="24"/>
              </w:rPr>
              <w:t xml:space="preserve"> </w:t>
            </w:r>
            <w:r>
              <w:rPr>
                <w:sz w:val="24"/>
              </w:rPr>
              <w:t>the</w:t>
            </w:r>
            <w:r>
              <w:rPr>
                <w:spacing w:val="-5"/>
                <w:sz w:val="24"/>
              </w:rPr>
              <w:t xml:space="preserve"> </w:t>
            </w:r>
            <w:r>
              <w:rPr>
                <w:sz w:val="24"/>
              </w:rPr>
              <w:t>physical</w:t>
            </w:r>
            <w:r>
              <w:rPr>
                <w:spacing w:val="-3"/>
                <w:sz w:val="24"/>
              </w:rPr>
              <w:t xml:space="preserve"> </w:t>
            </w:r>
            <w:r>
              <w:rPr>
                <w:sz w:val="24"/>
              </w:rPr>
              <w:t>taking</w:t>
            </w:r>
            <w:r>
              <w:rPr>
                <w:spacing w:val="-3"/>
                <w:sz w:val="24"/>
              </w:rPr>
              <w:t xml:space="preserve"> </w:t>
            </w:r>
            <w:r>
              <w:rPr>
                <w:sz w:val="24"/>
              </w:rPr>
              <w:t>of</w:t>
            </w:r>
            <w:r>
              <w:rPr>
                <w:spacing w:val="-2"/>
                <w:sz w:val="24"/>
              </w:rPr>
              <w:t xml:space="preserve"> </w:t>
            </w:r>
            <w:r>
              <w:rPr>
                <w:sz w:val="24"/>
              </w:rPr>
              <w:t>adjacent</w:t>
            </w:r>
            <w:r>
              <w:rPr>
                <w:spacing w:val="-4"/>
                <w:sz w:val="24"/>
              </w:rPr>
              <w:t xml:space="preserve"> </w:t>
            </w:r>
            <w:r>
              <w:rPr>
                <w:sz w:val="24"/>
              </w:rPr>
              <w:t>property</w:t>
            </w:r>
            <w:r>
              <w:rPr>
                <w:spacing w:val="-5"/>
                <w:sz w:val="24"/>
              </w:rPr>
              <w:t xml:space="preserve"> </w:t>
            </w:r>
            <w:r>
              <w:rPr>
                <w:sz w:val="24"/>
              </w:rPr>
              <w:t>or</w:t>
            </w:r>
            <w:r>
              <w:rPr>
                <w:spacing w:val="-4"/>
                <w:sz w:val="24"/>
              </w:rPr>
              <w:t xml:space="preserve"> </w:t>
            </w:r>
            <w:r>
              <w:rPr>
                <w:sz w:val="24"/>
              </w:rPr>
              <w:t>property</w:t>
            </w:r>
            <w:r>
              <w:rPr>
                <w:spacing w:val="-5"/>
                <w:sz w:val="24"/>
              </w:rPr>
              <w:t xml:space="preserve"> </w:t>
            </w:r>
            <w:r>
              <w:rPr>
                <w:sz w:val="24"/>
              </w:rPr>
              <w:t>across</w:t>
            </w:r>
            <w:r>
              <w:rPr>
                <w:spacing w:val="-2"/>
                <w:sz w:val="24"/>
              </w:rPr>
              <w:t xml:space="preserve"> </w:t>
            </w:r>
            <w:r>
              <w:rPr>
                <w:sz w:val="24"/>
              </w:rPr>
              <w:t>a</w:t>
            </w:r>
            <w:r>
              <w:rPr>
                <w:spacing w:val="-7"/>
                <w:sz w:val="24"/>
              </w:rPr>
              <w:t xml:space="preserve"> </w:t>
            </w:r>
            <w:r>
              <w:rPr>
                <w:sz w:val="24"/>
              </w:rPr>
              <w:t>public way</w:t>
            </w:r>
          </w:p>
          <w:p w14:paraId="245EC65F" w14:textId="77777777" w:rsidR="006C14B1" w:rsidRDefault="005C7B88">
            <w:pPr>
              <w:pStyle w:val="TableParagraph"/>
              <w:spacing w:before="1" w:line="249" w:lineRule="exact"/>
              <w:ind w:left="106"/>
              <w:rPr>
                <w:sz w:val="24"/>
              </w:rPr>
            </w:pPr>
            <w:r>
              <w:rPr>
                <w:sz w:val="24"/>
              </w:rPr>
              <w:t>from</w:t>
            </w:r>
            <w:r>
              <w:rPr>
                <w:spacing w:val="-2"/>
                <w:sz w:val="24"/>
              </w:rPr>
              <w:t xml:space="preserve"> </w:t>
            </w:r>
            <w:r>
              <w:rPr>
                <w:sz w:val="24"/>
              </w:rPr>
              <w:t>the</w:t>
            </w:r>
            <w:r>
              <w:rPr>
                <w:spacing w:val="-2"/>
                <w:sz w:val="24"/>
              </w:rPr>
              <w:t xml:space="preserve"> </w:t>
            </w:r>
            <w:r>
              <w:rPr>
                <w:sz w:val="24"/>
              </w:rPr>
              <w:t>property</w:t>
            </w:r>
            <w:r>
              <w:rPr>
                <w:spacing w:val="-2"/>
                <w:sz w:val="24"/>
              </w:rPr>
              <w:t xml:space="preserve"> </w:t>
            </w:r>
            <w:r>
              <w:rPr>
                <w:sz w:val="24"/>
              </w:rPr>
              <w:t>in</w:t>
            </w:r>
            <w:r>
              <w:rPr>
                <w:spacing w:val="-1"/>
                <w:sz w:val="24"/>
              </w:rPr>
              <w:t xml:space="preserve"> </w:t>
            </w:r>
            <w:r>
              <w:rPr>
                <w:spacing w:val="-2"/>
                <w:sz w:val="24"/>
              </w:rPr>
              <w:t>question?</w:t>
            </w:r>
          </w:p>
        </w:tc>
      </w:tr>
      <w:tr w:rsidR="006C14B1" w14:paraId="245EC665" w14:textId="77777777">
        <w:trPr>
          <w:trHeight w:val="1079"/>
        </w:trPr>
        <w:tc>
          <w:tcPr>
            <w:tcW w:w="667" w:type="dxa"/>
          </w:tcPr>
          <w:p w14:paraId="245EC661" w14:textId="77777777" w:rsidR="006C14B1" w:rsidRDefault="006C14B1">
            <w:pPr>
              <w:pStyle w:val="TableParagraph"/>
              <w:spacing w:line="240" w:lineRule="auto"/>
              <w:rPr>
                <w:rFonts w:ascii="Times New Roman"/>
              </w:rPr>
            </w:pPr>
          </w:p>
        </w:tc>
        <w:tc>
          <w:tcPr>
            <w:tcW w:w="657" w:type="dxa"/>
          </w:tcPr>
          <w:p w14:paraId="245EC662" w14:textId="77777777" w:rsidR="006C14B1" w:rsidRDefault="005C7B88">
            <w:pPr>
              <w:pStyle w:val="TableParagraph"/>
              <w:ind w:left="10"/>
              <w:jc w:val="center"/>
              <w:rPr>
                <w:sz w:val="24"/>
              </w:rPr>
            </w:pPr>
            <w:r>
              <w:rPr>
                <w:sz w:val="24"/>
              </w:rPr>
              <w:t>X</w:t>
            </w:r>
          </w:p>
        </w:tc>
        <w:tc>
          <w:tcPr>
            <w:tcW w:w="8025" w:type="dxa"/>
          </w:tcPr>
          <w:p w14:paraId="245EC663" w14:textId="77777777" w:rsidR="006C14B1" w:rsidRDefault="005C7B88">
            <w:pPr>
              <w:pStyle w:val="TableParagraph"/>
              <w:spacing w:line="240" w:lineRule="auto"/>
              <w:ind w:left="106" w:right="264"/>
              <w:jc w:val="both"/>
              <w:rPr>
                <w:sz w:val="24"/>
              </w:rPr>
            </w:pPr>
            <w:r>
              <w:rPr>
                <w:sz w:val="24"/>
              </w:rPr>
              <w:t>Takings</w:t>
            </w:r>
            <w:r>
              <w:rPr>
                <w:spacing w:val="-1"/>
                <w:sz w:val="24"/>
              </w:rPr>
              <w:t xml:space="preserve"> </w:t>
            </w:r>
            <w:r>
              <w:rPr>
                <w:sz w:val="24"/>
              </w:rPr>
              <w:t>or damaging</w:t>
            </w:r>
            <w:r>
              <w:rPr>
                <w:spacing w:val="-2"/>
                <w:sz w:val="24"/>
              </w:rPr>
              <w:t xml:space="preserve"> </w:t>
            </w:r>
            <w:r>
              <w:rPr>
                <w:sz w:val="24"/>
              </w:rPr>
              <w:t>implications?</w:t>
            </w:r>
            <w:r>
              <w:rPr>
                <w:spacing w:val="40"/>
                <w:sz w:val="24"/>
              </w:rPr>
              <w:t xml:space="preserve"> </w:t>
            </w:r>
            <w:r>
              <w:rPr>
                <w:sz w:val="24"/>
              </w:rPr>
              <w:t>(Taking</w:t>
            </w:r>
            <w:r>
              <w:rPr>
                <w:spacing w:val="-2"/>
                <w:sz w:val="24"/>
              </w:rPr>
              <w:t xml:space="preserve"> </w:t>
            </w:r>
            <w:r>
              <w:rPr>
                <w:sz w:val="24"/>
              </w:rPr>
              <w:t>or</w:t>
            </w:r>
            <w:r>
              <w:rPr>
                <w:spacing w:val="-3"/>
                <w:sz w:val="24"/>
              </w:rPr>
              <w:t xml:space="preserve"> </w:t>
            </w:r>
            <w:r>
              <w:rPr>
                <w:sz w:val="24"/>
              </w:rPr>
              <w:t>damaging</w:t>
            </w:r>
            <w:r>
              <w:rPr>
                <w:spacing w:val="-2"/>
                <w:sz w:val="24"/>
              </w:rPr>
              <w:t xml:space="preserve"> </w:t>
            </w:r>
            <w:r>
              <w:rPr>
                <w:sz w:val="24"/>
              </w:rPr>
              <w:t>implications</w:t>
            </w:r>
            <w:r>
              <w:rPr>
                <w:spacing w:val="-1"/>
                <w:sz w:val="24"/>
              </w:rPr>
              <w:t xml:space="preserve"> </w:t>
            </w:r>
            <w:r>
              <w:rPr>
                <w:sz w:val="24"/>
              </w:rPr>
              <w:t>exist if</w:t>
            </w:r>
            <w:r>
              <w:rPr>
                <w:spacing w:val="-1"/>
                <w:sz w:val="24"/>
              </w:rPr>
              <w:t xml:space="preserve"> </w:t>
            </w:r>
            <w:r>
              <w:rPr>
                <w:sz w:val="24"/>
              </w:rPr>
              <w:t xml:space="preserve">YES is checked in response to question 1 </w:t>
            </w:r>
            <w:proofErr w:type="gramStart"/>
            <w:r>
              <w:rPr>
                <w:sz w:val="24"/>
              </w:rPr>
              <w:t>and also</w:t>
            </w:r>
            <w:proofErr w:type="gramEnd"/>
            <w:r>
              <w:rPr>
                <w:sz w:val="24"/>
              </w:rPr>
              <w:t xml:space="preserve"> to any</w:t>
            </w:r>
            <w:r>
              <w:rPr>
                <w:spacing w:val="-5"/>
                <w:sz w:val="24"/>
              </w:rPr>
              <w:t xml:space="preserve"> </w:t>
            </w:r>
            <w:r>
              <w:rPr>
                <w:sz w:val="24"/>
              </w:rPr>
              <w:t>one or more of</w:t>
            </w:r>
            <w:r>
              <w:rPr>
                <w:spacing w:val="-2"/>
                <w:sz w:val="24"/>
              </w:rPr>
              <w:t xml:space="preserve"> </w:t>
            </w:r>
            <w:r>
              <w:rPr>
                <w:sz w:val="24"/>
              </w:rPr>
              <w:t>the following questions:</w:t>
            </w:r>
            <w:r>
              <w:rPr>
                <w:spacing w:val="40"/>
                <w:sz w:val="24"/>
              </w:rPr>
              <w:t xml:space="preserve"> </w:t>
            </w:r>
            <w:r>
              <w:rPr>
                <w:sz w:val="24"/>
              </w:rPr>
              <w:t>2,</w:t>
            </w:r>
            <w:r>
              <w:rPr>
                <w:spacing w:val="-1"/>
                <w:sz w:val="24"/>
              </w:rPr>
              <w:t xml:space="preserve"> </w:t>
            </w:r>
            <w:r>
              <w:rPr>
                <w:sz w:val="24"/>
              </w:rPr>
              <w:t>3,</w:t>
            </w:r>
            <w:r>
              <w:rPr>
                <w:spacing w:val="-1"/>
                <w:sz w:val="24"/>
              </w:rPr>
              <w:t xml:space="preserve"> </w:t>
            </w:r>
            <w:r>
              <w:rPr>
                <w:sz w:val="24"/>
              </w:rPr>
              <w:t>4,</w:t>
            </w:r>
            <w:r>
              <w:rPr>
                <w:spacing w:val="-1"/>
                <w:sz w:val="24"/>
              </w:rPr>
              <w:t xml:space="preserve"> </w:t>
            </w:r>
            <w:r>
              <w:rPr>
                <w:sz w:val="24"/>
              </w:rPr>
              <w:t>6,</w:t>
            </w:r>
            <w:r>
              <w:rPr>
                <w:spacing w:val="-1"/>
                <w:sz w:val="24"/>
              </w:rPr>
              <w:t xml:space="preserve"> </w:t>
            </w:r>
            <w:r>
              <w:rPr>
                <w:sz w:val="24"/>
              </w:rPr>
              <w:t>7a,</w:t>
            </w:r>
            <w:r>
              <w:rPr>
                <w:spacing w:val="-1"/>
                <w:sz w:val="24"/>
              </w:rPr>
              <w:t xml:space="preserve"> </w:t>
            </w:r>
            <w:r>
              <w:rPr>
                <w:sz w:val="24"/>
              </w:rPr>
              <w:t>7b,</w:t>
            </w:r>
            <w:r>
              <w:rPr>
                <w:spacing w:val="-6"/>
                <w:sz w:val="24"/>
              </w:rPr>
              <w:t xml:space="preserve"> </w:t>
            </w:r>
            <w:r>
              <w:rPr>
                <w:sz w:val="24"/>
              </w:rPr>
              <w:t>7c;</w:t>
            </w:r>
            <w:r>
              <w:rPr>
                <w:spacing w:val="-6"/>
                <w:sz w:val="24"/>
              </w:rPr>
              <w:t xml:space="preserve"> </w:t>
            </w:r>
            <w:r>
              <w:rPr>
                <w:sz w:val="24"/>
              </w:rPr>
              <w:t>or if</w:t>
            </w:r>
            <w:r>
              <w:rPr>
                <w:spacing w:val="-6"/>
                <w:sz w:val="24"/>
              </w:rPr>
              <w:t xml:space="preserve"> </w:t>
            </w:r>
            <w:r>
              <w:rPr>
                <w:sz w:val="24"/>
              </w:rPr>
              <w:t>NO</w:t>
            </w:r>
            <w:r>
              <w:rPr>
                <w:spacing w:val="-1"/>
                <w:sz w:val="24"/>
              </w:rPr>
              <w:t xml:space="preserve"> </w:t>
            </w:r>
            <w:r>
              <w:rPr>
                <w:sz w:val="24"/>
              </w:rPr>
              <w:t>is</w:t>
            </w:r>
            <w:r>
              <w:rPr>
                <w:spacing w:val="-2"/>
                <w:sz w:val="24"/>
              </w:rPr>
              <w:t xml:space="preserve"> </w:t>
            </w:r>
            <w:r>
              <w:rPr>
                <w:sz w:val="24"/>
              </w:rPr>
              <w:t>checked</w:t>
            </w:r>
            <w:r>
              <w:rPr>
                <w:spacing w:val="-1"/>
                <w:sz w:val="24"/>
              </w:rPr>
              <w:t xml:space="preserve"> </w:t>
            </w:r>
            <w:r>
              <w:rPr>
                <w:sz w:val="24"/>
              </w:rPr>
              <w:t>in response</w:t>
            </w:r>
            <w:r>
              <w:rPr>
                <w:spacing w:val="-5"/>
                <w:sz w:val="24"/>
              </w:rPr>
              <w:t xml:space="preserve"> </w:t>
            </w:r>
            <w:r>
              <w:rPr>
                <w:sz w:val="24"/>
              </w:rPr>
              <w:t>to</w:t>
            </w:r>
            <w:r>
              <w:rPr>
                <w:spacing w:val="-4"/>
                <w:sz w:val="24"/>
              </w:rPr>
              <w:t xml:space="preserve"> </w:t>
            </w:r>
            <w:r>
              <w:rPr>
                <w:sz w:val="24"/>
              </w:rPr>
              <w:t>questions</w:t>
            </w:r>
            <w:r>
              <w:rPr>
                <w:spacing w:val="-2"/>
                <w:sz w:val="24"/>
              </w:rPr>
              <w:t xml:space="preserve"> </w:t>
            </w:r>
            <w:r>
              <w:rPr>
                <w:sz w:val="24"/>
              </w:rPr>
              <w:t>5a</w:t>
            </w:r>
            <w:r>
              <w:rPr>
                <w:spacing w:val="-3"/>
                <w:sz w:val="24"/>
              </w:rPr>
              <w:t xml:space="preserve"> </w:t>
            </w:r>
            <w:r>
              <w:rPr>
                <w:sz w:val="24"/>
              </w:rPr>
              <w:t>or</w:t>
            </w:r>
          </w:p>
          <w:p w14:paraId="245EC664" w14:textId="77777777" w:rsidR="006C14B1" w:rsidRDefault="005C7B88">
            <w:pPr>
              <w:pStyle w:val="TableParagraph"/>
              <w:spacing w:line="249" w:lineRule="exact"/>
              <w:ind w:left="106"/>
              <w:jc w:val="both"/>
              <w:rPr>
                <w:sz w:val="24"/>
              </w:rPr>
            </w:pPr>
            <w:r>
              <w:rPr>
                <w:sz w:val="24"/>
              </w:rPr>
              <w:t>5b; the</w:t>
            </w:r>
            <w:r>
              <w:rPr>
                <w:spacing w:val="2"/>
                <w:sz w:val="24"/>
              </w:rPr>
              <w:t xml:space="preserve"> </w:t>
            </w:r>
            <w:r>
              <w:rPr>
                <w:sz w:val="24"/>
              </w:rPr>
              <w:t>shaded</w:t>
            </w:r>
            <w:r>
              <w:rPr>
                <w:spacing w:val="-4"/>
                <w:sz w:val="24"/>
              </w:rPr>
              <w:t xml:space="preserve"> </w:t>
            </w:r>
            <w:r>
              <w:rPr>
                <w:spacing w:val="-2"/>
                <w:sz w:val="24"/>
              </w:rPr>
              <w:t>areas)</w:t>
            </w:r>
          </w:p>
        </w:tc>
      </w:tr>
    </w:tbl>
    <w:p w14:paraId="245EC666" w14:textId="77777777" w:rsidR="006C14B1" w:rsidRDefault="006C14B1">
      <w:pPr>
        <w:pStyle w:val="BodyText"/>
        <w:spacing w:before="5"/>
        <w:rPr>
          <w:sz w:val="16"/>
        </w:rPr>
      </w:pPr>
    </w:p>
    <w:p w14:paraId="245EC667" w14:textId="3BD6C454" w:rsidR="006C14B1" w:rsidRDefault="005C7B88">
      <w:pPr>
        <w:pStyle w:val="BodyText"/>
        <w:spacing w:before="100"/>
        <w:ind w:left="480"/>
      </w:pPr>
      <w:r>
        <w:t>Based</w:t>
      </w:r>
      <w:r>
        <w:rPr>
          <w:spacing w:val="-1"/>
        </w:rPr>
        <w:t xml:space="preserve"> </w:t>
      </w:r>
      <w:r>
        <w:t>on</w:t>
      </w:r>
      <w:r>
        <w:rPr>
          <w:spacing w:val="-4"/>
        </w:rPr>
        <w:t xml:space="preserve"> </w:t>
      </w:r>
      <w:r>
        <w:t>this</w:t>
      </w:r>
      <w:r>
        <w:rPr>
          <w:spacing w:val="-2"/>
        </w:rPr>
        <w:t xml:space="preserve"> </w:t>
      </w:r>
      <w:r>
        <w:t>analysis,</w:t>
      </w:r>
      <w:r>
        <w:rPr>
          <w:spacing w:val="-1"/>
        </w:rPr>
        <w:t xml:space="preserve"> </w:t>
      </w:r>
      <w:r w:rsidR="00402E8D">
        <w:t>DEQ</w:t>
      </w:r>
      <w:r>
        <w:t xml:space="preserve"> determined</w:t>
      </w:r>
      <w:r>
        <w:rPr>
          <w:spacing w:val="-6"/>
        </w:rPr>
        <w:t xml:space="preserve"> </w:t>
      </w:r>
      <w:r>
        <w:t>there</w:t>
      </w:r>
      <w:r>
        <w:rPr>
          <w:spacing w:val="-5"/>
        </w:rPr>
        <w:t xml:space="preserve"> </w:t>
      </w:r>
      <w:r>
        <w:t>are</w:t>
      </w:r>
      <w:r>
        <w:rPr>
          <w:spacing w:val="-5"/>
        </w:rPr>
        <w:t xml:space="preserve"> </w:t>
      </w:r>
      <w:r>
        <w:t>no</w:t>
      </w:r>
      <w:r>
        <w:rPr>
          <w:spacing w:val="-4"/>
        </w:rPr>
        <w:t xml:space="preserve"> </w:t>
      </w:r>
      <w:r>
        <w:t>taking</w:t>
      </w:r>
      <w:r>
        <w:rPr>
          <w:spacing w:val="-3"/>
        </w:rPr>
        <w:t xml:space="preserve"> </w:t>
      </w:r>
      <w:r>
        <w:t>or damaging</w:t>
      </w:r>
      <w:r>
        <w:rPr>
          <w:spacing w:val="-3"/>
        </w:rPr>
        <w:t xml:space="preserve"> </w:t>
      </w:r>
      <w:r>
        <w:t>implications associated with this permit action.</w:t>
      </w:r>
    </w:p>
    <w:p w14:paraId="245EC668" w14:textId="77777777" w:rsidR="006C14B1" w:rsidRDefault="006C14B1">
      <w:pPr>
        <w:pStyle w:val="BodyText"/>
        <w:spacing w:before="1"/>
      </w:pPr>
    </w:p>
    <w:p w14:paraId="245EC669" w14:textId="77777777" w:rsidR="006C14B1" w:rsidRDefault="005C7B88">
      <w:pPr>
        <w:pStyle w:val="Heading2"/>
        <w:numPr>
          <w:ilvl w:val="0"/>
          <w:numId w:val="4"/>
        </w:numPr>
        <w:tabs>
          <w:tab w:val="left" w:pos="479"/>
        </w:tabs>
        <w:spacing w:before="1"/>
        <w:ind w:left="479" w:hanging="359"/>
      </w:pPr>
      <w:bookmarkStart w:id="7" w:name="_TOC_250014"/>
      <w:r>
        <w:t>Compliance</w:t>
      </w:r>
      <w:r>
        <w:rPr>
          <w:spacing w:val="-5"/>
        </w:rPr>
        <w:t xml:space="preserve"> </w:t>
      </w:r>
      <w:bookmarkEnd w:id="7"/>
      <w:r>
        <w:rPr>
          <w:spacing w:val="-2"/>
        </w:rPr>
        <w:t>Designation</w:t>
      </w:r>
    </w:p>
    <w:p w14:paraId="245EC66A" w14:textId="77777777" w:rsidR="006C14B1" w:rsidRDefault="006C14B1">
      <w:pPr>
        <w:pStyle w:val="BodyText"/>
        <w:spacing w:before="8"/>
        <w:rPr>
          <w:b/>
          <w:sz w:val="23"/>
        </w:rPr>
      </w:pPr>
    </w:p>
    <w:p w14:paraId="03171FA6" w14:textId="49532103" w:rsidR="00367907" w:rsidRPr="00367907" w:rsidRDefault="00402E8D" w:rsidP="00367907">
      <w:pPr>
        <w:pStyle w:val="BodyText"/>
        <w:spacing w:before="1"/>
        <w:ind w:left="480" w:right="642"/>
      </w:pPr>
      <w:r>
        <w:t>DEQ</w:t>
      </w:r>
      <w:r w:rsidR="005C7B88">
        <w:t xml:space="preserve"> conducted a Full Compliance Evaluation</w:t>
      </w:r>
      <w:r w:rsidR="005C7B88">
        <w:rPr>
          <w:spacing w:val="-1"/>
        </w:rPr>
        <w:t xml:space="preserve"> </w:t>
      </w:r>
      <w:r w:rsidR="005C7B88">
        <w:t>for</w:t>
      </w:r>
      <w:r w:rsidR="005C7B88">
        <w:rPr>
          <w:spacing w:val="-1"/>
        </w:rPr>
        <w:t xml:space="preserve"> </w:t>
      </w:r>
      <w:r w:rsidR="005C7B88">
        <w:t>a review period</w:t>
      </w:r>
      <w:r w:rsidR="005C7B88">
        <w:rPr>
          <w:spacing w:val="-3"/>
        </w:rPr>
        <w:t xml:space="preserve"> </w:t>
      </w:r>
      <w:r w:rsidR="005C7B88">
        <w:t>of</w:t>
      </w:r>
      <w:r w:rsidR="005C7B88">
        <w:rPr>
          <w:spacing w:val="-4"/>
        </w:rPr>
        <w:t xml:space="preserve"> </w:t>
      </w:r>
      <w:r w:rsidR="00367907">
        <w:rPr>
          <w:spacing w:val="-4"/>
        </w:rPr>
        <w:t>October 20, 2022,</w:t>
      </w:r>
      <w:r w:rsidR="005C7B88">
        <w:rPr>
          <w:spacing w:val="-2"/>
        </w:rPr>
        <w:t xml:space="preserve"> </w:t>
      </w:r>
      <w:r w:rsidR="005C7B88">
        <w:t>through</w:t>
      </w:r>
      <w:r w:rsidR="005C7B88">
        <w:rPr>
          <w:spacing w:val="-5"/>
        </w:rPr>
        <w:t xml:space="preserve"> </w:t>
      </w:r>
      <w:r w:rsidR="00367907">
        <w:rPr>
          <w:spacing w:val="-5"/>
        </w:rPr>
        <w:t>August 14, 2024</w:t>
      </w:r>
      <w:r w:rsidR="005C7B88">
        <w:t>.</w:t>
      </w:r>
      <w:r w:rsidR="005C7B88">
        <w:rPr>
          <w:spacing w:val="40"/>
        </w:rPr>
        <w:t xml:space="preserve"> </w:t>
      </w:r>
      <w:r w:rsidR="00367907" w:rsidRPr="00367907">
        <w:t>Based upon the information gathered at the time of the facility inspection conducted on</w:t>
      </w:r>
      <w:r w:rsidR="00367907">
        <w:t xml:space="preserve"> </w:t>
      </w:r>
      <w:r w:rsidR="00367907" w:rsidRPr="00367907">
        <w:t xml:space="preserve">08/14/2024, the observations made during the inspection, the review of reports and compliance certifications submitted by </w:t>
      </w:r>
      <w:r w:rsidR="00367907">
        <w:t>Phillips</w:t>
      </w:r>
      <w:r w:rsidR="00367907" w:rsidRPr="00367907">
        <w:t xml:space="preserve"> during the review period, DEQ believes that this facility </w:t>
      </w:r>
      <w:proofErr w:type="gramStart"/>
      <w:r w:rsidR="00367907" w:rsidRPr="00367907">
        <w:t>is in</w:t>
      </w:r>
      <w:r w:rsidR="00367907">
        <w:t xml:space="preserve"> </w:t>
      </w:r>
      <w:r w:rsidR="00367907" w:rsidRPr="00367907">
        <w:t>compliance with</w:t>
      </w:r>
      <w:proofErr w:type="gramEnd"/>
      <w:r w:rsidR="00367907" w:rsidRPr="00367907">
        <w:t xml:space="preserve"> the applicable requirements for the period covered by this C</w:t>
      </w:r>
      <w:r w:rsidR="00367907">
        <w:t xml:space="preserve">ompliance </w:t>
      </w:r>
      <w:r w:rsidR="00367907" w:rsidRPr="00367907">
        <w:t>M</w:t>
      </w:r>
      <w:r w:rsidR="00367907">
        <w:t xml:space="preserve">onitoring </w:t>
      </w:r>
      <w:r w:rsidR="00367907" w:rsidRPr="00367907">
        <w:t>R</w:t>
      </w:r>
      <w:r w:rsidR="00367907">
        <w:t>eport</w:t>
      </w:r>
      <w:r w:rsidR="00367907" w:rsidRPr="00367907">
        <w:t>.</w:t>
      </w:r>
    </w:p>
    <w:p w14:paraId="245EC66B" w14:textId="2925C33A" w:rsidR="006C14B1" w:rsidRDefault="006C14B1">
      <w:pPr>
        <w:pStyle w:val="BodyText"/>
        <w:spacing w:before="1"/>
        <w:ind w:left="480" w:right="642"/>
        <w:jc w:val="both"/>
      </w:pPr>
    </w:p>
    <w:p w14:paraId="245EC66C" w14:textId="77777777" w:rsidR="006C14B1" w:rsidRDefault="006C14B1">
      <w:pPr>
        <w:jc w:val="both"/>
        <w:sectPr w:rsidR="006C14B1">
          <w:pgSz w:w="12240" w:h="15840"/>
          <w:pgMar w:top="1140" w:right="1200" w:bottom="1320" w:left="1320" w:header="0" w:footer="1073" w:gutter="0"/>
          <w:cols w:space="720"/>
        </w:sectPr>
      </w:pPr>
    </w:p>
    <w:p w14:paraId="245EC66D" w14:textId="77777777" w:rsidR="006C14B1" w:rsidRDefault="005C7B88">
      <w:pPr>
        <w:spacing w:before="71"/>
        <w:ind w:left="1309" w:right="1302"/>
        <w:jc w:val="center"/>
        <w:rPr>
          <w:b/>
          <w:sz w:val="24"/>
        </w:rPr>
      </w:pPr>
      <w:bookmarkStart w:id="8" w:name="SUMMARY_OF_EMISSION_UNITS"/>
      <w:bookmarkEnd w:id="8"/>
      <w:r>
        <w:rPr>
          <w:b/>
          <w:sz w:val="24"/>
        </w:rPr>
        <w:lastRenderedPageBreak/>
        <w:t>SUMMARY</w:t>
      </w:r>
      <w:r>
        <w:rPr>
          <w:b/>
          <w:spacing w:val="-6"/>
          <w:sz w:val="24"/>
        </w:rPr>
        <w:t xml:space="preserve"> </w:t>
      </w:r>
      <w:r>
        <w:rPr>
          <w:b/>
          <w:sz w:val="24"/>
        </w:rPr>
        <w:t>OF EMISSION</w:t>
      </w:r>
      <w:r>
        <w:rPr>
          <w:b/>
          <w:spacing w:val="-2"/>
          <w:sz w:val="24"/>
        </w:rPr>
        <w:t xml:space="preserve"> </w:t>
      </w:r>
      <w:r>
        <w:rPr>
          <w:b/>
          <w:spacing w:val="-4"/>
          <w:sz w:val="24"/>
        </w:rPr>
        <w:t>UNITS</w:t>
      </w:r>
    </w:p>
    <w:p w14:paraId="245EC66E" w14:textId="77777777" w:rsidR="006C14B1" w:rsidRDefault="006C14B1">
      <w:pPr>
        <w:pStyle w:val="BodyText"/>
        <w:spacing w:before="2"/>
        <w:rPr>
          <w:b/>
        </w:rPr>
      </w:pPr>
    </w:p>
    <w:p w14:paraId="245EC66F" w14:textId="77777777" w:rsidR="006C14B1" w:rsidRDefault="005C7B88">
      <w:pPr>
        <w:pStyle w:val="Heading2"/>
        <w:numPr>
          <w:ilvl w:val="0"/>
          <w:numId w:val="3"/>
        </w:numPr>
        <w:tabs>
          <w:tab w:val="left" w:pos="478"/>
        </w:tabs>
        <w:spacing w:before="1"/>
        <w:ind w:left="478" w:hanging="358"/>
      </w:pPr>
      <w:bookmarkStart w:id="9" w:name="_TOC_250013"/>
      <w:r>
        <w:t>Facility</w:t>
      </w:r>
      <w:r>
        <w:rPr>
          <w:spacing w:val="-6"/>
        </w:rPr>
        <w:t xml:space="preserve"> </w:t>
      </w:r>
      <w:r>
        <w:t>Process</w:t>
      </w:r>
      <w:bookmarkEnd w:id="9"/>
      <w:r>
        <w:rPr>
          <w:spacing w:val="-2"/>
        </w:rPr>
        <w:t xml:space="preserve"> Description</w:t>
      </w:r>
    </w:p>
    <w:p w14:paraId="245EC670" w14:textId="77777777" w:rsidR="006C14B1" w:rsidRDefault="006C14B1">
      <w:pPr>
        <w:pStyle w:val="BodyText"/>
        <w:spacing w:before="8"/>
        <w:rPr>
          <w:b/>
          <w:sz w:val="23"/>
        </w:rPr>
      </w:pPr>
    </w:p>
    <w:p w14:paraId="245EC671" w14:textId="77777777" w:rsidR="006C14B1" w:rsidRDefault="005C7B88">
      <w:pPr>
        <w:pStyle w:val="BodyText"/>
        <w:spacing w:before="1"/>
        <w:ind w:left="480" w:right="312"/>
      </w:pPr>
      <w:r>
        <w:t>Phillips operates a bulk gasoline terminal at the Great Falls Product Terminal.</w:t>
      </w:r>
      <w:r>
        <w:rPr>
          <w:spacing w:val="40"/>
        </w:rPr>
        <w:t xml:space="preserve"> </w:t>
      </w:r>
      <w:r>
        <w:t>The terminal stores</w:t>
      </w:r>
      <w:r>
        <w:rPr>
          <w:spacing w:val="-2"/>
        </w:rPr>
        <w:t xml:space="preserve"> </w:t>
      </w:r>
      <w:r>
        <w:t>and</w:t>
      </w:r>
      <w:r>
        <w:rPr>
          <w:spacing w:val="-6"/>
        </w:rPr>
        <w:t xml:space="preserve"> </w:t>
      </w:r>
      <w:r>
        <w:t>transfers</w:t>
      </w:r>
      <w:r>
        <w:rPr>
          <w:spacing w:val="-7"/>
        </w:rPr>
        <w:t xml:space="preserve"> </w:t>
      </w:r>
      <w:r>
        <w:t>petroleum</w:t>
      </w:r>
      <w:r>
        <w:rPr>
          <w:spacing w:val="-4"/>
        </w:rPr>
        <w:t xml:space="preserve"> </w:t>
      </w:r>
      <w:r>
        <w:t>products</w:t>
      </w:r>
      <w:r>
        <w:rPr>
          <w:spacing w:val="-7"/>
        </w:rPr>
        <w:t xml:space="preserve"> </w:t>
      </w:r>
      <w:r>
        <w:t>(gasoline and</w:t>
      </w:r>
      <w:r>
        <w:rPr>
          <w:spacing w:val="-1"/>
        </w:rPr>
        <w:t xml:space="preserve"> </w:t>
      </w:r>
      <w:r>
        <w:t>distillate) received</w:t>
      </w:r>
      <w:r>
        <w:rPr>
          <w:spacing w:val="-1"/>
        </w:rPr>
        <w:t xml:space="preserve"> </w:t>
      </w:r>
      <w:r>
        <w:t>from</w:t>
      </w:r>
      <w:r>
        <w:rPr>
          <w:spacing w:val="-4"/>
        </w:rPr>
        <w:t xml:space="preserve"> </w:t>
      </w:r>
      <w:r>
        <w:t>the</w:t>
      </w:r>
      <w:r>
        <w:rPr>
          <w:spacing w:val="-5"/>
        </w:rPr>
        <w:t xml:space="preserve"> </w:t>
      </w:r>
      <w:r>
        <w:t>pipeline and distributes them to regional markets via cargo tanks (tank trucks).</w:t>
      </w:r>
      <w:r>
        <w:rPr>
          <w:spacing w:val="40"/>
        </w:rPr>
        <w:t xml:space="preserve"> </w:t>
      </w:r>
      <w:r>
        <w:t>The Standard Industrial Classification</w:t>
      </w:r>
      <w:r>
        <w:rPr>
          <w:spacing w:val="-1"/>
        </w:rPr>
        <w:t xml:space="preserve"> </w:t>
      </w:r>
      <w:r>
        <w:t>(SIC)</w:t>
      </w:r>
      <w:r>
        <w:rPr>
          <w:spacing w:val="-1"/>
        </w:rPr>
        <w:t xml:space="preserve"> </w:t>
      </w:r>
      <w:r>
        <w:t>for</w:t>
      </w:r>
      <w:r>
        <w:rPr>
          <w:spacing w:val="-5"/>
        </w:rPr>
        <w:t xml:space="preserve"> </w:t>
      </w:r>
      <w:r>
        <w:t>this</w:t>
      </w:r>
      <w:r>
        <w:rPr>
          <w:spacing w:val="-3"/>
        </w:rPr>
        <w:t xml:space="preserve"> </w:t>
      </w:r>
      <w:r>
        <w:t>facility</w:t>
      </w:r>
      <w:r>
        <w:rPr>
          <w:spacing w:val="-1"/>
        </w:rPr>
        <w:t xml:space="preserve"> </w:t>
      </w:r>
      <w:r>
        <w:t>is</w:t>
      </w:r>
      <w:r>
        <w:rPr>
          <w:spacing w:val="-3"/>
        </w:rPr>
        <w:t xml:space="preserve"> </w:t>
      </w:r>
      <w:r>
        <w:t>Petroleum</w:t>
      </w:r>
      <w:r>
        <w:rPr>
          <w:spacing w:val="-1"/>
        </w:rPr>
        <w:t xml:space="preserve"> </w:t>
      </w:r>
      <w:r>
        <w:t>Bulk</w:t>
      </w:r>
      <w:r>
        <w:rPr>
          <w:spacing w:val="-4"/>
        </w:rPr>
        <w:t xml:space="preserve"> </w:t>
      </w:r>
      <w:r>
        <w:t>Stations</w:t>
      </w:r>
      <w:r>
        <w:rPr>
          <w:spacing w:val="-3"/>
        </w:rPr>
        <w:t xml:space="preserve"> </w:t>
      </w:r>
      <w:r>
        <w:t>and</w:t>
      </w:r>
      <w:r>
        <w:rPr>
          <w:spacing w:val="-7"/>
        </w:rPr>
        <w:t xml:space="preserve"> </w:t>
      </w:r>
      <w:r>
        <w:t>Terminals</w:t>
      </w:r>
      <w:r>
        <w:rPr>
          <w:spacing w:val="-4"/>
        </w:rPr>
        <w:t xml:space="preserve"> </w:t>
      </w:r>
      <w:r>
        <w:t>which</w:t>
      </w:r>
      <w:r>
        <w:rPr>
          <w:spacing w:val="-5"/>
        </w:rPr>
        <w:t xml:space="preserve"> </w:t>
      </w:r>
      <w:r>
        <w:t>has</w:t>
      </w:r>
      <w:r>
        <w:rPr>
          <w:spacing w:val="-3"/>
        </w:rPr>
        <w:t xml:space="preserve"> </w:t>
      </w:r>
      <w:r>
        <w:t>an</w:t>
      </w:r>
      <w:r>
        <w:rPr>
          <w:spacing w:val="-1"/>
        </w:rPr>
        <w:t xml:space="preserve"> </w:t>
      </w:r>
      <w:r>
        <w:t>SIC Code of 5171.</w:t>
      </w:r>
      <w:r>
        <w:rPr>
          <w:spacing w:val="40"/>
        </w:rPr>
        <w:t xml:space="preserve"> </w:t>
      </w:r>
      <w:r>
        <w:t>The corresponding North American Industry Classification System (NAICS) code for the facility is 424710.</w:t>
      </w:r>
    </w:p>
    <w:p w14:paraId="245EC672" w14:textId="77777777" w:rsidR="006C14B1" w:rsidRDefault="006C14B1">
      <w:pPr>
        <w:pStyle w:val="BodyText"/>
        <w:spacing w:before="1"/>
      </w:pPr>
    </w:p>
    <w:p w14:paraId="245EC673" w14:textId="77777777" w:rsidR="006C14B1" w:rsidRDefault="005C7B88">
      <w:pPr>
        <w:pStyle w:val="Heading2"/>
        <w:numPr>
          <w:ilvl w:val="0"/>
          <w:numId w:val="3"/>
        </w:numPr>
        <w:tabs>
          <w:tab w:val="left" w:pos="479"/>
        </w:tabs>
        <w:ind w:left="479" w:hanging="359"/>
      </w:pPr>
      <w:bookmarkStart w:id="10" w:name="_TOC_250012"/>
      <w:r>
        <w:t>Emission</w:t>
      </w:r>
      <w:r>
        <w:rPr>
          <w:spacing w:val="-4"/>
        </w:rPr>
        <w:t xml:space="preserve"> </w:t>
      </w:r>
      <w:r>
        <w:t>Units</w:t>
      </w:r>
      <w:r>
        <w:rPr>
          <w:spacing w:val="-6"/>
        </w:rPr>
        <w:t xml:space="preserve"> </w:t>
      </w:r>
      <w:r>
        <w:t>and</w:t>
      </w:r>
      <w:r>
        <w:rPr>
          <w:spacing w:val="-1"/>
        </w:rPr>
        <w:t xml:space="preserve"> </w:t>
      </w:r>
      <w:r>
        <w:t>Pollution</w:t>
      </w:r>
      <w:r>
        <w:rPr>
          <w:spacing w:val="-6"/>
        </w:rPr>
        <w:t xml:space="preserve"> </w:t>
      </w:r>
      <w:r>
        <w:t>Control</w:t>
      </w:r>
      <w:r>
        <w:rPr>
          <w:spacing w:val="-3"/>
        </w:rPr>
        <w:t xml:space="preserve"> </w:t>
      </w:r>
      <w:r>
        <w:t>Device</w:t>
      </w:r>
      <w:r>
        <w:rPr>
          <w:spacing w:val="-4"/>
        </w:rPr>
        <w:t xml:space="preserve"> </w:t>
      </w:r>
      <w:bookmarkEnd w:id="10"/>
      <w:r>
        <w:rPr>
          <w:spacing w:val="-2"/>
        </w:rPr>
        <w:t>Identification</w:t>
      </w:r>
    </w:p>
    <w:p w14:paraId="245EC674" w14:textId="77777777" w:rsidR="006C14B1" w:rsidRDefault="006C14B1">
      <w:pPr>
        <w:pStyle w:val="BodyText"/>
        <w:spacing w:before="8"/>
        <w:rPr>
          <w:b/>
          <w:sz w:val="23"/>
        </w:rPr>
      </w:pPr>
    </w:p>
    <w:p w14:paraId="245EC675" w14:textId="77777777" w:rsidR="006C14B1" w:rsidRDefault="005C7B88">
      <w:pPr>
        <w:pStyle w:val="BodyText"/>
        <w:spacing w:before="1"/>
        <w:ind w:left="480" w:right="312"/>
      </w:pPr>
      <w:r>
        <w:t>Currently, the Great Falls Product Terminal owns and operates three gasoline tanks, two distillate tanks, one off spec product tank and one denatured ethanol tank.</w:t>
      </w:r>
      <w:r>
        <w:rPr>
          <w:spacing w:val="40"/>
        </w:rPr>
        <w:t xml:space="preserve"> </w:t>
      </w:r>
      <w:r>
        <w:t>Fugitive and miscellaneous emissions include emissions from valves, flanges, pump seals, additive tanks, provers,</w:t>
      </w:r>
      <w:r>
        <w:rPr>
          <w:spacing w:val="-6"/>
        </w:rPr>
        <w:t xml:space="preserve"> </w:t>
      </w:r>
      <w:r>
        <w:t>tank</w:t>
      </w:r>
      <w:r>
        <w:rPr>
          <w:spacing w:val="-7"/>
        </w:rPr>
        <w:t xml:space="preserve"> </w:t>
      </w:r>
      <w:r>
        <w:t>cleaning,</w:t>
      </w:r>
      <w:r>
        <w:rPr>
          <w:spacing w:val="-1"/>
        </w:rPr>
        <w:t xml:space="preserve"> </w:t>
      </w:r>
      <w:r>
        <w:t>wastewater sumps,</w:t>
      </w:r>
      <w:r>
        <w:rPr>
          <w:spacing w:val="-6"/>
        </w:rPr>
        <w:t xml:space="preserve"> </w:t>
      </w:r>
      <w:r>
        <w:t>rack</w:t>
      </w:r>
      <w:r>
        <w:rPr>
          <w:spacing w:val="-3"/>
        </w:rPr>
        <w:t xml:space="preserve"> </w:t>
      </w:r>
      <w:r>
        <w:t>drains,</w:t>
      </w:r>
      <w:r>
        <w:rPr>
          <w:spacing w:val="-1"/>
        </w:rPr>
        <w:t xml:space="preserve"> </w:t>
      </w:r>
      <w:r>
        <w:t>tank</w:t>
      </w:r>
      <w:r>
        <w:rPr>
          <w:spacing w:val="-3"/>
        </w:rPr>
        <w:t xml:space="preserve"> </w:t>
      </w:r>
      <w:r>
        <w:t>roof</w:t>
      </w:r>
      <w:r>
        <w:rPr>
          <w:spacing w:val="-6"/>
        </w:rPr>
        <w:t xml:space="preserve"> </w:t>
      </w:r>
      <w:r>
        <w:t>landings,</w:t>
      </w:r>
      <w:r>
        <w:rPr>
          <w:spacing w:val="-1"/>
        </w:rPr>
        <w:t xml:space="preserve"> </w:t>
      </w:r>
      <w:r>
        <w:t>connections,</w:t>
      </w:r>
      <w:r>
        <w:rPr>
          <w:spacing w:val="-6"/>
        </w:rPr>
        <w:t xml:space="preserve"> </w:t>
      </w:r>
      <w:r>
        <w:t>meters, and open-ended lines.</w:t>
      </w:r>
    </w:p>
    <w:p w14:paraId="245EC676" w14:textId="77777777" w:rsidR="006C14B1" w:rsidRDefault="006C14B1">
      <w:pPr>
        <w:pStyle w:val="BodyText"/>
        <w:spacing w:before="2"/>
      </w:pPr>
    </w:p>
    <w:p w14:paraId="245EC677" w14:textId="77777777" w:rsidR="006C14B1" w:rsidRDefault="005C7B88">
      <w:pPr>
        <w:pStyle w:val="Heading2"/>
        <w:numPr>
          <w:ilvl w:val="0"/>
          <w:numId w:val="3"/>
        </w:numPr>
        <w:tabs>
          <w:tab w:val="left" w:pos="478"/>
        </w:tabs>
        <w:ind w:left="478" w:hanging="359"/>
      </w:pPr>
      <w:bookmarkStart w:id="11" w:name="_TOC_250011"/>
      <w:r>
        <w:t>Categorically</w:t>
      </w:r>
      <w:r>
        <w:rPr>
          <w:spacing w:val="-9"/>
        </w:rPr>
        <w:t xml:space="preserve"> </w:t>
      </w:r>
      <w:r>
        <w:t>Insignificant</w:t>
      </w:r>
      <w:r>
        <w:rPr>
          <w:spacing w:val="-8"/>
        </w:rPr>
        <w:t xml:space="preserve"> </w:t>
      </w:r>
      <w:bookmarkEnd w:id="11"/>
      <w:r>
        <w:rPr>
          <w:spacing w:val="-2"/>
        </w:rPr>
        <w:t>Sources/Activities</w:t>
      </w:r>
    </w:p>
    <w:p w14:paraId="245EC678" w14:textId="77777777" w:rsidR="006C14B1" w:rsidRDefault="006C14B1">
      <w:pPr>
        <w:pStyle w:val="BodyText"/>
        <w:spacing w:before="9"/>
        <w:rPr>
          <w:b/>
          <w:sz w:val="23"/>
        </w:rPr>
      </w:pPr>
    </w:p>
    <w:p w14:paraId="245EC679" w14:textId="77777777" w:rsidR="006C14B1" w:rsidRDefault="005C7B88">
      <w:pPr>
        <w:pStyle w:val="BodyText"/>
        <w:ind w:left="480" w:right="264"/>
      </w:pPr>
      <w:r>
        <w:t>The Administrative Rules of Montana (ARM) 17.8.1201(22)(a) defines an insignificant emission unit as one that emits less than 5 tons per year of any regulated pollutant, has the potential to emit less</w:t>
      </w:r>
      <w:r>
        <w:rPr>
          <w:spacing w:val="-1"/>
        </w:rPr>
        <w:t xml:space="preserve"> </w:t>
      </w:r>
      <w:r>
        <w:t>than 500</w:t>
      </w:r>
      <w:r>
        <w:rPr>
          <w:spacing w:val="-2"/>
        </w:rPr>
        <w:t xml:space="preserve"> </w:t>
      </w:r>
      <w:r>
        <w:t>pounds</w:t>
      </w:r>
      <w:r>
        <w:rPr>
          <w:spacing w:val="-1"/>
        </w:rPr>
        <w:t xml:space="preserve"> </w:t>
      </w:r>
      <w:r>
        <w:t>per</w:t>
      </w:r>
      <w:r>
        <w:rPr>
          <w:spacing w:val="-3"/>
        </w:rPr>
        <w:t xml:space="preserve"> </w:t>
      </w:r>
      <w:r>
        <w:t>year</w:t>
      </w:r>
      <w:r>
        <w:rPr>
          <w:spacing w:val="-3"/>
        </w:rPr>
        <w:t xml:space="preserve"> </w:t>
      </w:r>
      <w:r>
        <w:t>of</w:t>
      </w:r>
      <w:r>
        <w:rPr>
          <w:spacing w:val="-1"/>
        </w:rPr>
        <w:t xml:space="preserve"> </w:t>
      </w:r>
      <w:r>
        <w:t>lead</w:t>
      </w:r>
      <w:r>
        <w:rPr>
          <w:spacing w:val="-5"/>
        </w:rPr>
        <w:t xml:space="preserve"> </w:t>
      </w:r>
      <w:r>
        <w:t>or any</w:t>
      </w:r>
      <w:r>
        <w:rPr>
          <w:spacing w:val="-4"/>
        </w:rPr>
        <w:t xml:space="preserve"> </w:t>
      </w:r>
      <w:r>
        <w:t>hazardous</w:t>
      </w:r>
      <w:r>
        <w:rPr>
          <w:spacing w:val="-1"/>
        </w:rPr>
        <w:t xml:space="preserve"> </w:t>
      </w:r>
      <w:r>
        <w:t>air</w:t>
      </w:r>
      <w:r>
        <w:rPr>
          <w:spacing w:val="-3"/>
        </w:rPr>
        <w:t xml:space="preserve"> </w:t>
      </w:r>
      <w:r>
        <w:t>pollutant, and</w:t>
      </w:r>
      <w:r>
        <w:rPr>
          <w:spacing w:val="-5"/>
        </w:rPr>
        <w:t xml:space="preserve"> </w:t>
      </w:r>
      <w:r>
        <w:t>is</w:t>
      </w:r>
      <w:r>
        <w:rPr>
          <w:spacing w:val="-1"/>
        </w:rPr>
        <w:t xml:space="preserve"> </w:t>
      </w:r>
      <w:r>
        <w:t>not</w:t>
      </w:r>
      <w:r>
        <w:rPr>
          <w:spacing w:val="-3"/>
        </w:rPr>
        <w:t xml:space="preserve"> </w:t>
      </w:r>
      <w:r>
        <w:t>regulated</w:t>
      </w:r>
      <w:r>
        <w:rPr>
          <w:spacing w:val="-5"/>
        </w:rPr>
        <w:t xml:space="preserve"> </w:t>
      </w:r>
      <w:r>
        <w:t>by an applicable requirement other than a generally applicable requirement.</w:t>
      </w:r>
    </w:p>
    <w:p w14:paraId="245EC67A" w14:textId="77777777" w:rsidR="006C14B1" w:rsidRDefault="006C14B1">
      <w:pPr>
        <w:pStyle w:val="BodyText"/>
        <w:spacing w:before="3"/>
      </w:pPr>
    </w:p>
    <w:p w14:paraId="245EC67B" w14:textId="77777777" w:rsidR="006C14B1" w:rsidRDefault="005C7B88">
      <w:pPr>
        <w:pStyle w:val="BodyText"/>
        <w:ind w:left="480" w:right="249"/>
      </w:pPr>
      <w:r>
        <w:t>The miscellaneous emissions from the Phillips Product Terminal include emissions from tank cleaning,</w:t>
      </w:r>
      <w:r>
        <w:rPr>
          <w:spacing w:val="-2"/>
        </w:rPr>
        <w:t xml:space="preserve"> </w:t>
      </w:r>
      <w:r>
        <w:t>rack</w:t>
      </w:r>
      <w:r>
        <w:rPr>
          <w:spacing w:val="-4"/>
        </w:rPr>
        <w:t xml:space="preserve"> </w:t>
      </w:r>
      <w:r>
        <w:t>drains,</w:t>
      </w:r>
      <w:r>
        <w:rPr>
          <w:spacing w:val="-2"/>
        </w:rPr>
        <w:t xml:space="preserve"> </w:t>
      </w:r>
      <w:r>
        <w:t>additive</w:t>
      </w:r>
      <w:r>
        <w:rPr>
          <w:spacing w:val="-1"/>
        </w:rPr>
        <w:t xml:space="preserve"> </w:t>
      </w:r>
      <w:r>
        <w:t>tanks,</w:t>
      </w:r>
      <w:r>
        <w:rPr>
          <w:spacing w:val="-2"/>
        </w:rPr>
        <w:t xml:space="preserve"> </w:t>
      </w:r>
      <w:r>
        <w:t>etc.</w:t>
      </w:r>
      <w:r>
        <w:rPr>
          <w:spacing w:val="40"/>
        </w:rPr>
        <w:t xml:space="preserve"> </w:t>
      </w:r>
      <w:r>
        <w:t>These</w:t>
      </w:r>
      <w:r>
        <w:rPr>
          <w:spacing w:val="-5"/>
        </w:rPr>
        <w:t xml:space="preserve"> </w:t>
      </w:r>
      <w:r>
        <w:t>units</w:t>
      </w:r>
      <w:r>
        <w:rPr>
          <w:spacing w:val="-7"/>
        </w:rPr>
        <w:t xml:space="preserve"> </w:t>
      </w:r>
      <w:r>
        <w:t>are</w:t>
      </w:r>
      <w:r>
        <w:rPr>
          <w:spacing w:val="-1"/>
        </w:rPr>
        <w:t xml:space="preserve"> </w:t>
      </w:r>
      <w:r>
        <w:t>insignificant because</w:t>
      </w:r>
      <w:r>
        <w:rPr>
          <w:spacing w:val="-5"/>
        </w:rPr>
        <w:t xml:space="preserve"> </w:t>
      </w:r>
      <w:r>
        <w:t>they</w:t>
      </w:r>
      <w:r>
        <w:rPr>
          <w:spacing w:val="-1"/>
        </w:rPr>
        <w:t xml:space="preserve"> </w:t>
      </w:r>
      <w:r>
        <w:t>emit less</w:t>
      </w:r>
      <w:r>
        <w:rPr>
          <w:spacing w:val="-7"/>
        </w:rPr>
        <w:t xml:space="preserve"> </w:t>
      </w:r>
      <w:r>
        <w:t>than 5 tons per year of any regulated pollutant.</w:t>
      </w:r>
    </w:p>
    <w:p w14:paraId="245EC67C" w14:textId="77777777" w:rsidR="006C14B1" w:rsidRDefault="006C14B1">
      <w:pPr>
        <w:sectPr w:rsidR="006C14B1">
          <w:pgSz w:w="12240" w:h="15840"/>
          <w:pgMar w:top="1080" w:right="1200" w:bottom="1320" w:left="1320" w:header="0" w:footer="1073" w:gutter="0"/>
          <w:cols w:space="720"/>
        </w:sectPr>
      </w:pPr>
    </w:p>
    <w:p w14:paraId="245EC67D" w14:textId="77777777" w:rsidR="006C14B1" w:rsidRDefault="005C7B88">
      <w:pPr>
        <w:spacing w:before="71"/>
        <w:ind w:left="1309" w:right="1302"/>
        <w:jc w:val="center"/>
        <w:rPr>
          <w:b/>
          <w:sz w:val="24"/>
        </w:rPr>
      </w:pPr>
      <w:bookmarkStart w:id="12" w:name="PERMIT_CONDITIONS"/>
      <w:bookmarkEnd w:id="12"/>
      <w:r>
        <w:rPr>
          <w:b/>
          <w:sz w:val="24"/>
        </w:rPr>
        <w:lastRenderedPageBreak/>
        <w:t>PERMIT</w:t>
      </w:r>
      <w:r>
        <w:rPr>
          <w:b/>
          <w:spacing w:val="-6"/>
          <w:sz w:val="24"/>
        </w:rPr>
        <w:t xml:space="preserve"> </w:t>
      </w:r>
      <w:r>
        <w:rPr>
          <w:b/>
          <w:spacing w:val="-2"/>
          <w:sz w:val="24"/>
        </w:rPr>
        <w:t>CONDITIONS</w:t>
      </w:r>
    </w:p>
    <w:p w14:paraId="245EC67E" w14:textId="77777777" w:rsidR="006C14B1" w:rsidRDefault="006C14B1">
      <w:pPr>
        <w:pStyle w:val="BodyText"/>
        <w:spacing w:before="11"/>
        <w:rPr>
          <w:b/>
          <w:sz w:val="22"/>
        </w:rPr>
      </w:pPr>
    </w:p>
    <w:p w14:paraId="245EC67F" w14:textId="77777777" w:rsidR="006C14B1" w:rsidRDefault="005C7B88">
      <w:pPr>
        <w:pStyle w:val="Heading2"/>
        <w:numPr>
          <w:ilvl w:val="0"/>
          <w:numId w:val="2"/>
        </w:numPr>
        <w:tabs>
          <w:tab w:val="left" w:pos="478"/>
        </w:tabs>
        <w:ind w:left="478" w:hanging="358"/>
      </w:pPr>
      <w:bookmarkStart w:id="13" w:name="_TOC_250010"/>
      <w:r>
        <w:t>Emission</w:t>
      </w:r>
      <w:r>
        <w:rPr>
          <w:spacing w:val="1"/>
        </w:rPr>
        <w:t xml:space="preserve"> </w:t>
      </w:r>
      <w:r>
        <w:t>Limits</w:t>
      </w:r>
      <w:r>
        <w:rPr>
          <w:spacing w:val="-4"/>
        </w:rPr>
        <w:t xml:space="preserve"> </w:t>
      </w:r>
      <w:r>
        <w:t>and</w:t>
      </w:r>
      <w:r>
        <w:rPr>
          <w:spacing w:val="-3"/>
        </w:rPr>
        <w:t xml:space="preserve"> </w:t>
      </w:r>
      <w:bookmarkEnd w:id="13"/>
      <w:r>
        <w:rPr>
          <w:spacing w:val="-2"/>
        </w:rPr>
        <w:t>Standards</w:t>
      </w:r>
    </w:p>
    <w:p w14:paraId="245EC680" w14:textId="77777777" w:rsidR="006C14B1" w:rsidRDefault="006C14B1">
      <w:pPr>
        <w:pStyle w:val="BodyText"/>
        <w:spacing w:before="10"/>
        <w:rPr>
          <w:b/>
          <w:sz w:val="22"/>
        </w:rPr>
      </w:pPr>
    </w:p>
    <w:p w14:paraId="245EC681" w14:textId="77777777" w:rsidR="006C14B1" w:rsidRDefault="005C7B88">
      <w:pPr>
        <w:pStyle w:val="BodyText"/>
        <w:ind w:left="480" w:right="312"/>
      </w:pPr>
      <w:r>
        <w:t>The Phillips Great Falls Product Terminal is limited to a maximum of 88,200,000 gallons of gasoline and 88,200,000 gallons of distillate product throughput for the truck loadout operation during</w:t>
      </w:r>
      <w:r>
        <w:rPr>
          <w:spacing w:val="-3"/>
        </w:rPr>
        <w:t xml:space="preserve"> </w:t>
      </w:r>
      <w:r>
        <w:t>any</w:t>
      </w:r>
      <w:r>
        <w:rPr>
          <w:spacing w:val="-5"/>
        </w:rPr>
        <w:t xml:space="preserve"> </w:t>
      </w:r>
      <w:r>
        <w:t>12-month</w:t>
      </w:r>
      <w:r>
        <w:rPr>
          <w:spacing w:val="-4"/>
        </w:rPr>
        <w:t xml:space="preserve"> </w:t>
      </w:r>
      <w:r>
        <w:t>rolling</w:t>
      </w:r>
      <w:r>
        <w:rPr>
          <w:spacing w:val="-3"/>
        </w:rPr>
        <w:t xml:space="preserve"> </w:t>
      </w:r>
      <w:r>
        <w:t>period.</w:t>
      </w:r>
      <w:r>
        <w:rPr>
          <w:spacing w:val="40"/>
        </w:rPr>
        <w:t xml:space="preserve"> </w:t>
      </w:r>
      <w:r>
        <w:t>Phillips</w:t>
      </w:r>
      <w:r>
        <w:rPr>
          <w:spacing w:val="-2"/>
        </w:rPr>
        <w:t xml:space="preserve"> </w:t>
      </w:r>
      <w:r>
        <w:t>is</w:t>
      </w:r>
      <w:r>
        <w:rPr>
          <w:spacing w:val="-2"/>
        </w:rPr>
        <w:t xml:space="preserve"> </w:t>
      </w:r>
      <w:r>
        <w:t>also required</w:t>
      </w:r>
      <w:r>
        <w:rPr>
          <w:spacing w:val="-6"/>
        </w:rPr>
        <w:t xml:space="preserve"> </w:t>
      </w:r>
      <w:r>
        <w:t>to conduct</w:t>
      </w:r>
      <w:r>
        <w:rPr>
          <w:spacing w:val="-4"/>
        </w:rPr>
        <w:t xml:space="preserve"> </w:t>
      </w:r>
      <w:r>
        <w:t>monthly</w:t>
      </w:r>
      <w:r>
        <w:rPr>
          <w:spacing w:val="-5"/>
        </w:rPr>
        <w:t xml:space="preserve"> </w:t>
      </w:r>
      <w:r>
        <w:t>leak</w:t>
      </w:r>
      <w:r>
        <w:rPr>
          <w:spacing w:val="-3"/>
        </w:rPr>
        <w:t xml:space="preserve"> </w:t>
      </w:r>
      <w:r>
        <w:t>checks</w:t>
      </w:r>
      <w:r>
        <w:rPr>
          <w:spacing w:val="-2"/>
        </w:rPr>
        <w:t xml:space="preserve"> </w:t>
      </w:r>
      <w:r>
        <w:t>for fugitive emissions.</w:t>
      </w:r>
      <w:r>
        <w:rPr>
          <w:spacing w:val="40"/>
        </w:rPr>
        <w:t xml:space="preserve"> </w:t>
      </w:r>
      <w:r>
        <w:t>Detection methods incorporating sight, sound, or smell are acceptable for the</w:t>
      </w:r>
      <w:r>
        <w:rPr>
          <w:spacing w:val="-2"/>
        </w:rPr>
        <w:t xml:space="preserve"> </w:t>
      </w:r>
      <w:r>
        <w:t>purposes</w:t>
      </w:r>
      <w:r>
        <w:rPr>
          <w:spacing w:val="-4"/>
        </w:rPr>
        <w:t xml:space="preserve"> </w:t>
      </w:r>
      <w:r>
        <w:t>of these</w:t>
      </w:r>
      <w:r>
        <w:rPr>
          <w:spacing w:val="-2"/>
        </w:rPr>
        <w:t xml:space="preserve"> </w:t>
      </w:r>
      <w:r>
        <w:t>inspections.</w:t>
      </w:r>
      <w:r>
        <w:rPr>
          <w:spacing w:val="40"/>
        </w:rPr>
        <w:t xml:space="preserve"> </w:t>
      </w:r>
      <w:r>
        <w:t>The</w:t>
      </w:r>
      <w:r>
        <w:rPr>
          <w:spacing w:val="-2"/>
        </w:rPr>
        <w:t xml:space="preserve"> </w:t>
      </w:r>
      <w:r>
        <w:t>emission</w:t>
      </w:r>
      <w:r>
        <w:rPr>
          <w:spacing w:val="-1"/>
        </w:rPr>
        <w:t xml:space="preserve"> </w:t>
      </w:r>
      <w:r>
        <w:t>units at</w:t>
      </w:r>
      <w:r>
        <w:rPr>
          <w:spacing w:val="-1"/>
        </w:rPr>
        <w:t xml:space="preserve"> </w:t>
      </w:r>
      <w:r>
        <w:t>this facility have synthetic</w:t>
      </w:r>
      <w:r>
        <w:rPr>
          <w:spacing w:val="-2"/>
        </w:rPr>
        <w:t xml:space="preserve"> </w:t>
      </w:r>
      <w:r>
        <w:t>minored</w:t>
      </w:r>
      <w:r>
        <w:rPr>
          <w:spacing w:val="-3"/>
        </w:rPr>
        <w:t xml:space="preserve"> </w:t>
      </w:r>
      <w:r>
        <w:t>out of the 40 CFR 63, Subpart R Gasoline Distribution MACT requirements.</w:t>
      </w:r>
      <w:r>
        <w:rPr>
          <w:spacing w:val="40"/>
        </w:rPr>
        <w:t xml:space="preserve"> </w:t>
      </w:r>
      <w:r>
        <w:t>Due to the federally enforceable limitations on throughput of the loading rack operations, this facility is also not subject to PSD regulations.</w:t>
      </w:r>
    </w:p>
    <w:p w14:paraId="245EC682" w14:textId="77777777" w:rsidR="006C14B1" w:rsidRDefault="006C14B1">
      <w:pPr>
        <w:pStyle w:val="BodyText"/>
        <w:spacing w:before="1"/>
        <w:rPr>
          <w:sz w:val="23"/>
        </w:rPr>
      </w:pPr>
    </w:p>
    <w:p w14:paraId="245EC683" w14:textId="77777777" w:rsidR="006C14B1" w:rsidRDefault="005C7B88">
      <w:pPr>
        <w:pStyle w:val="BodyText"/>
        <w:ind w:left="480"/>
      </w:pPr>
      <w:r>
        <w:t>40</w:t>
      </w:r>
      <w:r>
        <w:rPr>
          <w:spacing w:val="-4"/>
        </w:rPr>
        <w:t xml:space="preserve"> </w:t>
      </w:r>
      <w:r>
        <w:t>CFR</w:t>
      </w:r>
      <w:r>
        <w:rPr>
          <w:spacing w:val="-3"/>
        </w:rPr>
        <w:t xml:space="preserve"> </w:t>
      </w:r>
      <w:r>
        <w:t>63,</w:t>
      </w:r>
      <w:r>
        <w:rPr>
          <w:spacing w:val="-2"/>
        </w:rPr>
        <w:t xml:space="preserve"> </w:t>
      </w:r>
      <w:r>
        <w:t>Subpart</w:t>
      </w:r>
      <w:r>
        <w:rPr>
          <w:spacing w:val="-1"/>
        </w:rPr>
        <w:t xml:space="preserve"> </w:t>
      </w:r>
      <w:r>
        <w:t>BBBBBB</w:t>
      </w:r>
      <w:r>
        <w:rPr>
          <w:spacing w:val="-1"/>
        </w:rPr>
        <w:t xml:space="preserve"> </w:t>
      </w:r>
      <w:r>
        <w:t>is</w:t>
      </w:r>
      <w:r>
        <w:rPr>
          <w:spacing w:val="-3"/>
        </w:rPr>
        <w:t xml:space="preserve"> </w:t>
      </w:r>
      <w:r>
        <w:t>applicable</w:t>
      </w:r>
      <w:r>
        <w:rPr>
          <w:spacing w:val="-1"/>
        </w:rPr>
        <w:t xml:space="preserve"> </w:t>
      </w:r>
      <w:r>
        <w:t>to</w:t>
      </w:r>
      <w:r>
        <w:rPr>
          <w:spacing w:val="-5"/>
        </w:rPr>
        <w:t xml:space="preserve"> </w:t>
      </w:r>
      <w:r>
        <w:t>this</w:t>
      </w:r>
      <w:r>
        <w:rPr>
          <w:spacing w:val="-3"/>
        </w:rPr>
        <w:t xml:space="preserve"> </w:t>
      </w:r>
      <w:r>
        <w:t>facility.</w:t>
      </w:r>
      <w:r>
        <w:rPr>
          <w:spacing w:val="40"/>
        </w:rPr>
        <w:t xml:space="preserve"> </w:t>
      </w:r>
      <w:r>
        <w:t>The</w:t>
      </w:r>
      <w:r>
        <w:rPr>
          <w:spacing w:val="-6"/>
        </w:rPr>
        <w:t xml:space="preserve"> </w:t>
      </w:r>
      <w:r>
        <w:t>emissions</w:t>
      </w:r>
      <w:r>
        <w:rPr>
          <w:spacing w:val="-3"/>
        </w:rPr>
        <w:t xml:space="preserve"> </w:t>
      </w:r>
      <w:r>
        <w:t>limits,</w:t>
      </w:r>
      <w:r>
        <w:rPr>
          <w:spacing w:val="-2"/>
        </w:rPr>
        <w:t xml:space="preserve"> </w:t>
      </w:r>
      <w:r>
        <w:t>management practices, and standards of this rule vary depending on the compliance methods chosen.</w:t>
      </w:r>
    </w:p>
    <w:p w14:paraId="245EC684" w14:textId="77777777" w:rsidR="006C14B1" w:rsidRDefault="005C7B88">
      <w:pPr>
        <w:pStyle w:val="BodyText"/>
        <w:spacing w:before="2"/>
        <w:ind w:left="479"/>
      </w:pPr>
      <w:r>
        <w:t>Therefore,</w:t>
      </w:r>
      <w:r>
        <w:rPr>
          <w:spacing w:val="-8"/>
        </w:rPr>
        <w:t xml:space="preserve"> </w:t>
      </w:r>
      <w:r>
        <w:t>the</w:t>
      </w:r>
      <w:r>
        <w:rPr>
          <w:spacing w:val="-5"/>
        </w:rPr>
        <w:t xml:space="preserve"> </w:t>
      </w:r>
      <w:r>
        <w:t>permit</w:t>
      </w:r>
      <w:r>
        <w:rPr>
          <w:spacing w:val="1"/>
        </w:rPr>
        <w:t xml:space="preserve"> </w:t>
      </w:r>
      <w:r>
        <w:t>addresses</w:t>
      </w:r>
      <w:r>
        <w:rPr>
          <w:spacing w:val="-1"/>
        </w:rPr>
        <w:t xml:space="preserve"> </w:t>
      </w:r>
      <w:r>
        <w:t>these requirements</w:t>
      </w:r>
      <w:r>
        <w:rPr>
          <w:spacing w:val="-12"/>
        </w:rPr>
        <w:t xml:space="preserve"> </w:t>
      </w:r>
      <w:r>
        <w:t>by</w:t>
      </w:r>
      <w:r>
        <w:rPr>
          <w:spacing w:val="1"/>
        </w:rPr>
        <w:t xml:space="preserve"> </w:t>
      </w:r>
      <w:r>
        <w:rPr>
          <w:spacing w:val="-2"/>
        </w:rPr>
        <w:t>reference.</w:t>
      </w:r>
    </w:p>
    <w:p w14:paraId="245EC685" w14:textId="77777777" w:rsidR="006C14B1" w:rsidRDefault="006C14B1">
      <w:pPr>
        <w:pStyle w:val="BodyText"/>
        <w:spacing w:before="10"/>
        <w:rPr>
          <w:sz w:val="22"/>
        </w:rPr>
      </w:pPr>
    </w:p>
    <w:p w14:paraId="245EC686" w14:textId="77777777" w:rsidR="006C14B1" w:rsidRDefault="005C7B88">
      <w:pPr>
        <w:pStyle w:val="Heading2"/>
        <w:numPr>
          <w:ilvl w:val="0"/>
          <w:numId w:val="2"/>
        </w:numPr>
        <w:tabs>
          <w:tab w:val="left" w:pos="479"/>
        </w:tabs>
        <w:spacing w:before="1"/>
        <w:ind w:left="479" w:hanging="359"/>
      </w:pPr>
      <w:bookmarkStart w:id="14" w:name="_TOC_250009"/>
      <w:r>
        <w:t xml:space="preserve">Monitoring </w:t>
      </w:r>
      <w:bookmarkEnd w:id="14"/>
      <w:r>
        <w:rPr>
          <w:spacing w:val="-2"/>
        </w:rPr>
        <w:t>Requirements</w:t>
      </w:r>
    </w:p>
    <w:p w14:paraId="245EC687" w14:textId="77777777" w:rsidR="006C14B1" w:rsidRDefault="006C14B1">
      <w:pPr>
        <w:pStyle w:val="BodyText"/>
        <w:spacing w:before="10"/>
        <w:rPr>
          <w:b/>
          <w:sz w:val="22"/>
        </w:rPr>
      </w:pPr>
    </w:p>
    <w:p w14:paraId="245EC688" w14:textId="77777777" w:rsidR="006C14B1" w:rsidRDefault="005C7B88">
      <w:pPr>
        <w:pStyle w:val="BodyText"/>
        <w:ind w:left="480" w:right="312"/>
      </w:pPr>
      <w:r>
        <w:t>ARM 17.8.1212(1) requires</w:t>
      </w:r>
      <w:r>
        <w:rPr>
          <w:spacing w:val="-7"/>
        </w:rPr>
        <w:t xml:space="preserve"> </w:t>
      </w:r>
      <w:r>
        <w:t>that all</w:t>
      </w:r>
      <w:r>
        <w:rPr>
          <w:spacing w:val="-3"/>
        </w:rPr>
        <w:t xml:space="preserve"> </w:t>
      </w:r>
      <w:r>
        <w:t>monitoring</w:t>
      </w:r>
      <w:r>
        <w:rPr>
          <w:spacing w:val="-3"/>
        </w:rPr>
        <w:t xml:space="preserve"> </w:t>
      </w:r>
      <w:r>
        <w:t>and</w:t>
      </w:r>
      <w:r>
        <w:rPr>
          <w:spacing w:val="-6"/>
        </w:rPr>
        <w:t xml:space="preserve"> </w:t>
      </w:r>
      <w:r>
        <w:t>analysis</w:t>
      </w:r>
      <w:r>
        <w:rPr>
          <w:spacing w:val="-2"/>
        </w:rPr>
        <w:t xml:space="preserve"> </w:t>
      </w:r>
      <w:r>
        <w:t>procedures</w:t>
      </w:r>
      <w:r>
        <w:rPr>
          <w:spacing w:val="-7"/>
        </w:rPr>
        <w:t xml:space="preserve"> </w:t>
      </w:r>
      <w:r>
        <w:t>or</w:t>
      </w:r>
      <w:r>
        <w:rPr>
          <w:spacing w:val="-4"/>
        </w:rPr>
        <w:t xml:space="preserve"> </w:t>
      </w:r>
      <w:r>
        <w:t>test</w:t>
      </w:r>
      <w:r>
        <w:rPr>
          <w:spacing w:val="-4"/>
        </w:rPr>
        <w:t xml:space="preserve"> </w:t>
      </w:r>
      <w:r>
        <w:t>methods</w:t>
      </w:r>
      <w:r>
        <w:rPr>
          <w:spacing w:val="-7"/>
        </w:rPr>
        <w:t xml:space="preserve"> </w:t>
      </w:r>
      <w:r>
        <w:t>required under applicable requirements are contained in operating permits.</w:t>
      </w:r>
      <w:r>
        <w:rPr>
          <w:spacing w:val="40"/>
        </w:rPr>
        <w:t xml:space="preserve"> </w:t>
      </w:r>
      <w:r>
        <w:t xml:space="preserve">In addition, when the applicable requirement does not require periodic testing or monitoring, periodic monitoring must be prescribed that is sufficient to yield reliable data from the relevant </w:t>
      </w:r>
      <w:proofErr w:type="gramStart"/>
      <w:r>
        <w:t>time period</w:t>
      </w:r>
      <w:proofErr w:type="gramEnd"/>
      <w:r>
        <w:t xml:space="preserve"> that is representative of the source's compliance with the permit.</w:t>
      </w:r>
    </w:p>
    <w:p w14:paraId="245EC689" w14:textId="77777777" w:rsidR="006C14B1" w:rsidRDefault="006C14B1">
      <w:pPr>
        <w:pStyle w:val="BodyText"/>
        <w:spacing w:before="10"/>
        <w:rPr>
          <w:sz w:val="22"/>
        </w:rPr>
      </w:pPr>
    </w:p>
    <w:p w14:paraId="245EC68A" w14:textId="77777777" w:rsidR="006C14B1" w:rsidRDefault="005C7B88">
      <w:pPr>
        <w:pStyle w:val="BodyText"/>
        <w:spacing w:before="1"/>
        <w:ind w:left="480" w:right="249"/>
      </w:pPr>
      <w:r>
        <w:t>The</w:t>
      </w:r>
      <w:r>
        <w:rPr>
          <w:spacing w:val="-1"/>
        </w:rPr>
        <w:t xml:space="preserve"> </w:t>
      </w:r>
      <w:r>
        <w:t>requirements for testing,</w:t>
      </w:r>
      <w:r>
        <w:rPr>
          <w:spacing w:val="-2"/>
        </w:rPr>
        <w:t xml:space="preserve"> </w:t>
      </w:r>
      <w:r>
        <w:t>monitoring,</w:t>
      </w:r>
      <w:r>
        <w:rPr>
          <w:spacing w:val="-2"/>
        </w:rPr>
        <w:t xml:space="preserve"> </w:t>
      </w:r>
      <w:r>
        <w:t>recordkeeping, reporting, and</w:t>
      </w:r>
      <w:r>
        <w:rPr>
          <w:spacing w:val="-2"/>
        </w:rPr>
        <w:t xml:space="preserve"> </w:t>
      </w:r>
      <w:r>
        <w:t>compliance</w:t>
      </w:r>
      <w:r>
        <w:rPr>
          <w:spacing w:val="-1"/>
        </w:rPr>
        <w:t xml:space="preserve"> </w:t>
      </w:r>
      <w:r>
        <w:t>certification sufficient to assure compliance do</w:t>
      </w:r>
      <w:r>
        <w:rPr>
          <w:spacing w:val="-4"/>
        </w:rPr>
        <w:t xml:space="preserve"> </w:t>
      </w:r>
      <w:r>
        <w:t>not</w:t>
      </w:r>
      <w:r>
        <w:rPr>
          <w:spacing w:val="-4"/>
        </w:rPr>
        <w:t xml:space="preserve"> </w:t>
      </w:r>
      <w:r>
        <w:t>require</w:t>
      </w:r>
      <w:r>
        <w:rPr>
          <w:spacing w:val="-5"/>
        </w:rPr>
        <w:t xml:space="preserve"> </w:t>
      </w:r>
      <w:r>
        <w:t>the</w:t>
      </w:r>
      <w:r>
        <w:rPr>
          <w:spacing w:val="-5"/>
        </w:rPr>
        <w:t xml:space="preserve"> </w:t>
      </w:r>
      <w:r>
        <w:t>permit</w:t>
      </w:r>
      <w:r>
        <w:rPr>
          <w:spacing w:val="-4"/>
        </w:rPr>
        <w:t xml:space="preserve"> </w:t>
      </w:r>
      <w:r>
        <w:t>to</w:t>
      </w:r>
      <w:r>
        <w:rPr>
          <w:spacing w:val="-4"/>
        </w:rPr>
        <w:t xml:space="preserve"> </w:t>
      </w:r>
      <w:r>
        <w:t>impose</w:t>
      </w:r>
      <w:r>
        <w:rPr>
          <w:spacing w:val="-5"/>
        </w:rPr>
        <w:t xml:space="preserve"> </w:t>
      </w:r>
      <w:r>
        <w:t>the</w:t>
      </w:r>
      <w:r>
        <w:rPr>
          <w:spacing w:val="-5"/>
        </w:rPr>
        <w:t xml:space="preserve"> </w:t>
      </w:r>
      <w:r>
        <w:t>same level</w:t>
      </w:r>
      <w:r>
        <w:rPr>
          <w:spacing w:val="-3"/>
        </w:rPr>
        <w:t xml:space="preserve"> </w:t>
      </w:r>
      <w:r>
        <w:t>of</w:t>
      </w:r>
      <w:r>
        <w:rPr>
          <w:spacing w:val="-7"/>
        </w:rPr>
        <w:t xml:space="preserve"> </w:t>
      </w:r>
      <w:r>
        <w:t>rigor</w:t>
      </w:r>
      <w:r>
        <w:rPr>
          <w:spacing w:val="-4"/>
        </w:rPr>
        <w:t xml:space="preserve"> </w:t>
      </w:r>
      <w:r>
        <w:t>for</w:t>
      </w:r>
      <w:r>
        <w:rPr>
          <w:spacing w:val="-4"/>
        </w:rPr>
        <w:t xml:space="preserve"> </w:t>
      </w:r>
      <w:r>
        <w:t>all emissions units.</w:t>
      </w:r>
      <w:r>
        <w:rPr>
          <w:spacing w:val="40"/>
        </w:rPr>
        <w:t xml:space="preserve"> </w:t>
      </w:r>
      <w:r>
        <w:t>Furthermore, they do not require extensive testing or monitoring to assure compliance with the applicable requirements for emission units that do not have significant potential to violate emission limitations or other requirements under normal operating conditions.</w:t>
      </w:r>
      <w:r>
        <w:rPr>
          <w:spacing w:val="40"/>
        </w:rPr>
        <w:t xml:space="preserve"> </w:t>
      </w:r>
      <w:r>
        <w:t>When compliance with the underlying applicable requirement for an insignificant emissions unit is not threatened by lack of regular monitoring and when periodic testing or monitoring is not otherwise required by the applicable requirement, the status quo (i.e., no monitoring) will meet the requirements of ARM 17.8.1212(1).</w:t>
      </w:r>
      <w:r>
        <w:rPr>
          <w:spacing w:val="40"/>
        </w:rPr>
        <w:t xml:space="preserve"> </w:t>
      </w:r>
      <w:r>
        <w:t>Therefore, the permit does not include monitoring for insignificant emission units.</w:t>
      </w:r>
    </w:p>
    <w:p w14:paraId="245EC68B" w14:textId="77777777" w:rsidR="006C14B1" w:rsidRDefault="006C14B1">
      <w:pPr>
        <w:pStyle w:val="BodyText"/>
        <w:spacing w:before="2"/>
        <w:rPr>
          <w:sz w:val="23"/>
        </w:rPr>
      </w:pPr>
    </w:p>
    <w:p w14:paraId="245EC68C" w14:textId="045E6836" w:rsidR="006C14B1" w:rsidRDefault="005C7B88">
      <w:pPr>
        <w:pStyle w:val="BodyText"/>
        <w:ind w:left="480" w:right="253"/>
      </w:pPr>
      <w:r>
        <w:t>The</w:t>
      </w:r>
      <w:r>
        <w:rPr>
          <w:spacing w:val="-4"/>
        </w:rPr>
        <w:t xml:space="preserve"> </w:t>
      </w:r>
      <w:r>
        <w:t>permit includes</w:t>
      </w:r>
      <w:r>
        <w:rPr>
          <w:spacing w:val="-6"/>
        </w:rPr>
        <w:t xml:space="preserve"> </w:t>
      </w:r>
      <w:r>
        <w:t>periodic</w:t>
      </w:r>
      <w:r>
        <w:rPr>
          <w:spacing w:val="-4"/>
        </w:rPr>
        <w:t xml:space="preserve"> </w:t>
      </w:r>
      <w:r>
        <w:t>monitoring</w:t>
      </w:r>
      <w:r>
        <w:rPr>
          <w:spacing w:val="-2"/>
        </w:rPr>
        <w:t xml:space="preserve"> </w:t>
      </w:r>
      <w:r>
        <w:t>or recordkeeping</w:t>
      </w:r>
      <w:r>
        <w:rPr>
          <w:spacing w:val="-2"/>
        </w:rPr>
        <w:t xml:space="preserve"> </w:t>
      </w:r>
      <w:r>
        <w:t>for each applicable requirement.</w:t>
      </w:r>
      <w:r>
        <w:rPr>
          <w:spacing w:val="40"/>
        </w:rPr>
        <w:t xml:space="preserve"> </w:t>
      </w:r>
      <w:r>
        <w:t xml:space="preserve">The information obtained from </w:t>
      </w:r>
      <w:r w:rsidR="009C6496">
        <w:t>monitoring</w:t>
      </w:r>
      <w:r>
        <w:t xml:space="preserve"> and recordkeeping will be used by the permittee to periodically certify compliance with the emission limits and standards.</w:t>
      </w:r>
      <w:r>
        <w:rPr>
          <w:spacing w:val="40"/>
        </w:rPr>
        <w:t xml:space="preserve"> </w:t>
      </w:r>
      <w:r>
        <w:t xml:space="preserve">However, </w:t>
      </w:r>
      <w:r w:rsidR="00402E8D">
        <w:t>DEQ</w:t>
      </w:r>
      <w:r>
        <w:rPr>
          <w:spacing w:val="-5"/>
        </w:rPr>
        <w:t xml:space="preserve"> </w:t>
      </w:r>
      <w:r>
        <w:t>may</w:t>
      </w:r>
      <w:r>
        <w:rPr>
          <w:spacing w:val="-6"/>
        </w:rPr>
        <w:t xml:space="preserve"> </w:t>
      </w:r>
      <w:r>
        <w:t>request</w:t>
      </w:r>
      <w:r>
        <w:rPr>
          <w:spacing w:val="-5"/>
        </w:rPr>
        <w:t xml:space="preserve"> </w:t>
      </w:r>
      <w:r>
        <w:t>additional</w:t>
      </w:r>
      <w:r>
        <w:rPr>
          <w:spacing w:val="-4"/>
        </w:rPr>
        <w:t xml:space="preserve"> </w:t>
      </w:r>
      <w:r>
        <w:t>testing</w:t>
      </w:r>
      <w:r>
        <w:rPr>
          <w:spacing w:val="-4"/>
        </w:rPr>
        <w:t xml:space="preserve"> </w:t>
      </w:r>
      <w:r>
        <w:t>to determine</w:t>
      </w:r>
      <w:r>
        <w:rPr>
          <w:spacing w:val="-1"/>
        </w:rPr>
        <w:t xml:space="preserve"> </w:t>
      </w:r>
      <w:r>
        <w:t>compliance</w:t>
      </w:r>
      <w:r>
        <w:rPr>
          <w:spacing w:val="-1"/>
        </w:rPr>
        <w:t xml:space="preserve"> </w:t>
      </w:r>
      <w:r>
        <w:t>with</w:t>
      </w:r>
      <w:r>
        <w:rPr>
          <w:spacing w:val="-5"/>
        </w:rPr>
        <w:t xml:space="preserve"> </w:t>
      </w:r>
      <w:r>
        <w:t>the</w:t>
      </w:r>
      <w:r>
        <w:rPr>
          <w:spacing w:val="-1"/>
        </w:rPr>
        <w:t xml:space="preserve"> </w:t>
      </w:r>
      <w:r>
        <w:t>emission limits</w:t>
      </w:r>
      <w:r>
        <w:rPr>
          <w:spacing w:val="-3"/>
        </w:rPr>
        <w:t xml:space="preserve"> </w:t>
      </w:r>
      <w:r>
        <w:t xml:space="preserve">and </w:t>
      </w:r>
      <w:r>
        <w:rPr>
          <w:spacing w:val="-2"/>
        </w:rPr>
        <w:t>standards.</w:t>
      </w:r>
    </w:p>
    <w:p w14:paraId="245EC68D" w14:textId="77777777" w:rsidR="006C14B1" w:rsidRDefault="006C14B1">
      <w:pPr>
        <w:pStyle w:val="BodyText"/>
        <w:rPr>
          <w:sz w:val="23"/>
        </w:rPr>
      </w:pPr>
    </w:p>
    <w:p w14:paraId="245EC68E" w14:textId="77777777" w:rsidR="006C14B1" w:rsidRDefault="005C7B88">
      <w:pPr>
        <w:pStyle w:val="BodyText"/>
        <w:ind w:left="480" w:right="312"/>
      </w:pPr>
      <w:r>
        <w:t>The 40 CFR 63, Subpart BBBBBB rules include monitoring requirements and are therefore included</w:t>
      </w:r>
      <w:r>
        <w:rPr>
          <w:spacing w:val="-1"/>
        </w:rPr>
        <w:t xml:space="preserve"> </w:t>
      </w:r>
      <w:r>
        <w:t>by reference.</w:t>
      </w:r>
      <w:r>
        <w:rPr>
          <w:spacing w:val="40"/>
        </w:rPr>
        <w:t xml:space="preserve"> </w:t>
      </w:r>
      <w:r>
        <w:t>The</w:t>
      </w:r>
      <w:r>
        <w:rPr>
          <w:spacing w:val="-5"/>
        </w:rPr>
        <w:t xml:space="preserve"> </w:t>
      </w:r>
      <w:r>
        <w:t>monitoring</w:t>
      </w:r>
      <w:r>
        <w:rPr>
          <w:spacing w:val="-3"/>
        </w:rPr>
        <w:t xml:space="preserve"> </w:t>
      </w:r>
      <w:r>
        <w:t>requirements</w:t>
      </w:r>
      <w:r>
        <w:rPr>
          <w:spacing w:val="-7"/>
        </w:rPr>
        <w:t xml:space="preserve"> </w:t>
      </w:r>
      <w:r>
        <w:t>applicable to</w:t>
      </w:r>
      <w:r>
        <w:rPr>
          <w:spacing w:val="-4"/>
        </w:rPr>
        <w:t xml:space="preserve"> </w:t>
      </w:r>
      <w:r>
        <w:t>this</w:t>
      </w:r>
      <w:r>
        <w:rPr>
          <w:spacing w:val="-2"/>
        </w:rPr>
        <w:t xml:space="preserve"> </w:t>
      </w:r>
      <w:r>
        <w:t>facility will</w:t>
      </w:r>
      <w:r>
        <w:rPr>
          <w:spacing w:val="-3"/>
        </w:rPr>
        <w:t xml:space="preserve"> </w:t>
      </w:r>
      <w:r>
        <w:t>depend</w:t>
      </w:r>
      <w:r>
        <w:rPr>
          <w:spacing w:val="-6"/>
        </w:rPr>
        <w:t xml:space="preserve"> </w:t>
      </w:r>
      <w:r>
        <w:t>upon the compliance methods chosen by Phillips.</w:t>
      </w:r>
    </w:p>
    <w:p w14:paraId="245EC68F" w14:textId="77777777" w:rsidR="006C14B1" w:rsidRDefault="006C14B1">
      <w:pPr>
        <w:sectPr w:rsidR="006C14B1">
          <w:pgSz w:w="12240" w:h="15840"/>
          <w:pgMar w:top="1080" w:right="1200" w:bottom="1320" w:left="1320" w:header="0" w:footer="1073" w:gutter="0"/>
          <w:cols w:space="720"/>
        </w:sectPr>
      </w:pPr>
    </w:p>
    <w:p w14:paraId="245EC690" w14:textId="77777777" w:rsidR="006C14B1" w:rsidRDefault="005C7B88">
      <w:pPr>
        <w:pStyle w:val="Heading2"/>
        <w:numPr>
          <w:ilvl w:val="0"/>
          <w:numId w:val="2"/>
        </w:numPr>
        <w:tabs>
          <w:tab w:val="left" w:pos="479"/>
        </w:tabs>
        <w:spacing w:before="71"/>
        <w:ind w:left="479" w:hanging="359"/>
      </w:pPr>
      <w:bookmarkStart w:id="15" w:name="_TOC_250008"/>
      <w:r>
        <w:lastRenderedPageBreak/>
        <w:t>Test</w:t>
      </w:r>
      <w:r>
        <w:rPr>
          <w:spacing w:val="1"/>
        </w:rPr>
        <w:t xml:space="preserve"> </w:t>
      </w:r>
      <w:r>
        <w:t>Methods</w:t>
      </w:r>
      <w:r>
        <w:rPr>
          <w:spacing w:val="-5"/>
        </w:rPr>
        <w:t xml:space="preserve"> </w:t>
      </w:r>
      <w:r>
        <w:t>and</w:t>
      </w:r>
      <w:r>
        <w:rPr>
          <w:spacing w:val="2"/>
        </w:rPr>
        <w:t xml:space="preserve"> </w:t>
      </w:r>
      <w:bookmarkEnd w:id="15"/>
      <w:r>
        <w:rPr>
          <w:spacing w:val="-2"/>
        </w:rPr>
        <w:t>Procedures</w:t>
      </w:r>
    </w:p>
    <w:p w14:paraId="245EC691" w14:textId="77777777" w:rsidR="006C14B1" w:rsidRDefault="006C14B1">
      <w:pPr>
        <w:pStyle w:val="BodyText"/>
        <w:spacing w:before="11"/>
        <w:rPr>
          <w:b/>
          <w:sz w:val="22"/>
        </w:rPr>
      </w:pPr>
    </w:p>
    <w:p w14:paraId="245EC692" w14:textId="4044F4D3" w:rsidR="006C14B1" w:rsidRDefault="005C7B88">
      <w:pPr>
        <w:pStyle w:val="BodyText"/>
        <w:ind w:left="480" w:right="368"/>
      </w:pPr>
      <w:r>
        <w:t xml:space="preserve">The operating permit may not require testing for all sources if routine monitoring is used to determine compliance, but </w:t>
      </w:r>
      <w:r w:rsidR="00402E8D">
        <w:t>DEQ</w:t>
      </w:r>
      <w:r>
        <w:t xml:space="preserve"> has the authority to require testing if deemed necessary to determine compliance with an emission limit or standard.</w:t>
      </w:r>
      <w:r>
        <w:rPr>
          <w:spacing w:val="40"/>
        </w:rPr>
        <w:t xml:space="preserve"> </w:t>
      </w:r>
      <w:r>
        <w:t>In addition, the permittee</w:t>
      </w:r>
      <w:r>
        <w:rPr>
          <w:spacing w:val="-6"/>
        </w:rPr>
        <w:t xml:space="preserve"> </w:t>
      </w:r>
      <w:r>
        <w:t>may</w:t>
      </w:r>
      <w:r>
        <w:rPr>
          <w:spacing w:val="-6"/>
        </w:rPr>
        <w:t xml:space="preserve"> </w:t>
      </w:r>
      <w:r>
        <w:t>elect</w:t>
      </w:r>
      <w:r>
        <w:rPr>
          <w:spacing w:val="-5"/>
        </w:rPr>
        <w:t xml:space="preserve"> </w:t>
      </w:r>
      <w:r>
        <w:t>to</w:t>
      </w:r>
      <w:r>
        <w:rPr>
          <w:spacing w:val="-5"/>
        </w:rPr>
        <w:t xml:space="preserve"> </w:t>
      </w:r>
      <w:r>
        <w:t>voluntarily</w:t>
      </w:r>
      <w:r>
        <w:rPr>
          <w:spacing w:val="-1"/>
        </w:rPr>
        <w:t xml:space="preserve"> </w:t>
      </w:r>
      <w:r>
        <w:t>conduct</w:t>
      </w:r>
      <w:r>
        <w:rPr>
          <w:spacing w:val="-5"/>
        </w:rPr>
        <w:t xml:space="preserve"> </w:t>
      </w:r>
      <w:r>
        <w:t>compliance</w:t>
      </w:r>
      <w:r>
        <w:rPr>
          <w:spacing w:val="-1"/>
        </w:rPr>
        <w:t xml:space="preserve"> </w:t>
      </w:r>
      <w:r>
        <w:t>testing</w:t>
      </w:r>
      <w:r>
        <w:rPr>
          <w:spacing w:val="-4"/>
        </w:rPr>
        <w:t xml:space="preserve"> </w:t>
      </w:r>
      <w:r>
        <w:t>to confirm its</w:t>
      </w:r>
      <w:r>
        <w:rPr>
          <w:spacing w:val="-8"/>
        </w:rPr>
        <w:t xml:space="preserve"> </w:t>
      </w:r>
      <w:r>
        <w:t>compliance</w:t>
      </w:r>
      <w:r>
        <w:rPr>
          <w:spacing w:val="-1"/>
        </w:rPr>
        <w:t xml:space="preserve"> </w:t>
      </w:r>
      <w:r>
        <w:t>status.</w:t>
      </w:r>
    </w:p>
    <w:p w14:paraId="245EC693" w14:textId="77777777" w:rsidR="006C14B1" w:rsidRDefault="006C14B1">
      <w:pPr>
        <w:pStyle w:val="BodyText"/>
        <w:spacing w:before="10"/>
        <w:rPr>
          <w:sz w:val="23"/>
        </w:rPr>
      </w:pPr>
    </w:p>
    <w:p w14:paraId="245EC694" w14:textId="77777777" w:rsidR="006C14B1" w:rsidRDefault="005C7B88">
      <w:pPr>
        <w:pStyle w:val="Heading2"/>
        <w:numPr>
          <w:ilvl w:val="0"/>
          <w:numId w:val="2"/>
        </w:numPr>
        <w:tabs>
          <w:tab w:val="left" w:pos="478"/>
        </w:tabs>
        <w:ind w:left="478" w:hanging="358"/>
      </w:pPr>
      <w:bookmarkStart w:id="16" w:name="_TOC_250007"/>
      <w:r>
        <w:t>Recordkeeping</w:t>
      </w:r>
      <w:r>
        <w:rPr>
          <w:spacing w:val="-8"/>
        </w:rPr>
        <w:t xml:space="preserve"> </w:t>
      </w:r>
      <w:bookmarkEnd w:id="16"/>
      <w:r>
        <w:rPr>
          <w:spacing w:val="-2"/>
        </w:rPr>
        <w:t>Requirements</w:t>
      </w:r>
    </w:p>
    <w:p w14:paraId="245EC695" w14:textId="77777777" w:rsidR="006C14B1" w:rsidRDefault="006C14B1">
      <w:pPr>
        <w:pStyle w:val="BodyText"/>
        <w:spacing w:before="2"/>
        <w:rPr>
          <w:b/>
        </w:rPr>
      </w:pPr>
    </w:p>
    <w:p w14:paraId="245EC696" w14:textId="77777777" w:rsidR="006C14B1" w:rsidRDefault="005C7B88">
      <w:pPr>
        <w:pStyle w:val="BodyText"/>
        <w:ind w:left="480" w:right="312"/>
      </w:pPr>
      <w:r>
        <w:t>The</w:t>
      </w:r>
      <w:r>
        <w:rPr>
          <w:spacing w:val="-5"/>
        </w:rPr>
        <w:t xml:space="preserve"> </w:t>
      </w:r>
      <w:r>
        <w:t>permittee</w:t>
      </w:r>
      <w:r>
        <w:rPr>
          <w:spacing w:val="-1"/>
        </w:rPr>
        <w:t xml:space="preserve"> </w:t>
      </w:r>
      <w:r>
        <w:t>is</w:t>
      </w:r>
      <w:r>
        <w:rPr>
          <w:spacing w:val="-3"/>
        </w:rPr>
        <w:t xml:space="preserve"> </w:t>
      </w:r>
      <w:r>
        <w:t>required</w:t>
      </w:r>
      <w:r>
        <w:rPr>
          <w:spacing w:val="-6"/>
        </w:rPr>
        <w:t xml:space="preserve"> </w:t>
      </w:r>
      <w:r>
        <w:t>to keep all</w:t>
      </w:r>
      <w:r>
        <w:rPr>
          <w:spacing w:val="-4"/>
        </w:rPr>
        <w:t xml:space="preserve"> </w:t>
      </w:r>
      <w:r>
        <w:t>records</w:t>
      </w:r>
      <w:r>
        <w:rPr>
          <w:spacing w:val="-3"/>
        </w:rPr>
        <w:t xml:space="preserve"> </w:t>
      </w:r>
      <w:r>
        <w:t>listed</w:t>
      </w:r>
      <w:r>
        <w:rPr>
          <w:spacing w:val="-2"/>
        </w:rPr>
        <w:t xml:space="preserve"> </w:t>
      </w:r>
      <w:r>
        <w:t>in</w:t>
      </w:r>
      <w:r>
        <w:rPr>
          <w:spacing w:val="-5"/>
        </w:rPr>
        <w:t xml:space="preserve"> </w:t>
      </w:r>
      <w:r>
        <w:t>the</w:t>
      </w:r>
      <w:r>
        <w:rPr>
          <w:spacing w:val="-5"/>
        </w:rPr>
        <w:t xml:space="preserve"> </w:t>
      </w:r>
      <w:r>
        <w:t>operating</w:t>
      </w:r>
      <w:r>
        <w:rPr>
          <w:spacing w:val="-4"/>
        </w:rPr>
        <w:t xml:space="preserve"> </w:t>
      </w:r>
      <w:r>
        <w:t>permit</w:t>
      </w:r>
      <w:r>
        <w:rPr>
          <w:spacing w:val="-5"/>
        </w:rPr>
        <w:t xml:space="preserve"> </w:t>
      </w:r>
      <w:r>
        <w:t>as</w:t>
      </w:r>
      <w:r>
        <w:rPr>
          <w:spacing w:val="-3"/>
        </w:rPr>
        <w:t xml:space="preserve"> </w:t>
      </w:r>
      <w:r>
        <w:t>a</w:t>
      </w:r>
      <w:r>
        <w:rPr>
          <w:spacing w:val="-4"/>
        </w:rPr>
        <w:t xml:space="preserve"> </w:t>
      </w:r>
      <w:r>
        <w:t>permanent business record for at least 5 years following the date of the generation of the record.</w:t>
      </w:r>
    </w:p>
    <w:p w14:paraId="245EC697" w14:textId="77777777" w:rsidR="006C14B1" w:rsidRDefault="006C14B1">
      <w:pPr>
        <w:pStyle w:val="BodyText"/>
        <w:spacing w:before="1"/>
      </w:pPr>
    </w:p>
    <w:p w14:paraId="245EC698" w14:textId="77777777" w:rsidR="006C14B1" w:rsidRDefault="005C7B88">
      <w:pPr>
        <w:pStyle w:val="BodyText"/>
        <w:ind w:left="480" w:right="312"/>
      </w:pPr>
      <w:r>
        <w:t>The 40CFR63, Subpart</w:t>
      </w:r>
      <w:r>
        <w:rPr>
          <w:spacing w:val="-1"/>
        </w:rPr>
        <w:t xml:space="preserve"> </w:t>
      </w:r>
      <w:r>
        <w:t>BBBBBB</w:t>
      </w:r>
      <w:r>
        <w:rPr>
          <w:spacing w:val="-2"/>
        </w:rPr>
        <w:t xml:space="preserve"> </w:t>
      </w:r>
      <w:r>
        <w:t>rules include</w:t>
      </w:r>
      <w:r>
        <w:rPr>
          <w:spacing w:val="-2"/>
        </w:rPr>
        <w:t xml:space="preserve"> </w:t>
      </w:r>
      <w:r>
        <w:t>recordkeeping requirements.</w:t>
      </w:r>
      <w:r>
        <w:rPr>
          <w:spacing w:val="40"/>
        </w:rPr>
        <w:t xml:space="preserve"> </w:t>
      </w:r>
      <w:r>
        <w:t>Therefore,</w:t>
      </w:r>
      <w:r>
        <w:rPr>
          <w:spacing w:val="-3"/>
        </w:rPr>
        <w:t xml:space="preserve"> </w:t>
      </w:r>
      <w:r>
        <w:t>the permit incorporates these recordkeeping requirements by reference.</w:t>
      </w:r>
      <w:r>
        <w:rPr>
          <w:spacing w:val="40"/>
        </w:rPr>
        <w:t xml:space="preserve"> </w:t>
      </w:r>
      <w:r>
        <w:t>The recordkeeping requirements</w:t>
      </w:r>
      <w:r>
        <w:rPr>
          <w:spacing w:val="-2"/>
        </w:rPr>
        <w:t xml:space="preserve"> </w:t>
      </w:r>
      <w:r>
        <w:t>applicable to</w:t>
      </w:r>
      <w:r>
        <w:rPr>
          <w:spacing w:val="-4"/>
        </w:rPr>
        <w:t xml:space="preserve"> </w:t>
      </w:r>
      <w:r>
        <w:t>this</w:t>
      </w:r>
      <w:r>
        <w:rPr>
          <w:spacing w:val="-2"/>
        </w:rPr>
        <w:t xml:space="preserve"> </w:t>
      </w:r>
      <w:r>
        <w:t>facility will</w:t>
      </w:r>
      <w:r>
        <w:rPr>
          <w:spacing w:val="-3"/>
        </w:rPr>
        <w:t xml:space="preserve"> </w:t>
      </w:r>
      <w:r>
        <w:t>depend</w:t>
      </w:r>
      <w:r>
        <w:rPr>
          <w:spacing w:val="-5"/>
        </w:rPr>
        <w:t xml:space="preserve"> </w:t>
      </w:r>
      <w:r>
        <w:t>upon</w:t>
      </w:r>
      <w:r>
        <w:rPr>
          <w:spacing w:val="-4"/>
        </w:rPr>
        <w:t xml:space="preserve"> </w:t>
      </w:r>
      <w:r>
        <w:t>the</w:t>
      </w:r>
      <w:r>
        <w:rPr>
          <w:spacing w:val="-5"/>
        </w:rPr>
        <w:t xml:space="preserve"> </w:t>
      </w:r>
      <w:r>
        <w:t>compliance</w:t>
      </w:r>
      <w:r>
        <w:rPr>
          <w:spacing w:val="-5"/>
        </w:rPr>
        <w:t xml:space="preserve"> </w:t>
      </w:r>
      <w:r>
        <w:t>methods</w:t>
      </w:r>
      <w:r>
        <w:rPr>
          <w:spacing w:val="-6"/>
        </w:rPr>
        <w:t xml:space="preserve"> </w:t>
      </w:r>
      <w:r>
        <w:t>chosen</w:t>
      </w:r>
      <w:r>
        <w:rPr>
          <w:spacing w:val="-4"/>
        </w:rPr>
        <w:t xml:space="preserve"> </w:t>
      </w:r>
      <w:r>
        <w:t xml:space="preserve">by </w:t>
      </w:r>
      <w:r>
        <w:rPr>
          <w:spacing w:val="-2"/>
        </w:rPr>
        <w:t>Phillips.</w:t>
      </w:r>
    </w:p>
    <w:p w14:paraId="245EC699" w14:textId="77777777" w:rsidR="006C14B1" w:rsidRDefault="006C14B1">
      <w:pPr>
        <w:pStyle w:val="BodyText"/>
        <w:spacing w:before="10"/>
        <w:rPr>
          <w:sz w:val="23"/>
        </w:rPr>
      </w:pPr>
    </w:p>
    <w:p w14:paraId="245EC69A" w14:textId="77777777" w:rsidR="006C14B1" w:rsidRDefault="005C7B88">
      <w:pPr>
        <w:pStyle w:val="Heading2"/>
        <w:numPr>
          <w:ilvl w:val="0"/>
          <w:numId w:val="2"/>
        </w:numPr>
        <w:tabs>
          <w:tab w:val="left" w:pos="479"/>
        </w:tabs>
        <w:ind w:left="479" w:hanging="359"/>
      </w:pPr>
      <w:bookmarkStart w:id="17" w:name="_TOC_250006"/>
      <w:r>
        <w:t xml:space="preserve">Reporting </w:t>
      </w:r>
      <w:bookmarkEnd w:id="17"/>
      <w:r>
        <w:rPr>
          <w:spacing w:val="-2"/>
        </w:rPr>
        <w:t>Requirements</w:t>
      </w:r>
    </w:p>
    <w:p w14:paraId="245EC69B" w14:textId="77777777" w:rsidR="006C14B1" w:rsidRDefault="006C14B1">
      <w:pPr>
        <w:pStyle w:val="BodyText"/>
        <w:spacing w:before="9"/>
        <w:rPr>
          <w:b/>
          <w:sz w:val="23"/>
        </w:rPr>
      </w:pPr>
    </w:p>
    <w:p w14:paraId="245EC69C" w14:textId="7D7BC9A9" w:rsidR="006C14B1" w:rsidRDefault="005C7B88">
      <w:pPr>
        <w:pStyle w:val="BodyText"/>
        <w:ind w:left="480" w:right="312"/>
      </w:pPr>
      <w:r>
        <w:t>Reporting</w:t>
      </w:r>
      <w:r>
        <w:rPr>
          <w:spacing w:val="-3"/>
        </w:rPr>
        <w:t xml:space="preserve"> </w:t>
      </w:r>
      <w:r>
        <w:t>requirements</w:t>
      </w:r>
      <w:r>
        <w:rPr>
          <w:spacing w:val="-2"/>
        </w:rPr>
        <w:t xml:space="preserve"> </w:t>
      </w:r>
      <w:r>
        <w:t>are</w:t>
      </w:r>
      <w:r>
        <w:rPr>
          <w:spacing w:val="-5"/>
        </w:rPr>
        <w:t xml:space="preserve"> </w:t>
      </w:r>
      <w:r>
        <w:t>included</w:t>
      </w:r>
      <w:r>
        <w:rPr>
          <w:spacing w:val="-6"/>
        </w:rPr>
        <w:t xml:space="preserve"> </w:t>
      </w:r>
      <w:r>
        <w:t>in</w:t>
      </w:r>
      <w:r>
        <w:rPr>
          <w:spacing w:val="-4"/>
        </w:rPr>
        <w:t xml:space="preserve"> </w:t>
      </w:r>
      <w:r>
        <w:t>the</w:t>
      </w:r>
      <w:r>
        <w:rPr>
          <w:spacing w:val="-5"/>
        </w:rPr>
        <w:t xml:space="preserve"> </w:t>
      </w:r>
      <w:r>
        <w:t>permit for each</w:t>
      </w:r>
      <w:r>
        <w:rPr>
          <w:spacing w:val="-4"/>
        </w:rPr>
        <w:t xml:space="preserve"> </w:t>
      </w:r>
      <w:r>
        <w:t>emissions</w:t>
      </w:r>
      <w:r>
        <w:rPr>
          <w:spacing w:val="-2"/>
        </w:rPr>
        <w:t xml:space="preserve"> </w:t>
      </w:r>
      <w:r>
        <w:t>unit,</w:t>
      </w:r>
      <w:r>
        <w:rPr>
          <w:spacing w:val="-1"/>
        </w:rPr>
        <w:t xml:space="preserve"> </w:t>
      </w:r>
      <w:r>
        <w:t>and</w:t>
      </w:r>
      <w:r>
        <w:rPr>
          <w:spacing w:val="-1"/>
        </w:rPr>
        <w:t xml:space="preserve"> </w:t>
      </w:r>
      <w:r>
        <w:t>Section</w:t>
      </w:r>
      <w:r>
        <w:rPr>
          <w:spacing w:val="-4"/>
        </w:rPr>
        <w:t xml:space="preserve"> </w:t>
      </w:r>
      <w:r>
        <w:t>V</w:t>
      </w:r>
      <w:r>
        <w:rPr>
          <w:spacing w:val="-5"/>
        </w:rPr>
        <w:t xml:space="preserve"> </w:t>
      </w:r>
      <w:r>
        <w:t>of</w:t>
      </w:r>
      <w:r>
        <w:rPr>
          <w:spacing w:val="-7"/>
        </w:rPr>
        <w:t xml:space="preserve"> </w:t>
      </w:r>
      <w:r>
        <w:t>the operating permit "General Conditions" explains the reporting requirements.</w:t>
      </w:r>
      <w:r>
        <w:rPr>
          <w:spacing w:val="40"/>
        </w:rPr>
        <w:t xml:space="preserve"> </w:t>
      </w:r>
      <w:r>
        <w:t xml:space="preserve">However, the permittee is required to submit semi-annual and annual monitoring reports to </w:t>
      </w:r>
      <w:r w:rsidR="00402E8D">
        <w:t>DEQ</w:t>
      </w:r>
      <w:r>
        <w:t xml:space="preserve"> and to annually certify compliance with the applicable requirements contained in the permit.</w:t>
      </w:r>
    </w:p>
    <w:p w14:paraId="245EC69D" w14:textId="77777777" w:rsidR="006C14B1" w:rsidRDefault="005C7B88">
      <w:pPr>
        <w:pStyle w:val="BodyText"/>
        <w:spacing w:line="242" w:lineRule="auto"/>
        <w:ind w:left="480" w:right="353"/>
      </w:pPr>
      <w:r>
        <w:t>The</w:t>
      </w:r>
      <w:r>
        <w:rPr>
          <w:spacing w:val="-5"/>
        </w:rPr>
        <w:t xml:space="preserve"> </w:t>
      </w:r>
      <w:r>
        <w:t>reports</w:t>
      </w:r>
      <w:r>
        <w:rPr>
          <w:spacing w:val="-2"/>
        </w:rPr>
        <w:t xml:space="preserve"> </w:t>
      </w:r>
      <w:r>
        <w:t>must</w:t>
      </w:r>
      <w:r>
        <w:rPr>
          <w:spacing w:val="-4"/>
        </w:rPr>
        <w:t xml:space="preserve"> </w:t>
      </w:r>
      <w:r>
        <w:t>include</w:t>
      </w:r>
      <w:r>
        <w:rPr>
          <w:spacing w:val="-5"/>
        </w:rPr>
        <w:t xml:space="preserve"> </w:t>
      </w:r>
      <w:r>
        <w:t>a</w:t>
      </w:r>
      <w:r>
        <w:rPr>
          <w:spacing w:val="-3"/>
        </w:rPr>
        <w:t xml:space="preserve"> </w:t>
      </w:r>
      <w:r>
        <w:t>list of</w:t>
      </w:r>
      <w:r>
        <w:rPr>
          <w:spacing w:val="-2"/>
        </w:rPr>
        <w:t xml:space="preserve"> </w:t>
      </w:r>
      <w:r>
        <w:t>all</w:t>
      </w:r>
      <w:r>
        <w:rPr>
          <w:spacing w:val="-3"/>
        </w:rPr>
        <w:t xml:space="preserve"> </w:t>
      </w:r>
      <w:r>
        <w:t>emission limit</w:t>
      </w:r>
      <w:r>
        <w:rPr>
          <w:spacing w:val="-4"/>
        </w:rPr>
        <w:t xml:space="preserve"> </w:t>
      </w:r>
      <w:r>
        <w:t>and</w:t>
      </w:r>
      <w:r>
        <w:rPr>
          <w:spacing w:val="-1"/>
        </w:rPr>
        <w:t xml:space="preserve"> </w:t>
      </w:r>
      <w:r>
        <w:t>monitoring</w:t>
      </w:r>
      <w:r>
        <w:rPr>
          <w:spacing w:val="-3"/>
        </w:rPr>
        <w:t xml:space="preserve"> </w:t>
      </w:r>
      <w:r>
        <w:t>deviations,</w:t>
      </w:r>
      <w:r>
        <w:rPr>
          <w:spacing w:val="-1"/>
        </w:rPr>
        <w:t xml:space="preserve"> </w:t>
      </w:r>
      <w:r>
        <w:t>the</w:t>
      </w:r>
      <w:r>
        <w:rPr>
          <w:spacing w:val="-5"/>
        </w:rPr>
        <w:t xml:space="preserve"> </w:t>
      </w:r>
      <w:r>
        <w:t>reason</w:t>
      </w:r>
      <w:r>
        <w:rPr>
          <w:spacing w:val="-4"/>
        </w:rPr>
        <w:t xml:space="preserve"> </w:t>
      </w:r>
      <w:r>
        <w:t xml:space="preserve">for any deviation, and the corrective action taken </w:t>
      </w:r>
      <w:proofErr w:type="gramStart"/>
      <w:r>
        <w:t>as a result of</w:t>
      </w:r>
      <w:proofErr w:type="gramEnd"/>
      <w:r>
        <w:t xml:space="preserve"> any deviation.</w:t>
      </w:r>
    </w:p>
    <w:p w14:paraId="245EC69E" w14:textId="77777777" w:rsidR="006C14B1" w:rsidRDefault="006C14B1">
      <w:pPr>
        <w:pStyle w:val="BodyText"/>
        <w:spacing w:before="7"/>
        <w:rPr>
          <w:sz w:val="23"/>
        </w:rPr>
      </w:pPr>
    </w:p>
    <w:p w14:paraId="245EC69F" w14:textId="77777777" w:rsidR="006C14B1" w:rsidRDefault="005C7B88">
      <w:pPr>
        <w:pStyle w:val="BodyText"/>
        <w:ind w:left="480" w:right="312"/>
      </w:pPr>
      <w:r>
        <w:t>The 40</w:t>
      </w:r>
      <w:r>
        <w:rPr>
          <w:spacing w:val="-3"/>
        </w:rPr>
        <w:t xml:space="preserve"> </w:t>
      </w:r>
      <w:r>
        <w:t>CFR</w:t>
      </w:r>
      <w:r>
        <w:rPr>
          <w:spacing w:val="-2"/>
        </w:rPr>
        <w:t xml:space="preserve"> </w:t>
      </w:r>
      <w:r>
        <w:t>63,</w:t>
      </w:r>
      <w:r>
        <w:rPr>
          <w:spacing w:val="-1"/>
        </w:rPr>
        <w:t xml:space="preserve"> </w:t>
      </w:r>
      <w:r>
        <w:t>Subpart</w:t>
      </w:r>
      <w:r>
        <w:rPr>
          <w:spacing w:val="-4"/>
        </w:rPr>
        <w:t xml:space="preserve"> </w:t>
      </w:r>
      <w:r>
        <w:t>BBBBBB</w:t>
      </w:r>
      <w:r>
        <w:rPr>
          <w:spacing w:val="-5"/>
        </w:rPr>
        <w:t xml:space="preserve"> </w:t>
      </w:r>
      <w:r>
        <w:t>rules</w:t>
      </w:r>
      <w:r>
        <w:rPr>
          <w:spacing w:val="-2"/>
        </w:rPr>
        <w:t xml:space="preserve"> </w:t>
      </w:r>
      <w:r>
        <w:t>include</w:t>
      </w:r>
      <w:r>
        <w:rPr>
          <w:spacing w:val="-5"/>
        </w:rPr>
        <w:t xml:space="preserve"> </w:t>
      </w:r>
      <w:r>
        <w:t>reporting</w:t>
      </w:r>
      <w:r>
        <w:rPr>
          <w:spacing w:val="-8"/>
        </w:rPr>
        <w:t xml:space="preserve"> </w:t>
      </w:r>
      <w:r>
        <w:t>requirements.</w:t>
      </w:r>
      <w:r>
        <w:rPr>
          <w:spacing w:val="40"/>
        </w:rPr>
        <w:t xml:space="preserve"> </w:t>
      </w:r>
      <w:r>
        <w:t>Therefore,</w:t>
      </w:r>
      <w:r>
        <w:rPr>
          <w:spacing w:val="-6"/>
        </w:rPr>
        <w:t xml:space="preserve"> </w:t>
      </w:r>
      <w:r>
        <w:t>the</w:t>
      </w:r>
      <w:r>
        <w:rPr>
          <w:spacing w:val="-5"/>
        </w:rPr>
        <w:t xml:space="preserve"> </w:t>
      </w:r>
      <w:r>
        <w:t>permit incorporates these requirements by reference.</w:t>
      </w:r>
      <w:r>
        <w:rPr>
          <w:spacing w:val="40"/>
        </w:rPr>
        <w:t xml:space="preserve"> </w:t>
      </w:r>
      <w:r>
        <w:t>The reporting requirements applicable to this facility will depend upon the compliance methods chosen by Phillips.</w:t>
      </w:r>
    </w:p>
    <w:p w14:paraId="245EC6A0" w14:textId="77777777" w:rsidR="006C14B1" w:rsidRDefault="006C14B1">
      <w:pPr>
        <w:pStyle w:val="BodyText"/>
      </w:pPr>
    </w:p>
    <w:p w14:paraId="245EC6A1" w14:textId="77777777" w:rsidR="006C14B1" w:rsidRDefault="005C7B88">
      <w:pPr>
        <w:pStyle w:val="Heading2"/>
        <w:numPr>
          <w:ilvl w:val="0"/>
          <w:numId w:val="2"/>
        </w:numPr>
        <w:tabs>
          <w:tab w:val="left" w:pos="479"/>
        </w:tabs>
        <w:ind w:left="479" w:hanging="359"/>
      </w:pPr>
      <w:bookmarkStart w:id="18" w:name="_TOC_250005"/>
      <w:r>
        <w:t>Public</w:t>
      </w:r>
      <w:r>
        <w:rPr>
          <w:spacing w:val="1"/>
        </w:rPr>
        <w:t xml:space="preserve"> </w:t>
      </w:r>
      <w:bookmarkEnd w:id="18"/>
      <w:r>
        <w:rPr>
          <w:spacing w:val="-2"/>
        </w:rPr>
        <w:t>Notice</w:t>
      </w:r>
    </w:p>
    <w:p w14:paraId="245EC6A2" w14:textId="77777777" w:rsidR="006C14B1" w:rsidRDefault="006C14B1">
      <w:pPr>
        <w:pStyle w:val="BodyText"/>
        <w:spacing w:before="3"/>
        <w:rPr>
          <w:b/>
        </w:rPr>
      </w:pPr>
    </w:p>
    <w:p w14:paraId="79D47801" w14:textId="4B730B2B" w:rsidR="00402E8D" w:rsidRPr="00402E8D" w:rsidRDefault="00402E8D" w:rsidP="00402E8D">
      <w:pPr>
        <w:widowControl/>
        <w:autoSpaceDE/>
        <w:autoSpaceDN/>
        <w:ind w:left="360"/>
        <w:rPr>
          <w:rFonts w:eastAsia="Times New Roman" w:cs="Times New Roman"/>
          <w:sz w:val="24"/>
          <w:szCs w:val="24"/>
        </w:rPr>
      </w:pPr>
      <w:r w:rsidRPr="00402E8D">
        <w:rPr>
          <w:rFonts w:eastAsia="Times New Roman" w:cs="Times New Roman"/>
          <w:sz w:val="24"/>
          <w:szCs w:val="24"/>
        </w:rPr>
        <w:t xml:space="preserve">In accordance with ARM 17.8.1232, a public notice was published in the </w:t>
      </w:r>
      <w:r>
        <w:rPr>
          <w:rFonts w:eastAsia="Times New Roman" w:cs="Times New Roman"/>
          <w:i/>
          <w:sz w:val="24"/>
          <w:szCs w:val="24"/>
        </w:rPr>
        <w:t>Great Falls Tribune</w:t>
      </w:r>
      <w:r w:rsidRPr="00402E8D">
        <w:rPr>
          <w:rFonts w:eastAsia="Times New Roman" w:cs="Times New Roman"/>
          <w:sz w:val="24"/>
          <w:szCs w:val="24"/>
        </w:rPr>
        <w:t xml:space="preserve"> newspaper on or before </w:t>
      </w:r>
      <w:r>
        <w:rPr>
          <w:rFonts w:eastAsia="Times New Roman" w:cs="Times New Roman"/>
          <w:sz w:val="24"/>
          <w:szCs w:val="24"/>
        </w:rPr>
        <w:t xml:space="preserve">May </w:t>
      </w:r>
      <w:r w:rsidR="00030B25">
        <w:rPr>
          <w:rFonts w:eastAsia="Times New Roman" w:cs="Times New Roman"/>
          <w:sz w:val="24"/>
          <w:szCs w:val="24"/>
        </w:rPr>
        <w:t>7</w:t>
      </w:r>
      <w:r>
        <w:rPr>
          <w:rFonts w:eastAsia="Times New Roman" w:cs="Times New Roman"/>
          <w:sz w:val="24"/>
          <w:szCs w:val="24"/>
        </w:rPr>
        <w:t>, 2026</w:t>
      </w:r>
      <w:r w:rsidRPr="00402E8D">
        <w:rPr>
          <w:rFonts w:eastAsia="Times New Roman" w:cs="Times New Roman"/>
          <w:sz w:val="24"/>
          <w:szCs w:val="24"/>
        </w:rPr>
        <w:t xml:space="preserve">.  DEQ provided a 30-day public comment period on the draft operating permit from </w:t>
      </w:r>
      <w:r>
        <w:rPr>
          <w:rFonts w:eastAsia="Times New Roman" w:cs="Times New Roman"/>
          <w:sz w:val="24"/>
          <w:szCs w:val="24"/>
        </w:rPr>
        <w:t xml:space="preserve">May </w:t>
      </w:r>
      <w:r w:rsidR="00030B25">
        <w:rPr>
          <w:rFonts w:eastAsia="Times New Roman" w:cs="Times New Roman"/>
          <w:sz w:val="24"/>
          <w:szCs w:val="24"/>
        </w:rPr>
        <w:t>7</w:t>
      </w:r>
      <w:r>
        <w:rPr>
          <w:rFonts w:eastAsia="Times New Roman" w:cs="Times New Roman"/>
          <w:sz w:val="24"/>
          <w:szCs w:val="24"/>
        </w:rPr>
        <w:t xml:space="preserve">, </w:t>
      </w:r>
      <w:proofErr w:type="gramStart"/>
      <w:r>
        <w:rPr>
          <w:rFonts w:eastAsia="Times New Roman" w:cs="Times New Roman"/>
          <w:sz w:val="24"/>
          <w:szCs w:val="24"/>
        </w:rPr>
        <w:t>2026</w:t>
      </w:r>
      <w:proofErr w:type="gramEnd"/>
      <w:r>
        <w:rPr>
          <w:rFonts w:eastAsia="Times New Roman" w:cs="Times New Roman"/>
          <w:sz w:val="24"/>
          <w:szCs w:val="24"/>
        </w:rPr>
        <w:t xml:space="preserve"> through June </w:t>
      </w:r>
      <w:r w:rsidR="00030B25">
        <w:rPr>
          <w:rFonts w:eastAsia="Times New Roman" w:cs="Times New Roman"/>
          <w:sz w:val="24"/>
          <w:szCs w:val="24"/>
        </w:rPr>
        <w:t>8</w:t>
      </w:r>
      <w:r>
        <w:rPr>
          <w:rFonts w:eastAsia="Times New Roman" w:cs="Times New Roman"/>
          <w:sz w:val="24"/>
          <w:szCs w:val="24"/>
        </w:rPr>
        <w:t>, 2026</w:t>
      </w:r>
      <w:r w:rsidRPr="00402E8D">
        <w:rPr>
          <w:rFonts w:eastAsia="Times New Roman" w:cs="Times New Roman"/>
          <w:sz w:val="24"/>
          <w:szCs w:val="24"/>
        </w:rPr>
        <w:t>.  ARM 17.8.1232 requires DEQ to keep a record of both comments and issues raised during the public participation process.  The comments and issues received by</w:t>
      </w:r>
      <w:r>
        <w:rPr>
          <w:rFonts w:eastAsia="Times New Roman" w:cs="Times New Roman"/>
          <w:sz w:val="24"/>
          <w:szCs w:val="24"/>
        </w:rPr>
        <w:t xml:space="preserve"> June </w:t>
      </w:r>
      <w:r w:rsidR="00030B25">
        <w:rPr>
          <w:rFonts w:eastAsia="Times New Roman" w:cs="Times New Roman"/>
          <w:sz w:val="24"/>
          <w:szCs w:val="24"/>
        </w:rPr>
        <w:t>8</w:t>
      </w:r>
      <w:r>
        <w:rPr>
          <w:rFonts w:eastAsia="Times New Roman" w:cs="Times New Roman"/>
          <w:sz w:val="24"/>
          <w:szCs w:val="24"/>
        </w:rPr>
        <w:t xml:space="preserve">, </w:t>
      </w:r>
      <w:proofErr w:type="gramStart"/>
      <w:r>
        <w:rPr>
          <w:rFonts w:eastAsia="Times New Roman" w:cs="Times New Roman"/>
          <w:sz w:val="24"/>
          <w:szCs w:val="24"/>
        </w:rPr>
        <w:t>2026</w:t>
      </w:r>
      <w:proofErr w:type="gramEnd"/>
      <w:r w:rsidRPr="00402E8D">
        <w:rPr>
          <w:rFonts w:eastAsia="Times New Roman" w:cs="Times New Roman"/>
          <w:sz w:val="24"/>
          <w:szCs w:val="24"/>
        </w:rPr>
        <w:t xml:space="preserve"> will be summarized, along with DEQ's responses, in the following table.  All comments received during the public comment period will be promptly forwarded to </w:t>
      </w:r>
      <w:r>
        <w:rPr>
          <w:rFonts w:eastAsia="Times New Roman" w:cs="Times New Roman"/>
          <w:sz w:val="24"/>
          <w:szCs w:val="24"/>
        </w:rPr>
        <w:t>Phillips</w:t>
      </w:r>
      <w:r w:rsidRPr="00402E8D">
        <w:rPr>
          <w:rFonts w:eastAsia="Times New Roman" w:cs="Times New Roman"/>
          <w:sz w:val="24"/>
          <w:szCs w:val="24"/>
        </w:rPr>
        <w:t xml:space="preserve"> so they may have an opportunity to respond to these comments as well.</w:t>
      </w:r>
    </w:p>
    <w:p w14:paraId="670CA935" w14:textId="77777777" w:rsidR="00402E8D" w:rsidRPr="00402E8D" w:rsidRDefault="00402E8D" w:rsidP="00402E8D">
      <w:pPr>
        <w:widowControl/>
        <w:autoSpaceDE/>
        <w:autoSpaceDN/>
        <w:rPr>
          <w:rFonts w:eastAsia="Times New Roman" w:cs="Times New Roman"/>
          <w:sz w:val="24"/>
          <w:szCs w:val="24"/>
        </w:rPr>
      </w:pPr>
    </w:p>
    <w:p w14:paraId="6BC4575A"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Public Comments</w:t>
      </w:r>
    </w:p>
    <w:p w14:paraId="6658169F" w14:textId="77777777" w:rsidR="00402E8D" w:rsidRPr="00402E8D" w:rsidRDefault="00402E8D" w:rsidP="00402E8D">
      <w:pPr>
        <w:widowControl/>
        <w:autoSpaceDE/>
        <w:autoSpaceDN/>
        <w:rPr>
          <w:rFonts w:eastAsia="Times New Roman" w:cs="Times New Roman"/>
          <w:b/>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510"/>
        <w:gridCol w:w="3240"/>
      </w:tblGrid>
      <w:tr w:rsidR="00402E8D" w:rsidRPr="00402E8D" w14:paraId="3587AE9B" w14:textId="77777777" w:rsidTr="003013FB">
        <w:tc>
          <w:tcPr>
            <w:tcW w:w="1980" w:type="dxa"/>
            <w:tcBorders>
              <w:top w:val="double" w:sz="4" w:space="0" w:color="auto"/>
              <w:left w:val="double" w:sz="4" w:space="0" w:color="auto"/>
            </w:tcBorders>
          </w:tcPr>
          <w:p w14:paraId="5C68C693"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Person/Group Commenting</w:t>
            </w:r>
          </w:p>
        </w:tc>
        <w:tc>
          <w:tcPr>
            <w:tcW w:w="3510" w:type="dxa"/>
            <w:tcBorders>
              <w:top w:val="double" w:sz="4" w:space="0" w:color="auto"/>
            </w:tcBorders>
          </w:tcPr>
          <w:p w14:paraId="3A96D60F"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Comment</w:t>
            </w:r>
          </w:p>
        </w:tc>
        <w:tc>
          <w:tcPr>
            <w:tcW w:w="3240" w:type="dxa"/>
            <w:tcBorders>
              <w:top w:val="double" w:sz="4" w:space="0" w:color="auto"/>
              <w:right w:val="double" w:sz="4" w:space="0" w:color="auto"/>
            </w:tcBorders>
          </w:tcPr>
          <w:p w14:paraId="479EE36D"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402E8D" w:rsidRPr="00402E8D" w14:paraId="4085F35B" w14:textId="77777777" w:rsidTr="003013FB">
        <w:tc>
          <w:tcPr>
            <w:tcW w:w="1980" w:type="dxa"/>
            <w:tcBorders>
              <w:left w:val="double" w:sz="4" w:space="0" w:color="auto"/>
              <w:bottom w:val="double" w:sz="4" w:space="0" w:color="auto"/>
            </w:tcBorders>
          </w:tcPr>
          <w:p w14:paraId="31423A44" w14:textId="77777777" w:rsidR="00402E8D" w:rsidRPr="00402E8D" w:rsidRDefault="00402E8D" w:rsidP="00402E8D">
            <w:pPr>
              <w:widowControl/>
              <w:autoSpaceDE/>
              <w:autoSpaceDN/>
              <w:rPr>
                <w:rFonts w:eastAsia="Times New Roman" w:cs="Times New Roman"/>
                <w:b/>
              </w:rPr>
            </w:pPr>
          </w:p>
        </w:tc>
        <w:tc>
          <w:tcPr>
            <w:tcW w:w="3510" w:type="dxa"/>
            <w:tcBorders>
              <w:bottom w:val="double" w:sz="4" w:space="0" w:color="auto"/>
            </w:tcBorders>
          </w:tcPr>
          <w:p w14:paraId="54C200E5" w14:textId="77777777" w:rsidR="00402E8D" w:rsidRPr="00402E8D" w:rsidRDefault="00402E8D" w:rsidP="00402E8D">
            <w:pPr>
              <w:widowControl/>
              <w:autoSpaceDE/>
              <w:autoSpaceDN/>
              <w:rPr>
                <w:rFonts w:eastAsia="Times New Roman" w:cs="Times New Roman"/>
                <w:b/>
              </w:rPr>
            </w:pPr>
          </w:p>
        </w:tc>
        <w:tc>
          <w:tcPr>
            <w:tcW w:w="3240" w:type="dxa"/>
            <w:tcBorders>
              <w:bottom w:val="double" w:sz="4" w:space="0" w:color="auto"/>
              <w:right w:val="double" w:sz="4" w:space="0" w:color="auto"/>
            </w:tcBorders>
          </w:tcPr>
          <w:p w14:paraId="31A921E4" w14:textId="77777777" w:rsidR="00402E8D" w:rsidRPr="00402E8D" w:rsidRDefault="00402E8D" w:rsidP="00402E8D">
            <w:pPr>
              <w:widowControl/>
              <w:autoSpaceDE/>
              <w:autoSpaceDN/>
              <w:rPr>
                <w:rFonts w:eastAsia="Times New Roman" w:cs="Times New Roman"/>
                <w:b/>
              </w:rPr>
            </w:pPr>
          </w:p>
        </w:tc>
      </w:tr>
    </w:tbl>
    <w:p w14:paraId="6DD5C77E" w14:textId="77777777" w:rsidR="00402E8D" w:rsidRPr="00402E8D" w:rsidRDefault="00402E8D" w:rsidP="00402E8D">
      <w:pPr>
        <w:widowControl/>
        <w:autoSpaceDE/>
        <w:autoSpaceDN/>
        <w:rPr>
          <w:rFonts w:eastAsia="Times New Roman" w:cs="Times New Roman"/>
          <w:b/>
          <w:sz w:val="24"/>
          <w:szCs w:val="24"/>
        </w:rPr>
      </w:pPr>
    </w:p>
    <w:p w14:paraId="3D531A05" w14:textId="0CADE1BF" w:rsidR="00402E8D" w:rsidRPr="00402E8D" w:rsidRDefault="00402E8D" w:rsidP="00402E8D">
      <w:pPr>
        <w:pStyle w:val="ListParagraph"/>
        <w:keepNext/>
        <w:widowControl/>
        <w:numPr>
          <w:ilvl w:val="0"/>
          <w:numId w:val="2"/>
        </w:numPr>
        <w:tabs>
          <w:tab w:val="num" w:pos="360"/>
          <w:tab w:val="left" w:pos="720"/>
        </w:tabs>
        <w:autoSpaceDE/>
        <w:autoSpaceDN/>
        <w:spacing w:before="100" w:beforeAutospacing="1" w:after="100" w:afterAutospacing="1"/>
        <w:outlineLvl w:val="1"/>
        <w:rPr>
          <w:rFonts w:eastAsia="Times New Roman" w:cs="Times New Roman"/>
          <w:sz w:val="24"/>
          <w:szCs w:val="24"/>
        </w:rPr>
      </w:pPr>
      <w:bookmarkStart w:id="19" w:name="_Toc287002109"/>
      <w:r>
        <w:rPr>
          <w:b/>
          <w:bCs/>
          <w:sz w:val="24"/>
          <w:szCs w:val="24"/>
        </w:rPr>
        <w:lastRenderedPageBreak/>
        <w:t xml:space="preserve">  </w:t>
      </w:r>
      <w:r w:rsidRPr="00402E8D">
        <w:rPr>
          <w:b/>
          <w:bCs/>
          <w:sz w:val="24"/>
          <w:szCs w:val="24"/>
        </w:rPr>
        <w:t>Draft Permit Comments</w:t>
      </w:r>
      <w:r w:rsidRPr="00402E8D">
        <w:rPr>
          <w:rFonts w:eastAsia="Times New Roman" w:cs="Times New Roman"/>
          <w:b/>
          <w:sz w:val="24"/>
          <w:szCs w:val="24"/>
        </w:rPr>
        <w:t xml:space="preserve"> </w:t>
      </w:r>
      <w:bookmarkEnd w:id="19"/>
    </w:p>
    <w:p w14:paraId="381A055D" w14:textId="77777777" w:rsidR="00402E8D" w:rsidRPr="00402E8D" w:rsidRDefault="00402E8D" w:rsidP="00402E8D">
      <w:pPr>
        <w:widowControl/>
        <w:autoSpaceDE/>
        <w:autoSpaceDN/>
        <w:rPr>
          <w:rFonts w:eastAsia="Times New Roman" w:cs="Times New Roman"/>
          <w:b/>
          <w:sz w:val="24"/>
          <w:szCs w:val="24"/>
        </w:rPr>
      </w:pPr>
    </w:p>
    <w:p w14:paraId="594C8891"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Permittee Comments</w:t>
      </w:r>
    </w:p>
    <w:p w14:paraId="681FFCF6" w14:textId="77777777" w:rsidR="00402E8D" w:rsidRPr="00402E8D" w:rsidRDefault="00402E8D" w:rsidP="00402E8D">
      <w:pPr>
        <w:widowControl/>
        <w:autoSpaceDE/>
        <w:autoSpaceDN/>
        <w:rPr>
          <w:rFonts w:eastAsia="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02E8D" w:rsidRPr="00402E8D" w14:paraId="5B4F9EAD" w14:textId="77777777" w:rsidTr="003013FB">
        <w:tc>
          <w:tcPr>
            <w:tcW w:w="1980" w:type="dxa"/>
            <w:tcBorders>
              <w:top w:val="double" w:sz="4" w:space="0" w:color="auto"/>
              <w:left w:val="double" w:sz="4" w:space="0" w:color="auto"/>
            </w:tcBorders>
          </w:tcPr>
          <w:p w14:paraId="2E3864DA"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 Reference</w:t>
            </w:r>
          </w:p>
        </w:tc>
        <w:tc>
          <w:tcPr>
            <w:tcW w:w="3420" w:type="dxa"/>
            <w:tcBorders>
              <w:top w:val="double" w:sz="4" w:space="0" w:color="auto"/>
            </w:tcBorders>
          </w:tcPr>
          <w:p w14:paraId="4481BFDC"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Permittee Comment</w:t>
            </w:r>
          </w:p>
        </w:tc>
        <w:tc>
          <w:tcPr>
            <w:tcW w:w="3330" w:type="dxa"/>
            <w:tcBorders>
              <w:top w:val="double" w:sz="4" w:space="0" w:color="auto"/>
              <w:right w:val="double" w:sz="4" w:space="0" w:color="auto"/>
            </w:tcBorders>
          </w:tcPr>
          <w:p w14:paraId="40AA2B65"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402E8D" w:rsidRPr="00402E8D" w14:paraId="3F49563A" w14:textId="77777777" w:rsidTr="003013FB">
        <w:tc>
          <w:tcPr>
            <w:tcW w:w="1980" w:type="dxa"/>
            <w:tcBorders>
              <w:left w:val="double" w:sz="4" w:space="0" w:color="auto"/>
              <w:bottom w:val="double" w:sz="4" w:space="0" w:color="auto"/>
            </w:tcBorders>
          </w:tcPr>
          <w:p w14:paraId="18873CA6" w14:textId="77777777" w:rsidR="00402E8D" w:rsidRPr="00402E8D" w:rsidRDefault="00402E8D" w:rsidP="00402E8D">
            <w:pPr>
              <w:widowControl/>
              <w:autoSpaceDE/>
              <w:autoSpaceDN/>
              <w:rPr>
                <w:rFonts w:eastAsia="Times New Roman" w:cs="Times New Roman"/>
              </w:rPr>
            </w:pPr>
          </w:p>
        </w:tc>
        <w:tc>
          <w:tcPr>
            <w:tcW w:w="3420" w:type="dxa"/>
            <w:tcBorders>
              <w:bottom w:val="double" w:sz="4" w:space="0" w:color="auto"/>
            </w:tcBorders>
          </w:tcPr>
          <w:p w14:paraId="172E7211" w14:textId="77777777" w:rsidR="00402E8D" w:rsidRPr="00402E8D" w:rsidRDefault="00402E8D" w:rsidP="00402E8D">
            <w:pPr>
              <w:widowControl/>
              <w:autoSpaceDE/>
              <w:autoSpaceDN/>
              <w:rPr>
                <w:rFonts w:eastAsia="Times New Roman" w:cs="Times New Roman"/>
              </w:rPr>
            </w:pPr>
          </w:p>
        </w:tc>
        <w:tc>
          <w:tcPr>
            <w:tcW w:w="3330" w:type="dxa"/>
            <w:tcBorders>
              <w:bottom w:val="double" w:sz="4" w:space="0" w:color="auto"/>
              <w:right w:val="double" w:sz="4" w:space="0" w:color="auto"/>
            </w:tcBorders>
          </w:tcPr>
          <w:p w14:paraId="6BDAADC5" w14:textId="77777777" w:rsidR="00402E8D" w:rsidRPr="00402E8D" w:rsidRDefault="00402E8D" w:rsidP="00402E8D">
            <w:pPr>
              <w:widowControl/>
              <w:autoSpaceDE/>
              <w:autoSpaceDN/>
              <w:rPr>
                <w:rFonts w:eastAsia="Times New Roman" w:cs="Times New Roman"/>
              </w:rPr>
            </w:pPr>
          </w:p>
        </w:tc>
      </w:tr>
    </w:tbl>
    <w:p w14:paraId="7B7DCC0E" w14:textId="77777777" w:rsidR="00402E8D" w:rsidRPr="00402E8D" w:rsidRDefault="00402E8D" w:rsidP="00402E8D">
      <w:pPr>
        <w:widowControl/>
        <w:autoSpaceDE/>
        <w:autoSpaceDN/>
        <w:rPr>
          <w:rFonts w:eastAsia="Times New Roman" w:cs="Times New Roman"/>
          <w:sz w:val="24"/>
          <w:szCs w:val="24"/>
        </w:rPr>
      </w:pPr>
    </w:p>
    <w:p w14:paraId="240A1EE3" w14:textId="77777777" w:rsidR="00402E8D" w:rsidRPr="00402E8D" w:rsidRDefault="00402E8D" w:rsidP="00402E8D">
      <w:pPr>
        <w:widowControl/>
        <w:autoSpaceDE/>
        <w:autoSpaceDN/>
        <w:rPr>
          <w:rFonts w:eastAsia="Times New Roman" w:cs="Times New Roman"/>
          <w:b/>
          <w:sz w:val="24"/>
          <w:szCs w:val="24"/>
        </w:rPr>
      </w:pPr>
    </w:p>
    <w:p w14:paraId="334FB039" w14:textId="77777777" w:rsidR="00402E8D" w:rsidRPr="00402E8D" w:rsidRDefault="00402E8D" w:rsidP="00402E8D">
      <w:pPr>
        <w:keepNext/>
        <w:widowControl/>
        <w:autoSpaceDE/>
        <w:autoSpaceDN/>
        <w:jc w:val="center"/>
        <w:outlineLvl w:val="2"/>
        <w:rPr>
          <w:rFonts w:eastAsia="Times New Roman" w:cs="Times New Roman"/>
          <w:b/>
          <w:sz w:val="24"/>
          <w:szCs w:val="24"/>
        </w:rPr>
      </w:pPr>
      <w:r w:rsidRPr="00402E8D">
        <w:rPr>
          <w:rFonts w:eastAsia="Times New Roman" w:cs="Times New Roman"/>
          <w:b/>
          <w:sz w:val="24"/>
          <w:szCs w:val="24"/>
        </w:rPr>
        <w:t>Summary of EPA Comments</w:t>
      </w:r>
    </w:p>
    <w:p w14:paraId="132858AC" w14:textId="77777777" w:rsidR="00402E8D" w:rsidRPr="00402E8D" w:rsidRDefault="00402E8D" w:rsidP="00402E8D">
      <w:pPr>
        <w:widowControl/>
        <w:autoSpaceDE/>
        <w:autoSpaceDN/>
        <w:rPr>
          <w:rFonts w:eastAsia="Times New Roman" w:cs="Times New Roman"/>
          <w:sz w:val="24"/>
          <w:szCs w:val="24"/>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3420"/>
        <w:gridCol w:w="3330"/>
      </w:tblGrid>
      <w:tr w:rsidR="00402E8D" w:rsidRPr="00402E8D" w14:paraId="6253EE4A" w14:textId="77777777" w:rsidTr="003013FB">
        <w:tc>
          <w:tcPr>
            <w:tcW w:w="1980" w:type="dxa"/>
            <w:tcBorders>
              <w:top w:val="double" w:sz="4" w:space="0" w:color="auto"/>
              <w:left w:val="double" w:sz="4" w:space="0" w:color="auto"/>
            </w:tcBorders>
          </w:tcPr>
          <w:p w14:paraId="0DDE696C"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Permit Reference</w:t>
            </w:r>
          </w:p>
        </w:tc>
        <w:tc>
          <w:tcPr>
            <w:tcW w:w="3420" w:type="dxa"/>
            <w:tcBorders>
              <w:top w:val="double" w:sz="4" w:space="0" w:color="auto"/>
            </w:tcBorders>
          </w:tcPr>
          <w:p w14:paraId="287F0AC9"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EPA Comment</w:t>
            </w:r>
          </w:p>
        </w:tc>
        <w:tc>
          <w:tcPr>
            <w:tcW w:w="3330" w:type="dxa"/>
            <w:tcBorders>
              <w:top w:val="double" w:sz="4" w:space="0" w:color="auto"/>
              <w:right w:val="double" w:sz="4" w:space="0" w:color="auto"/>
            </w:tcBorders>
          </w:tcPr>
          <w:p w14:paraId="2CCD7D7D" w14:textId="77777777" w:rsidR="00402E8D" w:rsidRPr="00402E8D" w:rsidRDefault="00402E8D" w:rsidP="00402E8D">
            <w:pPr>
              <w:widowControl/>
              <w:autoSpaceDE/>
              <w:autoSpaceDN/>
              <w:jc w:val="center"/>
              <w:rPr>
                <w:rFonts w:eastAsia="Times New Roman" w:cs="Times New Roman"/>
              </w:rPr>
            </w:pPr>
            <w:r w:rsidRPr="00402E8D">
              <w:rPr>
                <w:rFonts w:eastAsia="Times New Roman" w:cs="Times New Roman"/>
              </w:rPr>
              <w:t>DEQ Response</w:t>
            </w:r>
          </w:p>
        </w:tc>
      </w:tr>
      <w:tr w:rsidR="00402E8D" w:rsidRPr="00402E8D" w14:paraId="165F6F5B" w14:textId="77777777" w:rsidTr="003013FB">
        <w:tc>
          <w:tcPr>
            <w:tcW w:w="1980" w:type="dxa"/>
            <w:tcBorders>
              <w:left w:val="double" w:sz="4" w:space="0" w:color="auto"/>
              <w:bottom w:val="double" w:sz="4" w:space="0" w:color="auto"/>
            </w:tcBorders>
          </w:tcPr>
          <w:p w14:paraId="48E96A78" w14:textId="77777777" w:rsidR="00402E8D" w:rsidRPr="00402E8D" w:rsidRDefault="00402E8D" w:rsidP="00402E8D">
            <w:pPr>
              <w:widowControl/>
              <w:autoSpaceDE/>
              <w:autoSpaceDN/>
              <w:rPr>
                <w:rFonts w:eastAsia="Times New Roman" w:cs="Times New Roman"/>
              </w:rPr>
            </w:pPr>
          </w:p>
        </w:tc>
        <w:tc>
          <w:tcPr>
            <w:tcW w:w="3420" w:type="dxa"/>
            <w:tcBorders>
              <w:bottom w:val="double" w:sz="4" w:space="0" w:color="auto"/>
            </w:tcBorders>
          </w:tcPr>
          <w:p w14:paraId="3DA6526A" w14:textId="77777777" w:rsidR="00402E8D" w:rsidRPr="00402E8D" w:rsidRDefault="00402E8D" w:rsidP="00402E8D">
            <w:pPr>
              <w:widowControl/>
              <w:autoSpaceDE/>
              <w:autoSpaceDN/>
              <w:rPr>
                <w:rFonts w:eastAsia="Times New Roman" w:cs="Times New Roman"/>
              </w:rPr>
            </w:pPr>
          </w:p>
        </w:tc>
        <w:tc>
          <w:tcPr>
            <w:tcW w:w="3330" w:type="dxa"/>
            <w:tcBorders>
              <w:bottom w:val="double" w:sz="4" w:space="0" w:color="auto"/>
              <w:right w:val="double" w:sz="4" w:space="0" w:color="auto"/>
            </w:tcBorders>
          </w:tcPr>
          <w:p w14:paraId="30B477AA" w14:textId="77777777" w:rsidR="00402E8D" w:rsidRPr="00402E8D" w:rsidRDefault="00402E8D" w:rsidP="00402E8D">
            <w:pPr>
              <w:widowControl/>
              <w:autoSpaceDE/>
              <w:autoSpaceDN/>
              <w:rPr>
                <w:rFonts w:eastAsia="Times New Roman" w:cs="Times New Roman"/>
              </w:rPr>
            </w:pPr>
          </w:p>
        </w:tc>
      </w:tr>
    </w:tbl>
    <w:p w14:paraId="245EC6A4" w14:textId="77777777" w:rsidR="006C14B1" w:rsidRDefault="006C14B1">
      <w:pPr>
        <w:sectPr w:rsidR="006C14B1">
          <w:pgSz w:w="12240" w:h="15840"/>
          <w:pgMar w:top="1080" w:right="1200" w:bottom="1320" w:left="1320" w:header="0" w:footer="1073" w:gutter="0"/>
          <w:cols w:space="720"/>
        </w:sectPr>
      </w:pPr>
    </w:p>
    <w:p w14:paraId="245EC6A5" w14:textId="77777777" w:rsidR="006C14B1" w:rsidRDefault="005C7B88">
      <w:pPr>
        <w:spacing w:before="71"/>
        <w:ind w:left="1304" w:right="1424"/>
        <w:jc w:val="center"/>
        <w:rPr>
          <w:b/>
          <w:sz w:val="24"/>
        </w:rPr>
      </w:pPr>
      <w:bookmarkStart w:id="20" w:name="SECTION_II.___NON-APPLICABLE_REQUIREMENT"/>
      <w:bookmarkEnd w:id="20"/>
      <w:r>
        <w:rPr>
          <w:b/>
          <w:sz w:val="24"/>
        </w:rPr>
        <w:lastRenderedPageBreak/>
        <w:t>SECTION</w:t>
      </w:r>
      <w:r>
        <w:rPr>
          <w:b/>
          <w:spacing w:val="-4"/>
          <w:sz w:val="24"/>
        </w:rPr>
        <w:t xml:space="preserve"> </w:t>
      </w:r>
      <w:r>
        <w:rPr>
          <w:b/>
          <w:sz w:val="24"/>
        </w:rPr>
        <w:t>II.</w:t>
      </w:r>
      <w:r>
        <w:rPr>
          <w:b/>
          <w:spacing w:val="29"/>
          <w:sz w:val="24"/>
        </w:rPr>
        <w:t xml:space="preserve">  </w:t>
      </w:r>
      <w:r>
        <w:rPr>
          <w:b/>
          <w:sz w:val="24"/>
        </w:rPr>
        <w:t>NON-APPLICABLE</w:t>
      </w:r>
      <w:r>
        <w:rPr>
          <w:b/>
          <w:spacing w:val="-2"/>
          <w:sz w:val="24"/>
        </w:rPr>
        <w:t xml:space="preserve"> </w:t>
      </w:r>
      <w:r>
        <w:rPr>
          <w:b/>
          <w:sz w:val="24"/>
        </w:rPr>
        <w:t>REQUIREMENT</w:t>
      </w:r>
      <w:r>
        <w:rPr>
          <w:b/>
          <w:spacing w:val="-2"/>
          <w:sz w:val="24"/>
        </w:rPr>
        <w:t xml:space="preserve"> ANALYSIS</w:t>
      </w:r>
    </w:p>
    <w:p w14:paraId="245EC6A6" w14:textId="77777777" w:rsidR="006C14B1" w:rsidRDefault="006C14B1">
      <w:pPr>
        <w:pStyle w:val="BodyText"/>
        <w:spacing w:before="2"/>
        <w:rPr>
          <w:b/>
        </w:rPr>
      </w:pPr>
    </w:p>
    <w:p w14:paraId="245EC6A7" w14:textId="27A20BD4" w:rsidR="006C14B1" w:rsidRDefault="005C7B88">
      <w:pPr>
        <w:pStyle w:val="BodyText"/>
        <w:spacing w:before="1"/>
        <w:ind w:left="119" w:right="312"/>
      </w:pPr>
      <w:r>
        <w:t xml:space="preserve">Section IV of the operating permit "Non-applicable Requirements" contains the requirements that </w:t>
      </w:r>
      <w:r w:rsidR="00402E8D">
        <w:t>DEQ</w:t>
      </w:r>
      <w:r>
        <w:t xml:space="preserve"> determined</w:t>
      </w:r>
      <w:r>
        <w:rPr>
          <w:spacing w:val="-6"/>
        </w:rPr>
        <w:t xml:space="preserve"> </w:t>
      </w:r>
      <w:r>
        <w:t>were</w:t>
      </w:r>
      <w:r>
        <w:rPr>
          <w:spacing w:val="-5"/>
        </w:rPr>
        <w:t xml:space="preserve"> </w:t>
      </w:r>
      <w:r>
        <w:t>non-applicable.</w:t>
      </w:r>
      <w:r>
        <w:rPr>
          <w:spacing w:val="40"/>
        </w:rPr>
        <w:t xml:space="preserve"> </w:t>
      </w:r>
      <w:r>
        <w:t>The</w:t>
      </w:r>
      <w:r>
        <w:rPr>
          <w:spacing w:val="-1"/>
        </w:rPr>
        <w:t xml:space="preserve"> </w:t>
      </w:r>
      <w:r>
        <w:t>following</w:t>
      </w:r>
      <w:r>
        <w:rPr>
          <w:spacing w:val="-4"/>
        </w:rPr>
        <w:t xml:space="preserve"> </w:t>
      </w:r>
      <w:r>
        <w:t>table</w:t>
      </w:r>
      <w:r>
        <w:rPr>
          <w:spacing w:val="-1"/>
        </w:rPr>
        <w:t xml:space="preserve"> </w:t>
      </w:r>
      <w:r>
        <w:t>summarizes</w:t>
      </w:r>
      <w:r>
        <w:rPr>
          <w:spacing w:val="-3"/>
        </w:rPr>
        <w:t xml:space="preserve"> </w:t>
      </w:r>
      <w:r>
        <w:t>the</w:t>
      </w:r>
      <w:r>
        <w:rPr>
          <w:spacing w:val="-5"/>
        </w:rPr>
        <w:t xml:space="preserve"> </w:t>
      </w:r>
      <w:r>
        <w:t xml:space="preserve">requirements that Phillips identified as non-applicable and contains the reasons that </w:t>
      </w:r>
      <w:r w:rsidR="00402E8D">
        <w:t>DEQ</w:t>
      </w:r>
      <w:r>
        <w:t xml:space="preserve"> did not include these requirements as non-applicable in the permit.</w:t>
      </w:r>
    </w:p>
    <w:p w14:paraId="245EC6A8" w14:textId="77777777" w:rsidR="006C14B1" w:rsidRDefault="006C14B1">
      <w:pPr>
        <w:pStyle w:val="BodyText"/>
        <w:spacing w:before="10"/>
        <w:rPr>
          <w:sz w:val="23"/>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86"/>
        <w:gridCol w:w="3356"/>
      </w:tblGrid>
      <w:tr w:rsidR="006C14B1" w14:paraId="245EC6AB" w14:textId="77777777">
        <w:trPr>
          <w:trHeight w:val="431"/>
        </w:trPr>
        <w:tc>
          <w:tcPr>
            <w:tcW w:w="5986" w:type="dxa"/>
          </w:tcPr>
          <w:p w14:paraId="245EC6A9" w14:textId="77777777" w:rsidR="006C14B1" w:rsidRDefault="005C7B88">
            <w:pPr>
              <w:pStyle w:val="TableParagraph"/>
              <w:spacing w:before="80" w:line="240" w:lineRule="auto"/>
              <w:ind w:left="1866"/>
              <w:rPr>
                <w:sz w:val="24"/>
              </w:rPr>
            </w:pPr>
            <w:r>
              <w:rPr>
                <w:sz w:val="24"/>
              </w:rPr>
              <w:t>Applicable</w:t>
            </w:r>
            <w:r>
              <w:rPr>
                <w:spacing w:val="-2"/>
                <w:sz w:val="24"/>
              </w:rPr>
              <w:t xml:space="preserve"> Requirement</w:t>
            </w:r>
          </w:p>
        </w:tc>
        <w:tc>
          <w:tcPr>
            <w:tcW w:w="3356" w:type="dxa"/>
          </w:tcPr>
          <w:p w14:paraId="245EC6AA" w14:textId="77777777" w:rsidR="006C14B1" w:rsidRDefault="005C7B88">
            <w:pPr>
              <w:pStyle w:val="TableParagraph"/>
              <w:spacing w:before="80" w:line="240" w:lineRule="auto"/>
              <w:ind w:left="1319" w:right="1309"/>
              <w:jc w:val="center"/>
              <w:rPr>
                <w:sz w:val="24"/>
              </w:rPr>
            </w:pPr>
            <w:r>
              <w:rPr>
                <w:spacing w:val="-2"/>
                <w:sz w:val="24"/>
              </w:rPr>
              <w:t>Reason</w:t>
            </w:r>
          </w:p>
        </w:tc>
      </w:tr>
      <w:tr w:rsidR="006C14B1" w14:paraId="245EC6B4" w14:textId="77777777">
        <w:trPr>
          <w:trHeight w:val="2159"/>
        </w:trPr>
        <w:tc>
          <w:tcPr>
            <w:tcW w:w="5986" w:type="dxa"/>
          </w:tcPr>
          <w:p w14:paraId="245EC6AC" w14:textId="77777777" w:rsidR="006C14B1" w:rsidRDefault="005C7B88">
            <w:pPr>
              <w:pStyle w:val="TableParagraph"/>
              <w:ind w:left="110"/>
              <w:rPr>
                <w:sz w:val="24"/>
              </w:rPr>
            </w:pPr>
            <w:r>
              <w:rPr>
                <w:sz w:val="24"/>
              </w:rPr>
              <w:t>ARM</w:t>
            </w:r>
            <w:r>
              <w:rPr>
                <w:spacing w:val="-1"/>
                <w:sz w:val="24"/>
              </w:rPr>
              <w:t xml:space="preserve"> </w:t>
            </w:r>
            <w:r>
              <w:rPr>
                <w:spacing w:val="-2"/>
                <w:sz w:val="24"/>
              </w:rPr>
              <w:t>17.8.601</w:t>
            </w:r>
          </w:p>
          <w:p w14:paraId="245EC6AD" w14:textId="77777777" w:rsidR="006C14B1" w:rsidRDefault="005C7B88">
            <w:pPr>
              <w:pStyle w:val="TableParagraph"/>
              <w:ind w:left="110"/>
              <w:rPr>
                <w:sz w:val="24"/>
              </w:rPr>
            </w:pPr>
            <w:r>
              <w:rPr>
                <w:sz w:val="24"/>
              </w:rPr>
              <w:t>ARM</w:t>
            </w:r>
            <w:r>
              <w:rPr>
                <w:spacing w:val="-1"/>
                <w:sz w:val="24"/>
              </w:rPr>
              <w:t xml:space="preserve"> </w:t>
            </w:r>
            <w:r>
              <w:rPr>
                <w:spacing w:val="-2"/>
                <w:sz w:val="24"/>
              </w:rPr>
              <w:t>17.8.602</w:t>
            </w:r>
          </w:p>
          <w:p w14:paraId="245EC6AE" w14:textId="77777777" w:rsidR="006C14B1" w:rsidRDefault="005C7B88">
            <w:pPr>
              <w:pStyle w:val="TableParagraph"/>
              <w:ind w:left="110"/>
              <w:rPr>
                <w:sz w:val="24"/>
              </w:rPr>
            </w:pPr>
            <w:r>
              <w:rPr>
                <w:sz w:val="24"/>
              </w:rPr>
              <w:t>ARM</w:t>
            </w:r>
            <w:r>
              <w:rPr>
                <w:spacing w:val="1"/>
                <w:sz w:val="24"/>
              </w:rPr>
              <w:t xml:space="preserve"> </w:t>
            </w:r>
            <w:r>
              <w:rPr>
                <w:spacing w:val="-2"/>
                <w:sz w:val="24"/>
              </w:rPr>
              <w:t>17.8.1201(10)(a)</w:t>
            </w:r>
          </w:p>
          <w:p w14:paraId="245EC6AF" w14:textId="77777777" w:rsidR="006C14B1" w:rsidRDefault="005C7B88">
            <w:pPr>
              <w:pStyle w:val="TableParagraph"/>
              <w:ind w:left="110"/>
              <w:rPr>
                <w:sz w:val="24"/>
              </w:rPr>
            </w:pPr>
            <w:r>
              <w:rPr>
                <w:sz w:val="24"/>
              </w:rPr>
              <w:t>ARM</w:t>
            </w:r>
            <w:r>
              <w:rPr>
                <w:spacing w:val="1"/>
                <w:sz w:val="24"/>
              </w:rPr>
              <w:t xml:space="preserve"> </w:t>
            </w:r>
            <w:r>
              <w:rPr>
                <w:spacing w:val="-2"/>
                <w:sz w:val="24"/>
              </w:rPr>
              <w:t>17.8.1201(10)(f)</w:t>
            </w:r>
          </w:p>
          <w:p w14:paraId="245EC6B0" w14:textId="77777777" w:rsidR="006C14B1" w:rsidRDefault="005C7B88">
            <w:pPr>
              <w:pStyle w:val="TableParagraph"/>
              <w:spacing w:before="3"/>
              <w:ind w:left="110"/>
              <w:rPr>
                <w:sz w:val="24"/>
              </w:rPr>
            </w:pPr>
            <w:r>
              <w:rPr>
                <w:sz w:val="24"/>
              </w:rPr>
              <w:t xml:space="preserve">ARM </w:t>
            </w:r>
            <w:r>
              <w:rPr>
                <w:spacing w:val="-2"/>
                <w:sz w:val="24"/>
              </w:rPr>
              <w:t>17.8.1201(10)(</w:t>
            </w:r>
            <w:proofErr w:type="spellStart"/>
            <w:r>
              <w:rPr>
                <w:spacing w:val="-2"/>
                <w:sz w:val="24"/>
              </w:rPr>
              <w:t>i</w:t>
            </w:r>
            <w:proofErr w:type="spellEnd"/>
            <w:r>
              <w:rPr>
                <w:spacing w:val="-2"/>
                <w:sz w:val="24"/>
              </w:rPr>
              <w:t>)</w:t>
            </w:r>
          </w:p>
          <w:p w14:paraId="245EC6B1" w14:textId="77777777" w:rsidR="006C14B1" w:rsidRDefault="005C7B88">
            <w:pPr>
              <w:pStyle w:val="TableParagraph"/>
              <w:ind w:left="110"/>
              <w:rPr>
                <w:sz w:val="24"/>
              </w:rPr>
            </w:pPr>
            <w:r>
              <w:rPr>
                <w:sz w:val="24"/>
              </w:rPr>
              <w:t>ARM</w:t>
            </w:r>
            <w:r>
              <w:rPr>
                <w:spacing w:val="1"/>
                <w:sz w:val="24"/>
              </w:rPr>
              <w:t xml:space="preserve"> </w:t>
            </w:r>
            <w:r>
              <w:rPr>
                <w:spacing w:val="-2"/>
                <w:sz w:val="24"/>
              </w:rPr>
              <w:t>17.8.1201(10)(k)</w:t>
            </w:r>
          </w:p>
        </w:tc>
        <w:tc>
          <w:tcPr>
            <w:tcW w:w="3356" w:type="dxa"/>
          </w:tcPr>
          <w:p w14:paraId="245EC6B2" w14:textId="77777777" w:rsidR="006C14B1" w:rsidRDefault="005C7B88">
            <w:pPr>
              <w:pStyle w:val="TableParagraph"/>
              <w:spacing w:line="240" w:lineRule="auto"/>
              <w:ind w:left="104" w:right="180"/>
              <w:rPr>
                <w:sz w:val="24"/>
              </w:rPr>
            </w:pPr>
            <w:r>
              <w:rPr>
                <w:sz w:val="24"/>
              </w:rPr>
              <w:t>This</w:t>
            </w:r>
            <w:r>
              <w:rPr>
                <w:spacing w:val="-1"/>
                <w:sz w:val="24"/>
              </w:rPr>
              <w:t xml:space="preserve"> </w:t>
            </w:r>
            <w:r>
              <w:rPr>
                <w:sz w:val="24"/>
              </w:rPr>
              <w:t>is</w:t>
            </w:r>
            <w:r>
              <w:rPr>
                <w:spacing w:val="-1"/>
                <w:sz w:val="24"/>
              </w:rPr>
              <w:t xml:space="preserve"> </w:t>
            </w:r>
            <w:r>
              <w:rPr>
                <w:sz w:val="24"/>
              </w:rPr>
              <w:t>a</w:t>
            </w:r>
            <w:r>
              <w:rPr>
                <w:spacing w:val="-2"/>
                <w:sz w:val="24"/>
              </w:rPr>
              <w:t xml:space="preserve"> </w:t>
            </w:r>
            <w:r>
              <w:rPr>
                <w:sz w:val="24"/>
              </w:rPr>
              <w:t>statement</w:t>
            </w:r>
            <w:r>
              <w:rPr>
                <w:spacing w:val="-3"/>
                <w:sz w:val="24"/>
              </w:rPr>
              <w:t xml:space="preserve"> </w:t>
            </w:r>
            <w:r>
              <w:rPr>
                <w:sz w:val="24"/>
              </w:rPr>
              <w:t>of</w:t>
            </w:r>
            <w:r>
              <w:rPr>
                <w:spacing w:val="-1"/>
                <w:sz w:val="24"/>
              </w:rPr>
              <w:t xml:space="preserve"> </w:t>
            </w:r>
            <w:r>
              <w:rPr>
                <w:sz w:val="24"/>
              </w:rPr>
              <w:t>purpose, an applicability statement, regulatory definitions, or a statement of incorporation by reference.</w:t>
            </w:r>
            <w:r>
              <w:rPr>
                <w:spacing w:val="40"/>
                <w:sz w:val="24"/>
              </w:rPr>
              <w:t xml:space="preserve"> </w:t>
            </w:r>
            <w:r>
              <w:rPr>
                <w:sz w:val="24"/>
              </w:rPr>
              <w:t>These</w:t>
            </w:r>
            <w:r>
              <w:rPr>
                <w:spacing w:val="-9"/>
                <w:sz w:val="24"/>
              </w:rPr>
              <w:t xml:space="preserve"> </w:t>
            </w:r>
            <w:r>
              <w:rPr>
                <w:sz w:val="24"/>
              </w:rPr>
              <w:t>types</w:t>
            </w:r>
            <w:r>
              <w:rPr>
                <w:spacing w:val="-6"/>
                <w:sz w:val="24"/>
              </w:rPr>
              <w:t xml:space="preserve"> </w:t>
            </w:r>
            <w:r>
              <w:rPr>
                <w:sz w:val="24"/>
              </w:rPr>
              <w:t>of</w:t>
            </w:r>
            <w:r>
              <w:rPr>
                <w:spacing w:val="-10"/>
                <w:sz w:val="24"/>
              </w:rPr>
              <w:t xml:space="preserve"> </w:t>
            </w:r>
            <w:r>
              <w:rPr>
                <w:sz w:val="24"/>
              </w:rPr>
              <w:t>rules do not have specific requirements associated with</w:t>
            </w:r>
          </w:p>
          <w:p w14:paraId="245EC6B3" w14:textId="77777777" w:rsidR="006C14B1" w:rsidRDefault="005C7B88">
            <w:pPr>
              <w:pStyle w:val="TableParagraph"/>
              <w:spacing w:line="250" w:lineRule="exact"/>
              <w:ind w:left="104"/>
              <w:rPr>
                <w:sz w:val="24"/>
              </w:rPr>
            </w:pPr>
            <w:r>
              <w:rPr>
                <w:spacing w:val="-2"/>
                <w:sz w:val="24"/>
              </w:rPr>
              <w:t>them.</w:t>
            </w:r>
          </w:p>
        </w:tc>
      </w:tr>
      <w:tr w:rsidR="006C14B1" w14:paraId="245EC6C0" w14:textId="77777777">
        <w:trPr>
          <w:trHeight w:val="2428"/>
        </w:trPr>
        <w:tc>
          <w:tcPr>
            <w:tcW w:w="5986" w:type="dxa"/>
          </w:tcPr>
          <w:p w14:paraId="245EC6B5" w14:textId="77777777" w:rsidR="006C14B1" w:rsidRDefault="005C7B88">
            <w:pPr>
              <w:pStyle w:val="TableParagraph"/>
              <w:ind w:left="110"/>
              <w:rPr>
                <w:sz w:val="24"/>
              </w:rPr>
            </w:pPr>
            <w:r>
              <w:rPr>
                <w:sz w:val="24"/>
              </w:rPr>
              <w:t>ARM</w:t>
            </w:r>
            <w:r>
              <w:rPr>
                <w:spacing w:val="-1"/>
                <w:sz w:val="24"/>
              </w:rPr>
              <w:t xml:space="preserve"> </w:t>
            </w:r>
            <w:r>
              <w:rPr>
                <w:spacing w:val="-2"/>
                <w:sz w:val="24"/>
              </w:rPr>
              <w:t>17.8.604</w:t>
            </w:r>
          </w:p>
          <w:p w14:paraId="245EC6B6" w14:textId="77777777" w:rsidR="006C14B1" w:rsidRDefault="005C7B88">
            <w:pPr>
              <w:pStyle w:val="TableParagraph"/>
              <w:ind w:left="110"/>
              <w:rPr>
                <w:sz w:val="24"/>
              </w:rPr>
            </w:pPr>
            <w:r>
              <w:rPr>
                <w:sz w:val="24"/>
              </w:rPr>
              <w:t>ARM</w:t>
            </w:r>
            <w:r>
              <w:rPr>
                <w:spacing w:val="-1"/>
                <w:sz w:val="24"/>
              </w:rPr>
              <w:t xml:space="preserve"> </w:t>
            </w:r>
            <w:r>
              <w:rPr>
                <w:spacing w:val="-2"/>
                <w:sz w:val="24"/>
              </w:rPr>
              <w:t>17.8.605</w:t>
            </w:r>
          </w:p>
          <w:p w14:paraId="245EC6B7" w14:textId="77777777" w:rsidR="006C14B1" w:rsidRDefault="005C7B88">
            <w:pPr>
              <w:pStyle w:val="TableParagraph"/>
              <w:ind w:left="110"/>
              <w:rPr>
                <w:sz w:val="24"/>
              </w:rPr>
            </w:pPr>
            <w:r>
              <w:rPr>
                <w:sz w:val="24"/>
              </w:rPr>
              <w:t>ARM</w:t>
            </w:r>
            <w:r>
              <w:rPr>
                <w:spacing w:val="-1"/>
                <w:sz w:val="24"/>
              </w:rPr>
              <w:t xml:space="preserve"> </w:t>
            </w:r>
            <w:r>
              <w:rPr>
                <w:spacing w:val="-2"/>
                <w:sz w:val="24"/>
              </w:rPr>
              <w:t>17.8.606</w:t>
            </w:r>
          </w:p>
          <w:p w14:paraId="245EC6B8" w14:textId="77777777" w:rsidR="006C14B1" w:rsidRDefault="005C7B88">
            <w:pPr>
              <w:pStyle w:val="TableParagraph"/>
              <w:spacing w:before="3"/>
              <w:ind w:left="110"/>
              <w:rPr>
                <w:sz w:val="24"/>
              </w:rPr>
            </w:pPr>
            <w:r>
              <w:rPr>
                <w:sz w:val="24"/>
              </w:rPr>
              <w:t>ARM</w:t>
            </w:r>
            <w:r>
              <w:rPr>
                <w:spacing w:val="-1"/>
                <w:sz w:val="24"/>
              </w:rPr>
              <w:t xml:space="preserve"> </w:t>
            </w:r>
            <w:r>
              <w:rPr>
                <w:spacing w:val="-2"/>
                <w:sz w:val="24"/>
              </w:rPr>
              <w:t>17.8.611</w:t>
            </w:r>
          </w:p>
          <w:p w14:paraId="245EC6B9" w14:textId="77777777" w:rsidR="006C14B1" w:rsidRDefault="005C7B88">
            <w:pPr>
              <w:pStyle w:val="TableParagraph"/>
              <w:ind w:left="110"/>
              <w:rPr>
                <w:sz w:val="24"/>
              </w:rPr>
            </w:pPr>
            <w:r>
              <w:rPr>
                <w:sz w:val="24"/>
              </w:rPr>
              <w:t>ARM</w:t>
            </w:r>
            <w:r>
              <w:rPr>
                <w:spacing w:val="-1"/>
                <w:sz w:val="24"/>
              </w:rPr>
              <w:t xml:space="preserve"> </w:t>
            </w:r>
            <w:r>
              <w:rPr>
                <w:spacing w:val="-2"/>
                <w:sz w:val="24"/>
              </w:rPr>
              <w:t>17.8.612</w:t>
            </w:r>
          </w:p>
          <w:p w14:paraId="245EC6BA" w14:textId="77777777" w:rsidR="006C14B1" w:rsidRDefault="005C7B88">
            <w:pPr>
              <w:pStyle w:val="TableParagraph"/>
              <w:ind w:left="110"/>
              <w:rPr>
                <w:sz w:val="24"/>
              </w:rPr>
            </w:pPr>
            <w:r>
              <w:rPr>
                <w:sz w:val="24"/>
              </w:rPr>
              <w:t>ARM</w:t>
            </w:r>
            <w:r>
              <w:rPr>
                <w:spacing w:val="-1"/>
                <w:sz w:val="24"/>
              </w:rPr>
              <w:t xml:space="preserve"> </w:t>
            </w:r>
            <w:r>
              <w:rPr>
                <w:spacing w:val="-2"/>
                <w:sz w:val="24"/>
              </w:rPr>
              <w:t>17.8.613</w:t>
            </w:r>
          </w:p>
          <w:p w14:paraId="245EC6BB" w14:textId="77777777" w:rsidR="006C14B1" w:rsidRDefault="005C7B88">
            <w:pPr>
              <w:pStyle w:val="TableParagraph"/>
              <w:ind w:left="110"/>
              <w:rPr>
                <w:sz w:val="24"/>
              </w:rPr>
            </w:pPr>
            <w:r>
              <w:rPr>
                <w:sz w:val="24"/>
              </w:rPr>
              <w:t>ARM</w:t>
            </w:r>
            <w:r>
              <w:rPr>
                <w:spacing w:val="-1"/>
                <w:sz w:val="24"/>
              </w:rPr>
              <w:t xml:space="preserve"> </w:t>
            </w:r>
            <w:r>
              <w:rPr>
                <w:spacing w:val="-2"/>
                <w:sz w:val="24"/>
              </w:rPr>
              <w:t>17.8.614</w:t>
            </w:r>
          </w:p>
          <w:p w14:paraId="245EC6BC" w14:textId="77777777" w:rsidR="006C14B1" w:rsidRDefault="005C7B88">
            <w:pPr>
              <w:pStyle w:val="TableParagraph"/>
              <w:spacing w:before="4" w:line="240" w:lineRule="auto"/>
              <w:ind w:left="110"/>
              <w:rPr>
                <w:sz w:val="24"/>
              </w:rPr>
            </w:pPr>
            <w:r>
              <w:rPr>
                <w:sz w:val="24"/>
              </w:rPr>
              <w:t>ARM</w:t>
            </w:r>
            <w:r>
              <w:rPr>
                <w:spacing w:val="-1"/>
                <w:sz w:val="24"/>
              </w:rPr>
              <w:t xml:space="preserve"> </w:t>
            </w:r>
            <w:r>
              <w:rPr>
                <w:spacing w:val="-2"/>
                <w:sz w:val="24"/>
              </w:rPr>
              <w:t>17.8.615</w:t>
            </w:r>
          </w:p>
        </w:tc>
        <w:tc>
          <w:tcPr>
            <w:tcW w:w="3356" w:type="dxa"/>
          </w:tcPr>
          <w:p w14:paraId="245EC6BD" w14:textId="0B6DB78F" w:rsidR="006C14B1" w:rsidRDefault="005C7B88">
            <w:pPr>
              <w:pStyle w:val="TableParagraph"/>
              <w:spacing w:line="240" w:lineRule="auto"/>
              <w:ind w:left="104" w:right="180"/>
              <w:rPr>
                <w:sz w:val="24"/>
              </w:rPr>
            </w:pPr>
            <w:r>
              <w:rPr>
                <w:sz w:val="24"/>
              </w:rPr>
              <w:t>These</w:t>
            </w:r>
            <w:r>
              <w:rPr>
                <w:spacing w:val="-9"/>
                <w:sz w:val="24"/>
              </w:rPr>
              <w:t xml:space="preserve"> </w:t>
            </w:r>
            <w:r>
              <w:rPr>
                <w:sz w:val="24"/>
              </w:rPr>
              <w:t>rules</w:t>
            </w:r>
            <w:r>
              <w:rPr>
                <w:spacing w:val="-7"/>
                <w:sz w:val="24"/>
              </w:rPr>
              <w:t xml:space="preserve"> </w:t>
            </w:r>
            <w:r>
              <w:rPr>
                <w:sz w:val="24"/>
              </w:rPr>
              <w:t>are</w:t>
            </w:r>
            <w:r>
              <w:rPr>
                <w:spacing w:val="-9"/>
                <w:sz w:val="24"/>
              </w:rPr>
              <w:t xml:space="preserve"> </w:t>
            </w:r>
            <w:r>
              <w:rPr>
                <w:sz w:val="24"/>
              </w:rPr>
              <w:t>Open</w:t>
            </w:r>
            <w:r>
              <w:rPr>
                <w:spacing w:val="-9"/>
                <w:sz w:val="24"/>
              </w:rPr>
              <w:t xml:space="preserve"> </w:t>
            </w:r>
            <w:r>
              <w:rPr>
                <w:sz w:val="24"/>
              </w:rPr>
              <w:t xml:space="preserve">Burning rules. </w:t>
            </w:r>
            <w:r w:rsidR="00402E8D">
              <w:rPr>
                <w:sz w:val="24"/>
              </w:rPr>
              <w:t>DEQ</w:t>
            </w:r>
            <w:r>
              <w:rPr>
                <w:sz w:val="24"/>
              </w:rPr>
              <w:t xml:space="preserve"> is not aware of any activities at this facility for which these rules apply. These rules are not applicable to the normal operation of this facility.</w:t>
            </w:r>
          </w:p>
          <w:p w14:paraId="245EC6BE" w14:textId="77777777" w:rsidR="006C14B1" w:rsidRDefault="005C7B88">
            <w:pPr>
              <w:pStyle w:val="TableParagraph"/>
              <w:ind w:left="104"/>
              <w:rPr>
                <w:sz w:val="24"/>
              </w:rPr>
            </w:pPr>
            <w:r>
              <w:rPr>
                <w:sz w:val="24"/>
              </w:rPr>
              <w:t>These</w:t>
            </w:r>
            <w:r>
              <w:rPr>
                <w:spacing w:val="-3"/>
                <w:sz w:val="24"/>
              </w:rPr>
              <w:t xml:space="preserve"> </w:t>
            </w:r>
            <w:r>
              <w:rPr>
                <w:sz w:val="24"/>
              </w:rPr>
              <w:t>rules</w:t>
            </w:r>
            <w:r>
              <w:rPr>
                <w:spacing w:val="-5"/>
                <w:sz w:val="24"/>
              </w:rPr>
              <w:t xml:space="preserve"> </w:t>
            </w:r>
            <w:r>
              <w:rPr>
                <w:sz w:val="24"/>
              </w:rPr>
              <w:t>have</w:t>
            </w:r>
            <w:r>
              <w:rPr>
                <w:spacing w:val="3"/>
                <w:sz w:val="24"/>
              </w:rPr>
              <w:t xml:space="preserve"> </w:t>
            </w:r>
            <w:r>
              <w:rPr>
                <w:spacing w:val="-2"/>
                <w:sz w:val="24"/>
              </w:rPr>
              <w:t>specific</w:t>
            </w:r>
          </w:p>
          <w:p w14:paraId="245EC6BF" w14:textId="77777777" w:rsidR="006C14B1" w:rsidRDefault="005C7B88">
            <w:pPr>
              <w:pStyle w:val="TableParagraph"/>
              <w:spacing w:line="248" w:lineRule="exact"/>
              <w:ind w:left="104"/>
              <w:rPr>
                <w:sz w:val="24"/>
              </w:rPr>
            </w:pPr>
            <w:r>
              <w:rPr>
                <w:sz w:val="24"/>
              </w:rPr>
              <w:t>requirements</w:t>
            </w:r>
            <w:r>
              <w:rPr>
                <w:spacing w:val="-1"/>
                <w:sz w:val="24"/>
              </w:rPr>
              <w:t xml:space="preserve"> </w:t>
            </w:r>
            <w:r>
              <w:rPr>
                <w:sz w:val="24"/>
              </w:rPr>
              <w:t>for</w:t>
            </w:r>
            <w:r>
              <w:rPr>
                <w:spacing w:val="-3"/>
                <w:sz w:val="24"/>
              </w:rPr>
              <w:t xml:space="preserve"> </w:t>
            </w:r>
            <w:r>
              <w:rPr>
                <w:sz w:val="24"/>
              </w:rPr>
              <w:t>open</w:t>
            </w:r>
            <w:r>
              <w:rPr>
                <w:spacing w:val="-2"/>
                <w:sz w:val="24"/>
              </w:rPr>
              <w:t xml:space="preserve"> burning.</w:t>
            </w:r>
          </w:p>
        </w:tc>
      </w:tr>
    </w:tbl>
    <w:p w14:paraId="245EC6C1" w14:textId="77777777" w:rsidR="006C14B1" w:rsidRDefault="006C14B1">
      <w:pPr>
        <w:spacing w:line="248" w:lineRule="exact"/>
        <w:rPr>
          <w:sz w:val="24"/>
        </w:rPr>
        <w:sectPr w:rsidR="006C14B1">
          <w:pgSz w:w="12240" w:h="15840"/>
          <w:pgMar w:top="1080" w:right="1200" w:bottom="1320" w:left="1320" w:header="0" w:footer="1073" w:gutter="0"/>
          <w:cols w:space="720"/>
        </w:sectPr>
      </w:pPr>
    </w:p>
    <w:p w14:paraId="245EC6C2" w14:textId="77777777" w:rsidR="006C14B1" w:rsidRDefault="005C7B88">
      <w:pPr>
        <w:spacing w:before="71"/>
        <w:ind w:left="1783" w:right="1902"/>
        <w:jc w:val="center"/>
        <w:rPr>
          <w:b/>
          <w:sz w:val="24"/>
        </w:rPr>
      </w:pPr>
      <w:bookmarkStart w:id="21" w:name="SECTION_III.____FUTURE_PERMIT_CONSIDERAT"/>
      <w:bookmarkEnd w:id="21"/>
      <w:r>
        <w:rPr>
          <w:b/>
          <w:sz w:val="24"/>
        </w:rPr>
        <w:lastRenderedPageBreak/>
        <w:t>SECTION</w:t>
      </w:r>
      <w:r>
        <w:rPr>
          <w:b/>
          <w:spacing w:val="-2"/>
          <w:sz w:val="24"/>
        </w:rPr>
        <w:t xml:space="preserve"> </w:t>
      </w:r>
      <w:r>
        <w:rPr>
          <w:b/>
          <w:sz w:val="24"/>
        </w:rPr>
        <w:t>III.</w:t>
      </w:r>
      <w:r>
        <w:rPr>
          <w:b/>
          <w:spacing w:val="32"/>
          <w:sz w:val="24"/>
        </w:rPr>
        <w:t xml:space="preserve">  </w:t>
      </w:r>
      <w:r>
        <w:rPr>
          <w:b/>
          <w:sz w:val="24"/>
        </w:rPr>
        <w:t>FUTURE PERMIT</w:t>
      </w:r>
      <w:r>
        <w:rPr>
          <w:b/>
          <w:spacing w:val="-5"/>
          <w:sz w:val="24"/>
        </w:rPr>
        <w:t xml:space="preserve"> </w:t>
      </w:r>
      <w:r>
        <w:rPr>
          <w:b/>
          <w:spacing w:val="-2"/>
          <w:sz w:val="24"/>
        </w:rPr>
        <w:t>CONSIDERATIONS</w:t>
      </w:r>
    </w:p>
    <w:p w14:paraId="245EC6C3" w14:textId="77777777" w:rsidR="006C14B1" w:rsidRDefault="006C14B1">
      <w:pPr>
        <w:pStyle w:val="BodyText"/>
        <w:spacing w:before="2"/>
        <w:rPr>
          <w:b/>
        </w:rPr>
      </w:pPr>
    </w:p>
    <w:p w14:paraId="245EC6C4" w14:textId="77777777" w:rsidR="006C14B1" w:rsidRDefault="005C7B88">
      <w:pPr>
        <w:pStyle w:val="Heading2"/>
        <w:numPr>
          <w:ilvl w:val="0"/>
          <w:numId w:val="1"/>
        </w:numPr>
        <w:tabs>
          <w:tab w:val="left" w:pos="478"/>
        </w:tabs>
        <w:spacing w:before="1"/>
        <w:ind w:left="478" w:hanging="358"/>
      </w:pPr>
      <w:bookmarkStart w:id="22" w:name="_TOC_250004"/>
      <w:r>
        <w:t>MACT</w:t>
      </w:r>
      <w:r>
        <w:rPr>
          <w:spacing w:val="-3"/>
        </w:rPr>
        <w:t xml:space="preserve"> </w:t>
      </w:r>
      <w:r>
        <w:t>Standards</w:t>
      </w:r>
      <w:r>
        <w:rPr>
          <w:spacing w:val="-1"/>
        </w:rPr>
        <w:t xml:space="preserve"> </w:t>
      </w:r>
      <w:r>
        <w:t>and</w:t>
      </w:r>
      <w:r>
        <w:rPr>
          <w:spacing w:val="-4"/>
        </w:rPr>
        <w:t xml:space="preserve"> </w:t>
      </w:r>
      <w:r>
        <w:t>NESHAP</w:t>
      </w:r>
      <w:r>
        <w:rPr>
          <w:spacing w:val="-4"/>
        </w:rPr>
        <w:t xml:space="preserve"> </w:t>
      </w:r>
      <w:bookmarkEnd w:id="22"/>
      <w:r>
        <w:rPr>
          <w:spacing w:val="-2"/>
        </w:rPr>
        <w:t>Standards</w:t>
      </w:r>
    </w:p>
    <w:p w14:paraId="245EC6C5" w14:textId="77777777" w:rsidR="006C14B1" w:rsidRDefault="006C14B1">
      <w:pPr>
        <w:pStyle w:val="BodyText"/>
        <w:spacing w:before="8"/>
        <w:rPr>
          <w:b/>
          <w:sz w:val="23"/>
        </w:rPr>
      </w:pPr>
    </w:p>
    <w:p w14:paraId="245EC6C6" w14:textId="77777777" w:rsidR="006C14B1" w:rsidRDefault="005C7B88">
      <w:pPr>
        <w:pStyle w:val="BodyText"/>
        <w:spacing w:before="1"/>
        <w:ind w:left="480" w:right="312"/>
      </w:pPr>
      <w:r>
        <w:t>The requirements of 40 CFR 63, Subpart BBBBBB are applicable to this facility.</w:t>
      </w:r>
      <w:r>
        <w:rPr>
          <w:spacing w:val="40"/>
        </w:rPr>
        <w:t xml:space="preserve"> </w:t>
      </w:r>
      <w:r>
        <w:t>The compliance date for most of the requirements is January 10, 2011, except for storage tanks which are equipped with floating roofs and not already meeting these requirements, for which compliance must</w:t>
      </w:r>
      <w:r>
        <w:rPr>
          <w:spacing w:val="-1"/>
        </w:rPr>
        <w:t xml:space="preserve"> </w:t>
      </w:r>
      <w:r>
        <w:t>be</w:t>
      </w:r>
      <w:r>
        <w:rPr>
          <w:spacing w:val="-2"/>
        </w:rPr>
        <w:t xml:space="preserve"> </w:t>
      </w:r>
      <w:r>
        <w:t>achieved by</w:t>
      </w:r>
      <w:r>
        <w:rPr>
          <w:spacing w:val="-2"/>
        </w:rPr>
        <w:t xml:space="preserve"> </w:t>
      </w:r>
      <w:r>
        <w:t>the</w:t>
      </w:r>
      <w:r>
        <w:rPr>
          <w:spacing w:val="-2"/>
        </w:rPr>
        <w:t xml:space="preserve"> </w:t>
      </w:r>
      <w:r>
        <w:t>first degassing and cleaning activity after</w:t>
      </w:r>
      <w:r>
        <w:rPr>
          <w:spacing w:val="-1"/>
        </w:rPr>
        <w:t xml:space="preserve"> </w:t>
      </w:r>
      <w:r>
        <w:t>January 10, 2011, or</w:t>
      </w:r>
      <w:r>
        <w:rPr>
          <w:spacing w:val="-4"/>
        </w:rPr>
        <w:t xml:space="preserve"> </w:t>
      </w:r>
      <w:r>
        <w:t>by</w:t>
      </w:r>
      <w:r>
        <w:rPr>
          <w:spacing w:val="-5"/>
        </w:rPr>
        <w:t xml:space="preserve"> </w:t>
      </w:r>
      <w:r>
        <w:t>January 10,</w:t>
      </w:r>
      <w:r>
        <w:rPr>
          <w:spacing w:val="-1"/>
        </w:rPr>
        <w:t xml:space="preserve"> </w:t>
      </w:r>
      <w:r>
        <w:t>2018,</w:t>
      </w:r>
      <w:r>
        <w:rPr>
          <w:spacing w:val="-1"/>
        </w:rPr>
        <w:t xml:space="preserve"> </w:t>
      </w:r>
      <w:r>
        <w:t>whichever is</w:t>
      </w:r>
      <w:r>
        <w:rPr>
          <w:spacing w:val="-2"/>
        </w:rPr>
        <w:t xml:space="preserve"> </w:t>
      </w:r>
      <w:r>
        <w:t>first.</w:t>
      </w:r>
      <w:r>
        <w:rPr>
          <w:spacing w:val="40"/>
        </w:rPr>
        <w:t xml:space="preserve"> </w:t>
      </w:r>
      <w:r>
        <w:t>These rules</w:t>
      </w:r>
      <w:r>
        <w:rPr>
          <w:spacing w:val="-2"/>
        </w:rPr>
        <w:t xml:space="preserve"> </w:t>
      </w:r>
      <w:r>
        <w:t>apply</w:t>
      </w:r>
      <w:r>
        <w:rPr>
          <w:spacing w:val="-5"/>
        </w:rPr>
        <w:t xml:space="preserve"> </w:t>
      </w:r>
      <w:r>
        <w:t>to</w:t>
      </w:r>
      <w:r>
        <w:rPr>
          <w:spacing w:val="-4"/>
        </w:rPr>
        <w:t xml:space="preserve"> </w:t>
      </w:r>
      <w:r>
        <w:t>gasoline related</w:t>
      </w:r>
      <w:r>
        <w:rPr>
          <w:spacing w:val="-6"/>
        </w:rPr>
        <w:t xml:space="preserve"> </w:t>
      </w:r>
      <w:r>
        <w:t>equipment</w:t>
      </w:r>
      <w:r>
        <w:rPr>
          <w:spacing w:val="-4"/>
        </w:rPr>
        <w:t xml:space="preserve"> </w:t>
      </w:r>
      <w:r>
        <w:t>only.</w:t>
      </w:r>
    </w:p>
    <w:p w14:paraId="245EC6C7" w14:textId="77777777" w:rsidR="006C14B1" w:rsidRDefault="006C14B1">
      <w:pPr>
        <w:pStyle w:val="BodyText"/>
        <w:spacing w:before="2"/>
      </w:pPr>
    </w:p>
    <w:p w14:paraId="245EC6C8" w14:textId="77777777" w:rsidR="006C14B1" w:rsidRDefault="005C7B88">
      <w:pPr>
        <w:pStyle w:val="BodyText"/>
        <w:ind w:left="480" w:right="312"/>
      </w:pPr>
      <w:r>
        <w:t>It is expected that installation of control options may allow the facility to become a synthetic minor under the Title V rules.</w:t>
      </w:r>
      <w:r>
        <w:rPr>
          <w:spacing w:val="40"/>
        </w:rPr>
        <w:t xml:space="preserve"> </w:t>
      </w:r>
      <w:r>
        <w:t>An application for Modification of the Montana Air Quality Permit will be required prior to installation of the control device.</w:t>
      </w:r>
      <w:r>
        <w:rPr>
          <w:spacing w:val="40"/>
        </w:rPr>
        <w:t xml:space="preserve"> </w:t>
      </w:r>
      <w:r>
        <w:t>Although the facility may become a synthetic minor with respect to Title V following the MAQP permit modification described</w:t>
      </w:r>
      <w:r>
        <w:rPr>
          <w:spacing w:val="-2"/>
        </w:rPr>
        <w:t xml:space="preserve"> </w:t>
      </w:r>
      <w:r>
        <w:t>above,</w:t>
      </w:r>
      <w:r>
        <w:rPr>
          <w:spacing w:val="-6"/>
        </w:rPr>
        <w:t xml:space="preserve"> </w:t>
      </w:r>
      <w:r>
        <w:t>the</w:t>
      </w:r>
      <w:r>
        <w:rPr>
          <w:spacing w:val="-5"/>
        </w:rPr>
        <w:t xml:space="preserve"> </w:t>
      </w:r>
      <w:r>
        <w:t>requirements</w:t>
      </w:r>
      <w:r>
        <w:rPr>
          <w:spacing w:val="-7"/>
        </w:rPr>
        <w:t xml:space="preserve"> </w:t>
      </w:r>
      <w:r>
        <w:t>of</w:t>
      </w:r>
      <w:r>
        <w:rPr>
          <w:spacing w:val="-2"/>
        </w:rPr>
        <w:t xml:space="preserve"> </w:t>
      </w:r>
      <w:r>
        <w:t>40</w:t>
      </w:r>
      <w:r>
        <w:rPr>
          <w:spacing w:val="-3"/>
        </w:rPr>
        <w:t xml:space="preserve"> </w:t>
      </w:r>
      <w:r>
        <w:t>CFR</w:t>
      </w:r>
      <w:r>
        <w:rPr>
          <w:spacing w:val="-2"/>
        </w:rPr>
        <w:t xml:space="preserve"> </w:t>
      </w:r>
      <w:r>
        <w:t>63,</w:t>
      </w:r>
      <w:r>
        <w:rPr>
          <w:spacing w:val="-2"/>
        </w:rPr>
        <w:t xml:space="preserve"> </w:t>
      </w:r>
      <w:r>
        <w:t>Subpart</w:t>
      </w:r>
      <w:r>
        <w:rPr>
          <w:spacing w:val="-4"/>
        </w:rPr>
        <w:t xml:space="preserve"> </w:t>
      </w:r>
      <w:r>
        <w:t>BBBBBB</w:t>
      </w:r>
      <w:r>
        <w:rPr>
          <w:spacing w:val="-1"/>
        </w:rPr>
        <w:t xml:space="preserve"> </w:t>
      </w:r>
      <w:r>
        <w:t>would</w:t>
      </w:r>
      <w:r>
        <w:rPr>
          <w:spacing w:val="-2"/>
        </w:rPr>
        <w:t xml:space="preserve"> </w:t>
      </w:r>
      <w:r>
        <w:t>still</w:t>
      </w:r>
      <w:r>
        <w:rPr>
          <w:spacing w:val="-3"/>
        </w:rPr>
        <w:t xml:space="preserve"> </w:t>
      </w:r>
      <w:r>
        <w:t>apply.</w:t>
      </w:r>
      <w:r>
        <w:rPr>
          <w:spacing w:val="40"/>
        </w:rPr>
        <w:t xml:space="preserve"> </w:t>
      </w:r>
      <w:r>
        <w:t>Phillips</w:t>
      </w:r>
      <w:r>
        <w:rPr>
          <w:spacing w:val="-2"/>
        </w:rPr>
        <w:t xml:space="preserve"> </w:t>
      </w:r>
      <w:r>
        <w:t>is also subject to the notification requirements of this rule.</w:t>
      </w:r>
      <w:r>
        <w:rPr>
          <w:spacing w:val="40"/>
        </w:rPr>
        <w:t xml:space="preserve"> </w:t>
      </w:r>
      <w:r>
        <w:t>The notification requirements of 40 CFR 63, Subpart BBBBBB reference the notification rules outlined in 40 CFR 63.9.</w:t>
      </w:r>
    </w:p>
    <w:p w14:paraId="245EC6C9" w14:textId="77777777" w:rsidR="006C14B1" w:rsidRDefault="006C14B1">
      <w:pPr>
        <w:pStyle w:val="BodyText"/>
      </w:pPr>
    </w:p>
    <w:p w14:paraId="245EC6CA" w14:textId="77777777" w:rsidR="006C14B1" w:rsidRDefault="005C7B88">
      <w:pPr>
        <w:pStyle w:val="BodyText"/>
        <w:ind w:left="480" w:right="312"/>
      </w:pPr>
      <w:r>
        <w:t>One of the control options available in meeting the requirements of 40 CFR 63, Subpart BBBBBB is utilization of a flare.</w:t>
      </w:r>
      <w:r>
        <w:rPr>
          <w:spacing w:val="40"/>
        </w:rPr>
        <w:t xml:space="preserve"> </w:t>
      </w:r>
      <w:r>
        <w:t>Should Phillips choose to install a flare, the additional requirements</w:t>
      </w:r>
      <w:r>
        <w:rPr>
          <w:spacing w:val="-7"/>
        </w:rPr>
        <w:t xml:space="preserve"> </w:t>
      </w:r>
      <w:r>
        <w:t>of</w:t>
      </w:r>
      <w:r>
        <w:rPr>
          <w:spacing w:val="-2"/>
        </w:rPr>
        <w:t xml:space="preserve"> </w:t>
      </w:r>
      <w:r>
        <w:t>ARM 17.8.770</w:t>
      </w:r>
      <w:r>
        <w:rPr>
          <w:spacing w:val="-3"/>
        </w:rPr>
        <w:t xml:space="preserve"> </w:t>
      </w:r>
      <w:r>
        <w:t>would</w:t>
      </w:r>
      <w:r>
        <w:rPr>
          <w:spacing w:val="-1"/>
        </w:rPr>
        <w:t xml:space="preserve"> </w:t>
      </w:r>
      <w:r>
        <w:t>apply</w:t>
      </w:r>
      <w:r>
        <w:rPr>
          <w:i/>
        </w:rPr>
        <w:t>.</w:t>
      </w:r>
      <w:r>
        <w:rPr>
          <w:i/>
          <w:spacing w:val="40"/>
        </w:rPr>
        <w:t xml:space="preserve"> </w:t>
      </w:r>
      <w:r>
        <w:t>This</w:t>
      </w:r>
      <w:r>
        <w:rPr>
          <w:spacing w:val="-2"/>
        </w:rPr>
        <w:t xml:space="preserve"> </w:t>
      </w:r>
      <w:r>
        <w:t>rule requires</w:t>
      </w:r>
      <w:r>
        <w:rPr>
          <w:spacing w:val="-7"/>
        </w:rPr>
        <w:t xml:space="preserve"> </w:t>
      </w:r>
      <w:r>
        <w:t>a</w:t>
      </w:r>
      <w:r>
        <w:rPr>
          <w:spacing w:val="-3"/>
        </w:rPr>
        <w:t xml:space="preserve"> </w:t>
      </w:r>
      <w:r>
        <w:t>human</w:t>
      </w:r>
      <w:r>
        <w:rPr>
          <w:spacing w:val="-4"/>
        </w:rPr>
        <w:t xml:space="preserve"> </w:t>
      </w:r>
      <w:r>
        <w:t>health</w:t>
      </w:r>
      <w:r>
        <w:rPr>
          <w:spacing w:val="-4"/>
        </w:rPr>
        <w:t xml:space="preserve"> </w:t>
      </w:r>
      <w:r>
        <w:t>risk</w:t>
      </w:r>
      <w:r>
        <w:rPr>
          <w:spacing w:val="-3"/>
        </w:rPr>
        <w:t xml:space="preserve"> </w:t>
      </w:r>
      <w:r>
        <w:t>assessment to be completed as described in the rule.</w:t>
      </w:r>
    </w:p>
    <w:p w14:paraId="245EC6CB" w14:textId="77777777" w:rsidR="006C14B1" w:rsidRDefault="006C14B1">
      <w:pPr>
        <w:pStyle w:val="BodyText"/>
        <w:spacing w:before="10"/>
        <w:rPr>
          <w:sz w:val="23"/>
        </w:rPr>
      </w:pPr>
    </w:p>
    <w:p w14:paraId="245EC6CC" w14:textId="098374F4" w:rsidR="006C14B1" w:rsidRDefault="005C7B88">
      <w:pPr>
        <w:pStyle w:val="BodyText"/>
        <w:ind w:left="480" w:right="584"/>
        <w:jc w:val="both"/>
      </w:pPr>
      <w:r>
        <w:t>As</w:t>
      </w:r>
      <w:r>
        <w:rPr>
          <w:spacing w:val="-2"/>
        </w:rPr>
        <w:t xml:space="preserve"> </w:t>
      </w:r>
      <w:r>
        <w:t>of</w:t>
      </w:r>
      <w:r>
        <w:rPr>
          <w:spacing w:val="-7"/>
        </w:rPr>
        <w:t xml:space="preserve"> </w:t>
      </w:r>
      <w:r>
        <w:t>the</w:t>
      </w:r>
      <w:r>
        <w:rPr>
          <w:spacing w:val="-5"/>
        </w:rPr>
        <w:t xml:space="preserve"> </w:t>
      </w:r>
      <w:r>
        <w:t>issuance</w:t>
      </w:r>
      <w:r>
        <w:rPr>
          <w:spacing w:val="-5"/>
        </w:rPr>
        <w:t xml:space="preserve"> </w:t>
      </w:r>
      <w:r>
        <w:t>date</w:t>
      </w:r>
      <w:r>
        <w:rPr>
          <w:spacing w:val="-5"/>
        </w:rPr>
        <w:t xml:space="preserve"> </w:t>
      </w:r>
      <w:r>
        <w:t>of</w:t>
      </w:r>
      <w:r>
        <w:rPr>
          <w:spacing w:val="-2"/>
        </w:rPr>
        <w:t xml:space="preserve"> </w:t>
      </w:r>
      <w:r>
        <w:t>Operating</w:t>
      </w:r>
      <w:r>
        <w:rPr>
          <w:spacing w:val="-3"/>
        </w:rPr>
        <w:t xml:space="preserve"> </w:t>
      </w:r>
      <w:r>
        <w:t>Permit</w:t>
      </w:r>
      <w:r>
        <w:rPr>
          <w:spacing w:val="-4"/>
        </w:rPr>
        <w:t xml:space="preserve"> </w:t>
      </w:r>
      <w:r>
        <w:t>#OP2946-12,</w:t>
      </w:r>
      <w:r>
        <w:rPr>
          <w:spacing w:val="-1"/>
        </w:rPr>
        <w:t xml:space="preserve"> </w:t>
      </w:r>
      <w:r w:rsidR="00402E8D">
        <w:t>DEQ</w:t>
      </w:r>
      <w:r>
        <w:t xml:space="preserve"> is</w:t>
      </w:r>
      <w:r>
        <w:rPr>
          <w:spacing w:val="-7"/>
        </w:rPr>
        <w:t xml:space="preserve"> </w:t>
      </w:r>
      <w:r>
        <w:t>unaware</w:t>
      </w:r>
      <w:r>
        <w:rPr>
          <w:spacing w:val="-5"/>
        </w:rPr>
        <w:t xml:space="preserve"> </w:t>
      </w:r>
      <w:r>
        <w:t>of</w:t>
      </w:r>
      <w:r>
        <w:rPr>
          <w:spacing w:val="-2"/>
        </w:rPr>
        <w:t xml:space="preserve"> </w:t>
      </w:r>
      <w:r>
        <w:t>any proposed</w:t>
      </w:r>
      <w:r>
        <w:rPr>
          <w:spacing w:val="-4"/>
        </w:rPr>
        <w:t xml:space="preserve"> </w:t>
      </w:r>
      <w:r>
        <w:t>or</w:t>
      </w:r>
      <w:r>
        <w:rPr>
          <w:spacing w:val="-2"/>
        </w:rPr>
        <w:t xml:space="preserve"> </w:t>
      </w:r>
      <w:r>
        <w:t>pending</w:t>
      </w:r>
      <w:r>
        <w:rPr>
          <w:spacing w:val="-6"/>
        </w:rPr>
        <w:t xml:space="preserve"> </w:t>
      </w:r>
      <w:r>
        <w:t>MACT</w:t>
      </w:r>
      <w:r>
        <w:rPr>
          <w:spacing w:val="-3"/>
        </w:rPr>
        <w:t xml:space="preserve"> </w:t>
      </w:r>
      <w:r>
        <w:t>or</w:t>
      </w:r>
      <w:r>
        <w:rPr>
          <w:spacing w:val="-2"/>
        </w:rPr>
        <w:t xml:space="preserve"> </w:t>
      </w:r>
      <w:r>
        <w:t>NESHAP standards</w:t>
      </w:r>
      <w:r>
        <w:rPr>
          <w:spacing w:val="-5"/>
        </w:rPr>
        <w:t xml:space="preserve"> </w:t>
      </w:r>
      <w:r>
        <w:t>that may</w:t>
      </w:r>
      <w:r>
        <w:rPr>
          <w:spacing w:val="-3"/>
        </w:rPr>
        <w:t xml:space="preserve"> </w:t>
      </w:r>
      <w:r>
        <w:t>be</w:t>
      </w:r>
      <w:r>
        <w:rPr>
          <w:spacing w:val="-3"/>
        </w:rPr>
        <w:t xml:space="preserve"> </w:t>
      </w:r>
      <w:r>
        <w:t>promulgated</w:t>
      </w:r>
      <w:r>
        <w:rPr>
          <w:spacing w:val="-4"/>
        </w:rPr>
        <w:t xml:space="preserve"> </w:t>
      </w:r>
      <w:r>
        <w:t>that</w:t>
      </w:r>
      <w:r>
        <w:rPr>
          <w:spacing w:val="-2"/>
        </w:rPr>
        <w:t xml:space="preserve"> </w:t>
      </w:r>
      <w:r>
        <w:t>will</w:t>
      </w:r>
      <w:r>
        <w:rPr>
          <w:spacing w:val="-1"/>
        </w:rPr>
        <w:t xml:space="preserve"> </w:t>
      </w:r>
      <w:r>
        <w:t>affect this facility.</w:t>
      </w:r>
    </w:p>
    <w:p w14:paraId="245EC6CD" w14:textId="77777777" w:rsidR="006C14B1" w:rsidRDefault="006C14B1">
      <w:pPr>
        <w:pStyle w:val="BodyText"/>
      </w:pPr>
    </w:p>
    <w:p w14:paraId="245EC6CE" w14:textId="77777777" w:rsidR="006C14B1" w:rsidRDefault="005C7B88">
      <w:pPr>
        <w:pStyle w:val="Heading2"/>
        <w:numPr>
          <w:ilvl w:val="0"/>
          <w:numId w:val="1"/>
        </w:numPr>
        <w:tabs>
          <w:tab w:val="left" w:pos="479"/>
        </w:tabs>
        <w:ind w:left="479" w:hanging="359"/>
      </w:pPr>
      <w:bookmarkStart w:id="23" w:name="_TOC_250003"/>
      <w:r>
        <w:t>NSPS</w:t>
      </w:r>
      <w:r>
        <w:rPr>
          <w:spacing w:val="1"/>
        </w:rPr>
        <w:t xml:space="preserve"> </w:t>
      </w:r>
      <w:bookmarkEnd w:id="23"/>
      <w:r>
        <w:rPr>
          <w:spacing w:val="-2"/>
        </w:rPr>
        <w:t>Standards</w:t>
      </w:r>
    </w:p>
    <w:p w14:paraId="245EC6CF" w14:textId="77777777" w:rsidR="006C14B1" w:rsidRDefault="006C14B1">
      <w:pPr>
        <w:pStyle w:val="BodyText"/>
        <w:spacing w:before="9"/>
        <w:rPr>
          <w:b/>
          <w:sz w:val="23"/>
        </w:rPr>
      </w:pPr>
    </w:p>
    <w:p w14:paraId="245EC6D0" w14:textId="5F1F5F17" w:rsidR="006C14B1" w:rsidRDefault="005C7B88">
      <w:pPr>
        <w:pStyle w:val="BodyText"/>
        <w:ind w:left="480" w:right="312"/>
      </w:pPr>
      <w:r>
        <w:t xml:space="preserve">40 CFR 60, Subpart </w:t>
      </w:r>
      <w:proofErr w:type="spellStart"/>
      <w:r>
        <w:t>Kb</w:t>
      </w:r>
      <w:proofErr w:type="spellEnd"/>
      <w:r>
        <w:t xml:space="preserve"> would have applied to the Transmix Tank that was included in Operating Permit #OP2946-04.</w:t>
      </w:r>
      <w:r>
        <w:rPr>
          <w:spacing w:val="40"/>
        </w:rPr>
        <w:t xml:space="preserve"> </w:t>
      </w:r>
      <w:r>
        <w:t xml:space="preserve">However, Phillips notified </w:t>
      </w:r>
      <w:r w:rsidR="00402E8D">
        <w:t>DEQ</w:t>
      </w:r>
      <w:r>
        <w:t xml:space="preserve"> in the application cover letter</w:t>
      </w:r>
      <w:r>
        <w:rPr>
          <w:spacing w:val="-3"/>
        </w:rPr>
        <w:t xml:space="preserve"> </w:t>
      </w:r>
      <w:r>
        <w:t>that</w:t>
      </w:r>
      <w:r>
        <w:rPr>
          <w:spacing w:val="-3"/>
        </w:rPr>
        <w:t xml:space="preserve"> </w:t>
      </w:r>
      <w:r>
        <w:t>this</w:t>
      </w:r>
      <w:r>
        <w:rPr>
          <w:spacing w:val="-6"/>
        </w:rPr>
        <w:t xml:space="preserve"> </w:t>
      </w:r>
      <w:r>
        <w:t>tank</w:t>
      </w:r>
      <w:r>
        <w:rPr>
          <w:spacing w:val="-2"/>
        </w:rPr>
        <w:t xml:space="preserve"> </w:t>
      </w:r>
      <w:r>
        <w:t>has</w:t>
      </w:r>
      <w:r>
        <w:rPr>
          <w:spacing w:val="-6"/>
        </w:rPr>
        <w:t xml:space="preserve"> </w:t>
      </w:r>
      <w:r>
        <w:t>not yet</w:t>
      </w:r>
      <w:r>
        <w:rPr>
          <w:spacing w:val="-3"/>
        </w:rPr>
        <w:t xml:space="preserve"> </w:t>
      </w:r>
      <w:r>
        <w:t>been installed.</w:t>
      </w:r>
      <w:r>
        <w:rPr>
          <w:spacing w:val="40"/>
        </w:rPr>
        <w:t xml:space="preserve"> </w:t>
      </w:r>
      <w:r>
        <w:t>The</w:t>
      </w:r>
      <w:r>
        <w:rPr>
          <w:spacing w:val="-4"/>
        </w:rPr>
        <w:t xml:space="preserve"> </w:t>
      </w:r>
      <w:r>
        <w:t>tank</w:t>
      </w:r>
      <w:r>
        <w:rPr>
          <w:spacing w:val="-2"/>
        </w:rPr>
        <w:t xml:space="preserve"> </w:t>
      </w:r>
      <w:r>
        <w:t>was</w:t>
      </w:r>
      <w:r>
        <w:rPr>
          <w:spacing w:val="-1"/>
        </w:rPr>
        <w:t xml:space="preserve"> </w:t>
      </w:r>
      <w:r>
        <w:t>removed</w:t>
      </w:r>
      <w:r>
        <w:rPr>
          <w:spacing w:val="-1"/>
        </w:rPr>
        <w:t xml:space="preserve"> </w:t>
      </w:r>
      <w:r>
        <w:t>from</w:t>
      </w:r>
      <w:r>
        <w:rPr>
          <w:spacing w:val="-3"/>
        </w:rPr>
        <w:t xml:space="preserve"> </w:t>
      </w:r>
      <w:r>
        <w:t>the</w:t>
      </w:r>
      <w:r>
        <w:rPr>
          <w:spacing w:val="-4"/>
        </w:rPr>
        <w:t xml:space="preserve"> </w:t>
      </w:r>
      <w:r>
        <w:t>MAQP</w:t>
      </w:r>
      <w:r>
        <w:rPr>
          <w:spacing w:val="-1"/>
        </w:rPr>
        <w:t xml:space="preserve"> </w:t>
      </w:r>
      <w:r>
        <w:t xml:space="preserve">as the 3-year </w:t>
      </w:r>
      <w:proofErr w:type="gramStart"/>
      <w:r>
        <w:t>time period</w:t>
      </w:r>
      <w:proofErr w:type="gramEnd"/>
      <w:r>
        <w:t xml:space="preserve"> since the addition was permitted had lapsed.</w:t>
      </w:r>
    </w:p>
    <w:p w14:paraId="245EC6D1" w14:textId="77777777" w:rsidR="006C14B1" w:rsidRDefault="006C14B1">
      <w:pPr>
        <w:pStyle w:val="BodyText"/>
        <w:spacing w:before="3"/>
      </w:pPr>
    </w:p>
    <w:p w14:paraId="245EC6D2" w14:textId="19CC6C22" w:rsidR="006C14B1" w:rsidRDefault="005C7B88">
      <w:pPr>
        <w:pStyle w:val="BodyText"/>
        <w:ind w:left="480" w:right="312"/>
      </w:pPr>
      <w:r>
        <w:t>On August 13,</w:t>
      </w:r>
      <w:r>
        <w:rPr>
          <w:spacing w:val="-1"/>
        </w:rPr>
        <w:t xml:space="preserve"> </w:t>
      </w:r>
      <w:r>
        <w:t>2013,</w:t>
      </w:r>
      <w:r>
        <w:rPr>
          <w:spacing w:val="-1"/>
        </w:rPr>
        <w:t xml:space="preserve"> </w:t>
      </w:r>
      <w:r>
        <w:t>Phillips</w:t>
      </w:r>
      <w:r>
        <w:rPr>
          <w:spacing w:val="-2"/>
        </w:rPr>
        <w:t xml:space="preserve"> </w:t>
      </w:r>
      <w:r>
        <w:t>notified</w:t>
      </w:r>
      <w:r>
        <w:rPr>
          <w:spacing w:val="-1"/>
        </w:rPr>
        <w:t xml:space="preserve"> </w:t>
      </w:r>
      <w:r w:rsidR="00402E8D">
        <w:t>DEQ</w:t>
      </w:r>
      <w:r>
        <w:rPr>
          <w:spacing w:val="-4"/>
        </w:rPr>
        <w:t xml:space="preserve"> </w:t>
      </w:r>
      <w:r>
        <w:t>of</w:t>
      </w:r>
      <w:r>
        <w:rPr>
          <w:spacing w:val="-7"/>
        </w:rPr>
        <w:t xml:space="preserve"> </w:t>
      </w:r>
      <w:r>
        <w:t>the</w:t>
      </w:r>
      <w:r>
        <w:rPr>
          <w:spacing w:val="-5"/>
        </w:rPr>
        <w:t xml:space="preserve"> </w:t>
      </w:r>
      <w:r>
        <w:t>construction</w:t>
      </w:r>
      <w:r>
        <w:rPr>
          <w:spacing w:val="-4"/>
        </w:rPr>
        <w:t xml:space="preserve"> </w:t>
      </w:r>
      <w:r>
        <w:t>of</w:t>
      </w:r>
      <w:r>
        <w:rPr>
          <w:spacing w:val="-7"/>
        </w:rPr>
        <w:t xml:space="preserve"> </w:t>
      </w:r>
      <w:r>
        <w:t>a</w:t>
      </w:r>
      <w:r>
        <w:rPr>
          <w:spacing w:val="-3"/>
        </w:rPr>
        <w:t xml:space="preserve"> </w:t>
      </w:r>
      <w:r>
        <w:t>new</w:t>
      </w:r>
      <w:r>
        <w:rPr>
          <w:spacing w:val="-7"/>
        </w:rPr>
        <w:t xml:space="preserve"> </w:t>
      </w:r>
      <w:r>
        <w:t>252,000- gallon tank to store denatured ethanol.</w:t>
      </w:r>
      <w:r>
        <w:rPr>
          <w:spacing w:val="40"/>
        </w:rPr>
        <w:t xml:space="preserve"> </w:t>
      </w:r>
      <w:r>
        <w:t xml:space="preserve">Tank 96 was constructed in 2013, has a capacity of greater than472 barrels and stores a volatile organic compound with a true vapor pressure greater than 3.5 kPa, so the tank is subject to 40 CFR 60 Subpart </w:t>
      </w:r>
      <w:proofErr w:type="spellStart"/>
      <w:r>
        <w:t>Kb</w:t>
      </w:r>
      <w:proofErr w:type="spellEnd"/>
      <w:r>
        <w:t>.</w:t>
      </w:r>
    </w:p>
    <w:p w14:paraId="245EC6D3" w14:textId="77777777" w:rsidR="006C14B1" w:rsidRDefault="006C14B1">
      <w:pPr>
        <w:pStyle w:val="BodyText"/>
        <w:spacing w:before="10"/>
        <w:rPr>
          <w:sz w:val="23"/>
        </w:rPr>
      </w:pPr>
    </w:p>
    <w:p w14:paraId="245EC6D4" w14:textId="5929DD58" w:rsidR="006C14B1" w:rsidRDefault="005C7B88">
      <w:pPr>
        <w:pStyle w:val="BodyText"/>
        <w:ind w:left="480" w:right="584"/>
        <w:jc w:val="both"/>
      </w:pPr>
      <w:r>
        <w:t>As</w:t>
      </w:r>
      <w:r>
        <w:rPr>
          <w:spacing w:val="-2"/>
        </w:rPr>
        <w:t xml:space="preserve"> </w:t>
      </w:r>
      <w:r>
        <w:t>of</w:t>
      </w:r>
      <w:r>
        <w:rPr>
          <w:spacing w:val="-6"/>
        </w:rPr>
        <w:t xml:space="preserve"> </w:t>
      </w:r>
      <w:r>
        <w:t>the</w:t>
      </w:r>
      <w:r>
        <w:rPr>
          <w:spacing w:val="-5"/>
        </w:rPr>
        <w:t xml:space="preserve"> </w:t>
      </w:r>
      <w:r>
        <w:t>issuance</w:t>
      </w:r>
      <w:r>
        <w:rPr>
          <w:spacing w:val="-5"/>
        </w:rPr>
        <w:t xml:space="preserve"> </w:t>
      </w:r>
      <w:r>
        <w:t>date</w:t>
      </w:r>
      <w:r>
        <w:rPr>
          <w:spacing w:val="-6"/>
        </w:rPr>
        <w:t xml:space="preserve"> </w:t>
      </w:r>
      <w:r>
        <w:t>of</w:t>
      </w:r>
      <w:r>
        <w:rPr>
          <w:spacing w:val="-2"/>
        </w:rPr>
        <w:t xml:space="preserve"> </w:t>
      </w:r>
      <w:r>
        <w:t>Operating</w:t>
      </w:r>
      <w:r>
        <w:rPr>
          <w:spacing w:val="-3"/>
        </w:rPr>
        <w:t xml:space="preserve"> </w:t>
      </w:r>
      <w:r>
        <w:t>Permit</w:t>
      </w:r>
      <w:r>
        <w:rPr>
          <w:spacing w:val="-4"/>
        </w:rPr>
        <w:t xml:space="preserve"> </w:t>
      </w:r>
      <w:r>
        <w:t>#OP2946-12,</w:t>
      </w:r>
      <w:r>
        <w:rPr>
          <w:spacing w:val="-1"/>
        </w:rPr>
        <w:t xml:space="preserve"> </w:t>
      </w:r>
      <w:r w:rsidR="00402E8D">
        <w:t>DEQ</w:t>
      </w:r>
      <w:r>
        <w:t xml:space="preserve"> is</w:t>
      </w:r>
      <w:r>
        <w:rPr>
          <w:spacing w:val="-6"/>
        </w:rPr>
        <w:t xml:space="preserve"> </w:t>
      </w:r>
      <w:r>
        <w:t>unaware</w:t>
      </w:r>
      <w:r>
        <w:rPr>
          <w:spacing w:val="-5"/>
        </w:rPr>
        <w:t xml:space="preserve"> </w:t>
      </w:r>
      <w:r>
        <w:t>of</w:t>
      </w:r>
      <w:r>
        <w:rPr>
          <w:spacing w:val="-2"/>
        </w:rPr>
        <w:t xml:space="preserve"> </w:t>
      </w:r>
      <w:r>
        <w:t>any proposed or pending NSPS standards that may be promulgated that will affect this facility.</w:t>
      </w:r>
    </w:p>
    <w:p w14:paraId="245EC6D5" w14:textId="77777777" w:rsidR="006C14B1" w:rsidRDefault="006C14B1">
      <w:pPr>
        <w:pStyle w:val="BodyText"/>
        <w:spacing w:before="1"/>
      </w:pPr>
    </w:p>
    <w:p w14:paraId="245EC6D6" w14:textId="77777777" w:rsidR="006C14B1" w:rsidRDefault="005C7B88">
      <w:pPr>
        <w:pStyle w:val="Heading2"/>
        <w:numPr>
          <w:ilvl w:val="0"/>
          <w:numId w:val="1"/>
        </w:numPr>
        <w:tabs>
          <w:tab w:val="left" w:pos="479"/>
        </w:tabs>
        <w:spacing w:before="1"/>
        <w:ind w:left="479" w:hanging="359"/>
      </w:pPr>
      <w:bookmarkStart w:id="24" w:name="_TOC_250002"/>
      <w:r>
        <w:t>Risk</w:t>
      </w:r>
      <w:r>
        <w:rPr>
          <w:spacing w:val="-4"/>
        </w:rPr>
        <w:t xml:space="preserve"> </w:t>
      </w:r>
      <w:r>
        <w:t>Management</w:t>
      </w:r>
      <w:r>
        <w:rPr>
          <w:spacing w:val="-1"/>
        </w:rPr>
        <w:t xml:space="preserve"> </w:t>
      </w:r>
      <w:bookmarkEnd w:id="24"/>
      <w:r>
        <w:rPr>
          <w:spacing w:val="-4"/>
        </w:rPr>
        <w:t>Plan</w:t>
      </w:r>
    </w:p>
    <w:p w14:paraId="245EC6D7" w14:textId="77777777" w:rsidR="006C14B1" w:rsidRDefault="006C14B1">
      <w:pPr>
        <w:pStyle w:val="BodyText"/>
        <w:spacing w:before="8"/>
        <w:rPr>
          <w:b/>
          <w:sz w:val="23"/>
        </w:rPr>
      </w:pPr>
    </w:p>
    <w:p w14:paraId="245EC6D8" w14:textId="229C0BB8" w:rsidR="006C14B1" w:rsidRDefault="005C7B88">
      <w:pPr>
        <w:pStyle w:val="BodyText"/>
        <w:spacing w:before="1"/>
        <w:ind w:left="480" w:right="318"/>
      </w:pPr>
      <w:r>
        <w:t xml:space="preserve">As of the issuance date of Operating Permit #OP2946-12, </w:t>
      </w:r>
      <w:r w:rsidR="00402E8D">
        <w:t>DEQ</w:t>
      </w:r>
      <w:r>
        <w:t xml:space="preserve"> is unaware of any regulated substance listed in 40 CFR 68.115 which exceeds the minimum threshold quantities for</w:t>
      </w:r>
      <w:r>
        <w:rPr>
          <w:spacing w:val="-1"/>
        </w:rPr>
        <w:t xml:space="preserve"> </w:t>
      </w:r>
      <w:r>
        <w:t>any</w:t>
      </w:r>
      <w:r>
        <w:rPr>
          <w:spacing w:val="-1"/>
        </w:rPr>
        <w:t xml:space="preserve"> </w:t>
      </w:r>
      <w:r>
        <w:t>facility</w:t>
      </w:r>
      <w:r>
        <w:rPr>
          <w:spacing w:val="-1"/>
        </w:rPr>
        <w:t xml:space="preserve"> </w:t>
      </w:r>
      <w:r>
        <w:t>process.</w:t>
      </w:r>
      <w:r>
        <w:rPr>
          <w:spacing w:val="40"/>
        </w:rPr>
        <w:t xml:space="preserve"> </w:t>
      </w:r>
      <w:r>
        <w:t>Consequently,</w:t>
      </w:r>
      <w:r>
        <w:rPr>
          <w:spacing w:val="-7"/>
        </w:rPr>
        <w:t xml:space="preserve"> </w:t>
      </w:r>
      <w:r>
        <w:t>this</w:t>
      </w:r>
      <w:r>
        <w:rPr>
          <w:spacing w:val="-3"/>
        </w:rPr>
        <w:t xml:space="preserve"> </w:t>
      </w:r>
      <w:r>
        <w:t>facility</w:t>
      </w:r>
      <w:r>
        <w:rPr>
          <w:spacing w:val="-1"/>
        </w:rPr>
        <w:t xml:space="preserve"> </w:t>
      </w:r>
      <w:r>
        <w:t>is</w:t>
      </w:r>
      <w:r>
        <w:rPr>
          <w:spacing w:val="-3"/>
        </w:rPr>
        <w:t xml:space="preserve"> </w:t>
      </w:r>
      <w:r>
        <w:t>not</w:t>
      </w:r>
      <w:r>
        <w:rPr>
          <w:spacing w:val="-5"/>
        </w:rPr>
        <w:t xml:space="preserve"> </w:t>
      </w:r>
      <w:r>
        <w:t>required</w:t>
      </w:r>
      <w:r>
        <w:rPr>
          <w:spacing w:val="-2"/>
        </w:rPr>
        <w:t xml:space="preserve"> </w:t>
      </w:r>
      <w:r>
        <w:t>to submit a</w:t>
      </w:r>
      <w:r>
        <w:rPr>
          <w:spacing w:val="-4"/>
        </w:rPr>
        <w:t xml:space="preserve"> </w:t>
      </w:r>
      <w:r>
        <w:t>Risk</w:t>
      </w:r>
      <w:r>
        <w:rPr>
          <w:spacing w:val="-4"/>
        </w:rPr>
        <w:t xml:space="preserve"> </w:t>
      </w:r>
      <w:r>
        <w:t xml:space="preserve">Management </w:t>
      </w:r>
      <w:r>
        <w:rPr>
          <w:spacing w:val="-2"/>
        </w:rPr>
        <w:t>Plan.</w:t>
      </w:r>
    </w:p>
    <w:p w14:paraId="245EC6D9" w14:textId="77777777" w:rsidR="006C14B1" w:rsidRDefault="006C14B1">
      <w:pPr>
        <w:sectPr w:rsidR="006C14B1">
          <w:pgSz w:w="12240" w:h="15840"/>
          <w:pgMar w:top="1080" w:right="1200" w:bottom="1320" w:left="1320" w:header="0" w:footer="1073" w:gutter="0"/>
          <w:cols w:space="720"/>
        </w:sectPr>
      </w:pPr>
    </w:p>
    <w:p w14:paraId="245EC6DA" w14:textId="77777777" w:rsidR="006C14B1" w:rsidRDefault="005C7B88">
      <w:pPr>
        <w:pStyle w:val="BodyText"/>
        <w:spacing w:before="71"/>
        <w:ind w:left="480" w:right="264"/>
      </w:pPr>
      <w:r>
        <w:lastRenderedPageBreak/>
        <w:t>If a facility has more than a threshold quantity of a regulated substance in a process, the facility must</w:t>
      </w:r>
      <w:r>
        <w:rPr>
          <w:spacing w:val="-3"/>
        </w:rPr>
        <w:t xml:space="preserve"> </w:t>
      </w:r>
      <w:r>
        <w:t>comply</w:t>
      </w:r>
      <w:r>
        <w:rPr>
          <w:spacing w:val="-4"/>
        </w:rPr>
        <w:t xml:space="preserve"> </w:t>
      </w:r>
      <w:r>
        <w:t>with 40</w:t>
      </w:r>
      <w:r>
        <w:rPr>
          <w:spacing w:val="-2"/>
        </w:rPr>
        <w:t xml:space="preserve"> </w:t>
      </w:r>
      <w:r>
        <w:t>CFR</w:t>
      </w:r>
      <w:r>
        <w:rPr>
          <w:spacing w:val="-1"/>
        </w:rPr>
        <w:t xml:space="preserve"> </w:t>
      </w:r>
      <w:r>
        <w:t>68</w:t>
      </w:r>
      <w:r>
        <w:rPr>
          <w:spacing w:val="-2"/>
        </w:rPr>
        <w:t xml:space="preserve"> </w:t>
      </w:r>
      <w:r>
        <w:t>requirements</w:t>
      </w:r>
      <w:r>
        <w:rPr>
          <w:spacing w:val="-6"/>
        </w:rPr>
        <w:t xml:space="preserve"> </w:t>
      </w:r>
      <w:r>
        <w:t>no</w:t>
      </w:r>
      <w:r>
        <w:rPr>
          <w:spacing w:val="-3"/>
        </w:rPr>
        <w:t xml:space="preserve"> </w:t>
      </w:r>
      <w:r>
        <w:t>later</w:t>
      </w:r>
      <w:r>
        <w:rPr>
          <w:spacing w:val="-3"/>
        </w:rPr>
        <w:t xml:space="preserve"> </w:t>
      </w:r>
      <w:r>
        <w:t>than</w:t>
      </w:r>
      <w:r>
        <w:rPr>
          <w:spacing w:val="-3"/>
        </w:rPr>
        <w:t xml:space="preserve"> </w:t>
      </w:r>
      <w:r>
        <w:t>June 21, 1999; 3</w:t>
      </w:r>
      <w:r>
        <w:rPr>
          <w:spacing w:val="-2"/>
        </w:rPr>
        <w:t xml:space="preserve"> </w:t>
      </w:r>
      <w:r>
        <w:t>years</w:t>
      </w:r>
      <w:r>
        <w:rPr>
          <w:spacing w:val="-1"/>
        </w:rPr>
        <w:t xml:space="preserve"> </w:t>
      </w:r>
      <w:r>
        <w:t>after</w:t>
      </w:r>
      <w:r>
        <w:rPr>
          <w:spacing w:val="-3"/>
        </w:rPr>
        <w:t xml:space="preserve"> </w:t>
      </w:r>
      <w:r>
        <w:t>the date</w:t>
      </w:r>
      <w:r>
        <w:rPr>
          <w:spacing w:val="-4"/>
        </w:rPr>
        <w:t xml:space="preserve"> </w:t>
      </w:r>
      <w:r>
        <w:t>on which a</w:t>
      </w:r>
      <w:r>
        <w:rPr>
          <w:spacing w:val="-3"/>
        </w:rPr>
        <w:t xml:space="preserve"> </w:t>
      </w:r>
      <w:r>
        <w:t>regulated</w:t>
      </w:r>
      <w:r>
        <w:rPr>
          <w:spacing w:val="-1"/>
        </w:rPr>
        <w:t xml:space="preserve"> </w:t>
      </w:r>
      <w:r>
        <w:t>substance</w:t>
      </w:r>
      <w:r>
        <w:rPr>
          <w:spacing w:val="-1"/>
        </w:rPr>
        <w:t xml:space="preserve"> </w:t>
      </w:r>
      <w:r>
        <w:t>is</w:t>
      </w:r>
      <w:r>
        <w:rPr>
          <w:spacing w:val="-2"/>
        </w:rPr>
        <w:t xml:space="preserve"> </w:t>
      </w:r>
      <w:r>
        <w:t>first listed</w:t>
      </w:r>
      <w:r>
        <w:rPr>
          <w:spacing w:val="-6"/>
        </w:rPr>
        <w:t xml:space="preserve"> </w:t>
      </w:r>
      <w:r>
        <w:t>under</w:t>
      </w:r>
      <w:r>
        <w:rPr>
          <w:spacing w:val="-1"/>
        </w:rPr>
        <w:t xml:space="preserve"> </w:t>
      </w:r>
      <w:r>
        <w:t>40</w:t>
      </w:r>
      <w:r>
        <w:rPr>
          <w:spacing w:val="-3"/>
        </w:rPr>
        <w:t xml:space="preserve"> </w:t>
      </w:r>
      <w:r>
        <w:t>CFR</w:t>
      </w:r>
      <w:r>
        <w:rPr>
          <w:spacing w:val="-2"/>
        </w:rPr>
        <w:t xml:space="preserve"> </w:t>
      </w:r>
      <w:r>
        <w:t>68.130;</w:t>
      </w:r>
      <w:r>
        <w:rPr>
          <w:spacing w:val="-1"/>
        </w:rPr>
        <w:t xml:space="preserve"> </w:t>
      </w:r>
      <w:r>
        <w:t>or</w:t>
      </w:r>
      <w:r>
        <w:rPr>
          <w:spacing w:val="-1"/>
        </w:rPr>
        <w:t xml:space="preserve"> </w:t>
      </w:r>
      <w:r>
        <w:t>the</w:t>
      </w:r>
      <w:r>
        <w:rPr>
          <w:spacing w:val="-5"/>
        </w:rPr>
        <w:t xml:space="preserve"> </w:t>
      </w:r>
      <w:r>
        <w:t>date</w:t>
      </w:r>
      <w:r>
        <w:rPr>
          <w:spacing w:val="-5"/>
        </w:rPr>
        <w:t xml:space="preserve"> </w:t>
      </w:r>
      <w:r>
        <w:t>on</w:t>
      </w:r>
      <w:r>
        <w:rPr>
          <w:spacing w:val="-4"/>
        </w:rPr>
        <w:t xml:space="preserve"> </w:t>
      </w:r>
      <w:r>
        <w:t>which</w:t>
      </w:r>
      <w:r>
        <w:rPr>
          <w:spacing w:val="-4"/>
        </w:rPr>
        <w:t xml:space="preserve"> </w:t>
      </w:r>
      <w:r>
        <w:t>a</w:t>
      </w:r>
      <w:r>
        <w:rPr>
          <w:spacing w:val="-3"/>
        </w:rPr>
        <w:t xml:space="preserve"> </w:t>
      </w:r>
      <w:r>
        <w:t>regulated substance is first present in more than a threshold quantity in a process, whichever is later.</w:t>
      </w:r>
    </w:p>
    <w:p w14:paraId="245EC6DB" w14:textId="77777777" w:rsidR="006C14B1" w:rsidRDefault="006C14B1">
      <w:pPr>
        <w:pStyle w:val="BodyText"/>
        <w:spacing w:before="10"/>
        <w:rPr>
          <w:sz w:val="23"/>
        </w:rPr>
      </w:pPr>
    </w:p>
    <w:p w14:paraId="245EC6DC" w14:textId="77777777" w:rsidR="006C14B1" w:rsidRDefault="005C7B88">
      <w:pPr>
        <w:pStyle w:val="Heading2"/>
        <w:numPr>
          <w:ilvl w:val="0"/>
          <w:numId w:val="1"/>
        </w:numPr>
        <w:tabs>
          <w:tab w:val="left" w:pos="478"/>
        </w:tabs>
        <w:ind w:left="478" w:hanging="358"/>
      </w:pPr>
      <w:bookmarkStart w:id="25" w:name="_TOC_250001"/>
      <w:r>
        <w:t>CAM</w:t>
      </w:r>
      <w:r>
        <w:rPr>
          <w:spacing w:val="3"/>
        </w:rPr>
        <w:t xml:space="preserve"> </w:t>
      </w:r>
      <w:bookmarkEnd w:id="25"/>
      <w:r>
        <w:rPr>
          <w:spacing w:val="-2"/>
        </w:rPr>
        <w:t>Applicability</w:t>
      </w:r>
    </w:p>
    <w:p w14:paraId="245EC6DD" w14:textId="77777777" w:rsidR="006C14B1" w:rsidRDefault="006C14B1">
      <w:pPr>
        <w:pStyle w:val="BodyText"/>
        <w:spacing w:before="3"/>
        <w:rPr>
          <w:b/>
        </w:rPr>
      </w:pPr>
    </w:p>
    <w:p w14:paraId="245EC6DE" w14:textId="77777777" w:rsidR="006C14B1" w:rsidRDefault="005C7B88">
      <w:pPr>
        <w:pStyle w:val="BodyText"/>
        <w:ind w:left="480" w:right="312"/>
      </w:pPr>
      <w:r>
        <w:t>An emitting</w:t>
      </w:r>
      <w:r>
        <w:rPr>
          <w:spacing w:val="-8"/>
        </w:rPr>
        <w:t xml:space="preserve"> </w:t>
      </w:r>
      <w:r>
        <w:t>unit</w:t>
      </w:r>
      <w:r>
        <w:rPr>
          <w:spacing w:val="-4"/>
        </w:rPr>
        <w:t xml:space="preserve"> </w:t>
      </w:r>
      <w:r>
        <w:t>located</w:t>
      </w:r>
      <w:r>
        <w:rPr>
          <w:spacing w:val="-6"/>
        </w:rPr>
        <w:t xml:space="preserve"> </w:t>
      </w:r>
      <w:r>
        <w:t>at a</w:t>
      </w:r>
      <w:r>
        <w:rPr>
          <w:spacing w:val="-7"/>
        </w:rPr>
        <w:t xml:space="preserve"> </w:t>
      </w:r>
      <w:r>
        <w:t>Title</w:t>
      </w:r>
      <w:r>
        <w:rPr>
          <w:spacing w:val="-1"/>
        </w:rPr>
        <w:t xml:space="preserve"> </w:t>
      </w:r>
      <w:r>
        <w:t>V</w:t>
      </w:r>
      <w:r>
        <w:rPr>
          <w:spacing w:val="-5"/>
        </w:rPr>
        <w:t xml:space="preserve"> </w:t>
      </w:r>
      <w:r>
        <w:t>facility</w:t>
      </w:r>
      <w:r>
        <w:rPr>
          <w:spacing w:val="-1"/>
        </w:rPr>
        <w:t xml:space="preserve"> </w:t>
      </w:r>
      <w:r>
        <w:t>that</w:t>
      </w:r>
      <w:r>
        <w:rPr>
          <w:spacing w:val="-4"/>
        </w:rPr>
        <w:t xml:space="preserve"> </w:t>
      </w:r>
      <w:r>
        <w:t>meets</w:t>
      </w:r>
      <w:r>
        <w:rPr>
          <w:spacing w:val="-2"/>
        </w:rPr>
        <w:t xml:space="preserve"> </w:t>
      </w:r>
      <w:r>
        <w:t>the</w:t>
      </w:r>
      <w:r>
        <w:rPr>
          <w:spacing w:val="-1"/>
        </w:rPr>
        <w:t xml:space="preserve"> </w:t>
      </w:r>
      <w:r>
        <w:t>following</w:t>
      </w:r>
      <w:r>
        <w:rPr>
          <w:spacing w:val="-3"/>
        </w:rPr>
        <w:t xml:space="preserve"> </w:t>
      </w:r>
      <w:r>
        <w:t>criteria</w:t>
      </w:r>
      <w:r>
        <w:rPr>
          <w:spacing w:val="-3"/>
        </w:rPr>
        <w:t xml:space="preserve"> </w:t>
      </w:r>
      <w:r>
        <w:t>listed</w:t>
      </w:r>
      <w:r>
        <w:rPr>
          <w:spacing w:val="-1"/>
        </w:rPr>
        <w:t xml:space="preserve"> </w:t>
      </w:r>
      <w:r>
        <w:t>in ARM 17.8.1503 is subject to Subchapter 15 and must develop a CAM Plan for that unit:</w:t>
      </w:r>
    </w:p>
    <w:p w14:paraId="245EC6DF" w14:textId="77777777" w:rsidR="006C14B1" w:rsidRDefault="006C14B1">
      <w:pPr>
        <w:pStyle w:val="BodyText"/>
      </w:pPr>
    </w:p>
    <w:p w14:paraId="245EC6E0" w14:textId="77777777" w:rsidR="006C14B1" w:rsidRDefault="005C7B88">
      <w:pPr>
        <w:pStyle w:val="ListParagraph"/>
        <w:numPr>
          <w:ilvl w:val="1"/>
          <w:numId w:val="1"/>
        </w:numPr>
        <w:tabs>
          <w:tab w:val="left" w:pos="840"/>
        </w:tabs>
        <w:ind w:right="287"/>
        <w:rPr>
          <w:sz w:val="24"/>
        </w:rPr>
      </w:pPr>
      <w:r>
        <w:rPr>
          <w:sz w:val="24"/>
        </w:rPr>
        <w:t>The</w:t>
      </w:r>
      <w:r>
        <w:rPr>
          <w:spacing w:val="-5"/>
          <w:sz w:val="24"/>
        </w:rPr>
        <w:t xml:space="preserve"> </w:t>
      </w:r>
      <w:r>
        <w:rPr>
          <w:sz w:val="24"/>
        </w:rPr>
        <w:t>emitting</w:t>
      </w:r>
      <w:r>
        <w:rPr>
          <w:spacing w:val="-3"/>
          <w:sz w:val="24"/>
        </w:rPr>
        <w:t xml:space="preserve"> </w:t>
      </w:r>
      <w:r>
        <w:rPr>
          <w:sz w:val="24"/>
        </w:rPr>
        <w:t>unit is</w:t>
      </w:r>
      <w:r>
        <w:rPr>
          <w:spacing w:val="-2"/>
          <w:sz w:val="24"/>
        </w:rPr>
        <w:t xml:space="preserve"> </w:t>
      </w:r>
      <w:r>
        <w:rPr>
          <w:sz w:val="24"/>
        </w:rPr>
        <w:t>subject</w:t>
      </w:r>
      <w:r>
        <w:rPr>
          <w:spacing w:val="-4"/>
          <w:sz w:val="24"/>
        </w:rPr>
        <w:t xml:space="preserve"> </w:t>
      </w:r>
      <w:r>
        <w:rPr>
          <w:sz w:val="24"/>
        </w:rPr>
        <w:t>to</w:t>
      </w:r>
      <w:r>
        <w:rPr>
          <w:spacing w:val="-4"/>
          <w:sz w:val="24"/>
        </w:rPr>
        <w:t xml:space="preserve"> </w:t>
      </w:r>
      <w:r>
        <w:rPr>
          <w:sz w:val="24"/>
        </w:rPr>
        <w:t>an</w:t>
      </w:r>
      <w:r>
        <w:rPr>
          <w:spacing w:val="-4"/>
          <w:sz w:val="24"/>
        </w:rPr>
        <w:t xml:space="preserve"> </w:t>
      </w:r>
      <w:r>
        <w:rPr>
          <w:sz w:val="24"/>
        </w:rPr>
        <w:t>emission limitation</w:t>
      </w:r>
      <w:r>
        <w:rPr>
          <w:spacing w:val="-4"/>
          <w:sz w:val="24"/>
        </w:rPr>
        <w:t xml:space="preserve"> </w:t>
      </w:r>
      <w:r>
        <w:rPr>
          <w:sz w:val="24"/>
        </w:rPr>
        <w:t>or</w:t>
      </w:r>
      <w:r>
        <w:rPr>
          <w:spacing w:val="-4"/>
          <w:sz w:val="24"/>
        </w:rPr>
        <w:t xml:space="preserve"> </w:t>
      </w:r>
      <w:r>
        <w:rPr>
          <w:sz w:val="24"/>
        </w:rPr>
        <w:t>standard</w:t>
      </w:r>
      <w:r>
        <w:rPr>
          <w:spacing w:val="-6"/>
          <w:sz w:val="24"/>
        </w:rPr>
        <w:t xml:space="preserve"> </w:t>
      </w:r>
      <w:r>
        <w:rPr>
          <w:sz w:val="24"/>
        </w:rPr>
        <w:t>for</w:t>
      </w:r>
      <w:r>
        <w:rPr>
          <w:spacing w:val="-4"/>
          <w:sz w:val="24"/>
        </w:rPr>
        <w:t xml:space="preserve"> </w:t>
      </w:r>
      <w:r>
        <w:rPr>
          <w:sz w:val="24"/>
        </w:rPr>
        <w:t>the</w:t>
      </w:r>
      <w:r>
        <w:rPr>
          <w:spacing w:val="-5"/>
          <w:sz w:val="24"/>
        </w:rPr>
        <w:t xml:space="preserve"> </w:t>
      </w:r>
      <w:r>
        <w:rPr>
          <w:sz w:val="24"/>
        </w:rPr>
        <w:t>applicable</w:t>
      </w:r>
      <w:r>
        <w:rPr>
          <w:spacing w:val="-1"/>
          <w:sz w:val="24"/>
        </w:rPr>
        <w:t xml:space="preserve"> </w:t>
      </w:r>
      <w:r>
        <w:rPr>
          <w:sz w:val="24"/>
        </w:rPr>
        <w:t>regulated air pollutant (unless the limitation or standard that is exempt under ARM 17.8.1503(2));</w:t>
      </w:r>
    </w:p>
    <w:p w14:paraId="245EC6E1" w14:textId="77777777" w:rsidR="006C14B1" w:rsidRDefault="006C14B1">
      <w:pPr>
        <w:pStyle w:val="BodyText"/>
        <w:spacing w:before="7"/>
        <w:rPr>
          <w:sz w:val="23"/>
        </w:rPr>
      </w:pPr>
    </w:p>
    <w:p w14:paraId="245EC6E2" w14:textId="77777777" w:rsidR="006C14B1" w:rsidRDefault="005C7B88">
      <w:pPr>
        <w:pStyle w:val="ListParagraph"/>
        <w:numPr>
          <w:ilvl w:val="1"/>
          <w:numId w:val="1"/>
        </w:numPr>
        <w:tabs>
          <w:tab w:val="left" w:pos="839"/>
        </w:tabs>
        <w:ind w:left="839" w:hanging="359"/>
        <w:rPr>
          <w:sz w:val="24"/>
        </w:rPr>
      </w:pPr>
      <w:r>
        <w:rPr>
          <w:sz w:val="24"/>
        </w:rPr>
        <w:t>The</w:t>
      </w:r>
      <w:r>
        <w:rPr>
          <w:spacing w:val="-7"/>
          <w:sz w:val="24"/>
        </w:rPr>
        <w:t xml:space="preserve"> </w:t>
      </w:r>
      <w:r>
        <w:rPr>
          <w:sz w:val="24"/>
        </w:rPr>
        <w:t>emitting</w:t>
      </w:r>
      <w:r>
        <w:rPr>
          <w:spacing w:val="-3"/>
          <w:sz w:val="24"/>
        </w:rPr>
        <w:t xml:space="preserve"> </w:t>
      </w:r>
      <w:r>
        <w:rPr>
          <w:sz w:val="24"/>
        </w:rPr>
        <w:t>unit</w:t>
      </w:r>
      <w:r>
        <w:rPr>
          <w:spacing w:val="-3"/>
          <w:sz w:val="24"/>
        </w:rPr>
        <w:t xml:space="preserve"> </w:t>
      </w:r>
      <w:r>
        <w:rPr>
          <w:sz w:val="24"/>
        </w:rPr>
        <w:t>uses</w:t>
      </w:r>
      <w:r>
        <w:rPr>
          <w:spacing w:val="-2"/>
          <w:sz w:val="24"/>
        </w:rPr>
        <w:t xml:space="preserve"> </w:t>
      </w:r>
      <w:r>
        <w:rPr>
          <w:sz w:val="24"/>
        </w:rPr>
        <w:t>a</w:t>
      </w:r>
      <w:r>
        <w:rPr>
          <w:spacing w:val="-3"/>
          <w:sz w:val="24"/>
        </w:rPr>
        <w:t xml:space="preserve"> </w:t>
      </w:r>
      <w:r>
        <w:rPr>
          <w:sz w:val="24"/>
        </w:rPr>
        <w:t>control</w:t>
      </w:r>
      <w:r>
        <w:rPr>
          <w:spacing w:val="-7"/>
          <w:sz w:val="24"/>
        </w:rPr>
        <w:t xml:space="preserve"> </w:t>
      </w:r>
      <w:r>
        <w:rPr>
          <w:sz w:val="24"/>
        </w:rPr>
        <w:t>device to</w:t>
      </w:r>
      <w:r>
        <w:rPr>
          <w:spacing w:val="1"/>
          <w:sz w:val="24"/>
        </w:rPr>
        <w:t xml:space="preserve"> </w:t>
      </w:r>
      <w:r>
        <w:rPr>
          <w:sz w:val="24"/>
        </w:rPr>
        <w:t>achieve</w:t>
      </w:r>
      <w:r>
        <w:rPr>
          <w:spacing w:val="-4"/>
          <w:sz w:val="24"/>
        </w:rPr>
        <w:t xml:space="preserve"> </w:t>
      </w:r>
      <w:r>
        <w:rPr>
          <w:sz w:val="24"/>
        </w:rPr>
        <w:t>compliance with</w:t>
      </w:r>
      <w:r>
        <w:rPr>
          <w:spacing w:val="-4"/>
          <w:sz w:val="24"/>
        </w:rPr>
        <w:t xml:space="preserve"> </w:t>
      </w:r>
      <w:r>
        <w:rPr>
          <w:sz w:val="24"/>
        </w:rPr>
        <w:t>such</w:t>
      </w:r>
      <w:r>
        <w:rPr>
          <w:spacing w:val="1"/>
          <w:sz w:val="24"/>
        </w:rPr>
        <w:t xml:space="preserve"> </w:t>
      </w:r>
      <w:r>
        <w:rPr>
          <w:sz w:val="24"/>
        </w:rPr>
        <w:t xml:space="preserve">limit; </w:t>
      </w:r>
      <w:r>
        <w:rPr>
          <w:spacing w:val="-5"/>
          <w:sz w:val="24"/>
        </w:rPr>
        <w:t>and</w:t>
      </w:r>
    </w:p>
    <w:p w14:paraId="245EC6E3" w14:textId="77777777" w:rsidR="006C14B1" w:rsidRDefault="006C14B1">
      <w:pPr>
        <w:pStyle w:val="BodyText"/>
        <w:spacing w:before="1"/>
      </w:pPr>
    </w:p>
    <w:p w14:paraId="245EC6E4" w14:textId="77777777" w:rsidR="006C14B1" w:rsidRDefault="005C7B88">
      <w:pPr>
        <w:pStyle w:val="ListParagraph"/>
        <w:numPr>
          <w:ilvl w:val="1"/>
          <w:numId w:val="1"/>
        </w:numPr>
        <w:tabs>
          <w:tab w:val="left" w:pos="840"/>
        </w:tabs>
        <w:spacing w:line="242" w:lineRule="auto"/>
        <w:ind w:right="587"/>
        <w:rPr>
          <w:sz w:val="24"/>
        </w:rPr>
      </w:pPr>
      <w:r>
        <w:rPr>
          <w:sz w:val="24"/>
        </w:rPr>
        <w:t>The</w:t>
      </w:r>
      <w:r>
        <w:rPr>
          <w:spacing w:val="-6"/>
          <w:sz w:val="24"/>
        </w:rPr>
        <w:t xml:space="preserve"> </w:t>
      </w:r>
      <w:r>
        <w:rPr>
          <w:sz w:val="24"/>
        </w:rPr>
        <w:t>emitting</w:t>
      </w:r>
      <w:r>
        <w:rPr>
          <w:spacing w:val="-4"/>
          <w:sz w:val="24"/>
        </w:rPr>
        <w:t xml:space="preserve"> </w:t>
      </w:r>
      <w:r>
        <w:rPr>
          <w:sz w:val="24"/>
        </w:rPr>
        <w:t>unit</w:t>
      </w:r>
      <w:r>
        <w:rPr>
          <w:spacing w:val="-5"/>
          <w:sz w:val="24"/>
        </w:rPr>
        <w:t xml:space="preserve"> </w:t>
      </w:r>
      <w:r>
        <w:rPr>
          <w:sz w:val="24"/>
        </w:rPr>
        <w:t>has</w:t>
      </w:r>
      <w:r>
        <w:rPr>
          <w:spacing w:val="-3"/>
          <w:sz w:val="24"/>
        </w:rPr>
        <w:t xml:space="preserve"> </w:t>
      </w:r>
      <w:r>
        <w:rPr>
          <w:sz w:val="24"/>
        </w:rPr>
        <w:t>potential</w:t>
      </w:r>
      <w:r>
        <w:rPr>
          <w:spacing w:val="-4"/>
          <w:sz w:val="24"/>
        </w:rPr>
        <w:t xml:space="preserve"> </w:t>
      </w:r>
      <w:r>
        <w:rPr>
          <w:sz w:val="24"/>
        </w:rPr>
        <w:t>pre-control</w:t>
      </w:r>
      <w:r>
        <w:rPr>
          <w:spacing w:val="-4"/>
          <w:sz w:val="24"/>
        </w:rPr>
        <w:t xml:space="preserve"> </w:t>
      </w:r>
      <w:r>
        <w:rPr>
          <w:sz w:val="24"/>
        </w:rPr>
        <w:t>device</w:t>
      </w:r>
      <w:r>
        <w:rPr>
          <w:spacing w:val="-6"/>
          <w:sz w:val="24"/>
        </w:rPr>
        <w:t xml:space="preserve"> </w:t>
      </w:r>
      <w:r>
        <w:rPr>
          <w:sz w:val="24"/>
        </w:rPr>
        <w:t>emission of</w:t>
      </w:r>
      <w:r>
        <w:rPr>
          <w:spacing w:val="-8"/>
          <w:sz w:val="24"/>
        </w:rPr>
        <w:t xml:space="preserve"> </w:t>
      </w:r>
      <w:r>
        <w:rPr>
          <w:sz w:val="24"/>
        </w:rPr>
        <w:t>the</w:t>
      </w:r>
      <w:r>
        <w:rPr>
          <w:spacing w:val="-1"/>
          <w:sz w:val="24"/>
        </w:rPr>
        <w:t xml:space="preserve"> </w:t>
      </w:r>
      <w:r>
        <w:rPr>
          <w:sz w:val="24"/>
        </w:rPr>
        <w:t>applicable</w:t>
      </w:r>
      <w:r>
        <w:rPr>
          <w:spacing w:val="-1"/>
          <w:sz w:val="24"/>
        </w:rPr>
        <w:t xml:space="preserve"> </w:t>
      </w:r>
      <w:r>
        <w:rPr>
          <w:sz w:val="24"/>
        </w:rPr>
        <w:t>regulated</w:t>
      </w:r>
      <w:r>
        <w:rPr>
          <w:spacing w:val="-2"/>
          <w:sz w:val="24"/>
        </w:rPr>
        <w:t xml:space="preserve"> </w:t>
      </w:r>
      <w:r>
        <w:rPr>
          <w:sz w:val="24"/>
        </w:rPr>
        <w:t>air pollutant that is greater than major source thresholds.</w:t>
      </w:r>
    </w:p>
    <w:p w14:paraId="245EC6E5" w14:textId="77777777" w:rsidR="006C14B1" w:rsidRDefault="006C14B1">
      <w:pPr>
        <w:pStyle w:val="BodyText"/>
        <w:spacing w:before="7"/>
        <w:rPr>
          <w:sz w:val="23"/>
        </w:rPr>
      </w:pPr>
    </w:p>
    <w:p w14:paraId="245EC6E6" w14:textId="77777777" w:rsidR="006C14B1" w:rsidRDefault="005C7B88">
      <w:pPr>
        <w:pStyle w:val="BodyText"/>
        <w:ind w:left="480" w:right="241"/>
      </w:pPr>
      <w:r>
        <w:t>Compliance Assurance Monitoring under 40 CFR 64.2 is exempted for facilities that have emission limitations</w:t>
      </w:r>
      <w:r>
        <w:rPr>
          <w:spacing w:val="-7"/>
        </w:rPr>
        <w:t xml:space="preserve"> </w:t>
      </w:r>
      <w:r>
        <w:t>or</w:t>
      </w:r>
      <w:r>
        <w:rPr>
          <w:spacing w:val="-4"/>
        </w:rPr>
        <w:t xml:space="preserve"> </w:t>
      </w:r>
      <w:r>
        <w:t>standards</w:t>
      </w:r>
      <w:r>
        <w:rPr>
          <w:spacing w:val="-7"/>
        </w:rPr>
        <w:t xml:space="preserve"> </w:t>
      </w:r>
      <w:r>
        <w:t>proposed</w:t>
      </w:r>
      <w:r>
        <w:rPr>
          <w:spacing w:val="-6"/>
        </w:rPr>
        <w:t xml:space="preserve"> </w:t>
      </w:r>
      <w:r>
        <w:t>after</w:t>
      </w:r>
      <w:r>
        <w:rPr>
          <w:spacing w:val="-4"/>
        </w:rPr>
        <w:t xml:space="preserve"> </w:t>
      </w:r>
      <w:r>
        <w:t>November</w:t>
      </w:r>
      <w:r>
        <w:rPr>
          <w:spacing w:val="-4"/>
        </w:rPr>
        <w:t xml:space="preserve"> </w:t>
      </w:r>
      <w:r>
        <w:t>15,</w:t>
      </w:r>
      <w:r>
        <w:rPr>
          <w:spacing w:val="-1"/>
        </w:rPr>
        <w:t xml:space="preserve"> </w:t>
      </w:r>
      <w:r>
        <w:t>1990,</w:t>
      </w:r>
      <w:r>
        <w:rPr>
          <w:spacing w:val="-1"/>
        </w:rPr>
        <w:t xml:space="preserve"> </w:t>
      </w:r>
      <w:r>
        <w:t>pursuant</w:t>
      </w:r>
      <w:r>
        <w:rPr>
          <w:spacing w:val="-4"/>
        </w:rPr>
        <w:t xml:space="preserve"> </w:t>
      </w:r>
      <w:r>
        <w:t>to Section 111</w:t>
      </w:r>
      <w:r>
        <w:rPr>
          <w:spacing w:val="-3"/>
        </w:rPr>
        <w:t xml:space="preserve"> </w:t>
      </w:r>
      <w:r>
        <w:t>or 112 of the Clean Air Act.</w:t>
      </w:r>
      <w:r>
        <w:rPr>
          <w:spacing w:val="40"/>
        </w:rPr>
        <w:t xml:space="preserve"> </w:t>
      </w:r>
      <w:r>
        <w:t>Therefore, the applicability of 40 CFR 63, Subpart BBBBBB would exempt those affected units from these CAM rules.</w:t>
      </w:r>
      <w:r>
        <w:rPr>
          <w:spacing w:val="40"/>
        </w:rPr>
        <w:t xml:space="preserve"> </w:t>
      </w:r>
      <w:r>
        <w:t xml:space="preserve">However, within the rules of 40 CFR 63, Subpart BBBBBB are requirements for monitoring of the operations of the control technology </w:t>
      </w:r>
      <w:r>
        <w:rPr>
          <w:spacing w:val="-2"/>
        </w:rPr>
        <w:t>selected.</w:t>
      </w:r>
    </w:p>
    <w:p w14:paraId="245EC6E7" w14:textId="77777777" w:rsidR="006C14B1" w:rsidRDefault="006C14B1">
      <w:pPr>
        <w:pStyle w:val="BodyText"/>
        <w:spacing w:before="1"/>
      </w:pPr>
    </w:p>
    <w:p w14:paraId="245EC6E8" w14:textId="77777777" w:rsidR="006C14B1" w:rsidRDefault="005C7B88">
      <w:pPr>
        <w:pStyle w:val="Heading2"/>
        <w:numPr>
          <w:ilvl w:val="0"/>
          <w:numId w:val="1"/>
        </w:numPr>
        <w:tabs>
          <w:tab w:val="left" w:pos="479"/>
        </w:tabs>
        <w:ind w:left="479" w:hanging="359"/>
      </w:pPr>
      <w:bookmarkStart w:id="26" w:name="_TOC_250000"/>
      <w:r>
        <w:t>PSD</w:t>
      </w:r>
      <w:r>
        <w:rPr>
          <w:spacing w:val="-2"/>
        </w:rPr>
        <w:t xml:space="preserve"> </w:t>
      </w:r>
      <w:r>
        <w:t>and</w:t>
      </w:r>
      <w:r>
        <w:rPr>
          <w:spacing w:val="-3"/>
        </w:rPr>
        <w:t xml:space="preserve"> </w:t>
      </w:r>
      <w:r>
        <w:t>Title</w:t>
      </w:r>
      <w:r>
        <w:rPr>
          <w:spacing w:val="-3"/>
        </w:rPr>
        <w:t xml:space="preserve"> </w:t>
      </w:r>
      <w:r>
        <w:t>V</w:t>
      </w:r>
      <w:r>
        <w:rPr>
          <w:spacing w:val="-3"/>
        </w:rPr>
        <w:t xml:space="preserve"> </w:t>
      </w:r>
      <w:r>
        <w:t>Greenhouse</w:t>
      </w:r>
      <w:r>
        <w:rPr>
          <w:spacing w:val="-3"/>
        </w:rPr>
        <w:t xml:space="preserve"> </w:t>
      </w:r>
      <w:r>
        <w:t>Gas Tailoring</w:t>
      </w:r>
      <w:r>
        <w:rPr>
          <w:spacing w:val="-1"/>
        </w:rPr>
        <w:t xml:space="preserve"> </w:t>
      </w:r>
      <w:bookmarkEnd w:id="26"/>
      <w:r>
        <w:rPr>
          <w:spacing w:val="-4"/>
        </w:rPr>
        <w:t>Rule</w:t>
      </w:r>
    </w:p>
    <w:p w14:paraId="245EC6E9" w14:textId="77777777" w:rsidR="006C14B1" w:rsidRDefault="006C14B1">
      <w:pPr>
        <w:pStyle w:val="BodyText"/>
        <w:spacing w:before="9"/>
        <w:rPr>
          <w:b/>
          <w:sz w:val="23"/>
        </w:rPr>
      </w:pPr>
    </w:p>
    <w:p w14:paraId="44FC2F59"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 xml:space="preserve">On May 7, 2010, EPA published the “light duty vehicle rule” (Docket # EPA-HQ-OAR- 2009-0472, 75 FR 25324) controlling greenhouse gas (GHG) emissions from mobile sources, whereby GHG became a pollutant subject to regulation under the Federal and Montana Clean Air Act(s).  On June 3, 2010, EPA promulgated the GHG “Tailoring Rule” (Docket # EPA-HQ-OAR-2009-0517, 75 FR 31514) which modified 40 CFR Parts 51, 52, 70, and 71 to specify which facilities are subject to GHG permitting requirements and when such facilities become subject to regulation for GHG under the PSD and Title V programs.  </w:t>
      </w:r>
    </w:p>
    <w:p w14:paraId="19B143C6" w14:textId="77777777" w:rsidR="00402E8D" w:rsidRPr="00402E8D" w:rsidRDefault="00402E8D" w:rsidP="00447EF8">
      <w:pPr>
        <w:widowControl/>
        <w:autoSpaceDE/>
        <w:autoSpaceDN/>
        <w:ind w:left="479"/>
        <w:rPr>
          <w:rFonts w:eastAsia="Times New Roman" w:cs="Times New Roman"/>
          <w:sz w:val="24"/>
          <w:szCs w:val="24"/>
        </w:rPr>
      </w:pPr>
    </w:p>
    <w:p w14:paraId="4081BF9F"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Under the Tailoring Rule, any PSD action (either a new major stationary source or a major modification at a major stationary source) taken for a pollutant or pollutants other than GHG that would become final on or after January 2, 2011 would be subject to PSD permitting requirements for GHG if the GHG increases associated with that action were at or above 75,000 TPY of carbon dioxide equivalent (CO</w:t>
      </w:r>
      <w:r w:rsidRPr="00402E8D">
        <w:rPr>
          <w:rFonts w:eastAsia="Times New Roman" w:cs="Times New Roman"/>
          <w:sz w:val="24"/>
          <w:szCs w:val="24"/>
          <w:vertAlign w:val="subscript"/>
        </w:rPr>
        <w:t>2</w:t>
      </w:r>
      <w:r w:rsidRPr="00402E8D">
        <w:rPr>
          <w:rFonts w:eastAsia="Times New Roman" w:cs="Times New Roman"/>
          <w:sz w:val="24"/>
          <w:szCs w:val="24"/>
        </w:rPr>
        <w:t xml:space="preserve">e) and greater than 0 TPY on a mass basis.  Similarly, if such action were taken, any resulting requirements would be subject to inclusion in the Title V Operating Permit.  Facilities which hold Title V permits due to criteria pollutant emissions over 100 TPY would need to incorporate any GHG applicable requirements into their operating permits for any Title V action that would have a final decision occurring on or after January 2, 2011.  </w:t>
      </w:r>
    </w:p>
    <w:p w14:paraId="4CA1158C" w14:textId="77777777" w:rsidR="00402E8D" w:rsidRPr="00402E8D" w:rsidRDefault="00402E8D" w:rsidP="00402E8D">
      <w:pPr>
        <w:widowControl/>
        <w:autoSpaceDE/>
        <w:autoSpaceDN/>
        <w:ind w:left="360"/>
        <w:rPr>
          <w:rFonts w:eastAsia="Times New Roman" w:cs="Times New Roman"/>
          <w:sz w:val="24"/>
          <w:szCs w:val="24"/>
        </w:rPr>
      </w:pPr>
    </w:p>
    <w:p w14:paraId="0F55F832" w14:textId="77777777" w:rsid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lastRenderedPageBreak/>
        <w:t xml:space="preserve">Starting on July 1, 2011, PSD permitting requirements would be triggered for modifications that were determined to be major under PSD based on GHG emissions alone, even if no other pollutant triggered a major modification.  </w:t>
      </w:r>
    </w:p>
    <w:p w14:paraId="693B340A" w14:textId="77777777" w:rsidR="00402E8D" w:rsidRDefault="00402E8D" w:rsidP="00447EF8">
      <w:pPr>
        <w:widowControl/>
        <w:autoSpaceDE/>
        <w:autoSpaceDN/>
        <w:ind w:left="479"/>
        <w:rPr>
          <w:rFonts w:eastAsia="Times New Roman" w:cs="Times New Roman"/>
          <w:sz w:val="24"/>
          <w:szCs w:val="24"/>
        </w:rPr>
      </w:pPr>
    </w:p>
    <w:p w14:paraId="5AC46D15" w14:textId="60649FDE"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In addition, sources that are not considered PSD major sources based on criteria pollutant emissions would become subject to PSD review if their facility-wide potential emissions equaled or exceeded 100,000 TPY of CO</w:t>
      </w:r>
      <w:r w:rsidRPr="00402E8D">
        <w:rPr>
          <w:rFonts w:eastAsia="Times New Roman" w:cs="Times New Roman"/>
          <w:sz w:val="24"/>
          <w:szCs w:val="24"/>
          <w:vertAlign w:val="subscript"/>
        </w:rPr>
        <w:t>2</w:t>
      </w:r>
      <w:r w:rsidRPr="00402E8D">
        <w:rPr>
          <w:rFonts w:eastAsia="Times New Roman" w:cs="Times New Roman"/>
          <w:sz w:val="24"/>
          <w:szCs w:val="24"/>
        </w:rPr>
        <w:t>e and 100 or 250 TPY of GHG on a mass basis depending on their listed status in ARM 17.8.801(22) and they undertook a permitting action with increases of 75,000 TPY or more of CO</w:t>
      </w:r>
      <w:r w:rsidRPr="00402E8D">
        <w:rPr>
          <w:rFonts w:eastAsia="Times New Roman" w:cs="Times New Roman"/>
          <w:sz w:val="24"/>
          <w:szCs w:val="24"/>
          <w:vertAlign w:val="subscript"/>
        </w:rPr>
        <w:t>2</w:t>
      </w:r>
      <w:r w:rsidRPr="00402E8D">
        <w:rPr>
          <w:rFonts w:eastAsia="Times New Roman" w:cs="Times New Roman"/>
          <w:sz w:val="24"/>
          <w:szCs w:val="24"/>
        </w:rPr>
        <w:t>e and greater than 0 TPY of GHG on a mass basis. With respect to Title V, sources not currently holding a Title V permit that have potential facility-wide emissions equal to or exceeding 100,000 TPY of CO</w:t>
      </w:r>
      <w:r w:rsidRPr="00402E8D">
        <w:rPr>
          <w:rFonts w:eastAsia="Times New Roman" w:cs="Times New Roman"/>
          <w:sz w:val="24"/>
          <w:szCs w:val="24"/>
          <w:vertAlign w:val="subscript"/>
        </w:rPr>
        <w:t>2</w:t>
      </w:r>
      <w:r w:rsidRPr="00402E8D">
        <w:rPr>
          <w:rFonts w:eastAsia="Times New Roman" w:cs="Times New Roman"/>
          <w:sz w:val="24"/>
          <w:szCs w:val="24"/>
        </w:rPr>
        <w:t>e and 100 TPY of GHG on a mass basis would be required to obtain a Title V Operating Permit.</w:t>
      </w:r>
    </w:p>
    <w:p w14:paraId="3C999492" w14:textId="77777777" w:rsidR="00402E8D" w:rsidRPr="00402E8D" w:rsidRDefault="00402E8D" w:rsidP="00447EF8">
      <w:pPr>
        <w:widowControl/>
        <w:autoSpaceDE/>
        <w:autoSpaceDN/>
        <w:ind w:left="479"/>
        <w:rPr>
          <w:rFonts w:eastAsia="Times New Roman" w:cs="Times New Roman"/>
          <w:sz w:val="24"/>
          <w:szCs w:val="24"/>
        </w:rPr>
      </w:pPr>
    </w:p>
    <w:p w14:paraId="6AE58BFD" w14:textId="77777777" w:rsidR="00402E8D" w:rsidRPr="00402E8D" w:rsidRDefault="00402E8D" w:rsidP="00447EF8">
      <w:pPr>
        <w:widowControl/>
        <w:autoSpaceDE/>
        <w:autoSpaceDN/>
        <w:ind w:left="479"/>
        <w:rPr>
          <w:rFonts w:eastAsia="Times New Roman" w:cs="Times New Roman"/>
          <w:sz w:val="24"/>
          <w:szCs w:val="24"/>
        </w:rPr>
      </w:pPr>
      <w:r w:rsidRPr="00402E8D">
        <w:rPr>
          <w:rFonts w:eastAsia="Times New Roman" w:cs="Times New Roman"/>
          <w:sz w:val="24"/>
          <w:szCs w:val="24"/>
        </w:rPr>
        <w:t xml:space="preserve">The Supreme Court of the United States (SCOTUS), in its </w:t>
      </w:r>
      <w:r w:rsidRPr="00402E8D">
        <w:rPr>
          <w:rFonts w:eastAsia="Times New Roman" w:cs="Times New Roman"/>
          <w:i/>
          <w:iCs/>
          <w:sz w:val="24"/>
          <w:szCs w:val="24"/>
        </w:rPr>
        <w:t>Utility Air Regulatory Group v. EPA</w:t>
      </w:r>
      <w:r w:rsidRPr="00402E8D">
        <w:rPr>
          <w:rFonts w:eastAsia="Times New Roman" w:cs="Times New Roman"/>
          <w:sz w:val="24"/>
          <w:szCs w:val="24"/>
        </w:rPr>
        <w:t xml:space="preserve"> decision on June 23, 2014, ruled that the Clean Air Act neither compels nor permits EPA to require a source to obtain a PSD or Title V permit on the sole basis of its potential emissions of GHG.  SCOTUS also ruled that EPA lacked the authority to tailor the Clean Air Act’s unambiguous numerical thresholds of 100 or 250 TPY to accommodate a CO</w:t>
      </w:r>
      <w:r w:rsidRPr="00402E8D">
        <w:rPr>
          <w:rFonts w:eastAsia="Times New Roman" w:cs="Times New Roman"/>
          <w:sz w:val="24"/>
          <w:szCs w:val="24"/>
          <w:vertAlign w:val="subscript"/>
        </w:rPr>
        <w:t>2</w:t>
      </w:r>
      <w:r w:rsidRPr="00402E8D">
        <w:rPr>
          <w:rFonts w:eastAsia="Times New Roman" w:cs="Times New Roman"/>
          <w:sz w:val="24"/>
          <w:szCs w:val="24"/>
        </w:rPr>
        <w:t>e threshold of 100,000 TPY.  SCOTUS upheld that EPA reasonably interpreted the Clean Air Act to require sources that would need PSD permits based on their emission of conventional pollutants to comply with BACT for GHG.  As such, the Tailoring Rule has been rendered invalid and sources cannot become subject to PSD or Title V regulations based on GHG emissions alone.  Sources that must undergo PSD permitting due to pollutant emissions other than GHG may still be required to comply with BACT for GHG emissions.</w:t>
      </w:r>
    </w:p>
    <w:p w14:paraId="245EC6F3" w14:textId="1E4B2CA3" w:rsidR="006C14B1" w:rsidRDefault="006C14B1" w:rsidP="00402E8D">
      <w:pPr>
        <w:pStyle w:val="BodyText"/>
        <w:ind w:left="479" w:right="249"/>
      </w:pPr>
    </w:p>
    <w:sectPr w:rsidR="006C14B1" w:rsidSect="00402E8D">
      <w:pgSz w:w="12240" w:h="15840"/>
      <w:pgMar w:top="1152" w:right="1440" w:bottom="1008"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167AB8" w14:textId="77777777" w:rsidR="006F35B6" w:rsidRDefault="006F35B6">
      <w:r>
        <w:separator/>
      </w:r>
    </w:p>
  </w:endnote>
  <w:endnote w:type="continuationSeparator" w:id="0">
    <w:p w14:paraId="546B4A34" w14:textId="77777777" w:rsidR="006F35B6" w:rsidRDefault="006F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9716F" w14:textId="4F7B7DB2" w:rsidR="00154A34" w:rsidRPr="00FE734F" w:rsidRDefault="00D20D8A" w:rsidP="00154A34">
    <w:pPr>
      <w:tabs>
        <w:tab w:val="left" w:pos="3780"/>
        <w:tab w:val="center" w:pos="4680"/>
        <w:tab w:val="right" w:pos="9360"/>
      </w:tabs>
      <w:autoSpaceDE/>
      <w:autoSpaceDN/>
      <w:ind w:right="360"/>
      <w:rPr>
        <w:rFonts w:eastAsia="Times New Roman" w:cs="Times New Roman"/>
        <w:snapToGrid w:val="0"/>
        <w:sz w:val="18"/>
        <w:szCs w:val="18"/>
      </w:rPr>
    </w:pPr>
    <w:bookmarkStart w:id="0" w:name="_Hlk205464759"/>
    <w:r>
      <w:rPr>
        <w:rFonts w:eastAsia="Times New Roman" w:cs="Times New Roman"/>
        <w:snapToGrid w:val="0"/>
        <w:sz w:val="18"/>
        <w:szCs w:val="18"/>
      </w:rPr>
      <w:t>TRD</w:t>
    </w:r>
    <w:r w:rsidR="00154A34" w:rsidRPr="00FE734F">
      <w:rPr>
        <w:rFonts w:eastAsia="Times New Roman" w:cs="Times New Roman"/>
        <w:snapToGrid w:val="0"/>
        <w:sz w:val="18"/>
        <w:szCs w:val="18"/>
      </w:rPr>
      <w:t>2</w:t>
    </w:r>
    <w:r w:rsidR="00154A34">
      <w:rPr>
        <w:rFonts w:eastAsia="Times New Roman" w:cs="Times New Roman"/>
        <w:snapToGrid w:val="0"/>
        <w:sz w:val="18"/>
        <w:szCs w:val="18"/>
      </w:rPr>
      <w:t>946-14</w:t>
    </w:r>
    <w:r w:rsidR="00154A34" w:rsidRPr="00FE734F">
      <w:rPr>
        <w:rFonts w:eastAsia="Times New Roman" w:cs="Times New Roman"/>
        <w:snapToGrid w:val="0"/>
        <w:sz w:val="18"/>
        <w:szCs w:val="18"/>
      </w:rPr>
      <w:tab/>
    </w:r>
    <w:r w:rsidR="00154A34" w:rsidRPr="00FE734F">
      <w:rPr>
        <w:rFonts w:eastAsia="Times New Roman" w:cs="Times New Roman"/>
        <w:snapToGrid w:val="0"/>
        <w:sz w:val="18"/>
        <w:szCs w:val="18"/>
      </w:rPr>
      <w:tab/>
    </w:r>
    <w:r w:rsidR="00154A34" w:rsidRPr="00FE734F">
      <w:rPr>
        <w:rFonts w:eastAsia="Times New Roman" w:cs="Times New Roman"/>
        <w:snapToGrid w:val="0"/>
        <w:sz w:val="18"/>
        <w:szCs w:val="18"/>
      </w:rPr>
      <w:fldChar w:fldCharType="begin"/>
    </w:r>
    <w:r w:rsidR="00154A34" w:rsidRPr="00FE734F">
      <w:rPr>
        <w:rFonts w:eastAsia="Times New Roman" w:cs="Times New Roman"/>
        <w:snapToGrid w:val="0"/>
        <w:sz w:val="18"/>
        <w:szCs w:val="18"/>
      </w:rPr>
      <w:instrText xml:space="preserve"> PAGE   \* MERGEFORMAT </w:instrText>
    </w:r>
    <w:r w:rsidR="00154A34" w:rsidRPr="00FE734F">
      <w:rPr>
        <w:rFonts w:eastAsia="Times New Roman" w:cs="Times New Roman"/>
        <w:snapToGrid w:val="0"/>
        <w:sz w:val="18"/>
        <w:szCs w:val="18"/>
      </w:rPr>
      <w:fldChar w:fldCharType="separate"/>
    </w:r>
    <w:r w:rsidR="00154A34">
      <w:rPr>
        <w:snapToGrid w:val="0"/>
        <w:sz w:val="18"/>
        <w:szCs w:val="18"/>
      </w:rPr>
      <w:t>i</w:t>
    </w:r>
    <w:r w:rsidR="00154A34" w:rsidRPr="00FE734F">
      <w:rPr>
        <w:rFonts w:eastAsia="Times New Roman" w:cs="Times New Roman"/>
        <w:noProof/>
        <w:snapToGrid w:val="0"/>
        <w:sz w:val="18"/>
        <w:szCs w:val="18"/>
      </w:rPr>
      <w:fldChar w:fldCharType="end"/>
    </w:r>
    <w:r w:rsidR="00154A34" w:rsidRPr="00FE734F">
      <w:rPr>
        <w:rFonts w:eastAsia="Times New Roman" w:cs="Times New Roman"/>
        <w:snapToGrid w:val="0"/>
        <w:sz w:val="18"/>
        <w:szCs w:val="18"/>
      </w:rPr>
      <w:ptab w:relativeTo="margin" w:alignment="right" w:leader="none"/>
    </w:r>
    <w:r w:rsidR="00154A34">
      <w:rPr>
        <w:rFonts w:eastAsia="Times New Roman" w:cs="Times New Roman"/>
        <w:snapToGrid w:val="0"/>
        <w:sz w:val="18"/>
        <w:szCs w:val="18"/>
      </w:rPr>
      <w:t>Draft</w:t>
    </w:r>
    <w:r w:rsidR="00154A34" w:rsidRPr="00FE734F">
      <w:rPr>
        <w:rFonts w:eastAsia="Times New Roman" w:cs="Times New Roman"/>
        <w:snapToGrid w:val="0"/>
        <w:sz w:val="18"/>
        <w:szCs w:val="18"/>
      </w:rPr>
      <w:t xml:space="preserve">: </w:t>
    </w:r>
    <w:r w:rsidR="00154A34">
      <w:rPr>
        <w:rFonts w:eastAsia="Times New Roman" w:cs="Times New Roman"/>
        <w:snapToGrid w:val="0"/>
        <w:sz w:val="18"/>
        <w:szCs w:val="18"/>
      </w:rPr>
      <w:t>05</w:t>
    </w:r>
    <w:r w:rsidR="00154A34" w:rsidRPr="00FE734F">
      <w:rPr>
        <w:rFonts w:eastAsia="Times New Roman" w:cs="Times New Roman"/>
        <w:snapToGrid w:val="0"/>
        <w:sz w:val="18"/>
        <w:szCs w:val="18"/>
      </w:rPr>
      <w:t>/</w:t>
    </w:r>
    <w:r w:rsidR="00880C60">
      <w:rPr>
        <w:rFonts w:eastAsia="Times New Roman" w:cs="Times New Roman"/>
        <w:snapToGrid w:val="0"/>
        <w:sz w:val="18"/>
        <w:szCs w:val="18"/>
      </w:rPr>
      <w:t>0</w:t>
    </w:r>
    <w:r w:rsidR="00030B25">
      <w:rPr>
        <w:rFonts w:eastAsia="Times New Roman" w:cs="Times New Roman"/>
        <w:snapToGrid w:val="0"/>
        <w:sz w:val="18"/>
        <w:szCs w:val="18"/>
      </w:rPr>
      <w:t>7</w:t>
    </w:r>
    <w:r w:rsidR="00154A34" w:rsidRPr="00FE734F">
      <w:rPr>
        <w:rFonts w:eastAsia="Times New Roman" w:cs="Times New Roman"/>
        <w:snapToGrid w:val="0"/>
        <w:sz w:val="18"/>
        <w:szCs w:val="18"/>
      </w:rPr>
      <w:t>/202</w:t>
    </w:r>
    <w:r w:rsidR="00154A34">
      <w:rPr>
        <w:rFonts w:eastAsia="Times New Roman" w:cs="Times New Roman"/>
        <w:snapToGrid w:val="0"/>
        <w:sz w:val="18"/>
        <w:szCs w:val="18"/>
      </w:rPr>
      <w:t>6</w:t>
    </w:r>
  </w:p>
  <w:bookmarkEnd w:id="0"/>
  <w:p w14:paraId="245EC6F4" w14:textId="3ECDDA45" w:rsidR="006C14B1" w:rsidRDefault="006C14B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2F4B0" w14:textId="77777777" w:rsidR="006F35B6" w:rsidRDefault="006F35B6">
      <w:r>
        <w:separator/>
      </w:r>
    </w:p>
  </w:footnote>
  <w:footnote w:type="continuationSeparator" w:id="0">
    <w:p w14:paraId="7F958B8A" w14:textId="77777777" w:rsidR="006F35B6" w:rsidRDefault="006F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3C8"/>
    <w:multiLevelType w:val="hybridMultilevel"/>
    <w:tmpl w:val="CE4E3728"/>
    <w:lvl w:ilvl="0" w:tplc="7108AC42">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F2F2D430">
      <w:numFmt w:val="bullet"/>
      <w:lvlText w:val="•"/>
      <w:lvlJc w:val="left"/>
      <w:pPr>
        <w:ind w:left="1620" w:hanging="399"/>
      </w:pPr>
      <w:rPr>
        <w:rFonts w:hint="default"/>
        <w:lang w:val="en-US" w:eastAsia="en-US" w:bidi="ar-SA"/>
      </w:rPr>
    </w:lvl>
    <w:lvl w:ilvl="2" w:tplc="BCB610D2">
      <w:numFmt w:val="bullet"/>
      <w:lvlText w:val="•"/>
      <w:lvlJc w:val="left"/>
      <w:pPr>
        <w:ind w:left="2520" w:hanging="399"/>
      </w:pPr>
      <w:rPr>
        <w:rFonts w:hint="default"/>
        <w:lang w:val="en-US" w:eastAsia="en-US" w:bidi="ar-SA"/>
      </w:rPr>
    </w:lvl>
    <w:lvl w:ilvl="3" w:tplc="9C2CE4FA">
      <w:numFmt w:val="bullet"/>
      <w:lvlText w:val="•"/>
      <w:lvlJc w:val="left"/>
      <w:pPr>
        <w:ind w:left="3420" w:hanging="399"/>
      </w:pPr>
      <w:rPr>
        <w:rFonts w:hint="default"/>
        <w:lang w:val="en-US" w:eastAsia="en-US" w:bidi="ar-SA"/>
      </w:rPr>
    </w:lvl>
    <w:lvl w:ilvl="4" w:tplc="CAE0B034">
      <w:numFmt w:val="bullet"/>
      <w:lvlText w:val="•"/>
      <w:lvlJc w:val="left"/>
      <w:pPr>
        <w:ind w:left="4320" w:hanging="399"/>
      </w:pPr>
      <w:rPr>
        <w:rFonts w:hint="default"/>
        <w:lang w:val="en-US" w:eastAsia="en-US" w:bidi="ar-SA"/>
      </w:rPr>
    </w:lvl>
    <w:lvl w:ilvl="5" w:tplc="558A16B0">
      <w:numFmt w:val="bullet"/>
      <w:lvlText w:val="•"/>
      <w:lvlJc w:val="left"/>
      <w:pPr>
        <w:ind w:left="5220" w:hanging="399"/>
      </w:pPr>
      <w:rPr>
        <w:rFonts w:hint="default"/>
        <w:lang w:val="en-US" w:eastAsia="en-US" w:bidi="ar-SA"/>
      </w:rPr>
    </w:lvl>
    <w:lvl w:ilvl="6" w:tplc="AE90501E">
      <w:numFmt w:val="bullet"/>
      <w:lvlText w:val="•"/>
      <w:lvlJc w:val="left"/>
      <w:pPr>
        <w:ind w:left="6120" w:hanging="399"/>
      </w:pPr>
      <w:rPr>
        <w:rFonts w:hint="default"/>
        <w:lang w:val="en-US" w:eastAsia="en-US" w:bidi="ar-SA"/>
      </w:rPr>
    </w:lvl>
    <w:lvl w:ilvl="7" w:tplc="0D2CA4A0">
      <w:numFmt w:val="bullet"/>
      <w:lvlText w:val="•"/>
      <w:lvlJc w:val="left"/>
      <w:pPr>
        <w:ind w:left="7020" w:hanging="399"/>
      </w:pPr>
      <w:rPr>
        <w:rFonts w:hint="default"/>
        <w:lang w:val="en-US" w:eastAsia="en-US" w:bidi="ar-SA"/>
      </w:rPr>
    </w:lvl>
    <w:lvl w:ilvl="8" w:tplc="03CADAF2">
      <w:numFmt w:val="bullet"/>
      <w:lvlText w:val="•"/>
      <w:lvlJc w:val="left"/>
      <w:pPr>
        <w:ind w:left="7920" w:hanging="399"/>
      </w:pPr>
      <w:rPr>
        <w:rFonts w:hint="default"/>
        <w:lang w:val="en-US" w:eastAsia="en-US" w:bidi="ar-SA"/>
      </w:rPr>
    </w:lvl>
  </w:abstractNum>
  <w:abstractNum w:abstractNumId="1" w15:restartNumberingAfterBreak="0">
    <w:nsid w:val="17EB4D1F"/>
    <w:multiLevelType w:val="hybridMultilevel"/>
    <w:tmpl w:val="C68ED6EA"/>
    <w:lvl w:ilvl="0" w:tplc="5830C5D0">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456009AE">
      <w:numFmt w:val="bullet"/>
      <w:lvlText w:val="•"/>
      <w:lvlJc w:val="left"/>
      <w:pPr>
        <w:ind w:left="1404" w:hanging="360"/>
      </w:pPr>
      <w:rPr>
        <w:rFonts w:hint="default"/>
        <w:lang w:val="en-US" w:eastAsia="en-US" w:bidi="ar-SA"/>
      </w:rPr>
    </w:lvl>
    <w:lvl w:ilvl="2" w:tplc="B28EA2CE">
      <w:numFmt w:val="bullet"/>
      <w:lvlText w:val="•"/>
      <w:lvlJc w:val="left"/>
      <w:pPr>
        <w:ind w:left="2328" w:hanging="360"/>
      </w:pPr>
      <w:rPr>
        <w:rFonts w:hint="default"/>
        <w:lang w:val="en-US" w:eastAsia="en-US" w:bidi="ar-SA"/>
      </w:rPr>
    </w:lvl>
    <w:lvl w:ilvl="3" w:tplc="2E4EADDC">
      <w:numFmt w:val="bullet"/>
      <w:lvlText w:val="•"/>
      <w:lvlJc w:val="left"/>
      <w:pPr>
        <w:ind w:left="3252" w:hanging="360"/>
      </w:pPr>
      <w:rPr>
        <w:rFonts w:hint="default"/>
        <w:lang w:val="en-US" w:eastAsia="en-US" w:bidi="ar-SA"/>
      </w:rPr>
    </w:lvl>
    <w:lvl w:ilvl="4" w:tplc="6A968B16">
      <w:numFmt w:val="bullet"/>
      <w:lvlText w:val="•"/>
      <w:lvlJc w:val="left"/>
      <w:pPr>
        <w:ind w:left="4176" w:hanging="360"/>
      </w:pPr>
      <w:rPr>
        <w:rFonts w:hint="default"/>
        <w:lang w:val="en-US" w:eastAsia="en-US" w:bidi="ar-SA"/>
      </w:rPr>
    </w:lvl>
    <w:lvl w:ilvl="5" w:tplc="471EDB2E">
      <w:numFmt w:val="bullet"/>
      <w:lvlText w:val="•"/>
      <w:lvlJc w:val="left"/>
      <w:pPr>
        <w:ind w:left="5100" w:hanging="360"/>
      </w:pPr>
      <w:rPr>
        <w:rFonts w:hint="default"/>
        <w:lang w:val="en-US" w:eastAsia="en-US" w:bidi="ar-SA"/>
      </w:rPr>
    </w:lvl>
    <w:lvl w:ilvl="6" w:tplc="23D64D98">
      <w:numFmt w:val="bullet"/>
      <w:lvlText w:val="•"/>
      <w:lvlJc w:val="left"/>
      <w:pPr>
        <w:ind w:left="6024" w:hanging="360"/>
      </w:pPr>
      <w:rPr>
        <w:rFonts w:hint="default"/>
        <w:lang w:val="en-US" w:eastAsia="en-US" w:bidi="ar-SA"/>
      </w:rPr>
    </w:lvl>
    <w:lvl w:ilvl="7" w:tplc="14A8EBFC">
      <w:numFmt w:val="bullet"/>
      <w:lvlText w:val="•"/>
      <w:lvlJc w:val="left"/>
      <w:pPr>
        <w:ind w:left="6948" w:hanging="360"/>
      </w:pPr>
      <w:rPr>
        <w:rFonts w:hint="default"/>
        <w:lang w:val="en-US" w:eastAsia="en-US" w:bidi="ar-SA"/>
      </w:rPr>
    </w:lvl>
    <w:lvl w:ilvl="8" w:tplc="D728B4E8">
      <w:numFmt w:val="bullet"/>
      <w:lvlText w:val="•"/>
      <w:lvlJc w:val="left"/>
      <w:pPr>
        <w:ind w:left="7872" w:hanging="360"/>
      </w:pPr>
      <w:rPr>
        <w:rFonts w:hint="default"/>
        <w:lang w:val="en-US" w:eastAsia="en-US" w:bidi="ar-SA"/>
      </w:rPr>
    </w:lvl>
  </w:abstractNum>
  <w:abstractNum w:abstractNumId="2" w15:restartNumberingAfterBreak="0">
    <w:nsid w:val="1BBA6BE0"/>
    <w:multiLevelType w:val="hybridMultilevel"/>
    <w:tmpl w:val="68029A2A"/>
    <w:lvl w:ilvl="0" w:tplc="D83021AE">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9732F07A">
      <w:numFmt w:val="bullet"/>
      <w:lvlText w:val="•"/>
      <w:lvlJc w:val="left"/>
      <w:pPr>
        <w:ind w:left="1620" w:hanging="399"/>
      </w:pPr>
      <w:rPr>
        <w:rFonts w:hint="default"/>
        <w:lang w:val="en-US" w:eastAsia="en-US" w:bidi="ar-SA"/>
      </w:rPr>
    </w:lvl>
    <w:lvl w:ilvl="2" w:tplc="1D64DC8C">
      <w:numFmt w:val="bullet"/>
      <w:lvlText w:val="•"/>
      <w:lvlJc w:val="left"/>
      <w:pPr>
        <w:ind w:left="2520" w:hanging="399"/>
      </w:pPr>
      <w:rPr>
        <w:rFonts w:hint="default"/>
        <w:lang w:val="en-US" w:eastAsia="en-US" w:bidi="ar-SA"/>
      </w:rPr>
    </w:lvl>
    <w:lvl w:ilvl="3" w:tplc="A9640768">
      <w:numFmt w:val="bullet"/>
      <w:lvlText w:val="•"/>
      <w:lvlJc w:val="left"/>
      <w:pPr>
        <w:ind w:left="3420" w:hanging="399"/>
      </w:pPr>
      <w:rPr>
        <w:rFonts w:hint="default"/>
        <w:lang w:val="en-US" w:eastAsia="en-US" w:bidi="ar-SA"/>
      </w:rPr>
    </w:lvl>
    <w:lvl w:ilvl="4" w:tplc="79AE95B4">
      <w:numFmt w:val="bullet"/>
      <w:lvlText w:val="•"/>
      <w:lvlJc w:val="left"/>
      <w:pPr>
        <w:ind w:left="4320" w:hanging="399"/>
      </w:pPr>
      <w:rPr>
        <w:rFonts w:hint="default"/>
        <w:lang w:val="en-US" w:eastAsia="en-US" w:bidi="ar-SA"/>
      </w:rPr>
    </w:lvl>
    <w:lvl w:ilvl="5" w:tplc="855478F4">
      <w:numFmt w:val="bullet"/>
      <w:lvlText w:val="•"/>
      <w:lvlJc w:val="left"/>
      <w:pPr>
        <w:ind w:left="5220" w:hanging="399"/>
      </w:pPr>
      <w:rPr>
        <w:rFonts w:hint="default"/>
        <w:lang w:val="en-US" w:eastAsia="en-US" w:bidi="ar-SA"/>
      </w:rPr>
    </w:lvl>
    <w:lvl w:ilvl="6" w:tplc="AD840F06">
      <w:numFmt w:val="bullet"/>
      <w:lvlText w:val="•"/>
      <w:lvlJc w:val="left"/>
      <w:pPr>
        <w:ind w:left="6120" w:hanging="399"/>
      </w:pPr>
      <w:rPr>
        <w:rFonts w:hint="default"/>
        <w:lang w:val="en-US" w:eastAsia="en-US" w:bidi="ar-SA"/>
      </w:rPr>
    </w:lvl>
    <w:lvl w:ilvl="7" w:tplc="A3D6E7F0">
      <w:numFmt w:val="bullet"/>
      <w:lvlText w:val="•"/>
      <w:lvlJc w:val="left"/>
      <w:pPr>
        <w:ind w:left="7020" w:hanging="399"/>
      </w:pPr>
      <w:rPr>
        <w:rFonts w:hint="default"/>
        <w:lang w:val="en-US" w:eastAsia="en-US" w:bidi="ar-SA"/>
      </w:rPr>
    </w:lvl>
    <w:lvl w:ilvl="8" w:tplc="674E8AB0">
      <w:numFmt w:val="bullet"/>
      <w:lvlText w:val="•"/>
      <w:lvlJc w:val="left"/>
      <w:pPr>
        <w:ind w:left="7920" w:hanging="399"/>
      </w:pPr>
      <w:rPr>
        <w:rFonts w:hint="default"/>
        <w:lang w:val="en-US" w:eastAsia="en-US" w:bidi="ar-SA"/>
      </w:rPr>
    </w:lvl>
  </w:abstractNum>
  <w:abstractNum w:abstractNumId="3" w15:restartNumberingAfterBreak="0">
    <w:nsid w:val="49CE2DF8"/>
    <w:multiLevelType w:val="hybridMultilevel"/>
    <w:tmpl w:val="58CCF3FC"/>
    <w:lvl w:ilvl="0" w:tplc="B6E0649C">
      <w:start w:val="1"/>
      <w:numFmt w:val="upperLetter"/>
      <w:lvlText w:val="%1."/>
      <w:lvlJc w:val="left"/>
      <w:pPr>
        <w:ind w:left="720" w:hanging="399"/>
        <w:jc w:val="left"/>
      </w:pPr>
      <w:rPr>
        <w:rFonts w:ascii="Garamond" w:eastAsia="Garamond" w:hAnsi="Garamond" w:cs="Garamond" w:hint="default"/>
        <w:b w:val="0"/>
        <w:bCs w:val="0"/>
        <w:i w:val="0"/>
        <w:iCs w:val="0"/>
        <w:spacing w:val="-3"/>
        <w:w w:val="100"/>
        <w:sz w:val="20"/>
        <w:szCs w:val="20"/>
        <w:lang w:val="en-US" w:eastAsia="en-US" w:bidi="ar-SA"/>
      </w:rPr>
    </w:lvl>
    <w:lvl w:ilvl="1" w:tplc="4BE62A80">
      <w:numFmt w:val="bullet"/>
      <w:lvlText w:val="•"/>
      <w:lvlJc w:val="left"/>
      <w:pPr>
        <w:ind w:left="1620" w:hanging="399"/>
      </w:pPr>
      <w:rPr>
        <w:rFonts w:hint="default"/>
        <w:lang w:val="en-US" w:eastAsia="en-US" w:bidi="ar-SA"/>
      </w:rPr>
    </w:lvl>
    <w:lvl w:ilvl="2" w:tplc="E1E24822">
      <w:numFmt w:val="bullet"/>
      <w:lvlText w:val="•"/>
      <w:lvlJc w:val="left"/>
      <w:pPr>
        <w:ind w:left="2520" w:hanging="399"/>
      </w:pPr>
      <w:rPr>
        <w:rFonts w:hint="default"/>
        <w:lang w:val="en-US" w:eastAsia="en-US" w:bidi="ar-SA"/>
      </w:rPr>
    </w:lvl>
    <w:lvl w:ilvl="3" w:tplc="C018E57E">
      <w:numFmt w:val="bullet"/>
      <w:lvlText w:val="•"/>
      <w:lvlJc w:val="left"/>
      <w:pPr>
        <w:ind w:left="3420" w:hanging="399"/>
      </w:pPr>
      <w:rPr>
        <w:rFonts w:hint="default"/>
        <w:lang w:val="en-US" w:eastAsia="en-US" w:bidi="ar-SA"/>
      </w:rPr>
    </w:lvl>
    <w:lvl w:ilvl="4" w:tplc="9050CB2C">
      <w:numFmt w:val="bullet"/>
      <w:lvlText w:val="•"/>
      <w:lvlJc w:val="left"/>
      <w:pPr>
        <w:ind w:left="4320" w:hanging="399"/>
      </w:pPr>
      <w:rPr>
        <w:rFonts w:hint="default"/>
        <w:lang w:val="en-US" w:eastAsia="en-US" w:bidi="ar-SA"/>
      </w:rPr>
    </w:lvl>
    <w:lvl w:ilvl="5" w:tplc="12BAE176">
      <w:numFmt w:val="bullet"/>
      <w:lvlText w:val="•"/>
      <w:lvlJc w:val="left"/>
      <w:pPr>
        <w:ind w:left="5220" w:hanging="399"/>
      </w:pPr>
      <w:rPr>
        <w:rFonts w:hint="default"/>
        <w:lang w:val="en-US" w:eastAsia="en-US" w:bidi="ar-SA"/>
      </w:rPr>
    </w:lvl>
    <w:lvl w:ilvl="6" w:tplc="1F2AF948">
      <w:numFmt w:val="bullet"/>
      <w:lvlText w:val="•"/>
      <w:lvlJc w:val="left"/>
      <w:pPr>
        <w:ind w:left="6120" w:hanging="399"/>
      </w:pPr>
      <w:rPr>
        <w:rFonts w:hint="default"/>
        <w:lang w:val="en-US" w:eastAsia="en-US" w:bidi="ar-SA"/>
      </w:rPr>
    </w:lvl>
    <w:lvl w:ilvl="7" w:tplc="E640B5C6">
      <w:numFmt w:val="bullet"/>
      <w:lvlText w:val="•"/>
      <w:lvlJc w:val="left"/>
      <w:pPr>
        <w:ind w:left="7020" w:hanging="399"/>
      </w:pPr>
      <w:rPr>
        <w:rFonts w:hint="default"/>
        <w:lang w:val="en-US" w:eastAsia="en-US" w:bidi="ar-SA"/>
      </w:rPr>
    </w:lvl>
    <w:lvl w:ilvl="8" w:tplc="FA06604E">
      <w:numFmt w:val="bullet"/>
      <w:lvlText w:val="•"/>
      <w:lvlJc w:val="left"/>
      <w:pPr>
        <w:ind w:left="7920" w:hanging="399"/>
      </w:pPr>
      <w:rPr>
        <w:rFonts w:hint="default"/>
        <w:lang w:val="en-US" w:eastAsia="en-US" w:bidi="ar-SA"/>
      </w:rPr>
    </w:lvl>
  </w:abstractNum>
  <w:abstractNum w:abstractNumId="4" w15:restartNumberingAfterBreak="0">
    <w:nsid w:val="62C566F4"/>
    <w:multiLevelType w:val="hybridMultilevel"/>
    <w:tmpl w:val="E34467D2"/>
    <w:lvl w:ilvl="0" w:tplc="5EC077BC">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00B43A08">
      <w:numFmt w:val="bullet"/>
      <w:lvlText w:val=""/>
      <w:lvlJc w:val="left"/>
      <w:pPr>
        <w:ind w:left="840" w:hanging="360"/>
      </w:pPr>
      <w:rPr>
        <w:rFonts w:ascii="Symbol" w:eastAsia="Symbol" w:hAnsi="Symbol" w:cs="Symbol" w:hint="default"/>
        <w:b w:val="0"/>
        <w:bCs w:val="0"/>
        <w:i w:val="0"/>
        <w:iCs w:val="0"/>
        <w:spacing w:val="0"/>
        <w:w w:val="100"/>
        <w:sz w:val="24"/>
        <w:szCs w:val="24"/>
        <w:lang w:val="en-US" w:eastAsia="en-US" w:bidi="ar-SA"/>
      </w:rPr>
    </w:lvl>
    <w:lvl w:ilvl="2" w:tplc="C7AA3F92">
      <w:numFmt w:val="bullet"/>
      <w:lvlText w:val="•"/>
      <w:lvlJc w:val="left"/>
      <w:pPr>
        <w:ind w:left="1826" w:hanging="360"/>
      </w:pPr>
      <w:rPr>
        <w:rFonts w:hint="default"/>
        <w:lang w:val="en-US" w:eastAsia="en-US" w:bidi="ar-SA"/>
      </w:rPr>
    </w:lvl>
    <w:lvl w:ilvl="3" w:tplc="52EC8CC6">
      <w:numFmt w:val="bullet"/>
      <w:lvlText w:val="•"/>
      <w:lvlJc w:val="left"/>
      <w:pPr>
        <w:ind w:left="2813" w:hanging="360"/>
      </w:pPr>
      <w:rPr>
        <w:rFonts w:hint="default"/>
        <w:lang w:val="en-US" w:eastAsia="en-US" w:bidi="ar-SA"/>
      </w:rPr>
    </w:lvl>
    <w:lvl w:ilvl="4" w:tplc="EBC22868">
      <w:numFmt w:val="bullet"/>
      <w:lvlText w:val="•"/>
      <w:lvlJc w:val="left"/>
      <w:pPr>
        <w:ind w:left="3800" w:hanging="360"/>
      </w:pPr>
      <w:rPr>
        <w:rFonts w:hint="default"/>
        <w:lang w:val="en-US" w:eastAsia="en-US" w:bidi="ar-SA"/>
      </w:rPr>
    </w:lvl>
    <w:lvl w:ilvl="5" w:tplc="777E8E4C">
      <w:numFmt w:val="bullet"/>
      <w:lvlText w:val="•"/>
      <w:lvlJc w:val="left"/>
      <w:pPr>
        <w:ind w:left="4786" w:hanging="360"/>
      </w:pPr>
      <w:rPr>
        <w:rFonts w:hint="default"/>
        <w:lang w:val="en-US" w:eastAsia="en-US" w:bidi="ar-SA"/>
      </w:rPr>
    </w:lvl>
    <w:lvl w:ilvl="6" w:tplc="649ACE30">
      <w:numFmt w:val="bullet"/>
      <w:lvlText w:val="•"/>
      <w:lvlJc w:val="left"/>
      <w:pPr>
        <w:ind w:left="5773" w:hanging="360"/>
      </w:pPr>
      <w:rPr>
        <w:rFonts w:hint="default"/>
        <w:lang w:val="en-US" w:eastAsia="en-US" w:bidi="ar-SA"/>
      </w:rPr>
    </w:lvl>
    <w:lvl w:ilvl="7" w:tplc="C6FAD948">
      <w:numFmt w:val="bullet"/>
      <w:lvlText w:val="•"/>
      <w:lvlJc w:val="left"/>
      <w:pPr>
        <w:ind w:left="6760" w:hanging="360"/>
      </w:pPr>
      <w:rPr>
        <w:rFonts w:hint="default"/>
        <w:lang w:val="en-US" w:eastAsia="en-US" w:bidi="ar-SA"/>
      </w:rPr>
    </w:lvl>
    <w:lvl w:ilvl="8" w:tplc="485C615C">
      <w:numFmt w:val="bullet"/>
      <w:lvlText w:val="•"/>
      <w:lvlJc w:val="left"/>
      <w:pPr>
        <w:ind w:left="7746" w:hanging="360"/>
      </w:pPr>
      <w:rPr>
        <w:rFonts w:hint="default"/>
        <w:lang w:val="en-US" w:eastAsia="en-US" w:bidi="ar-SA"/>
      </w:rPr>
    </w:lvl>
  </w:abstractNum>
  <w:abstractNum w:abstractNumId="5" w15:restartNumberingAfterBreak="0">
    <w:nsid w:val="632831F4"/>
    <w:multiLevelType w:val="hybridMultilevel"/>
    <w:tmpl w:val="511C07A2"/>
    <w:lvl w:ilvl="0" w:tplc="23861CC6">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1EC4B87C">
      <w:numFmt w:val="bullet"/>
      <w:lvlText w:val="•"/>
      <w:lvlJc w:val="left"/>
      <w:pPr>
        <w:ind w:left="1404" w:hanging="360"/>
      </w:pPr>
      <w:rPr>
        <w:rFonts w:hint="default"/>
        <w:lang w:val="en-US" w:eastAsia="en-US" w:bidi="ar-SA"/>
      </w:rPr>
    </w:lvl>
    <w:lvl w:ilvl="2" w:tplc="FBB642D2">
      <w:numFmt w:val="bullet"/>
      <w:lvlText w:val="•"/>
      <w:lvlJc w:val="left"/>
      <w:pPr>
        <w:ind w:left="2328" w:hanging="360"/>
      </w:pPr>
      <w:rPr>
        <w:rFonts w:hint="default"/>
        <w:lang w:val="en-US" w:eastAsia="en-US" w:bidi="ar-SA"/>
      </w:rPr>
    </w:lvl>
    <w:lvl w:ilvl="3" w:tplc="FA702D14">
      <w:numFmt w:val="bullet"/>
      <w:lvlText w:val="•"/>
      <w:lvlJc w:val="left"/>
      <w:pPr>
        <w:ind w:left="3252" w:hanging="360"/>
      </w:pPr>
      <w:rPr>
        <w:rFonts w:hint="default"/>
        <w:lang w:val="en-US" w:eastAsia="en-US" w:bidi="ar-SA"/>
      </w:rPr>
    </w:lvl>
    <w:lvl w:ilvl="4" w:tplc="BEFEBC84">
      <w:numFmt w:val="bullet"/>
      <w:lvlText w:val="•"/>
      <w:lvlJc w:val="left"/>
      <w:pPr>
        <w:ind w:left="4176" w:hanging="360"/>
      </w:pPr>
      <w:rPr>
        <w:rFonts w:hint="default"/>
        <w:lang w:val="en-US" w:eastAsia="en-US" w:bidi="ar-SA"/>
      </w:rPr>
    </w:lvl>
    <w:lvl w:ilvl="5" w:tplc="BCC21896">
      <w:numFmt w:val="bullet"/>
      <w:lvlText w:val="•"/>
      <w:lvlJc w:val="left"/>
      <w:pPr>
        <w:ind w:left="5100" w:hanging="360"/>
      </w:pPr>
      <w:rPr>
        <w:rFonts w:hint="default"/>
        <w:lang w:val="en-US" w:eastAsia="en-US" w:bidi="ar-SA"/>
      </w:rPr>
    </w:lvl>
    <w:lvl w:ilvl="6" w:tplc="81E8393C">
      <w:numFmt w:val="bullet"/>
      <w:lvlText w:val="•"/>
      <w:lvlJc w:val="left"/>
      <w:pPr>
        <w:ind w:left="6024" w:hanging="360"/>
      </w:pPr>
      <w:rPr>
        <w:rFonts w:hint="default"/>
        <w:lang w:val="en-US" w:eastAsia="en-US" w:bidi="ar-SA"/>
      </w:rPr>
    </w:lvl>
    <w:lvl w:ilvl="7" w:tplc="1D965CFA">
      <w:numFmt w:val="bullet"/>
      <w:lvlText w:val="•"/>
      <w:lvlJc w:val="left"/>
      <w:pPr>
        <w:ind w:left="6948" w:hanging="360"/>
      </w:pPr>
      <w:rPr>
        <w:rFonts w:hint="default"/>
        <w:lang w:val="en-US" w:eastAsia="en-US" w:bidi="ar-SA"/>
      </w:rPr>
    </w:lvl>
    <w:lvl w:ilvl="8" w:tplc="62247328">
      <w:numFmt w:val="bullet"/>
      <w:lvlText w:val="•"/>
      <w:lvlJc w:val="left"/>
      <w:pPr>
        <w:ind w:left="7872" w:hanging="360"/>
      </w:pPr>
      <w:rPr>
        <w:rFonts w:hint="default"/>
        <w:lang w:val="en-US" w:eastAsia="en-US" w:bidi="ar-SA"/>
      </w:rPr>
    </w:lvl>
  </w:abstractNum>
  <w:abstractNum w:abstractNumId="6" w15:restartNumberingAfterBreak="0">
    <w:nsid w:val="649579B4"/>
    <w:multiLevelType w:val="hybridMultilevel"/>
    <w:tmpl w:val="8B722732"/>
    <w:lvl w:ilvl="0" w:tplc="F998C1F4">
      <w:start w:val="1"/>
      <w:numFmt w:val="upperLetter"/>
      <w:lvlText w:val="%1."/>
      <w:lvlJc w:val="left"/>
      <w:pPr>
        <w:ind w:left="480" w:hanging="360"/>
        <w:jc w:val="left"/>
      </w:pPr>
      <w:rPr>
        <w:rFonts w:ascii="Garamond" w:eastAsia="Garamond" w:hAnsi="Garamond" w:cs="Garamond" w:hint="default"/>
        <w:b/>
        <w:bCs/>
        <w:i w:val="0"/>
        <w:iCs w:val="0"/>
        <w:spacing w:val="0"/>
        <w:w w:val="100"/>
        <w:sz w:val="24"/>
        <w:szCs w:val="24"/>
        <w:lang w:val="en-US" w:eastAsia="en-US" w:bidi="ar-SA"/>
      </w:rPr>
    </w:lvl>
    <w:lvl w:ilvl="1" w:tplc="4AB682C6">
      <w:numFmt w:val="bullet"/>
      <w:lvlText w:val="•"/>
      <w:lvlJc w:val="left"/>
      <w:pPr>
        <w:ind w:left="1404" w:hanging="360"/>
      </w:pPr>
      <w:rPr>
        <w:rFonts w:hint="default"/>
        <w:lang w:val="en-US" w:eastAsia="en-US" w:bidi="ar-SA"/>
      </w:rPr>
    </w:lvl>
    <w:lvl w:ilvl="2" w:tplc="62C8EC5C">
      <w:numFmt w:val="bullet"/>
      <w:lvlText w:val="•"/>
      <w:lvlJc w:val="left"/>
      <w:pPr>
        <w:ind w:left="2328" w:hanging="360"/>
      </w:pPr>
      <w:rPr>
        <w:rFonts w:hint="default"/>
        <w:lang w:val="en-US" w:eastAsia="en-US" w:bidi="ar-SA"/>
      </w:rPr>
    </w:lvl>
    <w:lvl w:ilvl="3" w:tplc="3DD0ACE4">
      <w:numFmt w:val="bullet"/>
      <w:lvlText w:val="•"/>
      <w:lvlJc w:val="left"/>
      <w:pPr>
        <w:ind w:left="3252" w:hanging="360"/>
      </w:pPr>
      <w:rPr>
        <w:rFonts w:hint="default"/>
        <w:lang w:val="en-US" w:eastAsia="en-US" w:bidi="ar-SA"/>
      </w:rPr>
    </w:lvl>
    <w:lvl w:ilvl="4" w:tplc="5CFCAA6E">
      <w:numFmt w:val="bullet"/>
      <w:lvlText w:val="•"/>
      <w:lvlJc w:val="left"/>
      <w:pPr>
        <w:ind w:left="4176" w:hanging="360"/>
      </w:pPr>
      <w:rPr>
        <w:rFonts w:hint="default"/>
        <w:lang w:val="en-US" w:eastAsia="en-US" w:bidi="ar-SA"/>
      </w:rPr>
    </w:lvl>
    <w:lvl w:ilvl="5" w:tplc="F2BCC72C">
      <w:numFmt w:val="bullet"/>
      <w:lvlText w:val="•"/>
      <w:lvlJc w:val="left"/>
      <w:pPr>
        <w:ind w:left="5100" w:hanging="360"/>
      </w:pPr>
      <w:rPr>
        <w:rFonts w:hint="default"/>
        <w:lang w:val="en-US" w:eastAsia="en-US" w:bidi="ar-SA"/>
      </w:rPr>
    </w:lvl>
    <w:lvl w:ilvl="6" w:tplc="9A9250C8">
      <w:numFmt w:val="bullet"/>
      <w:lvlText w:val="•"/>
      <w:lvlJc w:val="left"/>
      <w:pPr>
        <w:ind w:left="6024" w:hanging="360"/>
      </w:pPr>
      <w:rPr>
        <w:rFonts w:hint="default"/>
        <w:lang w:val="en-US" w:eastAsia="en-US" w:bidi="ar-SA"/>
      </w:rPr>
    </w:lvl>
    <w:lvl w:ilvl="7" w:tplc="93849B10">
      <w:numFmt w:val="bullet"/>
      <w:lvlText w:val="•"/>
      <w:lvlJc w:val="left"/>
      <w:pPr>
        <w:ind w:left="6948" w:hanging="360"/>
      </w:pPr>
      <w:rPr>
        <w:rFonts w:hint="default"/>
        <w:lang w:val="en-US" w:eastAsia="en-US" w:bidi="ar-SA"/>
      </w:rPr>
    </w:lvl>
    <w:lvl w:ilvl="8" w:tplc="63B6D068">
      <w:numFmt w:val="bullet"/>
      <w:lvlText w:val="•"/>
      <w:lvlJc w:val="left"/>
      <w:pPr>
        <w:ind w:left="7872" w:hanging="360"/>
      </w:pPr>
      <w:rPr>
        <w:rFonts w:hint="default"/>
        <w:lang w:val="en-US" w:eastAsia="en-US" w:bidi="ar-SA"/>
      </w:rPr>
    </w:lvl>
  </w:abstractNum>
  <w:abstractNum w:abstractNumId="7" w15:restartNumberingAfterBreak="0">
    <w:nsid w:val="6EA61950"/>
    <w:multiLevelType w:val="hybridMultilevel"/>
    <w:tmpl w:val="AA786E96"/>
    <w:lvl w:ilvl="0" w:tplc="D87CC642">
      <w:start w:val="1"/>
      <w:numFmt w:val="upperLetter"/>
      <w:lvlText w:val="%1."/>
      <w:lvlJc w:val="left"/>
      <w:pPr>
        <w:ind w:left="1914" w:hanging="399"/>
        <w:jc w:val="left"/>
      </w:pPr>
      <w:rPr>
        <w:rFonts w:ascii="Garamond" w:eastAsia="Garamond" w:hAnsi="Garamond" w:cs="Garamond" w:hint="default"/>
        <w:b w:val="0"/>
        <w:bCs w:val="0"/>
        <w:i w:val="0"/>
        <w:iCs w:val="0"/>
        <w:spacing w:val="-3"/>
        <w:w w:val="100"/>
        <w:sz w:val="20"/>
        <w:szCs w:val="20"/>
        <w:lang w:val="en-US" w:eastAsia="en-US" w:bidi="ar-SA"/>
      </w:rPr>
    </w:lvl>
    <w:lvl w:ilvl="1" w:tplc="8B0E1250">
      <w:numFmt w:val="bullet"/>
      <w:lvlText w:val="•"/>
      <w:lvlJc w:val="left"/>
      <w:pPr>
        <w:ind w:left="2814" w:hanging="399"/>
      </w:pPr>
      <w:rPr>
        <w:rFonts w:hint="default"/>
        <w:lang w:val="en-US" w:eastAsia="en-US" w:bidi="ar-SA"/>
      </w:rPr>
    </w:lvl>
    <w:lvl w:ilvl="2" w:tplc="F82411B0">
      <w:numFmt w:val="bullet"/>
      <w:lvlText w:val="•"/>
      <w:lvlJc w:val="left"/>
      <w:pPr>
        <w:ind w:left="3714" w:hanging="399"/>
      </w:pPr>
      <w:rPr>
        <w:rFonts w:hint="default"/>
        <w:lang w:val="en-US" w:eastAsia="en-US" w:bidi="ar-SA"/>
      </w:rPr>
    </w:lvl>
    <w:lvl w:ilvl="3" w:tplc="F8988214">
      <w:numFmt w:val="bullet"/>
      <w:lvlText w:val="•"/>
      <w:lvlJc w:val="left"/>
      <w:pPr>
        <w:ind w:left="4614" w:hanging="399"/>
      </w:pPr>
      <w:rPr>
        <w:rFonts w:hint="default"/>
        <w:lang w:val="en-US" w:eastAsia="en-US" w:bidi="ar-SA"/>
      </w:rPr>
    </w:lvl>
    <w:lvl w:ilvl="4" w:tplc="B9A6BD72">
      <w:numFmt w:val="bullet"/>
      <w:lvlText w:val="•"/>
      <w:lvlJc w:val="left"/>
      <w:pPr>
        <w:ind w:left="5514" w:hanging="399"/>
      </w:pPr>
      <w:rPr>
        <w:rFonts w:hint="default"/>
        <w:lang w:val="en-US" w:eastAsia="en-US" w:bidi="ar-SA"/>
      </w:rPr>
    </w:lvl>
    <w:lvl w:ilvl="5" w:tplc="57049DD4">
      <w:numFmt w:val="bullet"/>
      <w:lvlText w:val="•"/>
      <w:lvlJc w:val="left"/>
      <w:pPr>
        <w:ind w:left="6414" w:hanging="399"/>
      </w:pPr>
      <w:rPr>
        <w:rFonts w:hint="default"/>
        <w:lang w:val="en-US" w:eastAsia="en-US" w:bidi="ar-SA"/>
      </w:rPr>
    </w:lvl>
    <w:lvl w:ilvl="6" w:tplc="4620ACC4">
      <w:numFmt w:val="bullet"/>
      <w:lvlText w:val="•"/>
      <w:lvlJc w:val="left"/>
      <w:pPr>
        <w:ind w:left="7314" w:hanging="399"/>
      </w:pPr>
      <w:rPr>
        <w:rFonts w:hint="default"/>
        <w:lang w:val="en-US" w:eastAsia="en-US" w:bidi="ar-SA"/>
      </w:rPr>
    </w:lvl>
    <w:lvl w:ilvl="7" w:tplc="4F144058">
      <w:numFmt w:val="bullet"/>
      <w:lvlText w:val="•"/>
      <w:lvlJc w:val="left"/>
      <w:pPr>
        <w:ind w:left="8214" w:hanging="399"/>
      </w:pPr>
      <w:rPr>
        <w:rFonts w:hint="default"/>
        <w:lang w:val="en-US" w:eastAsia="en-US" w:bidi="ar-SA"/>
      </w:rPr>
    </w:lvl>
    <w:lvl w:ilvl="8" w:tplc="C7BAC434">
      <w:numFmt w:val="bullet"/>
      <w:lvlText w:val="•"/>
      <w:lvlJc w:val="left"/>
      <w:pPr>
        <w:ind w:left="9114" w:hanging="399"/>
      </w:pPr>
      <w:rPr>
        <w:rFonts w:hint="default"/>
        <w:lang w:val="en-US" w:eastAsia="en-US" w:bidi="ar-SA"/>
      </w:rPr>
    </w:lvl>
  </w:abstractNum>
  <w:num w:numId="1" w16cid:durableId="1736127460">
    <w:abstractNumId w:val="4"/>
  </w:num>
  <w:num w:numId="2" w16cid:durableId="10030429">
    <w:abstractNumId w:val="6"/>
  </w:num>
  <w:num w:numId="3" w16cid:durableId="1892181916">
    <w:abstractNumId w:val="5"/>
  </w:num>
  <w:num w:numId="4" w16cid:durableId="1012731137">
    <w:abstractNumId w:val="1"/>
  </w:num>
  <w:num w:numId="5" w16cid:durableId="835347042">
    <w:abstractNumId w:val="3"/>
  </w:num>
  <w:num w:numId="6" w16cid:durableId="695815479">
    <w:abstractNumId w:val="0"/>
  </w:num>
  <w:num w:numId="7" w16cid:durableId="179007835">
    <w:abstractNumId w:val="2"/>
  </w:num>
  <w:num w:numId="8" w16cid:durableId="131440480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enforcement="1" w:cryptProviderType="rsaAES" w:cryptAlgorithmClass="hash" w:cryptAlgorithmType="typeAny" w:cryptAlgorithmSid="14" w:cryptSpinCount="100000" w:hash="+6jm9ZaUsmxpkVw1wCY4bNNa3ZZKbWQNuPtG3OCImh3P6v95Ej3l2RhmLY6KBSJjAiGAtEmBF5xIhBo9I+YZag==" w:salt="iEyyTuiKCsTsuntxOgLRk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4B1"/>
    <w:rsid w:val="00004F3C"/>
    <w:rsid w:val="000055E3"/>
    <w:rsid w:val="00030B25"/>
    <w:rsid w:val="00154A34"/>
    <w:rsid w:val="0021399A"/>
    <w:rsid w:val="0022087E"/>
    <w:rsid w:val="002F2581"/>
    <w:rsid w:val="00300665"/>
    <w:rsid w:val="00323505"/>
    <w:rsid w:val="0035195F"/>
    <w:rsid w:val="00367907"/>
    <w:rsid w:val="003837FE"/>
    <w:rsid w:val="00402E8D"/>
    <w:rsid w:val="00447EF8"/>
    <w:rsid w:val="005C7B88"/>
    <w:rsid w:val="006B4DFF"/>
    <w:rsid w:val="006C14B1"/>
    <w:rsid w:val="006F35B6"/>
    <w:rsid w:val="007F5197"/>
    <w:rsid w:val="00880C60"/>
    <w:rsid w:val="009C6496"/>
    <w:rsid w:val="00B400D4"/>
    <w:rsid w:val="00BC142D"/>
    <w:rsid w:val="00C5104B"/>
    <w:rsid w:val="00C77CC6"/>
    <w:rsid w:val="00CC37BE"/>
    <w:rsid w:val="00D20D8A"/>
    <w:rsid w:val="00E80DAB"/>
    <w:rsid w:val="00EF08C0"/>
    <w:rsid w:val="00E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5EC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aramond" w:eastAsia="Garamond" w:hAnsi="Garamond" w:cs="Garamond"/>
    </w:rPr>
  </w:style>
  <w:style w:type="paragraph" w:styleId="Heading1">
    <w:name w:val="heading 1"/>
    <w:basedOn w:val="Normal"/>
    <w:uiPriority w:val="9"/>
    <w:qFormat/>
    <w:pPr>
      <w:spacing w:before="71"/>
      <w:ind w:left="1309" w:right="1302"/>
      <w:jc w:val="center"/>
      <w:outlineLvl w:val="0"/>
    </w:pPr>
    <w:rPr>
      <w:b/>
      <w:bCs/>
      <w:sz w:val="24"/>
      <w:szCs w:val="24"/>
    </w:rPr>
  </w:style>
  <w:style w:type="paragraph" w:styleId="Heading2">
    <w:name w:val="heading 2"/>
    <w:basedOn w:val="Normal"/>
    <w:uiPriority w:val="9"/>
    <w:unhideWhenUsed/>
    <w:qFormat/>
    <w:pPr>
      <w:ind w:left="479" w:hanging="359"/>
      <w:outlineLvl w:val="1"/>
    </w:pPr>
    <w:rPr>
      <w:b/>
      <w:bCs/>
      <w:sz w:val="24"/>
      <w:szCs w:val="24"/>
    </w:rPr>
  </w:style>
  <w:style w:type="paragraph" w:styleId="Heading3">
    <w:name w:val="heading 3"/>
    <w:basedOn w:val="Normal"/>
    <w:next w:val="Normal"/>
    <w:link w:val="Heading3Char"/>
    <w:uiPriority w:val="9"/>
    <w:semiHidden/>
    <w:unhideWhenUsed/>
    <w:qFormat/>
    <w:rsid w:val="00402E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1"/>
      <w:ind w:left="120"/>
    </w:pPr>
    <w:rPr>
      <w:b/>
      <w:bCs/>
      <w:sz w:val="20"/>
      <w:szCs w:val="20"/>
    </w:rPr>
  </w:style>
  <w:style w:type="paragraph" w:styleId="TOC2">
    <w:name w:val="toc 2"/>
    <w:basedOn w:val="Normal"/>
    <w:uiPriority w:val="1"/>
    <w:qFormat/>
    <w:pPr>
      <w:ind w:left="719" w:hanging="398"/>
    </w:pPr>
    <w:rPr>
      <w:sz w:val="20"/>
      <w:szCs w:val="20"/>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98"/>
    </w:pPr>
  </w:style>
  <w:style w:type="paragraph" w:customStyle="1" w:styleId="TableParagraph">
    <w:name w:val="Table Paragraph"/>
    <w:basedOn w:val="Normal"/>
    <w:uiPriority w:val="1"/>
    <w:qFormat/>
    <w:pPr>
      <w:spacing w:line="269" w:lineRule="exact"/>
    </w:pPr>
  </w:style>
  <w:style w:type="paragraph" w:styleId="Header">
    <w:name w:val="header"/>
    <w:basedOn w:val="Normal"/>
    <w:link w:val="HeaderChar"/>
    <w:uiPriority w:val="99"/>
    <w:unhideWhenUsed/>
    <w:rsid w:val="00154A34"/>
    <w:pPr>
      <w:tabs>
        <w:tab w:val="center" w:pos="4680"/>
        <w:tab w:val="right" w:pos="9360"/>
      </w:tabs>
    </w:pPr>
  </w:style>
  <w:style w:type="character" w:customStyle="1" w:styleId="HeaderChar">
    <w:name w:val="Header Char"/>
    <w:basedOn w:val="DefaultParagraphFont"/>
    <w:link w:val="Header"/>
    <w:uiPriority w:val="99"/>
    <w:rsid w:val="00154A34"/>
    <w:rPr>
      <w:rFonts w:ascii="Garamond" w:eastAsia="Garamond" w:hAnsi="Garamond" w:cs="Garamond"/>
    </w:rPr>
  </w:style>
  <w:style w:type="paragraph" w:styleId="Footer">
    <w:name w:val="footer"/>
    <w:basedOn w:val="Normal"/>
    <w:link w:val="FooterChar"/>
    <w:uiPriority w:val="99"/>
    <w:unhideWhenUsed/>
    <w:rsid w:val="00154A34"/>
    <w:pPr>
      <w:tabs>
        <w:tab w:val="center" w:pos="4680"/>
        <w:tab w:val="right" w:pos="9360"/>
      </w:tabs>
    </w:pPr>
  </w:style>
  <w:style w:type="character" w:customStyle="1" w:styleId="FooterChar">
    <w:name w:val="Footer Char"/>
    <w:basedOn w:val="DefaultParagraphFont"/>
    <w:link w:val="Footer"/>
    <w:uiPriority w:val="99"/>
    <w:rsid w:val="00154A34"/>
    <w:rPr>
      <w:rFonts w:ascii="Garamond" w:eastAsia="Garamond" w:hAnsi="Garamond" w:cs="Garamond"/>
    </w:rPr>
  </w:style>
  <w:style w:type="character" w:customStyle="1" w:styleId="Heading3Char">
    <w:name w:val="Heading 3 Char"/>
    <w:basedOn w:val="DefaultParagraphFont"/>
    <w:link w:val="Heading3"/>
    <w:uiPriority w:val="9"/>
    <w:semiHidden/>
    <w:rsid w:val="00402E8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4999</Words>
  <Characters>28496</Characters>
  <Application>Microsoft Office Word</Application>
  <DocSecurity>8</DocSecurity>
  <Lines>237</Lines>
  <Paragraphs>66</Paragraphs>
  <ScaleCrop>false</ScaleCrop>
  <Company/>
  <LinksUpToDate>false</LinksUpToDate>
  <CharactersWithSpaces>33429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cp:lastModifiedBy/>
  <cp:revision>1</cp:revision>
  <dcterms:created xsi:type="dcterms:W3CDTF">2026-05-07T21:16:00Z</dcterms:created>
  <dcterms:modified xsi:type="dcterms:W3CDTF">2026-05-07T21:16:00Z</dcterms:modified>
</cp:coreProperties>
</file>