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F5BB" w14:textId="77777777" w:rsidR="005A2FDF" w:rsidRPr="00C8674E" w:rsidRDefault="005A2FDF">
      <w:pPr>
        <w:pStyle w:val="Title"/>
        <w:rPr>
          <w:szCs w:val="24"/>
        </w:rPr>
      </w:pPr>
      <w:r w:rsidRPr="00C8674E">
        <w:rPr>
          <w:szCs w:val="24"/>
        </w:rPr>
        <w:t>MONTANA DEPARTMENT OF ENVIRONMENTAL QUALITY</w:t>
      </w:r>
    </w:p>
    <w:p w14:paraId="5B6EF5BC" w14:textId="77777777" w:rsidR="005A2FDF" w:rsidRPr="00C8674E" w:rsidRDefault="005A2FDF">
      <w:pPr>
        <w:jc w:val="center"/>
        <w:rPr>
          <w:b/>
          <w:szCs w:val="24"/>
        </w:rPr>
      </w:pPr>
      <w:r w:rsidRPr="00C8674E">
        <w:rPr>
          <w:b/>
          <w:szCs w:val="24"/>
        </w:rPr>
        <w:t>OPERATING PERMIT</w:t>
      </w:r>
      <w:r w:rsidR="00EE4B50">
        <w:rPr>
          <w:b/>
          <w:szCs w:val="24"/>
        </w:rPr>
        <w:t xml:space="preserve"> TECHNICAL REVIEW DOCUMENT (TRD)</w:t>
      </w:r>
    </w:p>
    <w:p w14:paraId="5B6EF5BD" w14:textId="77777777" w:rsidR="005A2FDF" w:rsidRPr="00C8674E" w:rsidRDefault="005A2FDF">
      <w:pPr>
        <w:jc w:val="center"/>
        <w:rPr>
          <w:szCs w:val="24"/>
        </w:rPr>
      </w:pPr>
    </w:p>
    <w:p w14:paraId="5B6EF5BE" w14:textId="0DB118F0" w:rsidR="005A2FDF" w:rsidRPr="00EE4B50" w:rsidRDefault="00C22344">
      <w:pPr>
        <w:jc w:val="center"/>
        <w:rPr>
          <w:b/>
          <w:szCs w:val="24"/>
        </w:rPr>
      </w:pPr>
      <w:r>
        <w:rPr>
          <w:b/>
          <w:szCs w:val="24"/>
        </w:rPr>
        <w:t xml:space="preserve">Air, Energy, </w:t>
      </w:r>
      <w:r w:rsidR="00D4457C">
        <w:rPr>
          <w:b/>
          <w:szCs w:val="24"/>
        </w:rPr>
        <w:t xml:space="preserve">&amp; </w:t>
      </w:r>
      <w:r>
        <w:rPr>
          <w:b/>
          <w:szCs w:val="24"/>
        </w:rPr>
        <w:t>Mining</w:t>
      </w:r>
      <w:r w:rsidR="005A2FDF" w:rsidRPr="00EE4B50">
        <w:rPr>
          <w:b/>
          <w:szCs w:val="24"/>
        </w:rPr>
        <w:t xml:space="preserve"> Division</w:t>
      </w:r>
    </w:p>
    <w:p w14:paraId="5B6EF5BF" w14:textId="77777777" w:rsidR="005A2FDF" w:rsidRPr="00EE4B50" w:rsidRDefault="005A2FDF">
      <w:pPr>
        <w:jc w:val="center"/>
        <w:rPr>
          <w:b/>
          <w:szCs w:val="24"/>
        </w:rPr>
      </w:pPr>
      <w:r w:rsidRPr="00EE4B50">
        <w:rPr>
          <w:b/>
          <w:szCs w:val="24"/>
        </w:rPr>
        <w:t>1520 E. Sixth Avenue</w:t>
      </w:r>
    </w:p>
    <w:p w14:paraId="5B6EF5C0" w14:textId="77777777" w:rsidR="005A2FDF" w:rsidRPr="00EE4B50" w:rsidRDefault="005A2FDF">
      <w:pPr>
        <w:jc w:val="center"/>
        <w:rPr>
          <w:b/>
          <w:szCs w:val="24"/>
        </w:rPr>
      </w:pPr>
      <w:r w:rsidRPr="00EE4B50">
        <w:rPr>
          <w:b/>
          <w:szCs w:val="24"/>
        </w:rPr>
        <w:t>P.O. Box 200901</w:t>
      </w:r>
    </w:p>
    <w:p w14:paraId="5B6EF5C1" w14:textId="77777777" w:rsidR="005A2FDF" w:rsidRPr="00EE4B50" w:rsidRDefault="005A2FDF">
      <w:pPr>
        <w:jc w:val="center"/>
        <w:rPr>
          <w:b/>
          <w:szCs w:val="24"/>
        </w:rPr>
      </w:pPr>
      <w:r w:rsidRPr="00EE4B50">
        <w:rPr>
          <w:b/>
          <w:szCs w:val="24"/>
        </w:rPr>
        <w:t>Helena, Montana 59620-0901</w:t>
      </w:r>
    </w:p>
    <w:p w14:paraId="5B6EF5C2" w14:textId="77777777" w:rsidR="005A2FDF" w:rsidRPr="00C8674E" w:rsidRDefault="005A2FDF">
      <w:pPr>
        <w:jc w:val="center"/>
        <w:rPr>
          <w:szCs w:val="24"/>
        </w:rPr>
      </w:pPr>
    </w:p>
    <w:p w14:paraId="5B6EF5C3" w14:textId="77777777" w:rsidR="005A2FDF" w:rsidRPr="00C8674E" w:rsidRDefault="005A2FDF">
      <w:pPr>
        <w:jc w:val="center"/>
        <w:rPr>
          <w:szCs w:val="24"/>
        </w:rPr>
      </w:pPr>
      <w:r w:rsidRPr="00C8674E">
        <w:rPr>
          <w:szCs w:val="24"/>
        </w:rPr>
        <w:t xml:space="preserve">The Western Sugar Cooperative </w:t>
      </w:r>
    </w:p>
    <w:p w14:paraId="5B6EF5C4" w14:textId="77777777" w:rsidR="005A2FDF" w:rsidRPr="00C8674E" w:rsidRDefault="005A2FDF">
      <w:pPr>
        <w:jc w:val="center"/>
        <w:rPr>
          <w:szCs w:val="24"/>
        </w:rPr>
      </w:pPr>
      <w:bookmarkStart w:id="0" w:name="_Hlk10794141"/>
      <w:r w:rsidRPr="00C8674E">
        <w:rPr>
          <w:szCs w:val="24"/>
        </w:rPr>
        <w:t>NE</w:t>
      </w:r>
      <w:r w:rsidR="000049B4">
        <w:rPr>
          <w:szCs w:val="24"/>
        </w:rPr>
        <w:t xml:space="preserve"> </w:t>
      </w:r>
      <w:r w:rsidRPr="00C8674E">
        <w:rPr>
          <w:szCs w:val="24"/>
        </w:rPr>
        <w:t>¼</w:t>
      </w:r>
      <w:r w:rsidR="00C10C37" w:rsidRPr="00C8674E">
        <w:rPr>
          <w:szCs w:val="24"/>
        </w:rPr>
        <w:t xml:space="preserve"> </w:t>
      </w:r>
      <w:r w:rsidR="00B25E39" w:rsidRPr="00C8674E">
        <w:rPr>
          <w:szCs w:val="24"/>
        </w:rPr>
        <w:t>o</w:t>
      </w:r>
      <w:r w:rsidR="00876612" w:rsidRPr="00C8674E">
        <w:rPr>
          <w:szCs w:val="24"/>
        </w:rPr>
        <w:t>f</w:t>
      </w:r>
      <w:r w:rsidRPr="00C8674E">
        <w:rPr>
          <w:szCs w:val="24"/>
        </w:rPr>
        <w:t xml:space="preserve"> Section 10, Township 1 South, Range 26 East, Yellowstone County</w:t>
      </w:r>
    </w:p>
    <w:bookmarkEnd w:id="0"/>
    <w:p w14:paraId="5B6EF5C5" w14:textId="77777777" w:rsidR="005A2FDF" w:rsidRPr="00C8674E" w:rsidRDefault="005A2FDF">
      <w:pPr>
        <w:jc w:val="center"/>
        <w:rPr>
          <w:szCs w:val="24"/>
        </w:rPr>
      </w:pPr>
      <w:r w:rsidRPr="00C8674E">
        <w:rPr>
          <w:szCs w:val="24"/>
        </w:rPr>
        <w:t>3020 State Avenue</w:t>
      </w:r>
    </w:p>
    <w:p w14:paraId="5B6EF5C6" w14:textId="03DC9BE0" w:rsidR="005A2FDF" w:rsidRPr="00C8674E" w:rsidRDefault="005A2FDF">
      <w:pPr>
        <w:jc w:val="center"/>
        <w:rPr>
          <w:szCs w:val="24"/>
        </w:rPr>
      </w:pPr>
      <w:r w:rsidRPr="00C8674E">
        <w:rPr>
          <w:szCs w:val="24"/>
        </w:rPr>
        <w:t xml:space="preserve">Billings, Montana </w:t>
      </w:r>
      <w:r w:rsidR="001B2E5F" w:rsidRPr="00C8674E">
        <w:rPr>
          <w:szCs w:val="24"/>
        </w:rPr>
        <w:t>5910</w:t>
      </w:r>
      <w:r w:rsidR="001B2E5F">
        <w:rPr>
          <w:szCs w:val="24"/>
        </w:rPr>
        <w:t>7</w:t>
      </w:r>
    </w:p>
    <w:p w14:paraId="5B6EF5C7" w14:textId="77777777" w:rsidR="005A2FDF" w:rsidRPr="006035AB" w:rsidRDefault="005A2FDF">
      <w:pPr>
        <w:rPr>
          <w:sz w:val="18"/>
          <w:szCs w:val="24"/>
        </w:rPr>
      </w:pPr>
    </w:p>
    <w:p w14:paraId="5B6EF5C8" w14:textId="77777777" w:rsidR="005A2FDF" w:rsidRDefault="005A2FDF">
      <w:pPr>
        <w:rPr>
          <w:szCs w:val="24"/>
        </w:rPr>
      </w:pPr>
      <w:r w:rsidRPr="00C8674E">
        <w:rPr>
          <w:szCs w:val="24"/>
        </w:rPr>
        <w:t>The following table summarizes the air quality programs testing, monitoring, and reporting requirements applicable to this facility.</w:t>
      </w:r>
    </w:p>
    <w:p w14:paraId="4E3CB5F7" w14:textId="77777777" w:rsidR="00985847" w:rsidRPr="00C8674E" w:rsidRDefault="00985847">
      <w:pPr>
        <w:rPr>
          <w:szCs w:val="24"/>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610"/>
        <w:gridCol w:w="626"/>
        <w:gridCol w:w="2964"/>
      </w:tblGrid>
      <w:tr w:rsidR="00D87872" w:rsidRPr="00C8674E" w14:paraId="5B6EF5CD" w14:textId="77777777" w:rsidTr="00985847">
        <w:trPr>
          <w:trHeight w:val="19"/>
          <w:tblHeader/>
        </w:trPr>
        <w:tc>
          <w:tcPr>
            <w:tcW w:w="5145" w:type="dxa"/>
            <w:tcBorders>
              <w:top w:val="double" w:sz="4" w:space="0" w:color="auto"/>
              <w:left w:val="double" w:sz="4" w:space="0" w:color="auto"/>
              <w:bottom w:val="double" w:sz="4" w:space="0" w:color="auto"/>
            </w:tcBorders>
            <w:shd w:val="clear" w:color="auto" w:fill="FFFFFF"/>
            <w:vAlign w:val="center"/>
          </w:tcPr>
          <w:p w14:paraId="5B6EF5C9" w14:textId="77777777" w:rsidR="005A2FDF" w:rsidRPr="00E50866" w:rsidRDefault="005A2FDF">
            <w:pPr>
              <w:pStyle w:val="Title"/>
            </w:pPr>
            <w:r w:rsidRPr="00E50866">
              <w:t>Facility Compliance Requirements</w:t>
            </w:r>
          </w:p>
        </w:tc>
        <w:tc>
          <w:tcPr>
            <w:tcW w:w="610" w:type="dxa"/>
            <w:tcBorders>
              <w:top w:val="double" w:sz="4" w:space="0" w:color="auto"/>
              <w:bottom w:val="double" w:sz="4" w:space="0" w:color="auto"/>
            </w:tcBorders>
            <w:shd w:val="clear" w:color="auto" w:fill="FFFFFF"/>
            <w:vAlign w:val="center"/>
          </w:tcPr>
          <w:p w14:paraId="5B6EF5CA" w14:textId="77777777" w:rsidR="005A2FDF" w:rsidRPr="00E50866" w:rsidRDefault="005A2FDF">
            <w:pPr>
              <w:jc w:val="center"/>
              <w:rPr>
                <w:b/>
              </w:rPr>
            </w:pPr>
            <w:r w:rsidRPr="00E50866">
              <w:rPr>
                <w:b/>
              </w:rPr>
              <w:t>Yes</w:t>
            </w:r>
          </w:p>
        </w:tc>
        <w:tc>
          <w:tcPr>
            <w:tcW w:w="626" w:type="dxa"/>
            <w:tcBorders>
              <w:top w:val="double" w:sz="4" w:space="0" w:color="auto"/>
              <w:bottom w:val="double" w:sz="4" w:space="0" w:color="auto"/>
            </w:tcBorders>
            <w:shd w:val="clear" w:color="auto" w:fill="FFFFFF"/>
            <w:vAlign w:val="center"/>
          </w:tcPr>
          <w:p w14:paraId="5B6EF5CB" w14:textId="77777777" w:rsidR="005A2FDF" w:rsidRPr="00E50866" w:rsidRDefault="005A2FDF">
            <w:pPr>
              <w:jc w:val="center"/>
              <w:rPr>
                <w:b/>
              </w:rPr>
            </w:pPr>
            <w:r w:rsidRPr="00E50866">
              <w:rPr>
                <w:b/>
              </w:rPr>
              <w:t>No</w:t>
            </w:r>
          </w:p>
        </w:tc>
        <w:tc>
          <w:tcPr>
            <w:tcW w:w="2964" w:type="dxa"/>
            <w:tcBorders>
              <w:top w:val="double" w:sz="4" w:space="0" w:color="auto"/>
              <w:bottom w:val="double" w:sz="4" w:space="0" w:color="auto"/>
              <w:right w:val="double" w:sz="4" w:space="0" w:color="auto"/>
            </w:tcBorders>
            <w:shd w:val="clear" w:color="auto" w:fill="FFFFFF"/>
            <w:vAlign w:val="center"/>
          </w:tcPr>
          <w:p w14:paraId="5B6EF5CC" w14:textId="77777777" w:rsidR="005A2FDF" w:rsidRPr="00E50866" w:rsidRDefault="005A2FDF">
            <w:pPr>
              <w:jc w:val="center"/>
              <w:rPr>
                <w:b/>
              </w:rPr>
            </w:pPr>
            <w:r w:rsidRPr="00E50866">
              <w:rPr>
                <w:b/>
              </w:rPr>
              <w:t>Comments</w:t>
            </w:r>
          </w:p>
        </w:tc>
      </w:tr>
      <w:tr w:rsidR="00D87872" w:rsidRPr="00C8674E" w14:paraId="5B6EF5D2" w14:textId="77777777" w:rsidTr="00985847">
        <w:trPr>
          <w:trHeight w:val="19"/>
        </w:trPr>
        <w:tc>
          <w:tcPr>
            <w:tcW w:w="5145" w:type="dxa"/>
            <w:tcBorders>
              <w:top w:val="double" w:sz="4" w:space="0" w:color="auto"/>
              <w:left w:val="double" w:sz="4" w:space="0" w:color="auto"/>
            </w:tcBorders>
            <w:vAlign w:val="center"/>
          </w:tcPr>
          <w:p w14:paraId="5B6EF5CE" w14:textId="77777777" w:rsidR="005A2FDF" w:rsidRPr="00C8674E" w:rsidRDefault="005A2FDF" w:rsidP="00DC1F23">
            <w:r w:rsidRPr="00C8674E">
              <w:t>Source Tests Required</w:t>
            </w:r>
          </w:p>
        </w:tc>
        <w:tc>
          <w:tcPr>
            <w:tcW w:w="610" w:type="dxa"/>
            <w:tcBorders>
              <w:top w:val="double" w:sz="4" w:space="0" w:color="auto"/>
            </w:tcBorders>
            <w:vAlign w:val="center"/>
          </w:tcPr>
          <w:p w14:paraId="5B6EF5CF" w14:textId="77777777" w:rsidR="005A2FDF" w:rsidRPr="00C8674E" w:rsidRDefault="005A2FDF">
            <w:pPr>
              <w:jc w:val="center"/>
            </w:pPr>
            <w:r w:rsidRPr="00C8674E">
              <w:t>X</w:t>
            </w:r>
          </w:p>
        </w:tc>
        <w:tc>
          <w:tcPr>
            <w:tcW w:w="626" w:type="dxa"/>
            <w:tcBorders>
              <w:top w:val="double" w:sz="4" w:space="0" w:color="auto"/>
            </w:tcBorders>
            <w:vAlign w:val="center"/>
          </w:tcPr>
          <w:p w14:paraId="5B6EF5D0" w14:textId="77777777" w:rsidR="005A2FDF" w:rsidRPr="00C8674E" w:rsidRDefault="005A2FDF">
            <w:pPr>
              <w:jc w:val="center"/>
            </w:pPr>
          </w:p>
        </w:tc>
        <w:tc>
          <w:tcPr>
            <w:tcW w:w="2964" w:type="dxa"/>
            <w:tcBorders>
              <w:top w:val="double" w:sz="4" w:space="0" w:color="auto"/>
              <w:right w:val="double" w:sz="4" w:space="0" w:color="auto"/>
            </w:tcBorders>
            <w:vAlign w:val="center"/>
          </w:tcPr>
          <w:p w14:paraId="5B6EF5D1" w14:textId="77777777" w:rsidR="005A2FDF" w:rsidRPr="00C8674E" w:rsidRDefault="005A2FDF" w:rsidP="00D87872">
            <w:pPr>
              <w:pStyle w:val="Header"/>
              <w:tabs>
                <w:tab w:val="clear" w:pos="4320"/>
                <w:tab w:val="clear" w:pos="8640"/>
              </w:tabs>
            </w:pPr>
            <w:r w:rsidRPr="00C8674E">
              <w:t>Method</w:t>
            </w:r>
            <w:r w:rsidR="007A4A0F" w:rsidRPr="00C8674E">
              <w:t>s</w:t>
            </w:r>
            <w:r w:rsidRPr="00C8674E">
              <w:t xml:space="preserve"> </w:t>
            </w:r>
            <w:r w:rsidR="007A4A0F" w:rsidRPr="00C8674E">
              <w:t xml:space="preserve">1-4, </w:t>
            </w:r>
            <w:r w:rsidRPr="00C8674E">
              <w:t>5, 6, &amp; 9</w:t>
            </w:r>
          </w:p>
        </w:tc>
      </w:tr>
      <w:tr w:rsidR="00D87872" w:rsidRPr="00C8674E" w14:paraId="5B6EF5D7" w14:textId="77777777" w:rsidTr="00985847">
        <w:trPr>
          <w:trHeight w:val="19"/>
        </w:trPr>
        <w:tc>
          <w:tcPr>
            <w:tcW w:w="5145" w:type="dxa"/>
            <w:tcBorders>
              <w:left w:val="double" w:sz="4" w:space="0" w:color="auto"/>
            </w:tcBorders>
            <w:vAlign w:val="center"/>
          </w:tcPr>
          <w:p w14:paraId="5B6EF5D3" w14:textId="77777777" w:rsidR="005A2FDF" w:rsidRPr="00C8674E" w:rsidRDefault="005A2FDF" w:rsidP="00DC1F23">
            <w:pPr>
              <w:pStyle w:val="Header"/>
              <w:tabs>
                <w:tab w:val="clear" w:pos="4320"/>
                <w:tab w:val="clear" w:pos="8640"/>
              </w:tabs>
            </w:pPr>
            <w:r w:rsidRPr="00C8674E">
              <w:t>Ambient Monitoring Required</w:t>
            </w:r>
          </w:p>
        </w:tc>
        <w:tc>
          <w:tcPr>
            <w:tcW w:w="610" w:type="dxa"/>
            <w:vAlign w:val="center"/>
          </w:tcPr>
          <w:p w14:paraId="5B6EF5D4" w14:textId="77777777" w:rsidR="005A2FDF" w:rsidRPr="00C8674E" w:rsidRDefault="005A2FDF">
            <w:pPr>
              <w:jc w:val="center"/>
            </w:pPr>
          </w:p>
        </w:tc>
        <w:tc>
          <w:tcPr>
            <w:tcW w:w="626" w:type="dxa"/>
            <w:vAlign w:val="center"/>
          </w:tcPr>
          <w:p w14:paraId="5B6EF5D5" w14:textId="77777777" w:rsidR="005A2FDF" w:rsidRPr="00C8674E" w:rsidRDefault="005A2FDF">
            <w:pPr>
              <w:jc w:val="center"/>
            </w:pPr>
            <w:r w:rsidRPr="00C8674E">
              <w:t>X</w:t>
            </w:r>
          </w:p>
        </w:tc>
        <w:tc>
          <w:tcPr>
            <w:tcW w:w="2964" w:type="dxa"/>
            <w:tcBorders>
              <w:right w:val="double" w:sz="4" w:space="0" w:color="auto"/>
            </w:tcBorders>
            <w:vAlign w:val="center"/>
          </w:tcPr>
          <w:p w14:paraId="5B6EF5D6" w14:textId="77777777" w:rsidR="005A2FDF" w:rsidRPr="00C8674E" w:rsidRDefault="005A2FDF" w:rsidP="00D87872"/>
        </w:tc>
      </w:tr>
      <w:tr w:rsidR="00D87872" w:rsidRPr="00C8674E" w14:paraId="5B6EF5DC" w14:textId="77777777" w:rsidTr="00985847">
        <w:trPr>
          <w:trHeight w:val="19"/>
        </w:trPr>
        <w:tc>
          <w:tcPr>
            <w:tcW w:w="5145" w:type="dxa"/>
            <w:tcBorders>
              <w:left w:val="double" w:sz="4" w:space="0" w:color="auto"/>
            </w:tcBorders>
            <w:vAlign w:val="center"/>
          </w:tcPr>
          <w:p w14:paraId="5B6EF5D8" w14:textId="77777777" w:rsidR="005A2FDF" w:rsidRPr="00C8674E" w:rsidRDefault="00DC1F23" w:rsidP="00DC1F23">
            <w:r w:rsidRPr="00C8674E">
              <w:t>Continuous Opacity Monitoring System (</w:t>
            </w:r>
            <w:r w:rsidR="005A2FDF" w:rsidRPr="00C8674E">
              <w:t>COMS</w:t>
            </w:r>
            <w:r w:rsidRPr="00C8674E">
              <w:t>)</w:t>
            </w:r>
            <w:r w:rsidR="005A2FDF" w:rsidRPr="00C8674E">
              <w:t xml:space="preserve"> Required</w:t>
            </w:r>
          </w:p>
        </w:tc>
        <w:tc>
          <w:tcPr>
            <w:tcW w:w="610" w:type="dxa"/>
            <w:vAlign w:val="center"/>
          </w:tcPr>
          <w:p w14:paraId="5B6EF5D9" w14:textId="77777777" w:rsidR="005A2FDF" w:rsidRPr="00C8674E" w:rsidRDefault="005A2FDF">
            <w:pPr>
              <w:jc w:val="center"/>
            </w:pPr>
          </w:p>
        </w:tc>
        <w:tc>
          <w:tcPr>
            <w:tcW w:w="626" w:type="dxa"/>
            <w:vAlign w:val="center"/>
          </w:tcPr>
          <w:p w14:paraId="5B6EF5DA" w14:textId="77777777" w:rsidR="005A2FDF" w:rsidRPr="00C8674E" w:rsidRDefault="005A2FDF">
            <w:pPr>
              <w:jc w:val="center"/>
            </w:pPr>
            <w:r w:rsidRPr="00C8674E">
              <w:t>X</w:t>
            </w:r>
          </w:p>
        </w:tc>
        <w:tc>
          <w:tcPr>
            <w:tcW w:w="2964" w:type="dxa"/>
            <w:tcBorders>
              <w:right w:val="double" w:sz="4" w:space="0" w:color="auto"/>
            </w:tcBorders>
            <w:vAlign w:val="center"/>
          </w:tcPr>
          <w:p w14:paraId="5B6EF5DB" w14:textId="77777777" w:rsidR="005A2FDF" w:rsidRPr="00C8674E" w:rsidRDefault="005A2FDF" w:rsidP="00D87872"/>
        </w:tc>
      </w:tr>
      <w:tr w:rsidR="00D87872" w:rsidRPr="00C8674E" w14:paraId="5B6EF5E2" w14:textId="77777777" w:rsidTr="00985847">
        <w:trPr>
          <w:trHeight w:val="19"/>
        </w:trPr>
        <w:tc>
          <w:tcPr>
            <w:tcW w:w="5145" w:type="dxa"/>
            <w:tcBorders>
              <w:left w:val="double" w:sz="4" w:space="0" w:color="auto"/>
            </w:tcBorders>
            <w:vAlign w:val="center"/>
          </w:tcPr>
          <w:p w14:paraId="5B6EF5DD" w14:textId="77777777" w:rsidR="005A2FDF" w:rsidRPr="00C8674E" w:rsidRDefault="00DC1F23" w:rsidP="00DC1F23">
            <w:r w:rsidRPr="00C8674E">
              <w:t xml:space="preserve">Continuous Emission Monitoring </w:t>
            </w:r>
            <w:r w:rsidRPr="0074608B">
              <w:t>System (</w:t>
            </w:r>
            <w:r w:rsidR="005A2FDF" w:rsidRPr="0074608B">
              <w:t>CEMS</w:t>
            </w:r>
            <w:r w:rsidRPr="0074608B">
              <w:t>)</w:t>
            </w:r>
            <w:r w:rsidR="005A2FDF" w:rsidRPr="00C8674E">
              <w:t xml:space="preserve"> Required</w:t>
            </w:r>
          </w:p>
          <w:p w14:paraId="5B6EF5DE" w14:textId="77777777" w:rsidR="005A767B" w:rsidRPr="00C8674E" w:rsidRDefault="005A767B" w:rsidP="00DC1F23">
            <w:r w:rsidRPr="00C8674E">
              <w:t>Continuous Emission Rate Monitoring System (CERMS) Required</w:t>
            </w:r>
          </w:p>
        </w:tc>
        <w:tc>
          <w:tcPr>
            <w:tcW w:w="610" w:type="dxa"/>
            <w:vAlign w:val="center"/>
          </w:tcPr>
          <w:p w14:paraId="5B6EF5DF" w14:textId="26D1CDB0" w:rsidR="005A2FDF" w:rsidRPr="00C8674E" w:rsidRDefault="005A2FDF">
            <w:pPr>
              <w:jc w:val="center"/>
            </w:pPr>
          </w:p>
        </w:tc>
        <w:tc>
          <w:tcPr>
            <w:tcW w:w="626" w:type="dxa"/>
            <w:vAlign w:val="center"/>
          </w:tcPr>
          <w:p w14:paraId="5B6EF5E0" w14:textId="18ABB686" w:rsidR="005A2FDF" w:rsidRPr="00C8674E" w:rsidRDefault="0074608B">
            <w:pPr>
              <w:jc w:val="center"/>
            </w:pPr>
            <w:r w:rsidRPr="0074608B">
              <w:t>X</w:t>
            </w:r>
          </w:p>
        </w:tc>
        <w:tc>
          <w:tcPr>
            <w:tcW w:w="2964" w:type="dxa"/>
            <w:tcBorders>
              <w:right w:val="double" w:sz="4" w:space="0" w:color="auto"/>
            </w:tcBorders>
            <w:vAlign w:val="center"/>
          </w:tcPr>
          <w:p w14:paraId="5B6EF5E1" w14:textId="75111016" w:rsidR="005A2FDF" w:rsidRPr="00C8674E" w:rsidRDefault="0074608B" w:rsidP="00D87872">
            <w:r>
              <w:t>Removed under 202</w:t>
            </w:r>
            <w:r w:rsidR="00512D5F">
              <w:t>6</w:t>
            </w:r>
            <w:r>
              <w:t xml:space="preserve"> SIP Modifications </w:t>
            </w:r>
          </w:p>
        </w:tc>
      </w:tr>
      <w:tr w:rsidR="00D87872" w:rsidRPr="00C8674E" w14:paraId="5B6EF5E7" w14:textId="77777777" w:rsidTr="00985847">
        <w:trPr>
          <w:trHeight w:val="19"/>
        </w:trPr>
        <w:tc>
          <w:tcPr>
            <w:tcW w:w="5145" w:type="dxa"/>
            <w:tcBorders>
              <w:left w:val="double" w:sz="4" w:space="0" w:color="auto"/>
            </w:tcBorders>
            <w:vAlign w:val="center"/>
          </w:tcPr>
          <w:p w14:paraId="5B6EF5E3" w14:textId="77777777" w:rsidR="005A2FDF" w:rsidRPr="00C8674E" w:rsidRDefault="005A2FDF" w:rsidP="00DC1F23">
            <w:r w:rsidRPr="00C8674E">
              <w:t>Schedule of Compliance Required</w:t>
            </w:r>
          </w:p>
        </w:tc>
        <w:tc>
          <w:tcPr>
            <w:tcW w:w="610" w:type="dxa"/>
            <w:vAlign w:val="center"/>
          </w:tcPr>
          <w:p w14:paraId="5B6EF5E4" w14:textId="77777777" w:rsidR="005A2FDF" w:rsidRPr="00C8674E" w:rsidRDefault="005A2FDF">
            <w:pPr>
              <w:jc w:val="center"/>
            </w:pPr>
          </w:p>
        </w:tc>
        <w:tc>
          <w:tcPr>
            <w:tcW w:w="626" w:type="dxa"/>
            <w:vAlign w:val="center"/>
          </w:tcPr>
          <w:p w14:paraId="5B6EF5E5" w14:textId="77777777" w:rsidR="005A2FDF" w:rsidRPr="00C8674E" w:rsidRDefault="005A2FDF">
            <w:pPr>
              <w:jc w:val="center"/>
            </w:pPr>
            <w:r w:rsidRPr="00C8674E">
              <w:t>X</w:t>
            </w:r>
          </w:p>
        </w:tc>
        <w:tc>
          <w:tcPr>
            <w:tcW w:w="2964" w:type="dxa"/>
            <w:tcBorders>
              <w:right w:val="double" w:sz="4" w:space="0" w:color="auto"/>
            </w:tcBorders>
            <w:vAlign w:val="center"/>
          </w:tcPr>
          <w:p w14:paraId="5B6EF5E6" w14:textId="77777777" w:rsidR="005A2FDF" w:rsidRPr="00C8674E" w:rsidRDefault="005A2FDF" w:rsidP="00D87872"/>
        </w:tc>
      </w:tr>
      <w:tr w:rsidR="00D87872" w:rsidRPr="00C8674E" w14:paraId="5B6EF5EC" w14:textId="77777777" w:rsidTr="00985847">
        <w:trPr>
          <w:trHeight w:val="19"/>
        </w:trPr>
        <w:tc>
          <w:tcPr>
            <w:tcW w:w="5145" w:type="dxa"/>
            <w:tcBorders>
              <w:left w:val="double" w:sz="4" w:space="0" w:color="auto"/>
            </w:tcBorders>
            <w:vAlign w:val="center"/>
          </w:tcPr>
          <w:p w14:paraId="5B6EF5E8" w14:textId="77777777" w:rsidR="005A2FDF" w:rsidRPr="00C8674E" w:rsidRDefault="005A2FDF" w:rsidP="00DC1F23">
            <w:r w:rsidRPr="00C8674E">
              <w:t>Annual Compliance Certification and Semiannual Reporting Required</w:t>
            </w:r>
          </w:p>
        </w:tc>
        <w:tc>
          <w:tcPr>
            <w:tcW w:w="610" w:type="dxa"/>
            <w:vAlign w:val="center"/>
          </w:tcPr>
          <w:p w14:paraId="5B6EF5E9" w14:textId="77777777" w:rsidR="005A2FDF" w:rsidRPr="00C8674E" w:rsidRDefault="005A2FDF">
            <w:pPr>
              <w:jc w:val="center"/>
            </w:pPr>
            <w:r w:rsidRPr="00C8674E">
              <w:t>X</w:t>
            </w:r>
          </w:p>
        </w:tc>
        <w:tc>
          <w:tcPr>
            <w:tcW w:w="626" w:type="dxa"/>
            <w:vAlign w:val="center"/>
          </w:tcPr>
          <w:p w14:paraId="5B6EF5EA" w14:textId="77777777" w:rsidR="005A2FDF" w:rsidRPr="00C8674E" w:rsidRDefault="005A2FDF">
            <w:pPr>
              <w:jc w:val="center"/>
            </w:pPr>
          </w:p>
        </w:tc>
        <w:tc>
          <w:tcPr>
            <w:tcW w:w="2964" w:type="dxa"/>
            <w:tcBorders>
              <w:right w:val="double" w:sz="4" w:space="0" w:color="auto"/>
            </w:tcBorders>
            <w:vAlign w:val="center"/>
          </w:tcPr>
          <w:p w14:paraId="5B6EF5EB" w14:textId="77777777" w:rsidR="005A2FDF" w:rsidRPr="00C8674E" w:rsidRDefault="005A2FDF" w:rsidP="00D87872">
            <w:r w:rsidRPr="00C8674E">
              <w:t>Semiannual and Annual</w:t>
            </w:r>
          </w:p>
        </w:tc>
      </w:tr>
      <w:tr w:rsidR="00D87872" w:rsidRPr="00C8674E" w14:paraId="5B6EF5F1" w14:textId="77777777" w:rsidTr="00985847">
        <w:trPr>
          <w:trHeight w:val="19"/>
        </w:trPr>
        <w:tc>
          <w:tcPr>
            <w:tcW w:w="5145" w:type="dxa"/>
            <w:tcBorders>
              <w:left w:val="double" w:sz="4" w:space="0" w:color="auto"/>
            </w:tcBorders>
            <w:vAlign w:val="center"/>
          </w:tcPr>
          <w:p w14:paraId="5B6EF5ED" w14:textId="77777777" w:rsidR="005A2FDF" w:rsidRPr="001B2E5F" w:rsidRDefault="005A2FDF" w:rsidP="00DC1F23">
            <w:r w:rsidRPr="001B2E5F">
              <w:t>Monthly Reporting Required</w:t>
            </w:r>
          </w:p>
        </w:tc>
        <w:tc>
          <w:tcPr>
            <w:tcW w:w="610" w:type="dxa"/>
            <w:vAlign w:val="center"/>
          </w:tcPr>
          <w:p w14:paraId="5B6EF5EE" w14:textId="77777777" w:rsidR="005A2FDF" w:rsidRPr="001B2E5F" w:rsidRDefault="005A2FDF">
            <w:pPr>
              <w:jc w:val="center"/>
            </w:pPr>
          </w:p>
        </w:tc>
        <w:tc>
          <w:tcPr>
            <w:tcW w:w="626" w:type="dxa"/>
            <w:vAlign w:val="center"/>
          </w:tcPr>
          <w:p w14:paraId="5B6EF5EF" w14:textId="77777777" w:rsidR="005A2FDF" w:rsidRPr="001B2E5F" w:rsidRDefault="005A2FDF">
            <w:pPr>
              <w:jc w:val="center"/>
            </w:pPr>
            <w:r w:rsidRPr="001B2E5F">
              <w:t>X</w:t>
            </w:r>
          </w:p>
        </w:tc>
        <w:tc>
          <w:tcPr>
            <w:tcW w:w="2964" w:type="dxa"/>
            <w:tcBorders>
              <w:right w:val="double" w:sz="4" w:space="0" w:color="auto"/>
            </w:tcBorders>
            <w:vAlign w:val="center"/>
          </w:tcPr>
          <w:p w14:paraId="5B6EF5F0" w14:textId="77777777" w:rsidR="005A2FDF" w:rsidRPr="001B2E5F" w:rsidRDefault="005A2FDF" w:rsidP="00D87872"/>
        </w:tc>
      </w:tr>
      <w:tr w:rsidR="001B2E5F" w:rsidRPr="00C8674E" w14:paraId="38D6E5AF" w14:textId="77777777" w:rsidTr="00985847">
        <w:trPr>
          <w:trHeight w:val="19"/>
        </w:trPr>
        <w:tc>
          <w:tcPr>
            <w:tcW w:w="5145" w:type="dxa"/>
            <w:tcBorders>
              <w:left w:val="double" w:sz="4" w:space="0" w:color="auto"/>
            </w:tcBorders>
            <w:vAlign w:val="center"/>
          </w:tcPr>
          <w:p w14:paraId="1FC1E3B6" w14:textId="75C66EE5" w:rsidR="001B2E5F" w:rsidRPr="001B2E5F" w:rsidRDefault="001B2E5F" w:rsidP="00DC1F23">
            <w:r w:rsidRPr="001B2E5F">
              <w:t>Annual Emissions Inventory Reporting</w:t>
            </w:r>
          </w:p>
        </w:tc>
        <w:tc>
          <w:tcPr>
            <w:tcW w:w="610" w:type="dxa"/>
            <w:vAlign w:val="center"/>
          </w:tcPr>
          <w:p w14:paraId="6C497922" w14:textId="30B0FC1E" w:rsidR="001B2E5F" w:rsidRPr="001B2E5F" w:rsidRDefault="001B2E5F">
            <w:pPr>
              <w:jc w:val="center"/>
            </w:pPr>
            <w:r w:rsidRPr="001B2E5F">
              <w:t>X</w:t>
            </w:r>
          </w:p>
        </w:tc>
        <w:tc>
          <w:tcPr>
            <w:tcW w:w="626" w:type="dxa"/>
            <w:vAlign w:val="center"/>
          </w:tcPr>
          <w:p w14:paraId="59B8FA25" w14:textId="77777777" w:rsidR="001B2E5F" w:rsidRPr="001B2E5F" w:rsidRDefault="001B2E5F">
            <w:pPr>
              <w:jc w:val="center"/>
            </w:pPr>
          </w:p>
        </w:tc>
        <w:tc>
          <w:tcPr>
            <w:tcW w:w="2964" w:type="dxa"/>
            <w:tcBorders>
              <w:right w:val="double" w:sz="4" w:space="0" w:color="auto"/>
            </w:tcBorders>
            <w:vAlign w:val="center"/>
          </w:tcPr>
          <w:p w14:paraId="286153C1" w14:textId="7D5F6ECB" w:rsidR="001B2E5F" w:rsidRPr="001B2E5F" w:rsidRDefault="001B2E5F" w:rsidP="00D87872">
            <w:r w:rsidRPr="001B2E5F">
              <w:t>Quarterly reporting replaced by Annual Emissions Inventory Reporting</w:t>
            </w:r>
          </w:p>
        </w:tc>
      </w:tr>
      <w:tr w:rsidR="001B2E5F" w:rsidRPr="00C8674E" w14:paraId="0A8548DE" w14:textId="77777777" w:rsidTr="00985847">
        <w:trPr>
          <w:trHeight w:val="19"/>
        </w:trPr>
        <w:tc>
          <w:tcPr>
            <w:tcW w:w="5145" w:type="dxa"/>
            <w:tcBorders>
              <w:left w:val="double" w:sz="4" w:space="0" w:color="auto"/>
            </w:tcBorders>
            <w:vAlign w:val="center"/>
          </w:tcPr>
          <w:p w14:paraId="7CB14127" w14:textId="30ACCF48" w:rsidR="001B2E5F" w:rsidRPr="00C8674E" w:rsidRDefault="001B2E5F" w:rsidP="00DC1F23">
            <w:r>
              <w:t>Heat-Input Monitoring and Limitation</w:t>
            </w:r>
          </w:p>
        </w:tc>
        <w:tc>
          <w:tcPr>
            <w:tcW w:w="610" w:type="dxa"/>
            <w:vAlign w:val="center"/>
          </w:tcPr>
          <w:p w14:paraId="371D69AF" w14:textId="175C8E52" w:rsidR="001B2E5F" w:rsidRPr="00C8674E" w:rsidRDefault="001B2E5F">
            <w:pPr>
              <w:jc w:val="center"/>
            </w:pPr>
            <w:r>
              <w:t>X</w:t>
            </w:r>
          </w:p>
        </w:tc>
        <w:tc>
          <w:tcPr>
            <w:tcW w:w="626" w:type="dxa"/>
            <w:vAlign w:val="center"/>
          </w:tcPr>
          <w:p w14:paraId="7E6C236E" w14:textId="77777777" w:rsidR="001B2E5F" w:rsidRPr="00C8674E" w:rsidRDefault="001B2E5F">
            <w:pPr>
              <w:jc w:val="center"/>
            </w:pPr>
          </w:p>
        </w:tc>
        <w:tc>
          <w:tcPr>
            <w:tcW w:w="2964" w:type="dxa"/>
            <w:tcBorders>
              <w:right w:val="double" w:sz="4" w:space="0" w:color="auto"/>
            </w:tcBorders>
            <w:vAlign w:val="center"/>
          </w:tcPr>
          <w:p w14:paraId="15983065" w14:textId="77777777" w:rsidR="001B2E5F" w:rsidRPr="00C8674E" w:rsidRDefault="001B2E5F" w:rsidP="00D87872"/>
        </w:tc>
      </w:tr>
      <w:tr w:rsidR="00D87872" w:rsidRPr="00C8674E" w14:paraId="5B6EF5FB" w14:textId="77777777" w:rsidTr="00985847">
        <w:trPr>
          <w:trHeight w:val="19"/>
        </w:trPr>
        <w:tc>
          <w:tcPr>
            <w:tcW w:w="5145" w:type="dxa"/>
            <w:tcBorders>
              <w:top w:val="double" w:sz="4" w:space="0" w:color="auto"/>
              <w:left w:val="double" w:sz="4" w:space="0" w:color="auto"/>
              <w:bottom w:val="double" w:sz="4" w:space="0" w:color="auto"/>
            </w:tcBorders>
            <w:shd w:val="clear" w:color="auto" w:fill="FFFFFF"/>
            <w:vAlign w:val="center"/>
          </w:tcPr>
          <w:p w14:paraId="5B6EF5F7" w14:textId="77777777" w:rsidR="005A2FDF" w:rsidRPr="00C8674E" w:rsidRDefault="005A2FDF">
            <w:pPr>
              <w:pStyle w:val="Title"/>
            </w:pPr>
            <w:r w:rsidRPr="00C8674E">
              <w:t>Applicable Air Quality Programs</w:t>
            </w:r>
          </w:p>
        </w:tc>
        <w:tc>
          <w:tcPr>
            <w:tcW w:w="610" w:type="dxa"/>
            <w:tcBorders>
              <w:top w:val="double" w:sz="4" w:space="0" w:color="auto"/>
              <w:bottom w:val="double" w:sz="4" w:space="0" w:color="auto"/>
            </w:tcBorders>
            <w:shd w:val="clear" w:color="auto" w:fill="FFFFFF"/>
            <w:vAlign w:val="center"/>
          </w:tcPr>
          <w:p w14:paraId="5B6EF5F8" w14:textId="77777777" w:rsidR="005A2FDF" w:rsidRPr="00C8674E" w:rsidRDefault="005A2FDF">
            <w:pPr>
              <w:jc w:val="center"/>
            </w:pPr>
          </w:p>
        </w:tc>
        <w:tc>
          <w:tcPr>
            <w:tcW w:w="626" w:type="dxa"/>
            <w:tcBorders>
              <w:top w:val="double" w:sz="4" w:space="0" w:color="auto"/>
              <w:bottom w:val="double" w:sz="4" w:space="0" w:color="auto"/>
            </w:tcBorders>
            <w:shd w:val="clear" w:color="auto" w:fill="FFFFFF"/>
            <w:vAlign w:val="center"/>
          </w:tcPr>
          <w:p w14:paraId="5B6EF5F9" w14:textId="77777777" w:rsidR="005A2FDF" w:rsidRPr="00C8674E" w:rsidRDefault="005A2FDF">
            <w:pPr>
              <w:jc w:val="center"/>
            </w:pPr>
          </w:p>
        </w:tc>
        <w:tc>
          <w:tcPr>
            <w:tcW w:w="2964" w:type="dxa"/>
            <w:tcBorders>
              <w:top w:val="double" w:sz="4" w:space="0" w:color="auto"/>
              <w:bottom w:val="double" w:sz="4" w:space="0" w:color="auto"/>
              <w:right w:val="double" w:sz="4" w:space="0" w:color="auto"/>
            </w:tcBorders>
            <w:shd w:val="clear" w:color="auto" w:fill="FFFFFF"/>
            <w:vAlign w:val="center"/>
          </w:tcPr>
          <w:p w14:paraId="5B6EF5FA" w14:textId="77777777" w:rsidR="005A2FDF" w:rsidRPr="00C8674E" w:rsidRDefault="005A2FDF" w:rsidP="00D87872"/>
        </w:tc>
      </w:tr>
      <w:tr w:rsidR="00D87872" w:rsidRPr="00C8674E" w14:paraId="5B6EF601" w14:textId="77777777" w:rsidTr="00985847">
        <w:trPr>
          <w:trHeight w:val="19"/>
        </w:trPr>
        <w:tc>
          <w:tcPr>
            <w:tcW w:w="5145" w:type="dxa"/>
            <w:tcBorders>
              <w:top w:val="double" w:sz="4" w:space="0" w:color="auto"/>
              <w:left w:val="double" w:sz="4" w:space="0" w:color="auto"/>
            </w:tcBorders>
            <w:vAlign w:val="center"/>
          </w:tcPr>
          <w:p w14:paraId="5B6EF5FC" w14:textId="77777777" w:rsidR="005A2FDF" w:rsidRPr="00C8674E" w:rsidRDefault="005A2FDF" w:rsidP="00D87872">
            <w:r w:rsidRPr="00C8674E">
              <w:t xml:space="preserve">ARM Subchapter 7 </w:t>
            </w:r>
            <w:r w:rsidR="00D87872" w:rsidRPr="00C8674E">
              <w:t>Montana Air Quality Permit</w:t>
            </w:r>
          </w:p>
        </w:tc>
        <w:tc>
          <w:tcPr>
            <w:tcW w:w="610" w:type="dxa"/>
            <w:tcBorders>
              <w:top w:val="double" w:sz="4" w:space="0" w:color="auto"/>
            </w:tcBorders>
            <w:vAlign w:val="center"/>
          </w:tcPr>
          <w:p w14:paraId="5B6EF5FD" w14:textId="77777777" w:rsidR="005A2FDF" w:rsidRPr="00C8674E" w:rsidRDefault="005A2FDF">
            <w:pPr>
              <w:jc w:val="center"/>
            </w:pPr>
            <w:r w:rsidRPr="00C8674E">
              <w:t>X</w:t>
            </w:r>
          </w:p>
        </w:tc>
        <w:tc>
          <w:tcPr>
            <w:tcW w:w="626" w:type="dxa"/>
            <w:tcBorders>
              <w:top w:val="double" w:sz="4" w:space="0" w:color="auto"/>
            </w:tcBorders>
            <w:vAlign w:val="center"/>
          </w:tcPr>
          <w:p w14:paraId="5B6EF5FE" w14:textId="77777777" w:rsidR="005A2FDF" w:rsidRPr="00C8674E" w:rsidRDefault="005A2FDF">
            <w:pPr>
              <w:jc w:val="center"/>
            </w:pPr>
          </w:p>
        </w:tc>
        <w:tc>
          <w:tcPr>
            <w:tcW w:w="2964" w:type="dxa"/>
            <w:tcBorders>
              <w:top w:val="double" w:sz="4" w:space="0" w:color="auto"/>
              <w:right w:val="double" w:sz="4" w:space="0" w:color="auto"/>
            </w:tcBorders>
            <w:vAlign w:val="center"/>
          </w:tcPr>
          <w:p w14:paraId="5B6EF5FF" w14:textId="77777777" w:rsidR="00D87872" w:rsidRPr="00C8674E" w:rsidRDefault="00D87872" w:rsidP="00D87872">
            <w:r w:rsidRPr="00C8674E">
              <w:t xml:space="preserve">Montana Air Quality Permit </w:t>
            </w:r>
          </w:p>
          <w:p w14:paraId="5B6EF600" w14:textId="6708B822" w:rsidR="005A2FDF" w:rsidRPr="00C8674E" w:rsidRDefault="00D87872" w:rsidP="00D87872">
            <w:r w:rsidRPr="00C8674E">
              <w:t xml:space="preserve">(MAQP) </w:t>
            </w:r>
            <w:r w:rsidR="005A2FDF" w:rsidRPr="00C8674E">
              <w:t>#2912-0</w:t>
            </w:r>
            <w:r w:rsidR="00444A4C">
              <w:t>5</w:t>
            </w:r>
          </w:p>
        </w:tc>
      </w:tr>
      <w:tr w:rsidR="00D87872" w:rsidRPr="00C8674E" w14:paraId="5B6EF606" w14:textId="77777777" w:rsidTr="00985847">
        <w:trPr>
          <w:trHeight w:val="19"/>
        </w:trPr>
        <w:tc>
          <w:tcPr>
            <w:tcW w:w="5145" w:type="dxa"/>
            <w:tcBorders>
              <w:left w:val="double" w:sz="4" w:space="0" w:color="auto"/>
            </w:tcBorders>
            <w:vAlign w:val="center"/>
          </w:tcPr>
          <w:p w14:paraId="5B6EF602" w14:textId="77777777" w:rsidR="005A2FDF" w:rsidRPr="00C8674E" w:rsidRDefault="005A2FDF" w:rsidP="00D87872">
            <w:r w:rsidRPr="00C8674E">
              <w:t xml:space="preserve">New Source Performance </w:t>
            </w:r>
            <w:r w:rsidRPr="00AE7640">
              <w:t>Standards (NSPS)</w:t>
            </w:r>
          </w:p>
        </w:tc>
        <w:tc>
          <w:tcPr>
            <w:tcW w:w="610" w:type="dxa"/>
            <w:vAlign w:val="center"/>
          </w:tcPr>
          <w:p w14:paraId="5B6EF603" w14:textId="299D7EC9" w:rsidR="005A2FDF" w:rsidRPr="00C8674E" w:rsidRDefault="0074608B" w:rsidP="00FA3781">
            <w:pPr>
              <w:jc w:val="center"/>
            </w:pPr>
            <w:r>
              <w:t>X</w:t>
            </w:r>
          </w:p>
        </w:tc>
        <w:tc>
          <w:tcPr>
            <w:tcW w:w="626" w:type="dxa"/>
            <w:vAlign w:val="center"/>
          </w:tcPr>
          <w:p w14:paraId="5B6EF604" w14:textId="5CB3E1AA" w:rsidR="005A2FDF" w:rsidRPr="00C8674E" w:rsidRDefault="005A2FDF">
            <w:pPr>
              <w:jc w:val="center"/>
            </w:pPr>
          </w:p>
        </w:tc>
        <w:tc>
          <w:tcPr>
            <w:tcW w:w="2964" w:type="dxa"/>
            <w:tcBorders>
              <w:right w:val="double" w:sz="4" w:space="0" w:color="auto"/>
            </w:tcBorders>
            <w:vAlign w:val="center"/>
          </w:tcPr>
          <w:p w14:paraId="5B6EF605" w14:textId="6967A0AE" w:rsidR="005A2FDF" w:rsidRPr="00C8674E" w:rsidRDefault="0074608B" w:rsidP="00D87872">
            <w:r>
              <w:t>40 CFR 60 Subpart Y</w:t>
            </w:r>
          </w:p>
        </w:tc>
      </w:tr>
      <w:tr w:rsidR="00D87872" w:rsidRPr="00C8674E" w14:paraId="5B6EF60B" w14:textId="77777777" w:rsidTr="00985847">
        <w:trPr>
          <w:trHeight w:val="19"/>
        </w:trPr>
        <w:tc>
          <w:tcPr>
            <w:tcW w:w="5145" w:type="dxa"/>
            <w:tcBorders>
              <w:left w:val="double" w:sz="4" w:space="0" w:color="auto"/>
            </w:tcBorders>
            <w:vAlign w:val="center"/>
          </w:tcPr>
          <w:p w14:paraId="5B6EF607" w14:textId="77777777" w:rsidR="005A2FDF" w:rsidRPr="007E60EA" w:rsidRDefault="005A2FDF" w:rsidP="00D87872">
            <w:r w:rsidRPr="007E60EA">
              <w:t xml:space="preserve">National Emission Standards for Hazardous Air </w:t>
            </w:r>
            <w:r w:rsidRPr="00AE7640">
              <w:t>Pollutants (NESHAPS)</w:t>
            </w:r>
          </w:p>
        </w:tc>
        <w:tc>
          <w:tcPr>
            <w:tcW w:w="610" w:type="dxa"/>
            <w:vAlign w:val="center"/>
          </w:tcPr>
          <w:p w14:paraId="5B6EF608" w14:textId="478C1D9C" w:rsidR="005A2FDF" w:rsidRPr="007E60EA" w:rsidRDefault="0074608B">
            <w:pPr>
              <w:jc w:val="center"/>
            </w:pPr>
            <w:r>
              <w:t>X</w:t>
            </w:r>
          </w:p>
        </w:tc>
        <w:tc>
          <w:tcPr>
            <w:tcW w:w="626" w:type="dxa"/>
            <w:vAlign w:val="center"/>
          </w:tcPr>
          <w:p w14:paraId="5B6EF609" w14:textId="7BE51DDB" w:rsidR="005A2FDF" w:rsidRPr="007E60EA" w:rsidRDefault="005A2FDF">
            <w:pPr>
              <w:jc w:val="center"/>
            </w:pPr>
          </w:p>
        </w:tc>
        <w:tc>
          <w:tcPr>
            <w:tcW w:w="2964" w:type="dxa"/>
            <w:tcBorders>
              <w:right w:val="double" w:sz="4" w:space="0" w:color="auto"/>
            </w:tcBorders>
            <w:vAlign w:val="center"/>
          </w:tcPr>
          <w:p w14:paraId="5B6EF60A" w14:textId="3F0F7057" w:rsidR="005A2FDF" w:rsidRPr="007E60EA" w:rsidRDefault="005A2FDF" w:rsidP="00D87872">
            <w:r w:rsidRPr="007E60EA">
              <w:t>40 CFR 61, Subpart M</w:t>
            </w:r>
          </w:p>
        </w:tc>
      </w:tr>
      <w:tr w:rsidR="00D87872" w:rsidRPr="00C8674E" w14:paraId="5B6EF610" w14:textId="77777777" w:rsidTr="00985847">
        <w:trPr>
          <w:trHeight w:val="19"/>
        </w:trPr>
        <w:tc>
          <w:tcPr>
            <w:tcW w:w="5145" w:type="dxa"/>
            <w:tcBorders>
              <w:left w:val="double" w:sz="4" w:space="0" w:color="auto"/>
            </w:tcBorders>
            <w:vAlign w:val="center"/>
          </w:tcPr>
          <w:p w14:paraId="5B6EF60C" w14:textId="77777777" w:rsidR="005A2FDF" w:rsidRPr="00C72EA4" w:rsidRDefault="005A2FDF" w:rsidP="00D87872">
            <w:r w:rsidRPr="00C72EA4">
              <w:t xml:space="preserve">Maximum Achievable Control </w:t>
            </w:r>
            <w:r w:rsidRPr="00AE7640">
              <w:t>Technology (MACT)</w:t>
            </w:r>
          </w:p>
        </w:tc>
        <w:tc>
          <w:tcPr>
            <w:tcW w:w="610" w:type="dxa"/>
            <w:vAlign w:val="center"/>
          </w:tcPr>
          <w:p w14:paraId="5B6EF60D" w14:textId="77777777" w:rsidR="005A2FDF" w:rsidRPr="00C72EA4" w:rsidRDefault="00EE4B50">
            <w:pPr>
              <w:jc w:val="center"/>
            </w:pPr>
            <w:r w:rsidRPr="00C72EA4">
              <w:t>X</w:t>
            </w:r>
          </w:p>
        </w:tc>
        <w:tc>
          <w:tcPr>
            <w:tcW w:w="626" w:type="dxa"/>
            <w:vAlign w:val="center"/>
          </w:tcPr>
          <w:p w14:paraId="5B6EF60E" w14:textId="77777777" w:rsidR="005A2FDF" w:rsidRPr="00C72EA4" w:rsidRDefault="005A2FDF">
            <w:pPr>
              <w:jc w:val="center"/>
            </w:pPr>
          </w:p>
        </w:tc>
        <w:tc>
          <w:tcPr>
            <w:tcW w:w="2964" w:type="dxa"/>
            <w:tcBorders>
              <w:right w:val="double" w:sz="4" w:space="0" w:color="auto"/>
            </w:tcBorders>
            <w:vAlign w:val="center"/>
          </w:tcPr>
          <w:p w14:paraId="5B6EF60F" w14:textId="29E74DB9" w:rsidR="005A2FDF" w:rsidRPr="00C72EA4" w:rsidRDefault="00EE4B50" w:rsidP="00D87872">
            <w:r w:rsidRPr="00C72EA4">
              <w:t>40 CFR 63 Subpart CCCCCC and 40 CFR</w:t>
            </w:r>
            <w:r w:rsidR="0074608B">
              <w:t xml:space="preserve"> 63</w:t>
            </w:r>
            <w:r w:rsidRPr="00C72EA4">
              <w:t xml:space="preserve"> Subpart JJJJJJ</w:t>
            </w:r>
          </w:p>
        </w:tc>
      </w:tr>
      <w:tr w:rsidR="00D87872" w:rsidRPr="00C8674E" w14:paraId="5B6EF615" w14:textId="77777777" w:rsidTr="00985847">
        <w:trPr>
          <w:cantSplit/>
          <w:trHeight w:val="19"/>
        </w:trPr>
        <w:tc>
          <w:tcPr>
            <w:tcW w:w="5145" w:type="dxa"/>
            <w:tcBorders>
              <w:left w:val="double" w:sz="4" w:space="0" w:color="auto"/>
              <w:bottom w:val="single" w:sz="4" w:space="0" w:color="auto"/>
            </w:tcBorders>
            <w:vAlign w:val="center"/>
          </w:tcPr>
          <w:p w14:paraId="5B6EF611" w14:textId="77777777" w:rsidR="005A2FDF" w:rsidRPr="00C8674E" w:rsidRDefault="005A2FDF" w:rsidP="00D87872">
            <w:r w:rsidRPr="00C8674E">
              <w:t xml:space="preserve">Major New Source Review (NSR) </w:t>
            </w:r>
            <w:r w:rsidR="00D87872" w:rsidRPr="00C8674E">
              <w:t xml:space="preserve">- </w:t>
            </w:r>
            <w:r w:rsidRPr="00C8674E">
              <w:t>Includes Prevention of Significant Deterioration (PSD) and/or Non-attainment Area (NAA) NSR</w:t>
            </w:r>
          </w:p>
        </w:tc>
        <w:tc>
          <w:tcPr>
            <w:tcW w:w="610" w:type="dxa"/>
            <w:tcBorders>
              <w:bottom w:val="single" w:sz="4" w:space="0" w:color="auto"/>
            </w:tcBorders>
            <w:vAlign w:val="center"/>
          </w:tcPr>
          <w:p w14:paraId="5B6EF612" w14:textId="77777777" w:rsidR="005A2FDF" w:rsidRPr="00C8674E" w:rsidRDefault="005A2FDF">
            <w:pPr>
              <w:jc w:val="center"/>
            </w:pPr>
            <w:r w:rsidRPr="00C8674E">
              <w:t>X</w:t>
            </w:r>
          </w:p>
        </w:tc>
        <w:tc>
          <w:tcPr>
            <w:tcW w:w="626" w:type="dxa"/>
            <w:tcBorders>
              <w:bottom w:val="single" w:sz="4" w:space="0" w:color="auto"/>
            </w:tcBorders>
            <w:vAlign w:val="center"/>
          </w:tcPr>
          <w:p w14:paraId="5B6EF613" w14:textId="77777777" w:rsidR="005A2FDF" w:rsidRPr="00C8674E" w:rsidRDefault="005A2FDF">
            <w:pPr>
              <w:jc w:val="center"/>
            </w:pPr>
          </w:p>
        </w:tc>
        <w:tc>
          <w:tcPr>
            <w:tcW w:w="2964" w:type="dxa"/>
            <w:tcBorders>
              <w:bottom w:val="single" w:sz="4" w:space="0" w:color="auto"/>
              <w:right w:val="double" w:sz="4" w:space="0" w:color="auto"/>
            </w:tcBorders>
            <w:vAlign w:val="center"/>
          </w:tcPr>
          <w:p w14:paraId="5B6EF614" w14:textId="77777777" w:rsidR="005A2FDF" w:rsidRPr="00C8674E" w:rsidRDefault="005A2FDF" w:rsidP="00D87872">
            <w:r w:rsidRPr="00C8674E">
              <w:t xml:space="preserve">Western Sugar </w:t>
            </w:r>
            <w:r w:rsidR="00D87872" w:rsidRPr="00C8674E">
              <w:t xml:space="preserve">(WSC) </w:t>
            </w:r>
            <w:r w:rsidRPr="00C8674E">
              <w:t xml:space="preserve">is a major </w:t>
            </w:r>
            <w:r w:rsidR="00C551B9" w:rsidRPr="00C8674E">
              <w:t xml:space="preserve">source </w:t>
            </w:r>
            <w:r w:rsidRPr="00C8674E">
              <w:t>as defined by NSR/PSD</w:t>
            </w:r>
            <w:r w:rsidR="00D87872" w:rsidRPr="00C8674E">
              <w:t>;</w:t>
            </w:r>
            <w:r w:rsidRPr="00C8674E">
              <w:t xml:space="preserve"> however, no actions have </w:t>
            </w:r>
            <w:r w:rsidR="00D87872" w:rsidRPr="00C8674E">
              <w:t xml:space="preserve">occurred </w:t>
            </w:r>
            <w:r w:rsidRPr="00C8674E">
              <w:t>that would trigger a review.</w:t>
            </w:r>
          </w:p>
        </w:tc>
      </w:tr>
      <w:tr w:rsidR="00D87872" w:rsidRPr="00C8674E" w14:paraId="5B6EF61A" w14:textId="77777777" w:rsidTr="00985847">
        <w:trPr>
          <w:trHeight w:val="19"/>
        </w:trPr>
        <w:tc>
          <w:tcPr>
            <w:tcW w:w="5145" w:type="dxa"/>
            <w:tcBorders>
              <w:left w:val="double" w:sz="4" w:space="0" w:color="auto"/>
            </w:tcBorders>
            <w:vAlign w:val="center"/>
          </w:tcPr>
          <w:p w14:paraId="5B6EF616" w14:textId="77777777" w:rsidR="005A2FDF" w:rsidRPr="00C8674E" w:rsidRDefault="005A2FDF" w:rsidP="00D87872">
            <w:r w:rsidRPr="00C8674E">
              <w:t>Risk Management Plan Required (RMP)</w:t>
            </w:r>
          </w:p>
        </w:tc>
        <w:tc>
          <w:tcPr>
            <w:tcW w:w="610" w:type="dxa"/>
            <w:vAlign w:val="center"/>
          </w:tcPr>
          <w:p w14:paraId="5B6EF617" w14:textId="77777777" w:rsidR="005A2FDF" w:rsidRPr="00C8674E" w:rsidRDefault="005A2FDF">
            <w:pPr>
              <w:jc w:val="center"/>
            </w:pPr>
          </w:p>
        </w:tc>
        <w:tc>
          <w:tcPr>
            <w:tcW w:w="626" w:type="dxa"/>
            <w:vAlign w:val="center"/>
          </w:tcPr>
          <w:p w14:paraId="5B6EF618" w14:textId="77777777" w:rsidR="005A2FDF" w:rsidRPr="00C8674E" w:rsidRDefault="005A2FDF">
            <w:pPr>
              <w:jc w:val="center"/>
            </w:pPr>
            <w:r w:rsidRPr="00C8674E">
              <w:t>X</w:t>
            </w:r>
          </w:p>
        </w:tc>
        <w:tc>
          <w:tcPr>
            <w:tcW w:w="2964" w:type="dxa"/>
            <w:tcBorders>
              <w:right w:val="double" w:sz="4" w:space="0" w:color="auto"/>
            </w:tcBorders>
            <w:vAlign w:val="center"/>
          </w:tcPr>
          <w:p w14:paraId="5B6EF619" w14:textId="77777777" w:rsidR="005A2FDF" w:rsidRPr="00C8674E" w:rsidRDefault="005A2FDF" w:rsidP="00D87872"/>
        </w:tc>
      </w:tr>
      <w:tr w:rsidR="00D87872" w:rsidRPr="00C8674E" w14:paraId="5B6EF61F" w14:textId="77777777" w:rsidTr="00985847">
        <w:trPr>
          <w:trHeight w:val="19"/>
        </w:trPr>
        <w:tc>
          <w:tcPr>
            <w:tcW w:w="5145" w:type="dxa"/>
            <w:tcBorders>
              <w:left w:val="double" w:sz="4" w:space="0" w:color="auto"/>
            </w:tcBorders>
            <w:vAlign w:val="center"/>
          </w:tcPr>
          <w:p w14:paraId="5B6EF61B" w14:textId="77777777" w:rsidR="005A2FDF" w:rsidRPr="00C8674E" w:rsidRDefault="005A2FDF" w:rsidP="00D87872">
            <w:r w:rsidRPr="00C8674E">
              <w:t>Acid Rain Title IV</w:t>
            </w:r>
          </w:p>
        </w:tc>
        <w:tc>
          <w:tcPr>
            <w:tcW w:w="610" w:type="dxa"/>
            <w:vAlign w:val="center"/>
          </w:tcPr>
          <w:p w14:paraId="5B6EF61C" w14:textId="77777777" w:rsidR="005A2FDF" w:rsidRPr="00C8674E" w:rsidRDefault="005A2FDF">
            <w:pPr>
              <w:jc w:val="center"/>
            </w:pPr>
          </w:p>
        </w:tc>
        <w:tc>
          <w:tcPr>
            <w:tcW w:w="626" w:type="dxa"/>
            <w:vAlign w:val="center"/>
          </w:tcPr>
          <w:p w14:paraId="5B6EF61D" w14:textId="77777777" w:rsidR="005A2FDF" w:rsidRPr="00C8674E" w:rsidRDefault="005A2FDF">
            <w:pPr>
              <w:jc w:val="center"/>
            </w:pPr>
            <w:r w:rsidRPr="00C8674E">
              <w:t>X</w:t>
            </w:r>
          </w:p>
        </w:tc>
        <w:tc>
          <w:tcPr>
            <w:tcW w:w="2964" w:type="dxa"/>
            <w:tcBorders>
              <w:right w:val="double" w:sz="4" w:space="0" w:color="auto"/>
            </w:tcBorders>
            <w:vAlign w:val="center"/>
          </w:tcPr>
          <w:p w14:paraId="5B6EF61E" w14:textId="77777777" w:rsidR="005A2FDF" w:rsidRPr="00C8674E" w:rsidRDefault="005A2FDF" w:rsidP="00D87872"/>
        </w:tc>
      </w:tr>
      <w:tr w:rsidR="00D87872" w:rsidRPr="00C8674E" w14:paraId="5B6EF624" w14:textId="77777777" w:rsidTr="00985847">
        <w:trPr>
          <w:trHeight w:val="19"/>
        </w:trPr>
        <w:tc>
          <w:tcPr>
            <w:tcW w:w="5145" w:type="dxa"/>
            <w:tcBorders>
              <w:left w:val="double" w:sz="4" w:space="0" w:color="auto"/>
            </w:tcBorders>
            <w:vAlign w:val="center"/>
          </w:tcPr>
          <w:p w14:paraId="5B6EF620" w14:textId="77777777" w:rsidR="005A2FDF" w:rsidRPr="00C8674E" w:rsidRDefault="005A2FDF" w:rsidP="00D87872">
            <w:r w:rsidRPr="00C8674E">
              <w:lastRenderedPageBreak/>
              <w:t>Compliance Assurance Monitoring (CAM)</w:t>
            </w:r>
            <w:r w:rsidR="00D87872" w:rsidRPr="00C8674E">
              <w:t xml:space="preserve"> Plan</w:t>
            </w:r>
          </w:p>
        </w:tc>
        <w:tc>
          <w:tcPr>
            <w:tcW w:w="610" w:type="dxa"/>
            <w:vAlign w:val="center"/>
          </w:tcPr>
          <w:p w14:paraId="5B6EF621" w14:textId="77777777" w:rsidR="005A2FDF" w:rsidRPr="00C8674E" w:rsidRDefault="005A2FDF">
            <w:pPr>
              <w:jc w:val="center"/>
            </w:pPr>
            <w:r w:rsidRPr="00C8674E">
              <w:t>X</w:t>
            </w:r>
          </w:p>
        </w:tc>
        <w:tc>
          <w:tcPr>
            <w:tcW w:w="626" w:type="dxa"/>
            <w:vAlign w:val="center"/>
          </w:tcPr>
          <w:p w14:paraId="5B6EF622" w14:textId="77777777" w:rsidR="005A2FDF" w:rsidRPr="00C8674E" w:rsidRDefault="005A2FDF">
            <w:pPr>
              <w:jc w:val="center"/>
            </w:pPr>
          </w:p>
        </w:tc>
        <w:tc>
          <w:tcPr>
            <w:tcW w:w="2964" w:type="dxa"/>
            <w:tcBorders>
              <w:right w:val="double" w:sz="4" w:space="0" w:color="auto"/>
            </w:tcBorders>
            <w:vAlign w:val="center"/>
          </w:tcPr>
          <w:p w14:paraId="5B6EF623" w14:textId="4C3B943A" w:rsidR="005A2FDF" w:rsidRPr="00C8674E" w:rsidRDefault="005A2FDF" w:rsidP="002F5884">
            <w:r w:rsidRPr="00C8674E">
              <w:t>Appendix F of OP2912-</w:t>
            </w:r>
            <w:r w:rsidR="00444A4C">
              <w:t>10</w:t>
            </w:r>
          </w:p>
        </w:tc>
      </w:tr>
      <w:tr w:rsidR="00D87872" w:rsidRPr="00C8674E" w14:paraId="5B6EF629" w14:textId="77777777" w:rsidTr="00985847">
        <w:trPr>
          <w:trHeight w:val="21"/>
        </w:trPr>
        <w:tc>
          <w:tcPr>
            <w:tcW w:w="5145" w:type="dxa"/>
            <w:tcBorders>
              <w:left w:val="double" w:sz="4" w:space="0" w:color="auto"/>
              <w:bottom w:val="double" w:sz="4" w:space="0" w:color="auto"/>
            </w:tcBorders>
            <w:vAlign w:val="center"/>
          </w:tcPr>
          <w:p w14:paraId="5B6EF625" w14:textId="77777777" w:rsidR="005A2FDF" w:rsidRPr="00C8674E" w:rsidRDefault="005A2FDF" w:rsidP="00D87872">
            <w:r w:rsidRPr="00C8674E">
              <w:t>State Implementation Plan (SIP)</w:t>
            </w:r>
          </w:p>
        </w:tc>
        <w:tc>
          <w:tcPr>
            <w:tcW w:w="610" w:type="dxa"/>
            <w:tcBorders>
              <w:bottom w:val="double" w:sz="4" w:space="0" w:color="auto"/>
            </w:tcBorders>
            <w:vAlign w:val="center"/>
          </w:tcPr>
          <w:p w14:paraId="5B6EF626" w14:textId="77777777" w:rsidR="005A2FDF" w:rsidRPr="00C8674E" w:rsidRDefault="005A2FDF">
            <w:pPr>
              <w:jc w:val="center"/>
            </w:pPr>
            <w:r w:rsidRPr="00C8674E">
              <w:t>X</w:t>
            </w:r>
          </w:p>
        </w:tc>
        <w:tc>
          <w:tcPr>
            <w:tcW w:w="626" w:type="dxa"/>
            <w:tcBorders>
              <w:bottom w:val="double" w:sz="4" w:space="0" w:color="auto"/>
            </w:tcBorders>
            <w:vAlign w:val="center"/>
          </w:tcPr>
          <w:p w14:paraId="5B6EF627" w14:textId="77777777" w:rsidR="005A2FDF" w:rsidRPr="00C8674E" w:rsidRDefault="005A2FDF">
            <w:pPr>
              <w:jc w:val="center"/>
            </w:pPr>
          </w:p>
        </w:tc>
        <w:tc>
          <w:tcPr>
            <w:tcW w:w="2964" w:type="dxa"/>
            <w:tcBorders>
              <w:bottom w:val="double" w:sz="4" w:space="0" w:color="auto"/>
              <w:right w:val="double" w:sz="4" w:space="0" w:color="auto"/>
            </w:tcBorders>
            <w:vAlign w:val="center"/>
          </w:tcPr>
          <w:p w14:paraId="5B6EF628" w14:textId="1D65713C" w:rsidR="005A2FDF" w:rsidRPr="009A3740" w:rsidRDefault="00196648" w:rsidP="00D87872">
            <w:r>
              <w:t>Billings/Laurel SO</w:t>
            </w:r>
            <w:r w:rsidRPr="00196648">
              <w:rPr>
                <w:vertAlign w:val="subscript"/>
              </w:rPr>
              <w:t>2</w:t>
            </w:r>
            <w:r w:rsidR="009A3740">
              <w:rPr>
                <w:vertAlign w:val="subscript"/>
              </w:rPr>
              <w:t xml:space="preserve"> </w:t>
            </w:r>
            <w:r w:rsidR="009A3740">
              <w:t>SIP</w:t>
            </w:r>
            <w:r w:rsidR="00963E9E">
              <w:t>- Updated as 202</w:t>
            </w:r>
            <w:r w:rsidR="00512D5F">
              <w:t>6</w:t>
            </w:r>
            <w:r w:rsidR="00963E9E">
              <w:t xml:space="preserve"> S</w:t>
            </w:r>
            <w:r w:rsidR="00512D5F">
              <w:t>IP</w:t>
            </w:r>
            <w:r w:rsidR="00963E9E">
              <w:t xml:space="preserve"> </w:t>
            </w:r>
            <w:r w:rsidR="00512D5F">
              <w:t>Modifications</w:t>
            </w:r>
          </w:p>
        </w:tc>
      </w:tr>
    </w:tbl>
    <w:p w14:paraId="5B6EF62A" w14:textId="77777777" w:rsidR="00AC5C41" w:rsidRPr="00C8674E" w:rsidRDefault="00AC5C41">
      <w:pPr>
        <w:rPr>
          <w:szCs w:val="24"/>
          <w:u w:val="single"/>
        </w:rPr>
      </w:pPr>
      <w:r w:rsidRPr="00C8674E">
        <w:rPr>
          <w:szCs w:val="24"/>
          <w:u w:val="single"/>
        </w:rPr>
        <w:br w:type="page"/>
      </w:r>
    </w:p>
    <w:p w14:paraId="5B6EF62B" w14:textId="77777777" w:rsidR="005A2FDF" w:rsidRPr="00C8674E" w:rsidRDefault="005A2FDF">
      <w:pPr>
        <w:jc w:val="center"/>
        <w:rPr>
          <w:szCs w:val="24"/>
        </w:rPr>
      </w:pPr>
      <w:r w:rsidRPr="00C8674E">
        <w:rPr>
          <w:szCs w:val="24"/>
          <w:u w:val="single"/>
        </w:rPr>
        <w:lastRenderedPageBreak/>
        <w:t>TABLE OF CONTENTS</w:t>
      </w:r>
    </w:p>
    <w:p w14:paraId="5B6EF62C" w14:textId="77777777" w:rsidR="005A2FDF" w:rsidRPr="00C8674E" w:rsidRDefault="005A2FDF">
      <w:pPr>
        <w:rPr>
          <w:szCs w:val="24"/>
        </w:rPr>
      </w:pPr>
    </w:p>
    <w:p w14:paraId="5B6EF62D" w14:textId="77777777" w:rsidR="005A2FDF" w:rsidRPr="00C8674E" w:rsidRDefault="005A2FDF">
      <w:pPr>
        <w:rPr>
          <w:szCs w:val="24"/>
        </w:rPr>
      </w:pPr>
    </w:p>
    <w:p w14:paraId="5B6EF62E" w14:textId="77777777" w:rsidR="00FF64C0" w:rsidRDefault="00F83117">
      <w:pPr>
        <w:pStyle w:val="TOC1"/>
        <w:tabs>
          <w:tab w:val="right" w:leader="dot" w:pos="9350"/>
        </w:tabs>
        <w:rPr>
          <w:rFonts w:asciiTheme="minorHAnsi" w:eastAsiaTheme="minorEastAsia" w:hAnsiTheme="minorHAnsi" w:cstheme="minorBidi"/>
          <w:b w:val="0"/>
          <w:caps w:val="0"/>
          <w:noProof/>
          <w:sz w:val="22"/>
          <w:szCs w:val="22"/>
        </w:rPr>
      </w:pPr>
      <w:r w:rsidRPr="00141320">
        <w:rPr>
          <w:rFonts w:ascii="Garamond" w:hAnsi="Garamond"/>
          <w:szCs w:val="24"/>
        </w:rPr>
        <w:fldChar w:fldCharType="begin"/>
      </w:r>
      <w:r w:rsidR="005A2FDF" w:rsidRPr="00141320">
        <w:rPr>
          <w:rFonts w:ascii="Garamond" w:hAnsi="Garamond"/>
          <w:szCs w:val="24"/>
        </w:rPr>
        <w:instrText xml:space="preserve"> TOC \o "1-2" </w:instrText>
      </w:r>
      <w:r w:rsidRPr="00141320">
        <w:rPr>
          <w:rFonts w:ascii="Garamond" w:hAnsi="Garamond"/>
          <w:szCs w:val="24"/>
        </w:rPr>
        <w:fldChar w:fldCharType="separate"/>
      </w:r>
      <w:r w:rsidR="00FF64C0">
        <w:rPr>
          <w:noProof/>
        </w:rPr>
        <w:t>SECTION I. GENERAL INFORMATION</w:t>
      </w:r>
      <w:r w:rsidR="00FF64C0">
        <w:rPr>
          <w:noProof/>
        </w:rPr>
        <w:tab/>
      </w:r>
      <w:r w:rsidR="00FF64C0">
        <w:rPr>
          <w:noProof/>
        </w:rPr>
        <w:fldChar w:fldCharType="begin"/>
      </w:r>
      <w:r w:rsidR="00FF64C0">
        <w:rPr>
          <w:noProof/>
        </w:rPr>
        <w:instrText xml:space="preserve"> PAGEREF _Toc14435650 \h </w:instrText>
      </w:r>
      <w:r w:rsidR="00FF64C0">
        <w:rPr>
          <w:noProof/>
        </w:rPr>
      </w:r>
      <w:r w:rsidR="00FF64C0">
        <w:rPr>
          <w:noProof/>
        </w:rPr>
        <w:fldChar w:fldCharType="separate"/>
      </w:r>
      <w:r w:rsidR="00FF64C0">
        <w:rPr>
          <w:noProof/>
        </w:rPr>
        <w:t>3</w:t>
      </w:r>
      <w:r w:rsidR="00FF64C0">
        <w:rPr>
          <w:noProof/>
        </w:rPr>
        <w:fldChar w:fldCharType="end"/>
      </w:r>
    </w:p>
    <w:p w14:paraId="5B6EF62F" w14:textId="77777777" w:rsidR="00FF64C0" w:rsidRDefault="00FF64C0">
      <w:pPr>
        <w:pStyle w:val="TOC2"/>
        <w:rPr>
          <w:rFonts w:asciiTheme="minorHAnsi" w:eastAsiaTheme="minorEastAsia" w:hAnsiTheme="minorHAnsi" w:cstheme="minorBidi"/>
          <w:smallCaps w:val="0"/>
          <w:sz w:val="22"/>
          <w:szCs w:val="22"/>
        </w:rPr>
      </w:pPr>
      <w:r>
        <w:t>A.</w:t>
      </w:r>
      <w:r>
        <w:rPr>
          <w:rFonts w:asciiTheme="minorHAnsi" w:eastAsiaTheme="minorEastAsia" w:hAnsiTheme="minorHAnsi" w:cstheme="minorBidi"/>
          <w:smallCaps w:val="0"/>
          <w:sz w:val="22"/>
          <w:szCs w:val="22"/>
        </w:rPr>
        <w:tab/>
      </w:r>
      <w:r>
        <w:t>Purpose</w:t>
      </w:r>
      <w:r>
        <w:tab/>
      </w:r>
      <w:r>
        <w:fldChar w:fldCharType="begin"/>
      </w:r>
      <w:r>
        <w:instrText xml:space="preserve"> PAGEREF _Toc14435651 \h </w:instrText>
      </w:r>
      <w:r>
        <w:fldChar w:fldCharType="separate"/>
      </w:r>
      <w:r>
        <w:t>3</w:t>
      </w:r>
      <w:r>
        <w:fldChar w:fldCharType="end"/>
      </w:r>
    </w:p>
    <w:p w14:paraId="5B6EF630" w14:textId="77777777" w:rsidR="00FF64C0" w:rsidRDefault="00FF64C0">
      <w:pPr>
        <w:pStyle w:val="TOC2"/>
        <w:rPr>
          <w:rFonts w:asciiTheme="minorHAnsi" w:eastAsiaTheme="minorEastAsia" w:hAnsiTheme="minorHAnsi" w:cstheme="minorBidi"/>
          <w:smallCaps w:val="0"/>
          <w:sz w:val="22"/>
          <w:szCs w:val="22"/>
        </w:rPr>
      </w:pPr>
      <w:r>
        <w:t>B.</w:t>
      </w:r>
      <w:r>
        <w:rPr>
          <w:rFonts w:asciiTheme="minorHAnsi" w:eastAsiaTheme="minorEastAsia" w:hAnsiTheme="minorHAnsi" w:cstheme="minorBidi"/>
          <w:smallCaps w:val="0"/>
          <w:sz w:val="22"/>
          <w:szCs w:val="22"/>
        </w:rPr>
        <w:tab/>
      </w:r>
      <w:r>
        <w:t>Facility Location</w:t>
      </w:r>
      <w:r>
        <w:tab/>
      </w:r>
      <w:r>
        <w:fldChar w:fldCharType="begin"/>
      </w:r>
      <w:r>
        <w:instrText xml:space="preserve"> PAGEREF _Toc14435652 \h </w:instrText>
      </w:r>
      <w:r>
        <w:fldChar w:fldCharType="separate"/>
      </w:r>
      <w:r>
        <w:t>3</w:t>
      </w:r>
      <w:r>
        <w:fldChar w:fldCharType="end"/>
      </w:r>
    </w:p>
    <w:p w14:paraId="5B6EF631" w14:textId="77777777" w:rsidR="00FF64C0" w:rsidRDefault="00FF64C0">
      <w:pPr>
        <w:pStyle w:val="TOC2"/>
        <w:rPr>
          <w:rFonts w:asciiTheme="minorHAnsi" w:eastAsiaTheme="minorEastAsia" w:hAnsiTheme="minorHAnsi" w:cstheme="minorBidi"/>
          <w:smallCaps w:val="0"/>
          <w:sz w:val="22"/>
          <w:szCs w:val="22"/>
        </w:rPr>
      </w:pPr>
      <w:r>
        <w:t>C.</w:t>
      </w:r>
      <w:r>
        <w:rPr>
          <w:rFonts w:asciiTheme="minorHAnsi" w:eastAsiaTheme="minorEastAsia" w:hAnsiTheme="minorHAnsi" w:cstheme="minorBidi"/>
          <w:smallCaps w:val="0"/>
          <w:sz w:val="22"/>
          <w:szCs w:val="22"/>
        </w:rPr>
        <w:tab/>
      </w:r>
      <w:r>
        <w:t>Facility Background Information</w:t>
      </w:r>
      <w:r>
        <w:tab/>
      </w:r>
      <w:r>
        <w:fldChar w:fldCharType="begin"/>
      </w:r>
      <w:r>
        <w:instrText xml:space="preserve"> PAGEREF _Toc14435653 \h </w:instrText>
      </w:r>
      <w:r>
        <w:fldChar w:fldCharType="separate"/>
      </w:r>
      <w:r>
        <w:t>3</w:t>
      </w:r>
      <w:r>
        <w:fldChar w:fldCharType="end"/>
      </w:r>
    </w:p>
    <w:p w14:paraId="5B6EF632" w14:textId="77777777" w:rsidR="00FF64C0" w:rsidRDefault="00FF64C0">
      <w:pPr>
        <w:pStyle w:val="TOC2"/>
        <w:rPr>
          <w:rFonts w:asciiTheme="minorHAnsi" w:eastAsiaTheme="minorEastAsia" w:hAnsiTheme="minorHAnsi" w:cstheme="minorBidi"/>
          <w:smallCaps w:val="0"/>
          <w:sz w:val="22"/>
          <w:szCs w:val="22"/>
        </w:rPr>
      </w:pPr>
      <w:r>
        <w:t>D.</w:t>
      </w:r>
      <w:r>
        <w:rPr>
          <w:rFonts w:asciiTheme="minorHAnsi" w:eastAsiaTheme="minorEastAsia" w:hAnsiTheme="minorHAnsi" w:cstheme="minorBidi"/>
          <w:smallCaps w:val="0"/>
          <w:sz w:val="22"/>
          <w:szCs w:val="22"/>
        </w:rPr>
        <w:tab/>
      </w:r>
      <w:r>
        <w:t>Current Permit Action</w:t>
      </w:r>
      <w:r>
        <w:tab/>
      </w:r>
      <w:r>
        <w:fldChar w:fldCharType="begin"/>
      </w:r>
      <w:r>
        <w:instrText xml:space="preserve"> PAGEREF _Toc14435654 \h </w:instrText>
      </w:r>
      <w:r>
        <w:fldChar w:fldCharType="separate"/>
      </w:r>
      <w:r>
        <w:t>6</w:t>
      </w:r>
      <w:r>
        <w:fldChar w:fldCharType="end"/>
      </w:r>
    </w:p>
    <w:p w14:paraId="5B6EF633" w14:textId="77777777" w:rsidR="00FF64C0" w:rsidRDefault="00FF64C0">
      <w:pPr>
        <w:pStyle w:val="TOC2"/>
        <w:rPr>
          <w:rFonts w:asciiTheme="minorHAnsi" w:eastAsiaTheme="minorEastAsia" w:hAnsiTheme="minorHAnsi" w:cstheme="minorBidi"/>
          <w:smallCaps w:val="0"/>
          <w:sz w:val="22"/>
          <w:szCs w:val="22"/>
        </w:rPr>
      </w:pPr>
      <w:r>
        <w:t>E.</w:t>
      </w:r>
      <w:r>
        <w:rPr>
          <w:rFonts w:asciiTheme="minorHAnsi" w:eastAsiaTheme="minorEastAsia" w:hAnsiTheme="minorHAnsi" w:cstheme="minorBidi"/>
          <w:smallCaps w:val="0"/>
          <w:sz w:val="22"/>
          <w:szCs w:val="22"/>
        </w:rPr>
        <w:tab/>
      </w:r>
      <w:r>
        <w:t>Taking and Damaging Analysis</w:t>
      </w:r>
      <w:r>
        <w:tab/>
      </w:r>
      <w:r>
        <w:fldChar w:fldCharType="begin"/>
      </w:r>
      <w:r>
        <w:instrText xml:space="preserve"> PAGEREF _Toc14435655 \h </w:instrText>
      </w:r>
      <w:r>
        <w:fldChar w:fldCharType="separate"/>
      </w:r>
      <w:r>
        <w:t>7</w:t>
      </w:r>
      <w:r>
        <w:fldChar w:fldCharType="end"/>
      </w:r>
    </w:p>
    <w:p w14:paraId="5B6EF634" w14:textId="77777777" w:rsidR="00FF64C0" w:rsidRDefault="00FF64C0">
      <w:pPr>
        <w:pStyle w:val="TOC2"/>
        <w:rPr>
          <w:rFonts w:asciiTheme="minorHAnsi" w:eastAsiaTheme="minorEastAsia" w:hAnsiTheme="minorHAnsi" w:cstheme="minorBidi"/>
          <w:smallCaps w:val="0"/>
          <w:sz w:val="22"/>
          <w:szCs w:val="22"/>
        </w:rPr>
      </w:pPr>
      <w:r>
        <w:t>F.</w:t>
      </w:r>
      <w:r>
        <w:rPr>
          <w:rFonts w:asciiTheme="minorHAnsi" w:eastAsiaTheme="minorEastAsia" w:hAnsiTheme="minorHAnsi" w:cstheme="minorBidi"/>
          <w:smallCaps w:val="0"/>
          <w:sz w:val="22"/>
          <w:szCs w:val="22"/>
        </w:rPr>
        <w:tab/>
      </w:r>
      <w:r>
        <w:t>Compliance Designation</w:t>
      </w:r>
      <w:r>
        <w:tab/>
      </w:r>
      <w:r>
        <w:fldChar w:fldCharType="begin"/>
      </w:r>
      <w:r>
        <w:instrText xml:space="preserve"> PAGEREF _Toc14435656 \h </w:instrText>
      </w:r>
      <w:r>
        <w:fldChar w:fldCharType="separate"/>
      </w:r>
      <w:r>
        <w:t>8</w:t>
      </w:r>
      <w:r>
        <w:fldChar w:fldCharType="end"/>
      </w:r>
    </w:p>
    <w:p w14:paraId="5B6EF635" w14:textId="77777777" w:rsidR="00FF64C0" w:rsidRDefault="00FF64C0">
      <w:pPr>
        <w:pStyle w:val="TOC1"/>
        <w:tabs>
          <w:tab w:val="right" w:leader="dot" w:pos="9350"/>
        </w:tabs>
        <w:rPr>
          <w:rFonts w:asciiTheme="minorHAnsi" w:eastAsiaTheme="minorEastAsia" w:hAnsiTheme="minorHAnsi" w:cstheme="minorBidi"/>
          <w:b w:val="0"/>
          <w:caps w:val="0"/>
          <w:noProof/>
          <w:sz w:val="22"/>
          <w:szCs w:val="22"/>
        </w:rPr>
      </w:pPr>
      <w:r>
        <w:rPr>
          <w:noProof/>
        </w:rPr>
        <w:t>SECTION II.  SUMMARY OF EMISSIONS UNITS</w:t>
      </w:r>
      <w:r>
        <w:rPr>
          <w:noProof/>
        </w:rPr>
        <w:tab/>
      </w:r>
      <w:r>
        <w:rPr>
          <w:noProof/>
        </w:rPr>
        <w:fldChar w:fldCharType="begin"/>
      </w:r>
      <w:r>
        <w:rPr>
          <w:noProof/>
        </w:rPr>
        <w:instrText xml:space="preserve"> PAGEREF _Toc14435657 \h </w:instrText>
      </w:r>
      <w:r>
        <w:rPr>
          <w:noProof/>
        </w:rPr>
      </w:r>
      <w:r>
        <w:rPr>
          <w:noProof/>
        </w:rPr>
        <w:fldChar w:fldCharType="separate"/>
      </w:r>
      <w:r>
        <w:rPr>
          <w:noProof/>
        </w:rPr>
        <w:t>9</w:t>
      </w:r>
      <w:r>
        <w:rPr>
          <w:noProof/>
        </w:rPr>
        <w:fldChar w:fldCharType="end"/>
      </w:r>
    </w:p>
    <w:p w14:paraId="5B6EF636" w14:textId="77777777" w:rsidR="00FF64C0" w:rsidRDefault="00FF64C0">
      <w:pPr>
        <w:pStyle w:val="TOC2"/>
        <w:rPr>
          <w:rFonts w:asciiTheme="minorHAnsi" w:eastAsiaTheme="minorEastAsia" w:hAnsiTheme="minorHAnsi" w:cstheme="minorBidi"/>
          <w:smallCaps w:val="0"/>
          <w:sz w:val="22"/>
          <w:szCs w:val="22"/>
        </w:rPr>
      </w:pPr>
      <w:r>
        <w:t>A.</w:t>
      </w:r>
      <w:r>
        <w:rPr>
          <w:rFonts w:asciiTheme="minorHAnsi" w:eastAsiaTheme="minorEastAsia" w:hAnsiTheme="minorHAnsi" w:cstheme="minorBidi"/>
          <w:smallCaps w:val="0"/>
          <w:sz w:val="22"/>
          <w:szCs w:val="22"/>
        </w:rPr>
        <w:tab/>
      </w:r>
      <w:r>
        <w:t>Facility Process Description</w:t>
      </w:r>
      <w:r>
        <w:tab/>
      </w:r>
      <w:r>
        <w:fldChar w:fldCharType="begin"/>
      </w:r>
      <w:r>
        <w:instrText xml:space="preserve"> PAGEREF _Toc14435658 \h </w:instrText>
      </w:r>
      <w:r>
        <w:fldChar w:fldCharType="separate"/>
      </w:r>
      <w:r>
        <w:t>9</w:t>
      </w:r>
      <w:r>
        <w:fldChar w:fldCharType="end"/>
      </w:r>
    </w:p>
    <w:p w14:paraId="5B6EF637" w14:textId="77777777" w:rsidR="00FF64C0" w:rsidRDefault="00FF64C0">
      <w:pPr>
        <w:pStyle w:val="TOC2"/>
        <w:rPr>
          <w:rFonts w:asciiTheme="minorHAnsi" w:eastAsiaTheme="minorEastAsia" w:hAnsiTheme="minorHAnsi" w:cstheme="minorBidi"/>
          <w:smallCaps w:val="0"/>
          <w:sz w:val="22"/>
          <w:szCs w:val="22"/>
        </w:rPr>
      </w:pPr>
      <w:r>
        <w:t>B.</w:t>
      </w:r>
      <w:r>
        <w:rPr>
          <w:rFonts w:asciiTheme="minorHAnsi" w:eastAsiaTheme="minorEastAsia" w:hAnsiTheme="minorHAnsi" w:cstheme="minorBidi"/>
          <w:smallCaps w:val="0"/>
          <w:sz w:val="22"/>
          <w:szCs w:val="22"/>
        </w:rPr>
        <w:tab/>
      </w:r>
      <w:r>
        <w:t>Emissions Units and Pollution Control Device Identification</w:t>
      </w:r>
      <w:r>
        <w:tab/>
      </w:r>
      <w:r>
        <w:fldChar w:fldCharType="begin"/>
      </w:r>
      <w:r>
        <w:instrText xml:space="preserve"> PAGEREF _Toc14435659 \h </w:instrText>
      </w:r>
      <w:r>
        <w:fldChar w:fldCharType="separate"/>
      </w:r>
      <w:r>
        <w:t>9</w:t>
      </w:r>
      <w:r>
        <w:fldChar w:fldCharType="end"/>
      </w:r>
    </w:p>
    <w:p w14:paraId="5B6EF638" w14:textId="77777777" w:rsidR="00FF64C0" w:rsidRDefault="00FF64C0">
      <w:pPr>
        <w:pStyle w:val="TOC2"/>
        <w:rPr>
          <w:rFonts w:asciiTheme="minorHAnsi" w:eastAsiaTheme="minorEastAsia" w:hAnsiTheme="minorHAnsi" w:cstheme="minorBidi"/>
          <w:smallCaps w:val="0"/>
          <w:sz w:val="22"/>
          <w:szCs w:val="22"/>
        </w:rPr>
      </w:pPr>
      <w:r>
        <w:t>C.</w:t>
      </w:r>
      <w:r>
        <w:rPr>
          <w:rFonts w:asciiTheme="minorHAnsi" w:eastAsiaTheme="minorEastAsia" w:hAnsiTheme="minorHAnsi" w:cstheme="minorBidi"/>
          <w:smallCaps w:val="0"/>
          <w:sz w:val="22"/>
          <w:szCs w:val="22"/>
        </w:rPr>
        <w:tab/>
      </w:r>
      <w:r>
        <w:t>Categorically Insignificant Sources/Activities</w:t>
      </w:r>
      <w:r>
        <w:tab/>
      </w:r>
      <w:r>
        <w:fldChar w:fldCharType="begin"/>
      </w:r>
      <w:r>
        <w:instrText xml:space="preserve"> PAGEREF _Toc14435660 \h </w:instrText>
      </w:r>
      <w:r>
        <w:fldChar w:fldCharType="separate"/>
      </w:r>
      <w:r>
        <w:t>10</w:t>
      </w:r>
      <w:r>
        <w:fldChar w:fldCharType="end"/>
      </w:r>
    </w:p>
    <w:p w14:paraId="5B6EF639" w14:textId="77777777" w:rsidR="00FF64C0" w:rsidRDefault="00FF64C0">
      <w:pPr>
        <w:pStyle w:val="TOC1"/>
        <w:tabs>
          <w:tab w:val="right" w:leader="dot" w:pos="9350"/>
        </w:tabs>
        <w:rPr>
          <w:rFonts w:asciiTheme="minorHAnsi" w:eastAsiaTheme="minorEastAsia" w:hAnsiTheme="minorHAnsi" w:cstheme="minorBidi"/>
          <w:b w:val="0"/>
          <w:caps w:val="0"/>
          <w:noProof/>
          <w:sz w:val="22"/>
          <w:szCs w:val="22"/>
        </w:rPr>
      </w:pPr>
      <w:r>
        <w:rPr>
          <w:noProof/>
        </w:rPr>
        <w:t>SECTION III. PERMIT CONDITIONS</w:t>
      </w:r>
      <w:r>
        <w:rPr>
          <w:noProof/>
        </w:rPr>
        <w:tab/>
      </w:r>
      <w:r>
        <w:rPr>
          <w:noProof/>
        </w:rPr>
        <w:fldChar w:fldCharType="begin"/>
      </w:r>
      <w:r>
        <w:rPr>
          <w:noProof/>
        </w:rPr>
        <w:instrText xml:space="preserve"> PAGEREF _Toc14435661 \h </w:instrText>
      </w:r>
      <w:r>
        <w:rPr>
          <w:noProof/>
        </w:rPr>
      </w:r>
      <w:r>
        <w:rPr>
          <w:noProof/>
        </w:rPr>
        <w:fldChar w:fldCharType="separate"/>
      </w:r>
      <w:r>
        <w:rPr>
          <w:noProof/>
        </w:rPr>
        <w:t>11</w:t>
      </w:r>
      <w:r>
        <w:rPr>
          <w:noProof/>
        </w:rPr>
        <w:fldChar w:fldCharType="end"/>
      </w:r>
    </w:p>
    <w:p w14:paraId="5B6EF63A" w14:textId="77777777" w:rsidR="00FF64C0" w:rsidRDefault="00FF64C0">
      <w:pPr>
        <w:pStyle w:val="TOC2"/>
        <w:rPr>
          <w:rFonts w:asciiTheme="minorHAnsi" w:eastAsiaTheme="minorEastAsia" w:hAnsiTheme="minorHAnsi" w:cstheme="minorBidi"/>
          <w:smallCaps w:val="0"/>
          <w:sz w:val="22"/>
          <w:szCs w:val="22"/>
        </w:rPr>
      </w:pPr>
      <w:r>
        <w:t>A.</w:t>
      </w:r>
      <w:r>
        <w:rPr>
          <w:rFonts w:asciiTheme="minorHAnsi" w:eastAsiaTheme="minorEastAsia" w:hAnsiTheme="minorHAnsi" w:cstheme="minorBidi"/>
          <w:smallCaps w:val="0"/>
          <w:sz w:val="22"/>
          <w:szCs w:val="22"/>
        </w:rPr>
        <w:tab/>
      </w:r>
      <w:r>
        <w:t>Emission Limits and Standards</w:t>
      </w:r>
      <w:r>
        <w:tab/>
      </w:r>
      <w:r>
        <w:fldChar w:fldCharType="begin"/>
      </w:r>
      <w:r>
        <w:instrText xml:space="preserve"> PAGEREF _Toc14435662 \h </w:instrText>
      </w:r>
      <w:r>
        <w:fldChar w:fldCharType="separate"/>
      </w:r>
      <w:r>
        <w:t>11</w:t>
      </w:r>
      <w:r>
        <w:fldChar w:fldCharType="end"/>
      </w:r>
    </w:p>
    <w:p w14:paraId="5B6EF63B" w14:textId="77777777" w:rsidR="00FF64C0" w:rsidRDefault="00FF64C0">
      <w:pPr>
        <w:pStyle w:val="TOC2"/>
        <w:rPr>
          <w:rFonts w:asciiTheme="minorHAnsi" w:eastAsiaTheme="minorEastAsia" w:hAnsiTheme="minorHAnsi" w:cstheme="minorBidi"/>
          <w:smallCaps w:val="0"/>
          <w:sz w:val="22"/>
          <w:szCs w:val="22"/>
        </w:rPr>
      </w:pPr>
      <w:r>
        <w:t>B.</w:t>
      </w:r>
      <w:r>
        <w:rPr>
          <w:rFonts w:asciiTheme="minorHAnsi" w:eastAsiaTheme="minorEastAsia" w:hAnsiTheme="minorHAnsi" w:cstheme="minorBidi"/>
          <w:smallCaps w:val="0"/>
          <w:sz w:val="22"/>
          <w:szCs w:val="22"/>
        </w:rPr>
        <w:tab/>
      </w:r>
      <w:r>
        <w:t>Monitoring Requirements</w:t>
      </w:r>
      <w:r>
        <w:tab/>
      </w:r>
      <w:r>
        <w:fldChar w:fldCharType="begin"/>
      </w:r>
      <w:r>
        <w:instrText xml:space="preserve"> PAGEREF _Toc14435663 \h </w:instrText>
      </w:r>
      <w:r>
        <w:fldChar w:fldCharType="separate"/>
      </w:r>
      <w:r>
        <w:t>11</w:t>
      </w:r>
      <w:r>
        <w:fldChar w:fldCharType="end"/>
      </w:r>
    </w:p>
    <w:p w14:paraId="5B6EF63C" w14:textId="77777777" w:rsidR="00FF64C0" w:rsidRDefault="00FF64C0">
      <w:pPr>
        <w:pStyle w:val="TOC2"/>
        <w:rPr>
          <w:rFonts w:asciiTheme="minorHAnsi" w:eastAsiaTheme="minorEastAsia" w:hAnsiTheme="minorHAnsi" w:cstheme="minorBidi"/>
          <w:smallCaps w:val="0"/>
          <w:sz w:val="22"/>
          <w:szCs w:val="22"/>
        </w:rPr>
      </w:pPr>
      <w:r>
        <w:t>C.</w:t>
      </w:r>
      <w:r>
        <w:rPr>
          <w:rFonts w:asciiTheme="minorHAnsi" w:eastAsiaTheme="minorEastAsia" w:hAnsiTheme="minorHAnsi" w:cstheme="minorBidi"/>
          <w:smallCaps w:val="0"/>
          <w:sz w:val="22"/>
          <w:szCs w:val="22"/>
        </w:rPr>
        <w:tab/>
      </w:r>
      <w:r>
        <w:t>Test Methods and Procedures</w:t>
      </w:r>
      <w:r>
        <w:tab/>
      </w:r>
      <w:r>
        <w:fldChar w:fldCharType="begin"/>
      </w:r>
      <w:r>
        <w:instrText xml:space="preserve"> PAGEREF _Toc14435664 \h </w:instrText>
      </w:r>
      <w:r>
        <w:fldChar w:fldCharType="separate"/>
      </w:r>
      <w:r>
        <w:t>11</w:t>
      </w:r>
      <w:r>
        <w:fldChar w:fldCharType="end"/>
      </w:r>
    </w:p>
    <w:p w14:paraId="5B6EF63D" w14:textId="77777777" w:rsidR="00FF64C0" w:rsidRDefault="00FF64C0">
      <w:pPr>
        <w:pStyle w:val="TOC2"/>
        <w:rPr>
          <w:rFonts w:asciiTheme="minorHAnsi" w:eastAsiaTheme="minorEastAsia" w:hAnsiTheme="minorHAnsi" w:cstheme="minorBidi"/>
          <w:smallCaps w:val="0"/>
          <w:sz w:val="22"/>
          <w:szCs w:val="22"/>
        </w:rPr>
      </w:pPr>
      <w:r>
        <w:t>D.</w:t>
      </w:r>
      <w:r>
        <w:rPr>
          <w:rFonts w:asciiTheme="minorHAnsi" w:eastAsiaTheme="minorEastAsia" w:hAnsiTheme="minorHAnsi" w:cstheme="minorBidi"/>
          <w:smallCaps w:val="0"/>
          <w:sz w:val="22"/>
          <w:szCs w:val="22"/>
        </w:rPr>
        <w:tab/>
      </w:r>
      <w:r>
        <w:t>Recordkeeping Requirements</w:t>
      </w:r>
      <w:r>
        <w:tab/>
      </w:r>
      <w:r>
        <w:fldChar w:fldCharType="begin"/>
      </w:r>
      <w:r>
        <w:instrText xml:space="preserve"> PAGEREF _Toc14435665 \h </w:instrText>
      </w:r>
      <w:r>
        <w:fldChar w:fldCharType="separate"/>
      </w:r>
      <w:r>
        <w:t>12</w:t>
      </w:r>
      <w:r>
        <w:fldChar w:fldCharType="end"/>
      </w:r>
    </w:p>
    <w:p w14:paraId="5B6EF63E" w14:textId="77777777" w:rsidR="00FF64C0" w:rsidRDefault="00FF64C0">
      <w:pPr>
        <w:pStyle w:val="TOC2"/>
        <w:rPr>
          <w:rFonts w:asciiTheme="minorHAnsi" w:eastAsiaTheme="minorEastAsia" w:hAnsiTheme="minorHAnsi" w:cstheme="minorBidi"/>
          <w:smallCaps w:val="0"/>
          <w:sz w:val="22"/>
          <w:szCs w:val="22"/>
        </w:rPr>
      </w:pPr>
      <w:r>
        <w:t>E.</w:t>
      </w:r>
      <w:r>
        <w:rPr>
          <w:rFonts w:asciiTheme="minorHAnsi" w:eastAsiaTheme="minorEastAsia" w:hAnsiTheme="minorHAnsi" w:cstheme="minorBidi"/>
          <w:smallCaps w:val="0"/>
          <w:sz w:val="22"/>
          <w:szCs w:val="22"/>
        </w:rPr>
        <w:tab/>
      </w:r>
      <w:r>
        <w:t>Reporting Requirements</w:t>
      </w:r>
      <w:r>
        <w:tab/>
      </w:r>
      <w:r>
        <w:fldChar w:fldCharType="begin"/>
      </w:r>
      <w:r>
        <w:instrText xml:space="preserve"> PAGEREF _Toc14435666 \h </w:instrText>
      </w:r>
      <w:r>
        <w:fldChar w:fldCharType="separate"/>
      </w:r>
      <w:r>
        <w:t>12</w:t>
      </w:r>
      <w:r>
        <w:fldChar w:fldCharType="end"/>
      </w:r>
    </w:p>
    <w:p w14:paraId="5B6EF63F" w14:textId="77777777" w:rsidR="00FF64C0" w:rsidRDefault="00FF64C0">
      <w:pPr>
        <w:pStyle w:val="TOC2"/>
        <w:rPr>
          <w:rFonts w:asciiTheme="minorHAnsi" w:eastAsiaTheme="minorEastAsia" w:hAnsiTheme="minorHAnsi" w:cstheme="minorBidi"/>
          <w:smallCaps w:val="0"/>
          <w:sz w:val="22"/>
          <w:szCs w:val="22"/>
        </w:rPr>
      </w:pPr>
      <w:r>
        <w:t>F.</w:t>
      </w:r>
      <w:r>
        <w:rPr>
          <w:rFonts w:asciiTheme="minorHAnsi" w:eastAsiaTheme="minorEastAsia" w:hAnsiTheme="minorHAnsi" w:cstheme="minorBidi"/>
          <w:smallCaps w:val="0"/>
          <w:sz w:val="22"/>
          <w:szCs w:val="22"/>
        </w:rPr>
        <w:tab/>
      </w:r>
      <w:r>
        <w:t>Public Notice</w:t>
      </w:r>
      <w:r>
        <w:tab/>
      </w:r>
      <w:r>
        <w:fldChar w:fldCharType="begin"/>
      </w:r>
      <w:r>
        <w:instrText xml:space="preserve"> PAGEREF _Toc14435667 \h </w:instrText>
      </w:r>
      <w:r>
        <w:fldChar w:fldCharType="separate"/>
      </w:r>
      <w:r>
        <w:t>12</w:t>
      </w:r>
      <w:r>
        <w:fldChar w:fldCharType="end"/>
      </w:r>
    </w:p>
    <w:p w14:paraId="5B6EF640" w14:textId="77777777" w:rsidR="00FF64C0" w:rsidRDefault="00FF64C0">
      <w:pPr>
        <w:pStyle w:val="TOC2"/>
        <w:rPr>
          <w:rFonts w:asciiTheme="minorHAnsi" w:eastAsiaTheme="minorEastAsia" w:hAnsiTheme="minorHAnsi" w:cstheme="minorBidi"/>
          <w:smallCaps w:val="0"/>
          <w:sz w:val="22"/>
          <w:szCs w:val="22"/>
        </w:rPr>
      </w:pPr>
      <w:r>
        <w:t>G.</w:t>
      </w:r>
      <w:r>
        <w:rPr>
          <w:rFonts w:asciiTheme="minorHAnsi" w:eastAsiaTheme="minorEastAsia" w:hAnsiTheme="minorHAnsi" w:cstheme="minorBidi"/>
          <w:smallCaps w:val="0"/>
          <w:sz w:val="22"/>
          <w:szCs w:val="22"/>
        </w:rPr>
        <w:tab/>
      </w:r>
      <w:r>
        <w:t>MACT Compliance and Recordkeeping Discussion</w:t>
      </w:r>
      <w:r>
        <w:tab/>
      </w:r>
      <w:r>
        <w:fldChar w:fldCharType="begin"/>
      </w:r>
      <w:r>
        <w:instrText xml:space="preserve"> PAGEREF _Toc14435668 \h </w:instrText>
      </w:r>
      <w:r>
        <w:fldChar w:fldCharType="separate"/>
      </w:r>
      <w:r>
        <w:t>12</w:t>
      </w:r>
      <w:r>
        <w:fldChar w:fldCharType="end"/>
      </w:r>
    </w:p>
    <w:p w14:paraId="5B6EF641" w14:textId="77777777" w:rsidR="00FF64C0" w:rsidRDefault="00FF64C0">
      <w:pPr>
        <w:pStyle w:val="TOC1"/>
        <w:tabs>
          <w:tab w:val="right" w:leader="dot" w:pos="9350"/>
        </w:tabs>
        <w:rPr>
          <w:rFonts w:asciiTheme="minorHAnsi" w:eastAsiaTheme="minorEastAsia" w:hAnsiTheme="minorHAnsi" w:cstheme="minorBidi"/>
          <w:b w:val="0"/>
          <w:caps w:val="0"/>
          <w:noProof/>
          <w:sz w:val="22"/>
          <w:szCs w:val="22"/>
        </w:rPr>
      </w:pPr>
      <w:r>
        <w:rPr>
          <w:noProof/>
        </w:rPr>
        <w:t>SECTION IV. NON-APPLICABLE REQUIREMENT ANALYSIS</w:t>
      </w:r>
      <w:r>
        <w:rPr>
          <w:noProof/>
        </w:rPr>
        <w:tab/>
      </w:r>
      <w:r>
        <w:rPr>
          <w:noProof/>
        </w:rPr>
        <w:fldChar w:fldCharType="begin"/>
      </w:r>
      <w:r>
        <w:rPr>
          <w:noProof/>
        </w:rPr>
        <w:instrText xml:space="preserve"> PAGEREF _Toc14435669 \h </w:instrText>
      </w:r>
      <w:r>
        <w:rPr>
          <w:noProof/>
        </w:rPr>
      </w:r>
      <w:r>
        <w:rPr>
          <w:noProof/>
        </w:rPr>
        <w:fldChar w:fldCharType="separate"/>
      </w:r>
      <w:r>
        <w:rPr>
          <w:noProof/>
        </w:rPr>
        <w:t>13</w:t>
      </w:r>
      <w:r>
        <w:rPr>
          <w:noProof/>
        </w:rPr>
        <w:fldChar w:fldCharType="end"/>
      </w:r>
    </w:p>
    <w:p w14:paraId="5B6EF642" w14:textId="77777777" w:rsidR="00FF64C0" w:rsidRDefault="00FF64C0">
      <w:pPr>
        <w:pStyle w:val="TOC1"/>
        <w:tabs>
          <w:tab w:val="right" w:leader="dot" w:pos="9350"/>
        </w:tabs>
        <w:rPr>
          <w:rFonts w:asciiTheme="minorHAnsi" w:eastAsiaTheme="minorEastAsia" w:hAnsiTheme="minorHAnsi" w:cstheme="minorBidi"/>
          <w:b w:val="0"/>
          <w:caps w:val="0"/>
          <w:noProof/>
          <w:sz w:val="22"/>
          <w:szCs w:val="22"/>
        </w:rPr>
      </w:pPr>
      <w:r>
        <w:rPr>
          <w:noProof/>
        </w:rPr>
        <w:t>SECTION V. FUTURE PERMIT CONSIDERATIONS</w:t>
      </w:r>
      <w:r>
        <w:rPr>
          <w:noProof/>
        </w:rPr>
        <w:tab/>
      </w:r>
      <w:r>
        <w:rPr>
          <w:noProof/>
        </w:rPr>
        <w:fldChar w:fldCharType="begin"/>
      </w:r>
      <w:r>
        <w:rPr>
          <w:noProof/>
        </w:rPr>
        <w:instrText xml:space="preserve"> PAGEREF _Toc14435670 \h </w:instrText>
      </w:r>
      <w:r>
        <w:rPr>
          <w:noProof/>
        </w:rPr>
      </w:r>
      <w:r>
        <w:rPr>
          <w:noProof/>
        </w:rPr>
        <w:fldChar w:fldCharType="separate"/>
      </w:r>
      <w:r>
        <w:rPr>
          <w:noProof/>
        </w:rPr>
        <w:t>19</w:t>
      </w:r>
      <w:r>
        <w:rPr>
          <w:noProof/>
        </w:rPr>
        <w:fldChar w:fldCharType="end"/>
      </w:r>
    </w:p>
    <w:p w14:paraId="5B6EF643" w14:textId="77777777" w:rsidR="00FF64C0" w:rsidRDefault="00FF64C0">
      <w:pPr>
        <w:pStyle w:val="TOC2"/>
        <w:rPr>
          <w:rFonts w:asciiTheme="minorHAnsi" w:eastAsiaTheme="minorEastAsia" w:hAnsiTheme="minorHAnsi" w:cstheme="minorBidi"/>
          <w:smallCaps w:val="0"/>
          <w:sz w:val="22"/>
          <w:szCs w:val="22"/>
        </w:rPr>
      </w:pPr>
      <w:r>
        <w:t>A.</w:t>
      </w:r>
      <w:r>
        <w:rPr>
          <w:rFonts w:asciiTheme="minorHAnsi" w:eastAsiaTheme="minorEastAsia" w:hAnsiTheme="minorHAnsi" w:cstheme="minorBidi"/>
          <w:smallCaps w:val="0"/>
          <w:sz w:val="22"/>
          <w:szCs w:val="22"/>
        </w:rPr>
        <w:tab/>
      </w:r>
      <w:r>
        <w:t>MACT Standards (Part 63)</w:t>
      </w:r>
      <w:r>
        <w:tab/>
      </w:r>
      <w:r>
        <w:fldChar w:fldCharType="begin"/>
      </w:r>
      <w:r>
        <w:instrText xml:space="preserve"> PAGEREF _Toc14435671 \h </w:instrText>
      </w:r>
      <w:r>
        <w:fldChar w:fldCharType="separate"/>
      </w:r>
      <w:r>
        <w:t>19</w:t>
      </w:r>
      <w:r>
        <w:fldChar w:fldCharType="end"/>
      </w:r>
    </w:p>
    <w:p w14:paraId="5B6EF644" w14:textId="77777777" w:rsidR="00FF64C0" w:rsidRDefault="00FF64C0">
      <w:pPr>
        <w:pStyle w:val="TOC2"/>
        <w:rPr>
          <w:rFonts w:asciiTheme="minorHAnsi" w:eastAsiaTheme="minorEastAsia" w:hAnsiTheme="minorHAnsi" w:cstheme="minorBidi"/>
          <w:smallCaps w:val="0"/>
          <w:sz w:val="22"/>
          <w:szCs w:val="22"/>
        </w:rPr>
      </w:pPr>
      <w:r>
        <w:t>B.</w:t>
      </w:r>
      <w:r>
        <w:rPr>
          <w:rFonts w:asciiTheme="minorHAnsi" w:eastAsiaTheme="minorEastAsia" w:hAnsiTheme="minorHAnsi" w:cstheme="minorBidi"/>
          <w:smallCaps w:val="0"/>
          <w:sz w:val="22"/>
          <w:szCs w:val="22"/>
        </w:rPr>
        <w:tab/>
      </w:r>
      <w:r>
        <w:t>NESHAP Standards (Part 61)</w:t>
      </w:r>
      <w:r>
        <w:tab/>
      </w:r>
      <w:r>
        <w:fldChar w:fldCharType="begin"/>
      </w:r>
      <w:r>
        <w:instrText xml:space="preserve"> PAGEREF _Toc14435672 \h </w:instrText>
      </w:r>
      <w:r>
        <w:fldChar w:fldCharType="separate"/>
      </w:r>
      <w:r>
        <w:t>19</w:t>
      </w:r>
      <w:r>
        <w:fldChar w:fldCharType="end"/>
      </w:r>
    </w:p>
    <w:p w14:paraId="5B6EF645" w14:textId="77777777" w:rsidR="00FF64C0" w:rsidRDefault="00FF64C0">
      <w:pPr>
        <w:pStyle w:val="TOC2"/>
        <w:rPr>
          <w:rFonts w:asciiTheme="minorHAnsi" w:eastAsiaTheme="minorEastAsia" w:hAnsiTheme="minorHAnsi" w:cstheme="minorBidi"/>
          <w:smallCaps w:val="0"/>
          <w:sz w:val="22"/>
          <w:szCs w:val="22"/>
        </w:rPr>
      </w:pPr>
      <w:r>
        <w:t>C.</w:t>
      </w:r>
      <w:r>
        <w:rPr>
          <w:rFonts w:asciiTheme="minorHAnsi" w:eastAsiaTheme="minorEastAsia" w:hAnsiTheme="minorHAnsi" w:cstheme="minorBidi"/>
          <w:smallCaps w:val="0"/>
          <w:sz w:val="22"/>
          <w:szCs w:val="22"/>
        </w:rPr>
        <w:tab/>
      </w:r>
      <w:r>
        <w:t>NSPS Standards</w:t>
      </w:r>
      <w:r>
        <w:tab/>
      </w:r>
      <w:r>
        <w:fldChar w:fldCharType="begin"/>
      </w:r>
      <w:r>
        <w:instrText xml:space="preserve"> PAGEREF _Toc14435673 \h </w:instrText>
      </w:r>
      <w:r>
        <w:fldChar w:fldCharType="separate"/>
      </w:r>
      <w:r>
        <w:t>19</w:t>
      </w:r>
      <w:r>
        <w:fldChar w:fldCharType="end"/>
      </w:r>
    </w:p>
    <w:p w14:paraId="5B6EF646" w14:textId="77777777" w:rsidR="00FF64C0" w:rsidRDefault="00FF64C0">
      <w:pPr>
        <w:pStyle w:val="TOC2"/>
        <w:rPr>
          <w:rFonts w:asciiTheme="minorHAnsi" w:eastAsiaTheme="minorEastAsia" w:hAnsiTheme="minorHAnsi" w:cstheme="minorBidi"/>
          <w:smallCaps w:val="0"/>
          <w:sz w:val="22"/>
          <w:szCs w:val="22"/>
        </w:rPr>
      </w:pPr>
      <w:r>
        <w:t>D.</w:t>
      </w:r>
      <w:r>
        <w:rPr>
          <w:rFonts w:asciiTheme="minorHAnsi" w:eastAsiaTheme="minorEastAsia" w:hAnsiTheme="minorHAnsi" w:cstheme="minorBidi"/>
          <w:smallCaps w:val="0"/>
          <w:sz w:val="22"/>
          <w:szCs w:val="22"/>
        </w:rPr>
        <w:tab/>
      </w:r>
      <w:r>
        <w:t>Risk Management Plan</w:t>
      </w:r>
      <w:r>
        <w:tab/>
      </w:r>
      <w:r>
        <w:fldChar w:fldCharType="begin"/>
      </w:r>
      <w:r>
        <w:instrText xml:space="preserve"> PAGEREF _Toc14435674 \h </w:instrText>
      </w:r>
      <w:r>
        <w:fldChar w:fldCharType="separate"/>
      </w:r>
      <w:r>
        <w:t>19</w:t>
      </w:r>
      <w:r>
        <w:fldChar w:fldCharType="end"/>
      </w:r>
    </w:p>
    <w:p w14:paraId="5B6EF647" w14:textId="77777777" w:rsidR="00FF64C0" w:rsidRDefault="00FF64C0">
      <w:pPr>
        <w:pStyle w:val="TOC2"/>
        <w:rPr>
          <w:rFonts w:asciiTheme="minorHAnsi" w:eastAsiaTheme="minorEastAsia" w:hAnsiTheme="minorHAnsi" w:cstheme="minorBidi"/>
          <w:smallCaps w:val="0"/>
          <w:sz w:val="22"/>
          <w:szCs w:val="22"/>
        </w:rPr>
      </w:pPr>
      <w:r>
        <w:t>E.</w:t>
      </w:r>
      <w:r>
        <w:rPr>
          <w:rFonts w:asciiTheme="minorHAnsi" w:eastAsiaTheme="minorEastAsia" w:hAnsiTheme="minorHAnsi" w:cstheme="minorBidi"/>
          <w:smallCaps w:val="0"/>
          <w:sz w:val="22"/>
          <w:szCs w:val="22"/>
        </w:rPr>
        <w:tab/>
      </w:r>
      <w:r>
        <w:t>CAM Applicability</w:t>
      </w:r>
      <w:r>
        <w:tab/>
      </w:r>
      <w:r>
        <w:fldChar w:fldCharType="begin"/>
      </w:r>
      <w:r>
        <w:instrText xml:space="preserve"> PAGEREF _Toc14435675 \h </w:instrText>
      </w:r>
      <w:r>
        <w:fldChar w:fldCharType="separate"/>
      </w:r>
      <w:r>
        <w:t>19</w:t>
      </w:r>
      <w:r>
        <w:fldChar w:fldCharType="end"/>
      </w:r>
    </w:p>
    <w:p w14:paraId="5B6EF648" w14:textId="77777777" w:rsidR="00FF64C0" w:rsidRDefault="00FF64C0">
      <w:pPr>
        <w:pStyle w:val="TOC2"/>
        <w:rPr>
          <w:rFonts w:asciiTheme="minorHAnsi" w:eastAsiaTheme="minorEastAsia" w:hAnsiTheme="minorHAnsi" w:cstheme="minorBidi"/>
          <w:smallCaps w:val="0"/>
          <w:sz w:val="22"/>
          <w:szCs w:val="22"/>
        </w:rPr>
      </w:pPr>
      <w:r>
        <w:t>F.</w:t>
      </w:r>
      <w:r>
        <w:rPr>
          <w:rFonts w:asciiTheme="minorHAnsi" w:eastAsiaTheme="minorEastAsia" w:hAnsiTheme="minorHAnsi" w:cstheme="minorBidi"/>
          <w:smallCaps w:val="0"/>
          <w:sz w:val="22"/>
          <w:szCs w:val="22"/>
        </w:rPr>
        <w:tab/>
      </w:r>
      <w:r w:rsidRPr="002F6EAC">
        <w:rPr>
          <w:rFonts w:cs="Garamond-Bold"/>
          <w:bCs/>
        </w:rPr>
        <w:t xml:space="preserve">PSD and Title V Greenhouse Gas Tailoring </w:t>
      </w:r>
      <w:r>
        <w:t>Rule</w:t>
      </w:r>
      <w:r>
        <w:tab/>
      </w:r>
      <w:r>
        <w:fldChar w:fldCharType="begin"/>
      </w:r>
      <w:r>
        <w:instrText xml:space="preserve"> PAGEREF _Toc14435676 \h </w:instrText>
      </w:r>
      <w:r>
        <w:fldChar w:fldCharType="separate"/>
      </w:r>
      <w:r>
        <w:t>20</w:t>
      </w:r>
      <w:r>
        <w:fldChar w:fldCharType="end"/>
      </w:r>
    </w:p>
    <w:p w14:paraId="5B6EF649" w14:textId="77777777" w:rsidR="005A2FDF" w:rsidRPr="00141320" w:rsidRDefault="00F83117">
      <w:pPr>
        <w:pStyle w:val="Header"/>
        <w:tabs>
          <w:tab w:val="clear" w:pos="4320"/>
          <w:tab w:val="clear" w:pos="8640"/>
        </w:tabs>
        <w:rPr>
          <w:szCs w:val="24"/>
        </w:rPr>
      </w:pPr>
      <w:r w:rsidRPr="00141320">
        <w:rPr>
          <w:szCs w:val="24"/>
        </w:rPr>
        <w:fldChar w:fldCharType="end"/>
      </w:r>
    </w:p>
    <w:p w14:paraId="5B6EF64A" w14:textId="77777777" w:rsidR="005A2FDF" w:rsidRPr="00141320" w:rsidRDefault="005A2FDF">
      <w:pPr>
        <w:rPr>
          <w:szCs w:val="24"/>
        </w:rPr>
      </w:pPr>
    </w:p>
    <w:p w14:paraId="5B6EF64B" w14:textId="77777777" w:rsidR="005A2FDF" w:rsidRPr="00141320" w:rsidRDefault="005A2FDF">
      <w:pPr>
        <w:rPr>
          <w:szCs w:val="24"/>
        </w:rPr>
      </w:pPr>
    </w:p>
    <w:p w14:paraId="5B6EF64C" w14:textId="77777777" w:rsidR="005A2FDF" w:rsidRPr="00C8674E" w:rsidRDefault="005A2FDF">
      <w:pPr>
        <w:rPr>
          <w:szCs w:val="24"/>
        </w:rPr>
      </w:pPr>
    </w:p>
    <w:p w14:paraId="5B6EF64D" w14:textId="77777777" w:rsidR="005A2FDF" w:rsidRPr="00C8674E" w:rsidRDefault="005A2FDF">
      <w:pPr>
        <w:pStyle w:val="Heading1"/>
        <w:rPr>
          <w:szCs w:val="24"/>
        </w:rPr>
      </w:pPr>
      <w:r w:rsidRPr="00C8674E">
        <w:rPr>
          <w:szCs w:val="24"/>
        </w:rPr>
        <w:br w:type="page"/>
      </w:r>
      <w:r w:rsidRPr="00C8674E">
        <w:rPr>
          <w:szCs w:val="24"/>
        </w:rPr>
        <w:lastRenderedPageBreak/>
        <w:t xml:space="preserve">  </w:t>
      </w:r>
      <w:bookmarkStart w:id="1" w:name="_Toc14435650"/>
      <w:r w:rsidRPr="00C8674E">
        <w:rPr>
          <w:szCs w:val="24"/>
        </w:rPr>
        <w:t>GENERAL INFORMATION</w:t>
      </w:r>
      <w:bookmarkEnd w:id="1"/>
    </w:p>
    <w:p w14:paraId="5B6EF64E" w14:textId="77777777" w:rsidR="005A2FDF" w:rsidRPr="00C8674E" w:rsidRDefault="005A2FDF">
      <w:pPr>
        <w:rPr>
          <w:szCs w:val="24"/>
        </w:rPr>
      </w:pPr>
    </w:p>
    <w:p w14:paraId="5B6EF64F" w14:textId="77777777" w:rsidR="005A2FDF" w:rsidRPr="006035AB" w:rsidRDefault="005A2FDF">
      <w:pPr>
        <w:pStyle w:val="Heading2"/>
        <w:numPr>
          <w:ilvl w:val="0"/>
          <w:numId w:val="7"/>
        </w:numPr>
      </w:pPr>
      <w:bookmarkStart w:id="2" w:name="_Toc14435651"/>
      <w:r w:rsidRPr="00C8674E">
        <w:t>Purpose</w:t>
      </w:r>
      <w:bookmarkEnd w:id="2"/>
    </w:p>
    <w:p w14:paraId="5B6EF650" w14:textId="77777777" w:rsidR="005A2FDF" w:rsidRPr="00C8674E" w:rsidRDefault="005A2FDF">
      <w:pPr>
        <w:rPr>
          <w:szCs w:val="24"/>
        </w:rPr>
      </w:pPr>
    </w:p>
    <w:p w14:paraId="5B6EF651" w14:textId="1AB13263" w:rsidR="005A2FDF" w:rsidRPr="00C8674E" w:rsidRDefault="005A2FDF">
      <w:pPr>
        <w:ind w:left="540"/>
        <w:rPr>
          <w:szCs w:val="24"/>
        </w:rPr>
      </w:pPr>
      <w:r w:rsidRPr="00C8674E">
        <w:rPr>
          <w:szCs w:val="24"/>
        </w:rPr>
        <w:t xml:space="preserve">This document establishes the basis for the decisions made regarding the applicable requirements, monitoring plan, and compliance status of </w:t>
      </w:r>
      <w:r w:rsidR="00FF3085" w:rsidRPr="00C8674E">
        <w:rPr>
          <w:szCs w:val="24"/>
        </w:rPr>
        <w:t>emissions</w:t>
      </w:r>
      <w:r w:rsidRPr="00C8674E">
        <w:rPr>
          <w:szCs w:val="24"/>
        </w:rPr>
        <w:t xml:space="preserve">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Conclusions in this document are based primarily on information provided in the original application submitted by The Western Sugar Cooperative (</w:t>
      </w:r>
      <w:r w:rsidR="008B0C3C" w:rsidRPr="00C8674E">
        <w:rPr>
          <w:szCs w:val="24"/>
        </w:rPr>
        <w:t>WSC</w:t>
      </w:r>
      <w:r w:rsidRPr="00C8674E">
        <w:rPr>
          <w:szCs w:val="24"/>
        </w:rPr>
        <w:t xml:space="preserve">), formerly Western Sugar Company, on June 7, 1996, </w:t>
      </w:r>
      <w:proofErr w:type="gramStart"/>
      <w:r w:rsidRPr="00C8674E">
        <w:rPr>
          <w:szCs w:val="24"/>
        </w:rPr>
        <w:t>and also</w:t>
      </w:r>
      <w:proofErr w:type="gramEnd"/>
      <w:r w:rsidRPr="00C8674E">
        <w:rPr>
          <w:szCs w:val="24"/>
        </w:rPr>
        <w:t xml:space="preserve"> on </w:t>
      </w:r>
      <w:r w:rsidR="00DB2279">
        <w:rPr>
          <w:szCs w:val="24"/>
        </w:rPr>
        <w:t>s</w:t>
      </w:r>
      <w:r w:rsidRPr="00C8674E">
        <w:rPr>
          <w:szCs w:val="24"/>
        </w:rPr>
        <w:t>tipulated agreements between the Department of Environmental Quality (</w:t>
      </w:r>
      <w:r w:rsidR="00D4457C" w:rsidRPr="00C8674E">
        <w:rPr>
          <w:szCs w:val="24"/>
        </w:rPr>
        <w:t>D</w:t>
      </w:r>
      <w:r w:rsidR="00D4457C">
        <w:rPr>
          <w:szCs w:val="24"/>
        </w:rPr>
        <w:t>EQ</w:t>
      </w:r>
      <w:r w:rsidRPr="00C8674E">
        <w:rPr>
          <w:szCs w:val="24"/>
        </w:rPr>
        <w:t xml:space="preserve">) and </w:t>
      </w:r>
      <w:r w:rsidR="002643A4">
        <w:rPr>
          <w:szCs w:val="24"/>
        </w:rPr>
        <w:t>WSC</w:t>
      </w:r>
      <w:r w:rsidRPr="00C8674E">
        <w:rPr>
          <w:szCs w:val="24"/>
        </w:rPr>
        <w:t xml:space="preserve"> as documented in the June 1998 Stipulation (STIP).  The STIP is discussed in Appendix E of the operating permit and a copy of the STIP is available, upon request, from </w:t>
      </w:r>
      <w:r w:rsidR="00D4457C">
        <w:rPr>
          <w:szCs w:val="24"/>
        </w:rPr>
        <w:t>DEQ</w:t>
      </w:r>
      <w:r w:rsidRPr="00C8674E">
        <w:rPr>
          <w:szCs w:val="24"/>
        </w:rPr>
        <w:t xml:space="preserve">.  Additional information was also submitted by </w:t>
      </w:r>
      <w:r w:rsidR="002643A4">
        <w:rPr>
          <w:szCs w:val="24"/>
        </w:rPr>
        <w:t>WSC</w:t>
      </w:r>
      <w:r w:rsidRPr="00C8674E">
        <w:rPr>
          <w:szCs w:val="24"/>
        </w:rPr>
        <w:t xml:space="preserve"> with respect to the minor modification/administrative amendment requests of April 5, 2002; May 17, 2002; June 23, 2003</w:t>
      </w:r>
      <w:r w:rsidR="007E1446" w:rsidRPr="00C8674E">
        <w:rPr>
          <w:szCs w:val="24"/>
        </w:rPr>
        <w:t>; February 4, 2008</w:t>
      </w:r>
      <w:r w:rsidR="008F5B70">
        <w:rPr>
          <w:szCs w:val="24"/>
        </w:rPr>
        <w:t>; and April 15, 2019</w:t>
      </w:r>
      <w:r w:rsidR="007E1446" w:rsidRPr="00C8674E">
        <w:rPr>
          <w:szCs w:val="24"/>
        </w:rPr>
        <w:t>, the de minimis request of May 30, 2008,</w:t>
      </w:r>
      <w:r w:rsidRPr="00C8674E">
        <w:rPr>
          <w:szCs w:val="24"/>
        </w:rPr>
        <w:t xml:space="preserve"> the significant modification request of July 30, 2003, and the renewal application</w:t>
      </w:r>
      <w:r w:rsidR="007E1446" w:rsidRPr="00C8674E">
        <w:rPr>
          <w:szCs w:val="24"/>
        </w:rPr>
        <w:t>s</w:t>
      </w:r>
      <w:r w:rsidRPr="00C8674E">
        <w:rPr>
          <w:szCs w:val="24"/>
        </w:rPr>
        <w:t xml:space="preserve"> submitted on May 18, 2005</w:t>
      </w:r>
      <w:r w:rsidR="00A65A81">
        <w:rPr>
          <w:szCs w:val="24"/>
        </w:rPr>
        <w:t>,</w:t>
      </w:r>
      <w:r w:rsidR="007E1446" w:rsidRPr="00C8674E">
        <w:rPr>
          <w:szCs w:val="24"/>
        </w:rPr>
        <w:t xml:space="preserve"> </w:t>
      </w:r>
      <w:r w:rsidR="007E1446" w:rsidRPr="00C72EA4">
        <w:rPr>
          <w:szCs w:val="24"/>
        </w:rPr>
        <w:t>February 17, 2010</w:t>
      </w:r>
      <w:r w:rsidR="000F3875">
        <w:rPr>
          <w:szCs w:val="24"/>
        </w:rPr>
        <w:t xml:space="preserve">, </w:t>
      </w:r>
      <w:r w:rsidR="00A65A81" w:rsidRPr="00C72EA4">
        <w:rPr>
          <w:szCs w:val="24"/>
        </w:rPr>
        <w:t>October 8, 2015</w:t>
      </w:r>
      <w:r w:rsidR="000F3875">
        <w:rPr>
          <w:szCs w:val="24"/>
        </w:rPr>
        <w:t>, and August 24, 2021</w:t>
      </w:r>
      <w:r w:rsidRPr="00C72EA4">
        <w:rPr>
          <w:szCs w:val="24"/>
        </w:rPr>
        <w:t>.</w:t>
      </w:r>
      <w:r w:rsidR="00190BE0">
        <w:rPr>
          <w:szCs w:val="24"/>
        </w:rPr>
        <w:t xml:space="preserve"> On January 8, 2024, an application was submitted as a minor modification by WSC, which was processed by DEQ as a deminimis action.</w:t>
      </w:r>
      <w:r w:rsidR="00294899">
        <w:rPr>
          <w:szCs w:val="24"/>
        </w:rPr>
        <w:t xml:space="preserve"> No OP revision was issued for the January 8, 2024 application submittal. </w:t>
      </w:r>
      <w:r w:rsidR="00190BE0">
        <w:rPr>
          <w:szCs w:val="24"/>
        </w:rPr>
        <w:t xml:space="preserve"> On February 23, 2026,</w:t>
      </w:r>
      <w:r w:rsidR="00373E9B" w:rsidRPr="00373E9B">
        <w:rPr>
          <w:szCs w:val="24"/>
        </w:rPr>
        <w:t xml:space="preserve"> </w:t>
      </w:r>
      <w:r w:rsidR="002643A4">
        <w:rPr>
          <w:szCs w:val="24"/>
        </w:rPr>
        <w:t>WSC</w:t>
      </w:r>
      <w:r w:rsidR="00373E9B">
        <w:rPr>
          <w:szCs w:val="24"/>
        </w:rPr>
        <w:t xml:space="preserve"> submitted a request for </w:t>
      </w:r>
      <w:r w:rsidR="00190BE0">
        <w:rPr>
          <w:szCs w:val="24"/>
        </w:rPr>
        <w:t xml:space="preserve">administrative amendment </w:t>
      </w:r>
      <w:r w:rsidR="00373E9B">
        <w:rPr>
          <w:szCs w:val="24"/>
        </w:rPr>
        <w:t xml:space="preserve">of their existing Title V operating permit </w:t>
      </w:r>
      <w:r w:rsidR="00190BE0">
        <w:rPr>
          <w:szCs w:val="24"/>
        </w:rPr>
        <w:t xml:space="preserve">to address </w:t>
      </w:r>
      <w:r w:rsidR="00373E9B">
        <w:rPr>
          <w:szCs w:val="24"/>
        </w:rPr>
        <w:t xml:space="preserve">and incorporate, as appropriate, </w:t>
      </w:r>
      <w:r w:rsidR="00190BE0">
        <w:rPr>
          <w:szCs w:val="24"/>
        </w:rPr>
        <w:t>the 202</w:t>
      </w:r>
      <w:r w:rsidR="00512D5F">
        <w:rPr>
          <w:szCs w:val="24"/>
        </w:rPr>
        <w:t>6</w:t>
      </w:r>
      <w:r w:rsidR="00190BE0">
        <w:rPr>
          <w:szCs w:val="24"/>
        </w:rPr>
        <w:t xml:space="preserve"> </w:t>
      </w:r>
      <w:r w:rsidR="00512D5F">
        <w:rPr>
          <w:szCs w:val="24"/>
        </w:rPr>
        <w:t>SIP</w:t>
      </w:r>
      <w:r w:rsidR="00190BE0">
        <w:rPr>
          <w:szCs w:val="24"/>
        </w:rPr>
        <w:t xml:space="preserve"> changes.</w:t>
      </w:r>
      <w:r w:rsidR="003B6C5F">
        <w:rPr>
          <w:szCs w:val="24"/>
        </w:rPr>
        <w:t xml:space="preserve"> </w:t>
      </w:r>
      <w:r w:rsidR="00373E9B">
        <w:rPr>
          <w:szCs w:val="24"/>
        </w:rPr>
        <w:t xml:space="preserve">Following review of the proposed administrative action, and pursuant to the applicable requirements of ARM 17.8.1227, DEQ notified </w:t>
      </w:r>
      <w:r w:rsidR="002643A4">
        <w:rPr>
          <w:szCs w:val="24"/>
        </w:rPr>
        <w:t>WSC</w:t>
      </w:r>
      <w:r w:rsidR="00373E9B">
        <w:rPr>
          <w:szCs w:val="24"/>
        </w:rPr>
        <w:t xml:space="preserve"> the proposed action constitutes a significant modification of their existing Title V operating permit.  In response, o</w:t>
      </w:r>
      <w:r w:rsidR="003B6C5F">
        <w:rPr>
          <w:szCs w:val="24"/>
        </w:rPr>
        <w:t xml:space="preserve">n April 8, 2026, </w:t>
      </w:r>
      <w:r w:rsidR="002643A4">
        <w:rPr>
          <w:szCs w:val="24"/>
        </w:rPr>
        <w:t>WSC</w:t>
      </w:r>
      <w:r w:rsidR="00373E9B">
        <w:rPr>
          <w:szCs w:val="24"/>
        </w:rPr>
        <w:t xml:space="preserve"> withdrew their</w:t>
      </w:r>
      <w:r w:rsidR="003B6C5F">
        <w:rPr>
          <w:szCs w:val="24"/>
        </w:rPr>
        <w:t xml:space="preserve"> February 23, 2026, </w:t>
      </w:r>
      <w:r w:rsidR="00373E9B">
        <w:rPr>
          <w:szCs w:val="24"/>
        </w:rPr>
        <w:t xml:space="preserve">request for an </w:t>
      </w:r>
      <w:r w:rsidR="003B6C5F">
        <w:rPr>
          <w:szCs w:val="24"/>
        </w:rPr>
        <w:t xml:space="preserve">administrative amendment </w:t>
      </w:r>
      <w:r w:rsidR="00373E9B">
        <w:rPr>
          <w:szCs w:val="24"/>
        </w:rPr>
        <w:t>and submitted a complete application for a</w:t>
      </w:r>
      <w:r w:rsidR="003B6C5F">
        <w:rPr>
          <w:szCs w:val="24"/>
        </w:rPr>
        <w:t xml:space="preserve"> significant modification.</w:t>
      </w:r>
    </w:p>
    <w:p w14:paraId="5B6EF652" w14:textId="77777777" w:rsidR="005A2FDF" w:rsidRPr="00C8674E" w:rsidRDefault="005A2FDF">
      <w:pPr>
        <w:rPr>
          <w:szCs w:val="24"/>
        </w:rPr>
      </w:pPr>
    </w:p>
    <w:p w14:paraId="5B6EF653" w14:textId="77777777" w:rsidR="005A2FDF" w:rsidRPr="006035AB" w:rsidRDefault="005A2FDF">
      <w:pPr>
        <w:pStyle w:val="Heading2"/>
        <w:numPr>
          <w:ilvl w:val="0"/>
          <w:numId w:val="7"/>
        </w:numPr>
      </w:pPr>
      <w:bookmarkStart w:id="3" w:name="_Toc14435652"/>
      <w:r w:rsidRPr="00C8674E">
        <w:t xml:space="preserve">Facility </w:t>
      </w:r>
      <w:r w:rsidRPr="006035AB">
        <w:t>Location</w:t>
      </w:r>
      <w:bookmarkEnd w:id="3"/>
    </w:p>
    <w:p w14:paraId="5B6EF654" w14:textId="77777777" w:rsidR="005A2FDF" w:rsidRPr="00C8674E" w:rsidRDefault="005A2F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B6EF655" w14:textId="77777777" w:rsidR="005A2FDF" w:rsidRPr="00C8674E" w:rsidRDefault="007E1446">
      <w:pPr>
        <w:pStyle w:val="BodyTextIndent2"/>
        <w:rPr>
          <w:rFonts w:ascii="Garamond" w:hAnsi="Garamond"/>
          <w:sz w:val="24"/>
          <w:szCs w:val="24"/>
        </w:rPr>
      </w:pPr>
      <w:r w:rsidRPr="00C8674E">
        <w:rPr>
          <w:rFonts w:ascii="Garamond" w:hAnsi="Garamond"/>
          <w:sz w:val="24"/>
          <w:szCs w:val="24"/>
        </w:rPr>
        <w:t>WSC</w:t>
      </w:r>
      <w:r w:rsidR="005A2FDF" w:rsidRPr="00C8674E">
        <w:rPr>
          <w:rFonts w:ascii="Garamond" w:hAnsi="Garamond"/>
          <w:sz w:val="24"/>
          <w:szCs w:val="24"/>
        </w:rPr>
        <w:t xml:space="preserve">’s </w:t>
      </w:r>
      <w:r w:rsidRPr="00C8674E">
        <w:rPr>
          <w:rFonts w:ascii="Garamond" w:hAnsi="Garamond"/>
          <w:sz w:val="24"/>
          <w:szCs w:val="24"/>
        </w:rPr>
        <w:t>facility</w:t>
      </w:r>
      <w:r w:rsidR="005A2FDF" w:rsidRPr="00C8674E">
        <w:rPr>
          <w:rFonts w:ascii="Garamond" w:hAnsi="Garamond"/>
          <w:sz w:val="24"/>
          <w:szCs w:val="24"/>
        </w:rPr>
        <w:t xml:space="preserve"> is located at 3020 State Avenue, Billings, Montana.  The legal description is Northeast ¼ of Section 10, Township 1 South, Range 26 East, in Yellowstone County, Montana.</w:t>
      </w:r>
    </w:p>
    <w:p w14:paraId="5B6EF656" w14:textId="77777777" w:rsidR="005A2FDF" w:rsidRPr="00C8674E" w:rsidRDefault="005A2F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B6EF657" w14:textId="77777777" w:rsidR="005A2FDF" w:rsidRPr="006035AB" w:rsidRDefault="005A2FDF">
      <w:pPr>
        <w:pStyle w:val="Heading2"/>
        <w:numPr>
          <w:ilvl w:val="0"/>
          <w:numId w:val="7"/>
        </w:numPr>
      </w:pPr>
      <w:bookmarkStart w:id="4" w:name="_Toc14435653"/>
      <w:r w:rsidRPr="00C8674E">
        <w:t xml:space="preserve">Facility Background </w:t>
      </w:r>
      <w:r w:rsidRPr="006035AB">
        <w:t>Information</w:t>
      </w:r>
      <w:bookmarkEnd w:id="4"/>
    </w:p>
    <w:p w14:paraId="5B6EF658" w14:textId="77777777" w:rsidR="005A2FDF" w:rsidRPr="00C8674E" w:rsidRDefault="005A2FDF">
      <w:pPr>
        <w:tabs>
          <w:tab w:val="left" w:pos="-1440"/>
          <w:tab w:val="left" w:pos="-720"/>
          <w:tab w:val="left" w:pos="600"/>
          <w:tab w:val="left" w:pos="1200"/>
          <w:tab w:val="left" w:pos="1800"/>
          <w:tab w:val="left" w:pos="2400"/>
          <w:tab w:val="left" w:pos="2988"/>
        </w:tabs>
        <w:rPr>
          <w:szCs w:val="24"/>
        </w:rPr>
      </w:pPr>
    </w:p>
    <w:p w14:paraId="5B6EF659" w14:textId="77777777" w:rsidR="005A2FDF" w:rsidRPr="00C8674E" w:rsidRDefault="000A68F4">
      <w:pPr>
        <w:pStyle w:val="Heading7"/>
        <w:rPr>
          <w:rFonts w:ascii="Garamond" w:hAnsi="Garamond"/>
          <w:b/>
          <w:sz w:val="24"/>
          <w:szCs w:val="24"/>
        </w:rPr>
      </w:pPr>
      <w:r w:rsidRPr="00C8674E">
        <w:rPr>
          <w:rFonts w:ascii="Garamond" w:hAnsi="Garamond"/>
          <w:b/>
          <w:sz w:val="24"/>
          <w:szCs w:val="24"/>
        </w:rPr>
        <w:t>Montana Air Quality Permit (</w:t>
      </w:r>
      <w:r w:rsidR="00EA059F" w:rsidRPr="00C8674E">
        <w:rPr>
          <w:rFonts w:ascii="Garamond" w:hAnsi="Garamond"/>
          <w:b/>
          <w:sz w:val="24"/>
          <w:szCs w:val="24"/>
        </w:rPr>
        <w:t>MAQP</w:t>
      </w:r>
      <w:r w:rsidRPr="00C8674E">
        <w:rPr>
          <w:rFonts w:ascii="Garamond" w:hAnsi="Garamond"/>
          <w:b/>
          <w:sz w:val="24"/>
          <w:szCs w:val="24"/>
        </w:rPr>
        <w:t>)</w:t>
      </w:r>
      <w:r w:rsidR="005A2FDF" w:rsidRPr="00C8674E">
        <w:rPr>
          <w:rFonts w:ascii="Garamond" w:hAnsi="Garamond"/>
          <w:b/>
          <w:sz w:val="24"/>
          <w:szCs w:val="24"/>
        </w:rPr>
        <w:t xml:space="preserve"> Background</w:t>
      </w:r>
    </w:p>
    <w:p w14:paraId="5B6EF65A" w14:textId="77777777" w:rsidR="005A2FDF" w:rsidRPr="00C8674E" w:rsidRDefault="005A2FDF" w:rsidP="008B1BAD">
      <w:pPr>
        <w:tabs>
          <w:tab w:val="left" w:pos="-1440"/>
          <w:tab w:val="left" w:pos="-720"/>
          <w:tab w:val="left" w:pos="540"/>
          <w:tab w:val="left" w:pos="1200"/>
          <w:tab w:val="left" w:pos="1800"/>
          <w:tab w:val="left" w:pos="2400"/>
          <w:tab w:val="left" w:pos="2988"/>
        </w:tabs>
        <w:rPr>
          <w:szCs w:val="24"/>
        </w:rPr>
      </w:pPr>
    </w:p>
    <w:p w14:paraId="5B6EF65B" w14:textId="77777777" w:rsidR="005A2FDF" w:rsidRPr="00C8674E" w:rsidRDefault="005A2FDF">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On May 11, 1971, </w:t>
      </w:r>
      <w:r w:rsidR="007E1446" w:rsidRPr="00C8674E">
        <w:rPr>
          <w:b/>
          <w:szCs w:val="24"/>
        </w:rPr>
        <w:t>MAQP</w:t>
      </w:r>
      <w:r w:rsidR="007E1446" w:rsidRPr="00C8674E">
        <w:rPr>
          <w:szCs w:val="24"/>
        </w:rPr>
        <w:t xml:space="preserve"> </w:t>
      </w:r>
      <w:r w:rsidRPr="00C8674E">
        <w:rPr>
          <w:szCs w:val="24"/>
        </w:rPr>
        <w:t>#</w:t>
      </w:r>
      <w:r w:rsidRPr="00C8674E">
        <w:rPr>
          <w:b/>
          <w:szCs w:val="24"/>
        </w:rPr>
        <w:t>286-073071</w:t>
      </w:r>
      <w:r w:rsidRPr="00C8674E">
        <w:rPr>
          <w:szCs w:val="24"/>
        </w:rPr>
        <w:t xml:space="preserve"> was issued to Western Sugar Company to install a 2000-gallon per minute wet scrubbing system on the existing cyclone dryer stacks.</w:t>
      </w:r>
    </w:p>
    <w:p w14:paraId="5B6EF65C" w14:textId="77777777" w:rsidR="005A2FDF" w:rsidRPr="00C8674E" w:rsidRDefault="005A2FDF">
      <w:pPr>
        <w:tabs>
          <w:tab w:val="left" w:pos="-1440"/>
          <w:tab w:val="left" w:pos="-720"/>
          <w:tab w:val="left" w:pos="600"/>
          <w:tab w:val="left" w:pos="1200"/>
          <w:tab w:val="left" w:pos="1800"/>
          <w:tab w:val="left" w:pos="2400"/>
          <w:tab w:val="left" w:pos="2988"/>
        </w:tabs>
        <w:rPr>
          <w:szCs w:val="24"/>
        </w:rPr>
      </w:pPr>
    </w:p>
    <w:p w14:paraId="5B6EF65D" w14:textId="77777777" w:rsidR="005A2FDF" w:rsidRPr="00C8674E" w:rsidRDefault="005A2FDF">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On July 10, 1972, </w:t>
      </w:r>
      <w:r w:rsidR="007E1446" w:rsidRPr="00C8674E">
        <w:rPr>
          <w:b/>
          <w:szCs w:val="24"/>
        </w:rPr>
        <w:t>MAQP</w:t>
      </w:r>
      <w:r w:rsidR="007E1446" w:rsidRPr="00C8674E">
        <w:rPr>
          <w:szCs w:val="24"/>
        </w:rPr>
        <w:t xml:space="preserve"> </w:t>
      </w:r>
      <w:r w:rsidRPr="00C8674E">
        <w:rPr>
          <w:szCs w:val="24"/>
        </w:rPr>
        <w:t>#</w:t>
      </w:r>
      <w:r w:rsidRPr="00C8674E">
        <w:rPr>
          <w:b/>
          <w:szCs w:val="24"/>
        </w:rPr>
        <w:t>485-092672</w:t>
      </w:r>
      <w:r w:rsidRPr="00C8674E">
        <w:rPr>
          <w:szCs w:val="24"/>
        </w:rPr>
        <w:t xml:space="preserve"> was issued to Western Sugar Company to install a wet scrubber system on the west drum pulp dryer cyclone.</w:t>
      </w:r>
    </w:p>
    <w:p w14:paraId="5B6EF65E" w14:textId="77777777" w:rsidR="005A2FDF" w:rsidRPr="00C8674E" w:rsidRDefault="005A2FDF">
      <w:pPr>
        <w:tabs>
          <w:tab w:val="left" w:pos="-1440"/>
          <w:tab w:val="left" w:pos="-720"/>
          <w:tab w:val="left" w:pos="600"/>
          <w:tab w:val="left" w:pos="1200"/>
          <w:tab w:val="left" w:pos="1800"/>
          <w:tab w:val="left" w:pos="2400"/>
          <w:tab w:val="left" w:pos="2988"/>
        </w:tabs>
        <w:rPr>
          <w:szCs w:val="24"/>
        </w:rPr>
      </w:pPr>
    </w:p>
    <w:p w14:paraId="5B6EF65F" w14:textId="77777777" w:rsidR="005A2FDF" w:rsidRPr="00C8674E" w:rsidRDefault="005A2FDF">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On June 29, 1976, </w:t>
      </w:r>
      <w:r w:rsidR="007E1446" w:rsidRPr="00C8674E">
        <w:rPr>
          <w:b/>
          <w:szCs w:val="24"/>
        </w:rPr>
        <w:t>MAQP</w:t>
      </w:r>
      <w:r w:rsidR="007E1446" w:rsidRPr="00C8674E">
        <w:rPr>
          <w:szCs w:val="24"/>
        </w:rPr>
        <w:t xml:space="preserve"> </w:t>
      </w:r>
      <w:r w:rsidRPr="00C8674E">
        <w:rPr>
          <w:szCs w:val="24"/>
        </w:rPr>
        <w:t>#</w:t>
      </w:r>
      <w:r w:rsidRPr="00C8674E">
        <w:rPr>
          <w:b/>
          <w:szCs w:val="24"/>
        </w:rPr>
        <w:t>913</w:t>
      </w:r>
      <w:r w:rsidRPr="00C8674E">
        <w:rPr>
          <w:szCs w:val="24"/>
        </w:rPr>
        <w:t xml:space="preserve"> was issued to Western Sugar Company for the conversion of three Riley 100,000 pound per hour natural gas fired steam generators (Riley #2, Riley #3, and Riley #4) to coal stoker firing.</w:t>
      </w:r>
    </w:p>
    <w:p w14:paraId="5B6EF660" w14:textId="77777777" w:rsidR="005A2FDF" w:rsidRPr="00C8674E" w:rsidRDefault="005A2FDF">
      <w:pPr>
        <w:tabs>
          <w:tab w:val="left" w:pos="-1440"/>
          <w:tab w:val="left" w:pos="-720"/>
          <w:tab w:val="left" w:pos="600"/>
          <w:tab w:val="left" w:pos="1200"/>
          <w:tab w:val="left" w:pos="1800"/>
          <w:tab w:val="left" w:pos="2400"/>
          <w:tab w:val="left" w:pos="2988"/>
        </w:tabs>
        <w:rPr>
          <w:szCs w:val="24"/>
        </w:rPr>
      </w:pPr>
    </w:p>
    <w:p w14:paraId="5B6EF661" w14:textId="77777777" w:rsidR="005A2FDF" w:rsidRPr="00C8674E" w:rsidRDefault="005A2FDF">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On July 26, 1978, </w:t>
      </w:r>
      <w:r w:rsidR="00EA059F" w:rsidRPr="00C8674E">
        <w:rPr>
          <w:b/>
          <w:szCs w:val="24"/>
        </w:rPr>
        <w:t xml:space="preserve">MAQP </w:t>
      </w:r>
      <w:r w:rsidRPr="00C8674E">
        <w:rPr>
          <w:szCs w:val="24"/>
        </w:rPr>
        <w:t>#</w:t>
      </w:r>
      <w:r w:rsidRPr="00C8674E">
        <w:rPr>
          <w:b/>
          <w:szCs w:val="24"/>
        </w:rPr>
        <w:t>1227</w:t>
      </w:r>
      <w:r w:rsidRPr="00C8674E">
        <w:rPr>
          <w:szCs w:val="24"/>
        </w:rPr>
        <w:t xml:space="preserve"> was issued to Western Sugar Company to install </w:t>
      </w:r>
      <w:proofErr w:type="gramStart"/>
      <w:r w:rsidRPr="00C8674E">
        <w:rPr>
          <w:szCs w:val="24"/>
        </w:rPr>
        <w:t>Multi-cyclones</w:t>
      </w:r>
      <w:proofErr w:type="gramEnd"/>
      <w:r w:rsidRPr="00C8674E">
        <w:rPr>
          <w:szCs w:val="24"/>
        </w:rPr>
        <w:t xml:space="preserve"> on the 3 coal</w:t>
      </w:r>
      <w:r w:rsidR="00EA059F" w:rsidRPr="00C8674E">
        <w:rPr>
          <w:szCs w:val="24"/>
        </w:rPr>
        <w:t>-</w:t>
      </w:r>
      <w:r w:rsidRPr="00C8674E">
        <w:rPr>
          <w:szCs w:val="24"/>
        </w:rPr>
        <w:t>fired boilers (Riley #2, Riley #3, and Riley #4).</w:t>
      </w:r>
    </w:p>
    <w:p w14:paraId="5B6EF662" w14:textId="77777777" w:rsidR="005A2FDF" w:rsidRPr="00C8674E" w:rsidRDefault="005A2FDF">
      <w:pPr>
        <w:tabs>
          <w:tab w:val="left" w:pos="-1440"/>
          <w:tab w:val="left" w:pos="-720"/>
          <w:tab w:val="left" w:pos="600"/>
          <w:tab w:val="left" w:pos="1200"/>
          <w:tab w:val="left" w:pos="1800"/>
          <w:tab w:val="left" w:pos="2400"/>
          <w:tab w:val="left" w:pos="2988"/>
        </w:tabs>
        <w:rPr>
          <w:szCs w:val="24"/>
        </w:rPr>
      </w:pPr>
    </w:p>
    <w:p w14:paraId="5B6EF663" w14:textId="77E7B9B1" w:rsidR="00521A5F" w:rsidRDefault="005A2FDF" w:rsidP="00821CB3">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On June 9, 1996, Western Sugar Company was issued </w:t>
      </w:r>
      <w:r w:rsidR="00EA059F" w:rsidRPr="00C8674E">
        <w:rPr>
          <w:b/>
          <w:szCs w:val="24"/>
        </w:rPr>
        <w:t>MAQP</w:t>
      </w:r>
      <w:r w:rsidR="00EA059F" w:rsidRPr="00C8674E">
        <w:rPr>
          <w:szCs w:val="24"/>
        </w:rPr>
        <w:t xml:space="preserve"> </w:t>
      </w:r>
      <w:r w:rsidRPr="00C8674E">
        <w:rPr>
          <w:szCs w:val="24"/>
        </w:rPr>
        <w:t>#</w:t>
      </w:r>
      <w:r w:rsidRPr="00C8674E">
        <w:rPr>
          <w:b/>
          <w:szCs w:val="24"/>
        </w:rPr>
        <w:t>2912-00</w:t>
      </w:r>
      <w:r w:rsidRPr="00C8674E">
        <w:rPr>
          <w:szCs w:val="24"/>
        </w:rPr>
        <w:t xml:space="preserve"> to construct the boiler house stack extension that w</w:t>
      </w:r>
      <w:r w:rsidR="007E2E7F" w:rsidRPr="00C8674E">
        <w:rPr>
          <w:szCs w:val="24"/>
        </w:rPr>
        <w:t>ould</w:t>
      </w:r>
      <w:r w:rsidRPr="00C8674E">
        <w:rPr>
          <w:szCs w:val="24"/>
        </w:rPr>
        <w:t xml:space="preserve"> extend the stack to at least 51.8 meters above ground level.  However, during a routine site visit, </w:t>
      </w:r>
      <w:r w:rsidR="00D4457C">
        <w:rPr>
          <w:szCs w:val="24"/>
        </w:rPr>
        <w:t>DEQ</w:t>
      </w:r>
      <w:r w:rsidRPr="00C8674E">
        <w:rPr>
          <w:szCs w:val="24"/>
        </w:rPr>
        <w:t xml:space="preserve"> noted an economizer on the boiler house stack that was put there by Western Sugar Company </w:t>
      </w:r>
      <w:proofErr w:type="gramStart"/>
      <w:r w:rsidRPr="00C8674E">
        <w:rPr>
          <w:szCs w:val="24"/>
        </w:rPr>
        <w:t>in an effort to</w:t>
      </w:r>
      <w:proofErr w:type="gramEnd"/>
      <w:r w:rsidRPr="00C8674E">
        <w:rPr>
          <w:szCs w:val="24"/>
        </w:rPr>
        <w:t xml:space="preserve"> minimize the amount of heat that was vented through the stack.  </w:t>
      </w:r>
    </w:p>
    <w:p w14:paraId="3DCCEBCD" w14:textId="77777777" w:rsidR="00C0616A" w:rsidRDefault="00C0616A" w:rsidP="00821CB3">
      <w:pPr>
        <w:tabs>
          <w:tab w:val="left" w:pos="-1440"/>
          <w:tab w:val="left" w:pos="-720"/>
          <w:tab w:val="left" w:pos="600"/>
          <w:tab w:val="left" w:pos="1200"/>
          <w:tab w:val="left" w:pos="1800"/>
          <w:tab w:val="left" w:pos="2400"/>
          <w:tab w:val="left" w:pos="2988"/>
        </w:tabs>
        <w:ind w:left="504"/>
        <w:rPr>
          <w:szCs w:val="24"/>
        </w:rPr>
      </w:pPr>
    </w:p>
    <w:p w14:paraId="5B6EF664" w14:textId="76BFF953" w:rsidR="00737582" w:rsidRPr="00C8674E" w:rsidRDefault="005A2FDF" w:rsidP="00821CB3">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The economizer influenced the characteristics of the plume emitted from the stack and was installed without notifying </w:t>
      </w:r>
      <w:r w:rsidR="00D4457C">
        <w:rPr>
          <w:szCs w:val="24"/>
        </w:rPr>
        <w:t>DEQ</w:t>
      </w:r>
      <w:r w:rsidRPr="00C8674E">
        <w:rPr>
          <w:szCs w:val="24"/>
        </w:rPr>
        <w:t xml:space="preserve">.  As a result, the stipulation agreement between </w:t>
      </w:r>
      <w:r w:rsidR="00D4457C">
        <w:rPr>
          <w:szCs w:val="24"/>
        </w:rPr>
        <w:t>DEQ</w:t>
      </w:r>
      <w:r w:rsidRPr="00C8674E">
        <w:rPr>
          <w:szCs w:val="24"/>
        </w:rPr>
        <w:t xml:space="preserve"> and Western Sugar </w:t>
      </w:r>
      <w:r w:rsidR="00821CB3" w:rsidRPr="00C8674E">
        <w:rPr>
          <w:szCs w:val="24"/>
        </w:rPr>
        <w:t xml:space="preserve">Company </w:t>
      </w:r>
      <w:r w:rsidRPr="00C8674E">
        <w:rPr>
          <w:szCs w:val="24"/>
        </w:rPr>
        <w:t xml:space="preserve">was readjusted to account for the changed characteristics of the exit gas plume.  The changed conditions of the stipulation were as follows; the boiler house stack must be raised to a minimum height of 54.9 meters instead of the original 51.8 meters.  Originally, the boiler house stack was 120 feet </w:t>
      </w:r>
      <w:r w:rsidR="00DB2279" w:rsidRPr="00C8674E">
        <w:rPr>
          <w:szCs w:val="24"/>
        </w:rPr>
        <w:t>tall,</w:t>
      </w:r>
      <w:r w:rsidRPr="00C8674E">
        <w:rPr>
          <w:szCs w:val="24"/>
        </w:rPr>
        <w:t xml:space="preserve"> and the extension would add another 60 feet that would produce a total stack height of 180 feet (54.9 meters) above ground level.  As part of the 1995 proposed Billings/Laurel SO</w:t>
      </w:r>
      <w:r w:rsidRPr="00C8674E">
        <w:rPr>
          <w:szCs w:val="24"/>
          <w:vertAlign w:val="subscript"/>
        </w:rPr>
        <w:t>2</w:t>
      </w:r>
      <w:r w:rsidRPr="00C8674E">
        <w:rPr>
          <w:szCs w:val="24"/>
        </w:rPr>
        <w:t xml:space="preserve"> State Implementation Plan, Western Sugar Company and </w:t>
      </w:r>
      <w:r w:rsidR="00D4457C">
        <w:rPr>
          <w:szCs w:val="24"/>
        </w:rPr>
        <w:t>DEQ</w:t>
      </w:r>
      <w:r w:rsidRPr="00C8674E">
        <w:rPr>
          <w:szCs w:val="24"/>
        </w:rPr>
        <w:t xml:space="preserve"> stipulated that Western Sugar Company shall extend the height of the boiler house stack to at least 54.9 meters to receive Good Engineering Practices (GEP).  </w:t>
      </w:r>
    </w:p>
    <w:p w14:paraId="5B6EF665" w14:textId="77777777" w:rsidR="00737582" w:rsidRPr="00FF64C0" w:rsidRDefault="00737582" w:rsidP="008B1BAD">
      <w:pPr>
        <w:tabs>
          <w:tab w:val="left" w:pos="-1440"/>
          <w:tab w:val="left" w:pos="-720"/>
          <w:tab w:val="left" w:pos="600"/>
          <w:tab w:val="left" w:pos="1200"/>
          <w:tab w:val="left" w:pos="1800"/>
          <w:tab w:val="left" w:pos="2400"/>
          <w:tab w:val="left" w:pos="2988"/>
        </w:tabs>
        <w:rPr>
          <w:sz w:val="22"/>
          <w:szCs w:val="22"/>
        </w:rPr>
      </w:pPr>
    </w:p>
    <w:p w14:paraId="5B6EF666" w14:textId="77777777" w:rsidR="005A2FDF" w:rsidRPr="00C8674E" w:rsidRDefault="005A2FDF" w:rsidP="00821CB3">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In addition to the proposed boiler house stack extension, Western Sugar Company agreed to accept lower </w:t>
      </w:r>
      <w:r w:rsidR="00FF3085" w:rsidRPr="00C8674E">
        <w:rPr>
          <w:szCs w:val="24"/>
        </w:rPr>
        <w:t>emissions</w:t>
      </w:r>
      <w:r w:rsidRPr="00C8674E">
        <w:rPr>
          <w:szCs w:val="24"/>
        </w:rPr>
        <w:t xml:space="preserve"> limitations for SO</w:t>
      </w:r>
      <w:r w:rsidRPr="00C8674E">
        <w:rPr>
          <w:szCs w:val="24"/>
          <w:vertAlign w:val="subscript"/>
        </w:rPr>
        <w:t>2</w:t>
      </w:r>
      <w:r w:rsidRPr="00C8674E">
        <w:rPr>
          <w:szCs w:val="24"/>
        </w:rPr>
        <w:t xml:space="preserve"> </w:t>
      </w:r>
      <w:r w:rsidR="00737582" w:rsidRPr="00C8674E">
        <w:rPr>
          <w:szCs w:val="24"/>
        </w:rPr>
        <w:t xml:space="preserve">on the pulp dryers </w:t>
      </w:r>
      <w:r w:rsidRPr="00C8674E">
        <w:rPr>
          <w:szCs w:val="24"/>
        </w:rPr>
        <w:t>as follows:</w:t>
      </w:r>
    </w:p>
    <w:p w14:paraId="5B6EF667" w14:textId="77777777" w:rsidR="005A2FDF" w:rsidRPr="00FF64C0" w:rsidRDefault="005A2FDF">
      <w:pPr>
        <w:tabs>
          <w:tab w:val="left" w:pos="-1440"/>
          <w:tab w:val="left" w:pos="-720"/>
          <w:tab w:val="left" w:pos="600"/>
          <w:tab w:val="left" w:pos="1200"/>
          <w:tab w:val="left" w:pos="1800"/>
          <w:tab w:val="left" w:pos="2400"/>
          <w:tab w:val="left" w:pos="2988"/>
        </w:tabs>
        <w:rPr>
          <w:sz w:val="22"/>
          <w:szCs w:val="22"/>
        </w:rPr>
      </w:pPr>
    </w:p>
    <w:p w14:paraId="5B6EF668" w14:textId="77777777" w:rsidR="005A2FDF" w:rsidRPr="00C8674E" w:rsidRDefault="005A2FDF">
      <w:pPr>
        <w:numPr>
          <w:ilvl w:val="0"/>
          <w:numId w:val="23"/>
        </w:numPr>
        <w:tabs>
          <w:tab w:val="clear" w:pos="1800"/>
          <w:tab w:val="left" w:pos="-1440"/>
          <w:tab w:val="left" w:pos="-720"/>
          <w:tab w:val="left" w:pos="1080"/>
          <w:tab w:val="left" w:pos="1200"/>
          <w:tab w:val="left" w:pos="2400"/>
          <w:tab w:val="left" w:pos="2988"/>
        </w:tabs>
        <w:ind w:left="1080" w:hanging="540"/>
        <w:rPr>
          <w:szCs w:val="24"/>
        </w:rPr>
      </w:pPr>
      <w:r w:rsidRPr="00C8674E">
        <w:rPr>
          <w:szCs w:val="24"/>
        </w:rPr>
        <w:t>Combined 3-hour emissions of SO</w:t>
      </w:r>
      <w:r w:rsidRPr="00C8674E">
        <w:rPr>
          <w:szCs w:val="24"/>
          <w:vertAlign w:val="subscript"/>
        </w:rPr>
        <w:t>2</w:t>
      </w:r>
      <w:r w:rsidRPr="00C8674E">
        <w:rPr>
          <w:szCs w:val="24"/>
        </w:rPr>
        <w:t xml:space="preserve"> from the east </w:t>
      </w:r>
      <w:r w:rsidR="00737582" w:rsidRPr="00C8674E">
        <w:rPr>
          <w:szCs w:val="24"/>
        </w:rPr>
        <w:t xml:space="preserve">pulp </w:t>
      </w:r>
      <w:r w:rsidRPr="00C8674E">
        <w:rPr>
          <w:szCs w:val="24"/>
        </w:rPr>
        <w:t xml:space="preserve">dryer stack and west </w:t>
      </w:r>
      <w:r w:rsidR="00737582" w:rsidRPr="00C8674E">
        <w:rPr>
          <w:szCs w:val="24"/>
        </w:rPr>
        <w:t xml:space="preserve">pulp </w:t>
      </w:r>
      <w:r w:rsidRPr="00C8674E">
        <w:rPr>
          <w:szCs w:val="24"/>
        </w:rPr>
        <w:t>dryer stack shall not exceed 88.5 pounds per 3-hour period</w:t>
      </w:r>
    </w:p>
    <w:p w14:paraId="5B6EF669" w14:textId="77777777" w:rsidR="005A2FDF" w:rsidRPr="00FF64C0" w:rsidRDefault="005A2FDF" w:rsidP="008B1BAD">
      <w:pPr>
        <w:tabs>
          <w:tab w:val="left" w:pos="-1440"/>
          <w:tab w:val="left" w:pos="-720"/>
          <w:tab w:val="left" w:pos="1080"/>
          <w:tab w:val="left" w:pos="1200"/>
          <w:tab w:val="left" w:pos="2400"/>
          <w:tab w:val="left" w:pos="2988"/>
        </w:tabs>
        <w:rPr>
          <w:sz w:val="22"/>
          <w:szCs w:val="22"/>
        </w:rPr>
      </w:pPr>
    </w:p>
    <w:p w14:paraId="5B6EF66A" w14:textId="77777777" w:rsidR="005A2FDF" w:rsidRPr="00C8674E" w:rsidRDefault="005A2FDF" w:rsidP="00EA059F">
      <w:pPr>
        <w:numPr>
          <w:ilvl w:val="0"/>
          <w:numId w:val="23"/>
        </w:numPr>
        <w:tabs>
          <w:tab w:val="clear" w:pos="1800"/>
          <w:tab w:val="left" w:pos="-1440"/>
          <w:tab w:val="left" w:pos="-720"/>
          <w:tab w:val="left" w:pos="1080"/>
          <w:tab w:val="left" w:pos="1200"/>
          <w:tab w:val="left" w:pos="2400"/>
          <w:tab w:val="left" w:pos="2988"/>
        </w:tabs>
        <w:ind w:left="1080" w:hanging="540"/>
        <w:rPr>
          <w:szCs w:val="24"/>
        </w:rPr>
      </w:pPr>
      <w:r w:rsidRPr="00C8674E">
        <w:rPr>
          <w:szCs w:val="24"/>
        </w:rPr>
        <w:t>Combined daily emissions of SO</w:t>
      </w:r>
      <w:r w:rsidRPr="00C8674E">
        <w:rPr>
          <w:szCs w:val="24"/>
          <w:vertAlign w:val="subscript"/>
        </w:rPr>
        <w:t>2</w:t>
      </w:r>
      <w:r w:rsidRPr="00C8674E">
        <w:rPr>
          <w:szCs w:val="24"/>
        </w:rPr>
        <w:t xml:space="preserve"> from the east </w:t>
      </w:r>
      <w:r w:rsidR="00737582" w:rsidRPr="00C8674E">
        <w:rPr>
          <w:szCs w:val="24"/>
        </w:rPr>
        <w:t xml:space="preserve">pulp </w:t>
      </w:r>
      <w:r w:rsidRPr="00C8674E">
        <w:rPr>
          <w:szCs w:val="24"/>
        </w:rPr>
        <w:t xml:space="preserve">dryer stack and west </w:t>
      </w:r>
      <w:r w:rsidR="00737582" w:rsidRPr="00C8674E">
        <w:rPr>
          <w:szCs w:val="24"/>
        </w:rPr>
        <w:t xml:space="preserve">pulp </w:t>
      </w:r>
      <w:r w:rsidRPr="00C8674E">
        <w:rPr>
          <w:szCs w:val="24"/>
        </w:rPr>
        <w:t>dryer stack</w:t>
      </w:r>
      <w:r w:rsidR="00EA059F" w:rsidRPr="00C8674E">
        <w:rPr>
          <w:szCs w:val="24"/>
        </w:rPr>
        <w:t xml:space="preserve"> </w:t>
      </w:r>
      <w:r w:rsidRPr="00C8674E">
        <w:rPr>
          <w:szCs w:val="24"/>
        </w:rPr>
        <w:t>shall not exceed 708.0 pounds per calendar day</w:t>
      </w:r>
    </w:p>
    <w:p w14:paraId="5B6EF66B" w14:textId="77777777" w:rsidR="005A2FDF" w:rsidRPr="00FF64C0" w:rsidRDefault="005A2FDF" w:rsidP="008B1BAD">
      <w:pPr>
        <w:tabs>
          <w:tab w:val="left" w:pos="-1440"/>
          <w:tab w:val="left" w:pos="-720"/>
          <w:tab w:val="left" w:pos="1080"/>
          <w:tab w:val="left" w:pos="1200"/>
          <w:tab w:val="left" w:pos="2400"/>
          <w:tab w:val="left" w:pos="2988"/>
        </w:tabs>
        <w:rPr>
          <w:sz w:val="22"/>
          <w:szCs w:val="22"/>
        </w:rPr>
      </w:pPr>
    </w:p>
    <w:p w14:paraId="5B6EF66C" w14:textId="77777777" w:rsidR="005A2FDF" w:rsidRPr="00C8674E" w:rsidRDefault="005A2FDF" w:rsidP="00737582">
      <w:pPr>
        <w:numPr>
          <w:ilvl w:val="0"/>
          <w:numId w:val="23"/>
        </w:numPr>
        <w:tabs>
          <w:tab w:val="clear" w:pos="1800"/>
          <w:tab w:val="left" w:pos="-1440"/>
          <w:tab w:val="left" w:pos="-720"/>
          <w:tab w:val="left" w:pos="1080"/>
          <w:tab w:val="left" w:pos="1200"/>
          <w:tab w:val="left" w:pos="2400"/>
          <w:tab w:val="left" w:pos="2988"/>
        </w:tabs>
        <w:ind w:left="1080" w:hanging="540"/>
        <w:rPr>
          <w:szCs w:val="24"/>
        </w:rPr>
      </w:pPr>
      <w:r w:rsidRPr="00C8674E">
        <w:rPr>
          <w:szCs w:val="24"/>
        </w:rPr>
        <w:t>Combined annual emissions of SO</w:t>
      </w:r>
      <w:r w:rsidRPr="00C8674E">
        <w:rPr>
          <w:szCs w:val="24"/>
          <w:vertAlign w:val="subscript"/>
        </w:rPr>
        <w:t>2</w:t>
      </w:r>
      <w:r w:rsidRPr="00C8674E">
        <w:rPr>
          <w:szCs w:val="24"/>
        </w:rPr>
        <w:t xml:space="preserve"> from the east </w:t>
      </w:r>
      <w:r w:rsidR="00737582" w:rsidRPr="00C8674E">
        <w:rPr>
          <w:szCs w:val="24"/>
        </w:rPr>
        <w:t xml:space="preserve">pulp </w:t>
      </w:r>
      <w:r w:rsidRPr="00C8674E">
        <w:rPr>
          <w:szCs w:val="24"/>
        </w:rPr>
        <w:t xml:space="preserve">dryer stack and west </w:t>
      </w:r>
      <w:r w:rsidR="00737582" w:rsidRPr="00C8674E">
        <w:rPr>
          <w:szCs w:val="24"/>
        </w:rPr>
        <w:t xml:space="preserve">pulp </w:t>
      </w:r>
      <w:r w:rsidRPr="00C8674E">
        <w:rPr>
          <w:szCs w:val="24"/>
        </w:rPr>
        <w:t>dryer</w:t>
      </w:r>
      <w:r w:rsidR="00737582" w:rsidRPr="00C8674E">
        <w:rPr>
          <w:szCs w:val="24"/>
        </w:rPr>
        <w:t xml:space="preserve"> </w:t>
      </w:r>
      <w:r w:rsidRPr="00C8674E">
        <w:rPr>
          <w:szCs w:val="24"/>
        </w:rPr>
        <w:t>stack shall not exceed 148,680 pounds per calendar year</w:t>
      </w:r>
    </w:p>
    <w:p w14:paraId="5B6EF66D" w14:textId="77777777" w:rsidR="005A2FDF" w:rsidRPr="00FF64C0" w:rsidRDefault="005A2FDF">
      <w:pPr>
        <w:tabs>
          <w:tab w:val="left" w:pos="-1440"/>
          <w:tab w:val="left" w:pos="-720"/>
          <w:tab w:val="left" w:pos="600"/>
          <w:tab w:val="left" w:pos="1200"/>
          <w:tab w:val="left" w:pos="1800"/>
          <w:tab w:val="left" w:pos="2400"/>
          <w:tab w:val="left" w:pos="2988"/>
        </w:tabs>
        <w:rPr>
          <w:sz w:val="22"/>
          <w:szCs w:val="22"/>
        </w:rPr>
      </w:pPr>
    </w:p>
    <w:p w14:paraId="5B6EF66E" w14:textId="77777777" w:rsidR="005A2FDF" w:rsidRPr="00C8674E" w:rsidRDefault="00821CB3">
      <w:pPr>
        <w:tabs>
          <w:tab w:val="left" w:pos="-1440"/>
          <w:tab w:val="left" w:pos="-720"/>
          <w:tab w:val="left" w:pos="600"/>
          <w:tab w:val="left" w:pos="1260"/>
          <w:tab w:val="left" w:pos="1800"/>
          <w:tab w:val="left" w:pos="2400"/>
          <w:tab w:val="left" w:pos="2988"/>
        </w:tabs>
        <w:ind w:left="540"/>
        <w:rPr>
          <w:szCs w:val="24"/>
        </w:rPr>
      </w:pPr>
      <w:r w:rsidRPr="00C8674E">
        <w:rPr>
          <w:b/>
          <w:szCs w:val="24"/>
        </w:rPr>
        <w:t>MAQP</w:t>
      </w:r>
      <w:r w:rsidRPr="00C8674E">
        <w:rPr>
          <w:szCs w:val="24"/>
        </w:rPr>
        <w:t xml:space="preserve"> </w:t>
      </w:r>
      <w:r w:rsidR="005A2FDF" w:rsidRPr="00C8674E">
        <w:rPr>
          <w:szCs w:val="24"/>
        </w:rPr>
        <w:t xml:space="preserve">#2912-00 replaced </w:t>
      </w:r>
      <w:r w:rsidR="007E2E7F" w:rsidRPr="00C8674E">
        <w:rPr>
          <w:szCs w:val="24"/>
        </w:rPr>
        <w:t xml:space="preserve">MAQPs </w:t>
      </w:r>
      <w:r w:rsidR="005A2FDF" w:rsidRPr="00C8674E">
        <w:rPr>
          <w:szCs w:val="24"/>
        </w:rPr>
        <w:t>#286, #485, #913, and #1227.</w:t>
      </w:r>
    </w:p>
    <w:p w14:paraId="5B6EF66F" w14:textId="77777777" w:rsidR="005A2FDF" w:rsidRPr="00FF64C0" w:rsidRDefault="005A2FDF" w:rsidP="008B1BAD">
      <w:pPr>
        <w:tabs>
          <w:tab w:val="left" w:pos="-1440"/>
          <w:tab w:val="left" w:pos="-720"/>
          <w:tab w:val="left" w:pos="600"/>
          <w:tab w:val="left" w:pos="1200"/>
          <w:tab w:val="left" w:pos="1800"/>
          <w:tab w:val="left" w:pos="2400"/>
          <w:tab w:val="left" w:pos="2988"/>
        </w:tabs>
        <w:rPr>
          <w:sz w:val="22"/>
          <w:szCs w:val="22"/>
        </w:rPr>
      </w:pPr>
    </w:p>
    <w:p w14:paraId="5B6EF670" w14:textId="5545375E" w:rsidR="005A2FDF" w:rsidRPr="00C8674E"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April 5, 2002, </w:t>
      </w:r>
      <w:r w:rsidR="00D4457C">
        <w:rPr>
          <w:szCs w:val="24"/>
        </w:rPr>
        <w:t>DEQ</w:t>
      </w:r>
      <w:r w:rsidRPr="00C8674E">
        <w:rPr>
          <w:szCs w:val="24"/>
        </w:rPr>
        <w:t xml:space="preserve"> received a de minimis notification from Western Sugar Company.  The change involved replacing the wet scrubber on one of the cooling sugar granulators with a more efficient baghouse.  In addition, on May 17, 2002, </w:t>
      </w:r>
      <w:r w:rsidR="00D4457C">
        <w:rPr>
          <w:szCs w:val="24"/>
        </w:rPr>
        <w:t>DEQ</w:t>
      </w:r>
      <w:r w:rsidRPr="00C8674E">
        <w:rPr>
          <w:szCs w:val="24"/>
        </w:rPr>
        <w:t xml:space="preserve"> received a request from Western Sugar Company to modify </w:t>
      </w:r>
      <w:r w:rsidR="00821CB3" w:rsidRPr="00C8674E">
        <w:rPr>
          <w:szCs w:val="24"/>
        </w:rPr>
        <w:t xml:space="preserve">MAQP </w:t>
      </w:r>
      <w:r w:rsidRPr="00C8674E">
        <w:rPr>
          <w:szCs w:val="24"/>
        </w:rPr>
        <w:t xml:space="preserve">#2912-00 to reflect a name change from Western Sugar Company to </w:t>
      </w:r>
      <w:r w:rsidR="00821CB3" w:rsidRPr="00C8674E">
        <w:rPr>
          <w:szCs w:val="24"/>
        </w:rPr>
        <w:t>WSC</w:t>
      </w:r>
      <w:r w:rsidRPr="00C8674E">
        <w:rPr>
          <w:szCs w:val="24"/>
        </w:rPr>
        <w:t xml:space="preserve">.  The permit analysis was updated to reflect the change in the control equipment on one of the cooling sugar granulators and the permit was updated to reflect the name change.  On August 2, 2002, </w:t>
      </w:r>
      <w:r w:rsidR="00821CB3" w:rsidRPr="00C8674E">
        <w:rPr>
          <w:b/>
          <w:szCs w:val="24"/>
        </w:rPr>
        <w:t>MAQP</w:t>
      </w:r>
      <w:r w:rsidR="00821CB3" w:rsidRPr="00C8674E">
        <w:rPr>
          <w:szCs w:val="24"/>
        </w:rPr>
        <w:t xml:space="preserve"> </w:t>
      </w:r>
      <w:r w:rsidRPr="00C8674E">
        <w:rPr>
          <w:b/>
          <w:szCs w:val="24"/>
        </w:rPr>
        <w:t>#2912-01</w:t>
      </w:r>
      <w:r w:rsidRPr="00C8674E">
        <w:rPr>
          <w:szCs w:val="24"/>
        </w:rPr>
        <w:t xml:space="preserve"> replaced </w:t>
      </w:r>
      <w:r w:rsidR="00821CB3" w:rsidRPr="00C8674E">
        <w:rPr>
          <w:szCs w:val="24"/>
        </w:rPr>
        <w:t xml:space="preserve">MAQP </w:t>
      </w:r>
      <w:r w:rsidRPr="00C8674E">
        <w:rPr>
          <w:szCs w:val="24"/>
        </w:rPr>
        <w:t>#2912-00.</w:t>
      </w:r>
    </w:p>
    <w:p w14:paraId="5B6EF671" w14:textId="77777777" w:rsidR="005A2FDF" w:rsidRPr="00FF64C0" w:rsidRDefault="005A2FDF" w:rsidP="008B1BAD">
      <w:pPr>
        <w:tabs>
          <w:tab w:val="left" w:pos="-1440"/>
          <w:tab w:val="left" w:pos="-720"/>
          <w:tab w:val="left" w:pos="600"/>
          <w:tab w:val="left" w:pos="1350"/>
          <w:tab w:val="left" w:pos="1800"/>
          <w:tab w:val="left" w:pos="2400"/>
          <w:tab w:val="left" w:pos="2988"/>
        </w:tabs>
        <w:rPr>
          <w:sz w:val="22"/>
          <w:szCs w:val="22"/>
        </w:rPr>
      </w:pPr>
    </w:p>
    <w:p w14:paraId="5B6EF672" w14:textId="0854CA00" w:rsidR="005A2FDF" w:rsidRPr="00C8674E"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June 23, 2003, </w:t>
      </w:r>
      <w:r w:rsidR="00D4457C">
        <w:rPr>
          <w:szCs w:val="24"/>
        </w:rPr>
        <w:t>DEQ</w:t>
      </w:r>
      <w:r w:rsidRPr="00C8674E">
        <w:rPr>
          <w:szCs w:val="24"/>
        </w:rPr>
        <w:t xml:space="preserve"> received a de minimis notification from </w:t>
      </w:r>
      <w:r w:rsidR="00821CB3" w:rsidRPr="00C8674E">
        <w:rPr>
          <w:szCs w:val="24"/>
        </w:rPr>
        <w:t>WSC</w:t>
      </w:r>
      <w:r w:rsidRPr="00C8674E">
        <w:rPr>
          <w:szCs w:val="24"/>
        </w:rPr>
        <w:t xml:space="preserve">.  The change involved replacing the wet scrubber on the second cooling sugar granulator with a more efficient baghouse.  The permit analysis was updated to reflect the change in the control equipment on the second cooling sugar granulator and the permit was updated to reflect the new mailing address.  In addition, the permit format, language, and rule references were updated to reflect current Department permit format, language, and rule references.  </w:t>
      </w:r>
      <w:r w:rsidR="00821CB3" w:rsidRPr="00C8674E">
        <w:rPr>
          <w:b/>
          <w:szCs w:val="24"/>
        </w:rPr>
        <w:t>MAQP</w:t>
      </w:r>
      <w:r w:rsidR="00821CB3" w:rsidRPr="00C8674E">
        <w:rPr>
          <w:szCs w:val="24"/>
        </w:rPr>
        <w:t xml:space="preserve"> </w:t>
      </w:r>
      <w:r w:rsidRPr="00C8674E">
        <w:rPr>
          <w:b/>
          <w:szCs w:val="24"/>
        </w:rPr>
        <w:t>#2912-02</w:t>
      </w:r>
      <w:r w:rsidRPr="00C8674E">
        <w:rPr>
          <w:szCs w:val="24"/>
        </w:rPr>
        <w:t xml:space="preserve"> replaced </w:t>
      </w:r>
      <w:r w:rsidR="00821CB3" w:rsidRPr="00C8674E">
        <w:rPr>
          <w:szCs w:val="24"/>
        </w:rPr>
        <w:t xml:space="preserve">MAQP </w:t>
      </w:r>
      <w:r w:rsidRPr="00C8674E">
        <w:rPr>
          <w:szCs w:val="24"/>
        </w:rPr>
        <w:t>#2912-01.</w:t>
      </w:r>
    </w:p>
    <w:p w14:paraId="5B6EF673" w14:textId="77777777" w:rsidR="005A2FDF" w:rsidRPr="00FF64C0" w:rsidRDefault="005A2FDF" w:rsidP="008B1BAD">
      <w:pPr>
        <w:tabs>
          <w:tab w:val="left" w:pos="-1440"/>
          <w:tab w:val="left" w:pos="-720"/>
          <w:tab w:val="left" w:pos="600"/>
          <w:tab w:val="left" w:pos="1350"/>
          <w:tab w:val="left" w:pos="1800"/>
          <w:tab w:val="left" w:pos="2400"/>
          <w:tab w:val="left" w:pos="2988"/>
        </w:tabs>
        <w:rPr>
          <w:sz w:val="22"/>
          <w:szCs w:val="22"/>
        </w:rPr>
      </w:pPr>
    </w:p>
    <w:p w14:paraId="5B6EF674" w14:textId="6EC1F28B" w:rsidR="005A2FDF"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lastRenderedPageBreak/>
        <w:t xml:space="preserve">On July 30, 2003, </w:t>
      </w:r>
      <w:r w:rsidR="00D4457C">
        <w:rPr>
          <w:szCs w:val="24"/>
        </w:rPr>
        <w:t>DEQ</w:t>
      </w:r>
      <w:r w:rsidRPr="00C8674E">
        <w:rPr>
          <w:szCs w:val="24"/>
        </w:rPr>
        <w:t xml:space="preserve"> received an application from Bison Engineering, Inc. on behalf of </w:t>
      </w:r>
      <w:r w:rsidR="00821CB3" w:rsidRPr="00C8674E">
        <w:rPr>
          <w:szCs w:val="24"/>
        </w:rPr>
        <w:t>WSC</w:t>
      </w:r>
      <w:r w:rsidRPr="00C8674E">
        <w:rPr>
          <w:szCs w:val="24"/>
        </w:rPr>
        <w:t xml:space="preserve"> for the modification of the diffuser at </w:t>
      </w:r>
      <w:r w:rsidR="00821CB3" w:rsidRPr="00C8674E">
        <w:rPr>
          <w:szCs w:val="24"/>
        </w:rPr>
        <w:t>WSC</w:t>
      </w:r>
      <w:r w:rsidRPr="00C8674E">
        <w:rPr>
          <w:szCs w:val="24"/>
        </w:rPr>
        <w:t xml:space="preserve">’s facility.  The modification was for the replacement of the existing slope diffuser with a more efficient tower diffuser.  Although the diffuser is not an emitting unit, the diffuser has the potential to affect the downstream emitting units (pressed pulp dryers and pelletizer cooler).  Therefore, </w:t>
      </w:r>
      <w:r w:rsidR="00821CB3" w:rsidRPr="00C8674E">
        <w:rPr>
          <w:szCs w:val="24"/>
        </w:rPr>
        <w:t>WSC</w:t>
      </w:r>
      <w:r w:rsidRPr="00C8674E">
        <w:rPr>
          <w:szCs w:val="24"/>
        </w:rPr>
        <w:t xml:space="preserve"> requested federally enforceable throughput limits on the pressed pulp dryers and the pelletizer cooler that would limit potential emissions levels below Prevention of Significant Deterioration (PSD) significance levels.  </w:t>
      </w:r>
      <w:r w:rsidR="00821CB3" w:rsidRPr="00C8674E">
        <w:rPr>
          <w:b/>
          <w:szCs w:val="24"/>
        </w:rPr>
        <w:t>MAQP</w:t>
      </w:r>
      <w:r w:rsidR="00821CB3" w:rsidRPr="00C8674E">
        <w:rPr>
          <w:szCs w:val="24"/>
        </w:rPr>
        <w:t xml:space="preserve"> </w:t>
      </w:r>
      <w:r w:rsidRPr="00C8674E">
        <w:rPr>
          <w:szCs w:val="24"/>
        </w:rPr>
        <w:t>#</w:t>
      </w:r>
      <w:r w:rsidRPr="00C8674E">
        <w:rPr>
          <w:b/>
          <w:szCs w:val="24"/>
        </w:rPr>
        <w:t>2912-03</w:t>
      </w:r>
      <w:r w:rsidRPr="00C8674E">
        <w:rPr>
          <w:szCs w:val="24"/>
        </w:rPr>
        <w:t xml:space="preserve"> replaced </w:t>
      </w:r>
      <w:r w:rsidR="00821CB3" w:rsidRPr="00C8674E">
        <w:rPr>
          <w:szCs w:val="24"/>
        </w:rPr>
        <w:t xml:space="preserve">MAQP </w:t>
      </w:r>
      <w:r w:rsidRPr="00C8674E">
        <w:rPr>
          <w:szCs w:val="24"/>
        </w:rPr>
        <w:t>#2912-02.</w:t>
      </w:r>
    </w:p>
    <w:p w14:paraId="2182AED1" w14:textId="77777777" w:rsidR="00DB2279" w:rsidRPr="00C8674E" w:rsidRDefault="00DB2279">
      <w:pPr>
        <w:tabs>
          <w:tab w:val="left" w:pos="-1440"/>
          <w:tab w:val="left" w:pos="-720"/>
          <w:tab w:val="left" w:pos="600"/>
          <w:tab w:val="left" w:pos="1350"/>
          <w:tab w:val="left" w:pos="1800"/>
          <w:tab w:val="left" w:pos="2400"/>
          <w:tab w:val="left" w:pos="2988"/>
        </w:tabs>
        <w:ind w:left="540"/>
        <w:rPr>
          <w:szCs w:val="24"/>
        </w:rPr>
      </w:pPr>
    </w:p>
    <w:p w14:paraId="5B6EF675" w14:textId="20869D78" w:rsidR="005A2FDF"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April 14, 2004, </w:t>
      </w:r>
      <w:r w:rsidR="00D4457C">
        <w:rPr>
          <w:szCs w:val="24"/>
        </w:rPr>
        <w:t>DEQ</w:t>
      </w:r>
      <w:r w:rsidRPr="00C8674E">
        <w:rPr>
          <w:szCs w:val="24"/>
        </w:rPr>
        <w:t xml:space="preserve"> received a complete application from </w:t>
      </w:r>
      <w:r w:rsidR="00821CB3" w:rsidRPr="00C8674E">
        <w:rPr>
          <w:szCs w:val="24"/>
        </w:rPr>
        <w:t>WSC</w:t>
      </w:r>
      <w:r w:rsidRPr="00C8674E">
        <w:rPr>
          <w:szCs w:val="24"/>
        </w:rPr>
        <w:t xml:space="preserve"> requesting the addition of a federally enforceable permit condition to </w:t>
      </w:r>
      <w:r w:rsidR="00821CB3" w:rsidRPr="00C8674E">
        <w:rPr>
          <w:szCs w:val="24"/>
        </w:rPr>
        <w:t xml:space="preserve">MAQP </w:t>
      </w:r>
      <w:r w:rsidRPr="00C8674E">
        <w:rPr>
          <w:szCs w:val="24"/>
        </w:rPr>
        <w:t xml:space="preserve">#2912-03 requiring the operation of existing coal boiler pollution control equipment.  The permit action was not for a physical change to the </w:t>
      </w:r>
      <w:r w:rsidR="00DB2279" w:rsidRPr="00C8674E">
        <w:rPr>
          <w:szCs w:val="24"/>
        </w:rPr>
        <w:t>facility but</w:t>
      </w:r>
      <w:r w:rsidRPr="00C8674E">
        <w:rPr>
          <w:szCs w:val="24"/>
        </w:rPr>
        <w:t xml:space="preserve"> required </w:t>
      </w:r>
      <w:r w:rsidR="00821CB3" w:rsidRPr="00C8674E">
        <w:rPr>
          <w:szCs w:val="24"/>
        </w:rPr>
        <w:t>WSC</w:t>
      </w:r>
      <w:r w:rsidRPr="00C8674E">
        <w:rPr>
          <w:szCs w:val="24"/>
        </w:rPr>
        <w:t xml:space="preserve"> to operate the scrubbers whenever the coal boilers are operated.  This federally enforceable condition allowed </w:t>
      </w:r>
      <w:r w:rsidR="00821CB3" w:rsidRPr="00C8674E">
        <w:rPr>
          <w:szCs w:val="24"/>
        </w:rPr>
        <w:t>WSC</w:t>
      </w:r>
      <w:r w:rsidRPr="00C8674E">
        <w:rPr>
          <w:szCs w:val="24"/>
        </w:rPr>
        <w:t xml:space="preserve"> to take credit for the emissions reductions associated with the scrubbers and thereby avoid the Maximum Achievable Control Technology (MACT) standards for Industrial, Commercial and Institutional Boilers, and Process Heaters (40 CFR 63, Subpart DDDDD).  On June 22, 2004, </w:t>
      </w:r>
      <w:r w:rsidR="00821CB3" w:rsidRPr="00C8674E">
        <w:rPr>
          <w:b/>
          <w:szCs w:val="24"/>
        </w:rPr>
        <w:t>MAQP</w:t>
      </w:r>
      <w:r w:rsidR="00821CB3" w:rsidRPr="00C8674E">
        <w:rPr>
          <w:szCs w:val="24"/>
        </w:rPr>
        <w:t xml:space="preserve"> </w:t>
      </w:r>
      <w:r w:rsidRPr="00C8674E">
        <w:rPr>
          <w:b/>
          <w:bCs/>
          <w:szCs w:val="24"/>
        </w:rPr>
        <w:t>#2912-04</w:t>
      </w:r>
      <w:r w:rsidRPr="00C8674E">
        <w:rPr>
          <w:szCs w:val="24"/>
        </w:rPr>
        <w:t xml:space="preserve"> replaced </w:t>
      </w:r>
      <w:r w:rsidR="00821CB3" w:rsidRPr="00C8674E">
        <w:rPr>
          <w:szCs w:val="24"/>
        </w:rPr>
        <w:t xml:space="preserve">MAQP </w:t>
      </w:r>
      <w:r w:rsidRPr="00C8674E">
        <w:rPr>
          <w:szCs w:val="24"/>
        </w:rPr>
        <w:t>#2912-03.</w:t>
      </w:r>
    </w:p>
    <w:p w14:paraId="1EF2BEA1" w14:textId="77777777" w:rsidR="000865BD" w:rsidRDefault="000865BD">
      <w:pPr>
        <w:tabs>
          <w:tab w:val="left" w:pos="-1440"/>
          <w:tab w:val="left" w:pos="-720"/>
          <w:tab w:val="left" w:pos="600"/>
          <w:tab w:val="left" w:pos="1350"/>
          <w:tab w:val="left" w:pos="1800"/>
          <w:tab w:val="left" w:pos="2400"/>
          <w:tab w:val="left" w:pos="2988"/>
        </w:tabs>
        <w:ind w:left="540"/>
        <w:rPr>
          <w:szCs w:val="24"/>
        </w:rPr>
      </w:pPr>
    </w:p>
    <w:p w14:paraId="3556F82B" w14:textId="13B4B515" w:rsidR="000865BD" w:rsidRDefault="000865BD">
      <w:pPr>
        <w:tabs>
          <w:tab w:val="left" w:pos="-1440"/>
          <w:tab w:val="left" w:pos="-720"/>
          <w:tab w:val="left" w:pos="600"/>
          <w:tab w:val="left" w:pos="1350"/>
          <w:tab w:val="left" w:pos="1800"/>
          <w:tab w:val="left" w:pos="2400"/>
          <w:tab w:val="left" w:pos="2988"/>
        </w:tabs>
        <w:ind w:left="540"/>
        <w:rPr>
          <w:szCs w:val="24"/>
        </w:rPr>
      </w:pPr>
      <w:r w:rsidRPr="000865BD">
        <w:rPr>
          <w:szCs w:val="24"/>
        </w:rPr>
        <w:t xml:space="preserve">On February 23, 2026, DEQ received a request from WSC for an administrative amendment (AA) of MAQP #2912-04. The purpose of the AA </w:t>
      </w:r>
      <w:r>
        <w:rPr>
          <w:szCs w:val="24"/>
        </w:rPr>
        <w:t>was</w:t>
      </w:r>
      <w:r w:rsidRPr="000865BD">
        <w:rPr>
          <w:szCs w:val="24"/>
        </w:rPr>
        <w:t xml:space="preserve"> to update MAQP requirements removed from the 1998 stipulation agreement (STIP) between WSC, the United States Environmental Protection Agency (EPA), and DEQ related to attainment of the 1971 National Ambient Air Quality Standards (NAAQS) for sulfur dioxide (SO</w:t>
      </w:r>
      <w:r w:rsidRPr="000865BD">
        <w:rPr>
          <w:szCs w:val="24"/>
          <w:vertAlign w:val="subscript"/>
        </w:rPr>
        <w:t>2</w:t>
      </w:r>
      <w:r w:rsidRPr="000865BD">
        <w:rPr>
          <w:szCs w:val="24"/>
        </w:rPr>
        <w:t>) in the Billings/Laurel area.</w:t>
      </w:r>
    </w:p>
    <w:p w14:paraId="30A76AF4" w14:textId="77777777" w:rsidR="000865BD" w:rsidRDefault="000865BD">
      <w:pPr>
        <w:tabs>
          <w:tab w:val="left" w:pos="-1440"/>
          <w:tab w:val="left" w:pos="-720"/>
          <w:tab w:val="left" w:pos="600"/>
          <w:tab w:val="left" w:pos="1350"/>
          <w:tab w:val="left" w:pos="1800"/>
          <w:tab w:val="left" w:pos="2400"/>
          <w:tab w:val="left" w:pos="2988"/>
        </w:tabs>
        <w:ind w:left="540"/>
        <w:rPr>
          <w:szCs w:val="24"/>
        </w:rPr>
      </w:pPr>
    </w:p>
    <w:p w14:paraId="3427007F" w14:textId="4EC6DD15" w:rsidR="000865BD" w:rsidRPr="00C8674E" w:rsidRDefault="000865BD">
      <w:pPr>
        <w:tabs>
          <w:tab w:val="left" w:pos="-1440"/>
          <w:tab w:val="left" w:pos="-720"/>
          <w:tab w:val="left" w:pos="600"/>
          <w:tab w:val="left" w:pos="1350"/>
          <w:tab w:val="left" w:pos="1800"/>
          <w:tab w:val="left" w:pos="2400"/>
          <w:tab w:val="left" w:pos="2988"/>
        </w:tabs>
        <w:ind w:left="540"/>
        <w:rPr>
          <w:szCs w:val="24"/>
        </w:rPr>
      </w:pPr>
      <w:r w:rsidRPr="000865BD">
        <w:rPr>
          <w:szCs w:val="24"/>
        </w:rPr>
        <w:t>On August 13, 2025, an order (2025 Stipulation Order) for modifications to the 1998 STIP was issued by the Department. The requirements of the 2025 Stipulation Order supersede all requirements of the 1998 STIP. Further, EPA approved and incorporated the changes under the 2025 Stipulation Order into the Montana State Implementation Plan (SIP). This AA addresse</w:t>
      </w:r>
      <w:r>
        <w:rPr>
          <w:szCs w:val="24"/>
        </w:rPr>
        <w:t>s</w:t>
      </w:r>
      <w:r w:rsidRPr="000865BD">
        <w:rPr>
          <w:szCs w:val="24"/>
        </w:rPr>
        <w:t xml:space="preserve"> several of the MAQP STIP-related changes, while </w:t>
      </w:r>
      <w:proofErr w:type="gramStart"/>
      <w:r w:rsidRPr="000865BD">
        <w:rPr>
          <w:szCs w:val="24"/>
        </w:rPr>
        <w:t>the majority of</w:t>
      </w:r>
      <w:proofErr w:type="gramEnd"/>
      <w:r w:rsidRPr="000865BD">
        <w:rPr>
          <w:szCs w:val="24"/>
        </w:rPr>
        <w:t xml:space="preserve"> the administrative updates will occur through </w:t>
      </w:r>
      <w:r w:rsidR="003B7642">
        <w:rPr>
          <w:szCs w:val="24"/>
        </w:rPr>
        <w:t>a significant modificat</w:t>
      </w:r>
      <w:r w:rsidR="0091257A">
        <w:rPr>
          <w:szCs w:val="24"/>
        </w:rPr>
        <w:t>i</w:t>
      </w:r>
      <w:r w:rsidR="003B7642">
        <w:rPr>
          <w:szCs w:val="24"/>
        </w:rPr>
        <w:t>on</w:t>
      </w:r>
      <w:r w:rsidR="003B7642" w:rsidRPr="000865BD">
        <w:rPr>
          <w:szCs w:val="24"/>
        </w:rPr>
        <w:t xml:space="preserve"> </w:t>
      </w:r>
      <w:r w:rsidRPr="000865BD">
        <w:rPr>
          <w:szCs w:val="24"/>
        </w:rPr>
        <w:t>of the WSC Title V Operating Permit #OP2912-09 under a separate permit action. Unrelated to the 2025 Stipulation Order, all applicable NSPS (40 CFR 60) and NESHAP (40 CFR 63) subparts were incorporated into the MAQP. Additionally, a revised emission inventory was included for completeness.</w:t>
      </w:r>
      <w:r>
        <w:rPr>
          <w:szCs w:val="24"/>
        </w:rPr>
        <w:t xml:space="preserve"> </w:t>
      </w:r>
      <w:r w:rsidRPr="000865BD">
        <w:rPr>
          <w:b/>
          <w:bCs/>
          <w:szCs w:val="24"/>
        </w:rPr>
        <w:t>MAQP #2912-05</w:t>
      </w:r>
      <w:r>
        <w:rPr>
          <w:szCs w:val="24"/>
        </w:rPr>
        <w:t xml:space="preserve"> replaced MAQP #2912-04.</w:t>
      </w:r>
    </w:p>
    <w:p w14:paraId="5B6EF676" w14:textId="77777777" w:rsidR="00591825" w:rsidRPr="00C8674E" w:rsidRDefault="00591825" w:rsidP="008B1BAD">
      <w:pPr>
        <w:tabs>
          <w:tab w:val="left" w:pos="-1440"/>
          <w:tab w:val="left" w:pos="-720"/>
          <w:tab w:val="left" w:pos="600"/>
          <w:tab w:val="left" w:pos="1350"/>
          <w:tab w:val="left" w:pos="1800"/>
          <w:tab w:val="left" w:pos="2400"/>
          <w:tab w:val="left" w:pos="2988"/>
        </w:tabs>
        <w:rPr>
          <w:szCs w:val="24"/>
        </w:rPr>
      </w:pPr>
    </w:p>
    <w:p w14:paraId="5B6EF677" w14:textId="77777777" w:rsidR="005A2FDF" w:rsidRPr="00C8674E" w:rsidRDefault="005A2FDF">
      <w:pPr>
        <w:pStyle w:val="Heading7"/>
        <w:tabs>
          <w:tab w:val="clear" w:pos="540"/>
          <w:tab w:val="clear" w:pos="1200"/>
          <w:tab w:val="left" w:pos="600"/>
          <w:tab w:val="left" w:pos="1350"/>
        </w:tabs>
        <w:rPr>
          <w:rFonts w:ascii="Garamond" w:hAnsi="Garamond"/>
          <w:b/>
          <w:sz w:val="24"/>
          <w:szCs w:val="24"/>
        </w:rPr>
      </w:pPr>
      <w:r w:rsidRPr="00C8674E">
        <w:rPr>
          <w:rFonts w:ascii="Garamond" w:hAnsi="Garamond"/>
          <w:b/>
          <w:sz w:val="24"/>
          <w:szCs w:val="24"/>
        </w:rPr>
        <w:t>Title V Operating Permit Background</w:t>
      </w:r>
    </w:p>
    <w:p w14:paraId="5B6EF678" w14:textId="77777777" w:rsidR="005A2FDF" w:rsidRPr="00C8674E" w:rsidRDefault="005A2FDF" w:rsidP="008B1BAD">
      <w:pPr>
        <w:tabs>
          <w:tab w:val="left" w:pos="-1440"/>
          <w:tab w:val="left" w:pos="-720"/>
          <w:tab w:val="left" w:pos="600"/>
          <w:tab w:val="left" w:pos="1350"/>
          <w:tab w:val="left" w:pos="1800"/>
          <w:tab w:val="left" w:pos="2400"/>
          <w:tab w:val="left" w:pos="2988"/>
        </w:tabs>
        <w:rPr>
          <w:szCs w:val="24"/>
        </w:rPr>
      </w:pPr>
    </w:p>
    <w:p w14:paraId="5B6EF679" w14:textId="74273CF9" w:rsidR="005A2FDF" w:rsidRPr="00C8674E"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June 7, 1996, </w:t>
      </w:r>
      <w:r w:rsidR="00D4457C">
        <w:rPr>
          <w:szCs w:val="24"/>
        </w:rPr>
        <w:t>DEQ</w:t>
      </w:r>
      <w:r w:rsidRPr="00C8674E">
        <w:rPr>
          <w:szCs w:val="24"/>
        </w:rPr>
        <w:t xml:space="preserve"> received an operating permit application from Western Sugar Company for their facility located in Billings, Montana.  The permit application was deemed administratively complete on July 17, 1996, after </w:t>
      </w:r>
      <w:r w:rsidR="00D4457C">
        <w:rPr>
          <w:szCs w:val="24"/>
        </w:rPr>
        <w:t>DEQ</w:t>
      </w:r>
      <w:r w:rsidRPr="00C8674E">
        <w:rPr>
          <w:szCs w:val="24"/>
        </w:rPr>
        <w:t xml:space="preserve"> received additional submittals on June 17, 1996.  The permit application was deemed technically complete on August 17, 1996.  </w:t>
      </w:r>
      <w:r w:rsidR="00821CB3" w:rsidRPr="00C8674E">
        <w:rPr>
          <w:b/>
          <w:szCs w:val="24"/>
        </w:rPr>
        <w:t xml:space="preserve">Operating </w:t>
      </w:r>
      <w:r w:rsidRPr="00C8674E">
        <w:rPr>
          <w:b/>
          <w:szCs w:val="24"/>
        </w:rPr>
        <w:t>Permit #OP2912-00</w:t>
      </w:r>
      <w:r w:rsidRPr="00C8674E">
        <w:rPr>
          <w:szCs w:val="24"/>
        </w:rPr>
        <w:t xml:space="preserve"> became final and effective on November 18, 1999.</w:t>
      </w:r>
    </w:p>
    <w:p w14:paraId="5B6EF67A" w14:textId="77777777" w:rsidR="005A2FDF" w:rsidRPr="00C8674E" w:rsidRDefault="005A2FDF" w:rsidP="008B1BAD">
      <w:pPr>
        <w:tabs>
          <w:tab w:val="left" w:pos="-1440"/>
          <w:tab w:val="left" w:pos="-720"/>
          <w:tab w:val="left" w:pos="600"/>
          <w:tab w:val="left" w:pos="1350"/>
          <w:tab w:val="left" w:pos="1800"/>
          <w:tab w:val="left" w:pos="2400"/>
          <w:tab w:val="left" w:pos="2988"/>
        </w:tabs>
        <w:rPr>
          <w:szCs w:val="24"/>
        </w:rPr>
      </w:pPr>
    </w:p>
    <w:p w14:paraId="5B6EF67B" w14:textId="002F8A95" w:rsidR="005A2FDF" w:rsidRPr="00C8674E"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April 5, 2002, </w:t>
      </w:r>
      <w:r w:rsidR="00D4457C">
        <w:rPr>
          <w:szCs w:val="24"/>
        </w:rPr>
        <w:t>DEQ</w:t>
      </w:r>
      <w:r w:rsidRPr="00C8674E">
        <w:rPr>
          <w:szCs w:val="24"/>
        </w:rPr>
        <w:t xml:space="preserve"> received a minor modification request from Western Sugar Company.  The minor modification involved replacing the wet scrubber on one of the cooling sugar granulators with a more efficient baghouse.  In addition, on May 17, 2002, </w:t>
      </w:r>
      <w:r w:rsidR="00D4457C">
        <w:rPr>
          <w:szCs w:val="24"/>
        </w:rPr>
        <w:t>DEQ</w:t>
      </w:r>
      <w:r w:rsidRPr="00C8674E">
        <w:rPr>
          <w:szCs w:val="24"/>
        </w:rPr>
        <w:t xml:space="preserve"> received a request for an administrative amendment from Western Sugar Company.  The amendment </w:t>
      </w:r>
      <w:r w:rsidRPr="00C8674E">
        <w:rPr>
          <w:szCs w:val="24"/>
        </w:rPr>
        <w:lastRenderedPageBreak/>
        <w:t xml:space="preserve">involved a name change from Western Sugar Company to </w:t>
      </w:r>
      <w:r w:rsidR="00C3058F" w:rsidRPr="00C8674E">
        <w:rPr>
          <w:szCs w:val="24"/>
        </w:rPr>
        <w:t>WSC</w:t>
      </w:r>
      <w:r w:rsidRPr="00C8674E">
        <w:rPr>
          <w:szCs w:val="24"/>
        </w:rPr>
        <w:t xml:space="preserve">.  </w:t>
      </w:r>
      <w:r w:rsidR="00C3058F" w:rsidRPr="00C8674E">
        <w:rPr>
          <w:b/>
          <w:szCs w:val="24"/>
        </w:rPr>
        <w:t xml:space="preserve">Operating </w:t>
      </w:r>
      <w:r w:rsidRPr="00C8674E">
        <w:rPr>
          <w:b/>
          <w:szCs w:val="24"/>
        </w:rPr>
        <w:t>Permit #OP2912-01</w:t>
      </w:r>
      <w:r w:rsidRPr="00C8674E">
        <w:rPr>
          <w:szCs w:val="24"/>
        </w:rPr>
        <w:t xml:space="preserve"> replaced </w:t>
      </w:r>
      <w:r w:rsidR="00C3058F" w:rsidRPr="00C8674E">
        <w:rPr>
          <w:szCs w:val="24"/>
        </w:rPr>
        <w:t xml:space="preserve">Operating </w:t>
      </w:r>
      <w:r w:rsidRPr="00C8674E">
        <w:rPr>
          <w:szCs w:val="24"/>
        </w:rPr>
        <w:t>Permit #OP2912-00 on September 26, 2002.</w:t>
      </w:r>
    </w:p>
    <w:p w14:paraId="5B6EF67C" w14:textId="77777777" w:rsidR="005A2FDF" w:rsidRPr="00C8674E" w:rsidRDefault="005A2FDF" w:rsidP="008B1BAD">
      <w:pPr>
        <w:tabs>
          <w:tab w:val="left" w:pos="-1440"/>
          <w:tab w:val="left" w:pos="-720"/>
          <w:tab w:val="left" w:pos="600"/>
          <w:tab w:val="left" w:pos="1350"/>
          <w:tab w:val="left" w:pos="1800"/>
          <w:tab w:val="left" w:pos="2400"/>
          <w:tab w:val="left" w:pos="2988"/>
        </w:tabs>
        <w:rPr>
          <w:szCs w:val="24"/>
        </w:rPr>
      </w:pPr>
    </w:p>
    <w:p w14:paraId="5B6EF67D" w14:textId="606D1657" w:rsidR="005A2FDF" w:rsidRPr="00C8674E" w:rsidRDefault="005A2FDF">
      <w:pPr>
        <w:pStyle w:val="BodyTextIndent3"/>
        <w:tabs>
          <w:tab w:val="clear" w:pos="0"/>
          <w:tab w:val="left" w:pos="540"/>
        </w:tabs>
        <w:ind w:left="540"/>
        <w:rPr>
          <w:rFonts w:ascii="Garamond" w:hAnsi="Garamond"/>
          <w:sz w:val="24"/>
          <w:szCs w:val="24"/>
        </w:rPr>
      </w:pPr>
      <w:r w:rsidRPr="00C8674E">
        <w:rPr>
          <w:rFonts w:ascii="Garamond" w:hAnsi="Garamond"/>
          <w:sz w:val="24"/>
          <w:szCs w:val="24"/>
        </w:rPr>
        <w:t xml:space="preserve">On June 23, 2003, </w:t>
      </w:r>
      <w:r w:rsidR="00D4457C">
        <w:rPr>
          <w:rFonts w:ascii="Garamond" w:hAnsi="Garamond"/>
          <w:sz w:val="24"/>
          <w:szCs w:val="24"/>
        </w:rPr>
        <w:t>DEQ</w:t>
      </w:r>
      <w:r w:rsidRPr="00C8674E">
        <w:rPr>
          <w:rFonts w:ascii="Garamond" w:hAnsi="Garamond"/>
          <w:sz w:val="24"/>
          <w:szCs w:val="24"/>
        </w:rPr>
        <w:t xml:space="preserve"> received a request for a minor modification to </w:t>
      </w:r>
      <w:r w:rsidR="00C3058F" w:rsidRPr="00C8674E">
        <w:rPr>
          <w:rFonts w:ascii="Garamond" w:hAnsi="Garamond"/>
          <w:sz w:val="24"/>
          <w:szCs w:val="24"/>
        </w:rPr>
        <w:t xml:space="preserve">Operating </w:t>
      </w:r>
      <w:r w:rsidRPr="00C8674E">
        <w:rPr>
          <w:rFonts w:ascii="Garamond" w:hAnsi="Garamond"/>
          <w:sz w:val="24"/>
          <w:szCs w:val="24"/>
        </w:rPr>
        <w:t xml:space="preserve">Permit #OP2912-01 from </w:t>
      </w:r>
      <w:r w:rsidR="00C3058F" w:rsidRPr="00C8674E">
        <w:rPr>
          <w:rFonts w:ascii="Garamond" w:hAnsi="Garamond"/>
          <w:sz w:val="24"/>
          <w:szCs w:val="24"/>
        </w:rPr>
        <w:t>WSC</w:t>
      </w:r>
      <w:r w:rsidRPr="00C8674E">
        <w:rPr>
          <w:rFonts w:ascii="Garamond" w:hAnsi="Garamond"/>
          <w:sz w:val="24"/>
          <w:szCs w:val="24"/>
        </w:rPr>
        <w:t xml:space="preserve">.  The minor modification comprised of a de minimis change to replace the wet scrubber on the second cooling sugar granulator (EU007) with a more efficient baghouse.  In addition, the mailing address for the facility was updated.  Further, the condition requiring the Pulp Dryers (EU004) to comply with the Administrative Rules of Montana (ARM) 17.8.309 (Particulate Matter, Fuel Burning Equipment) was removed from the permit because the condition was applied inappropriately because the pulp drying process does not meet the definition of fuel burning equipment (ARM 17.8.101(17)) because the pulp dryers utilize direct heat transfer to dry the pulp.  </w:t>
      </w:r>
      <w:r w:rsidR="00C3058F" w:rsidRPr="00C8674E">
        <w:rPr>
          <w:rFonts w:ascii="Garamond" w:hAnsi="Garamond"/>
          <w:b/>
          <w:sz w:val="24"/>
          <w:szCs w:val="24"/>
        </w:rPr>
        <w:t xml:space="preserve">Operating </w:t>
      </w:r>
      <w:r w:rsidRPr="00C8674E">
        <w:rPr>
          <w:rFonts w:ascii="Garamond" w:hAnsi="Garamond"/>
          <w:b/>
          <w:sz w:val="24"/>
          <w:szCs w:val="24"/>
        </w:rPr>
        <w:t>Permit #OP2912-02</w:t>
      </w:r>
      <w:r w:rsidRPr="00C8674E">
        <w:rPr>
          <w:rFonts w:ascii="Garamond" w:hAnsi="Garamond"/>
          <w:sz w:val="24"/>
          <w:szCs w:val="24"/>
        </w:rPr>
        <w:t xml:space="preserve"> replaced </w:t>
      </w:r>
      <w:r w:rsidR="00C3058F" w:rsidRPr="00C8674E">
        <w:rPr>
          <w:rFonts w:ascii="Garamond" w:hAnsi="Garamond"/>
          <w:sz w:val="24"/>
          <w:szCs w:val="24"/>
        </w:rPr>
        <w:t xml:space="preserve">Operating </w:t>
      </w:r>
      <w:r w:rsidRPr="00C8674E">
        <w:rPr>
          <w:rFonts w:ascii="Garamond" w:hAnsi="Garamond"/>
          <w:sz w:val="24"/>
          <w:szCs w:val="24"/>
        </w:rPr>
        <w:t>Permit #OP2912-01 on November 4, 2003.</w:t>
      </w:r>
    </w:p>
    <w:p w14:paraId="5B6EF67E" w14:textId="77777777" w:rsidR="005A2FDF" w:rsidRPr="00C8674E" w:rsidRDefault="005A2FDF" w:rsidP="008B1BAD">
      <w:pPr>
        <w:tabs>
          <w:tab w:val="left" w:pos="-1440"/>
          <w:tab w:val="left" w:pos="-720"/>
          <w:tab w:val="left" w:pos="600"/>
          <w:tab w:val="left" w:pos="1350"/>
          <w:tab w:val="left" w:pos="1800"/>
          <w:tab w:val="left" w:pos="2400"/>
          <w:tab w:val="left" w:pos="2988"/>
        </w:tabs>
        <w:rPr>
          <w:szCs w:val="24"/>
        </w:rPr>
      </w:pPr>
    </w:p>
    <w:p w14:paraId="5B6EF67F" w14:textId="4F044B3C" w:rsidR="005A2FDF" w:rsidRPr="00C8674E" w:rsidRDefault="005A2FD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July 30, 2003, </w:t>
      </w:r>
      <w:r w:rsidR="00D4457C">
        <w:rPr>
          <w:szCs w:val="24"/>
        </w:rPr>
        <w:t>DEQ</w:t>
      </w:r>
      <w:r w:rsidRPr="00C8674E">
        <w:rPr>
          <w:szCs w:val="24"/>
        </w:rPr>
        <w:t xml:space="preserve"> received an application from </w:t>
      </w:r>
      <w:r w:rsidR="00C3058F" w:rsidRPr="00C8674E">
        <w:rPr>
          <w:szCs w:val="24"/>
        </w:rPr>
        <w:t>WSC</w:t>
      </w:r>
      <w:r w:rsidRPr="00C8674E">
        <w:rPr>
          <w:szCs w:val="24"/>
        </w:rPr>
        <w:t xml:space="preserve"> for the modification of the diffuser at </w:t>
      </w:r>
      <w:r w:rsidR="00C3058F" w:rsidRPr="00C8674E">
        <w:rPr>
          <w:szCs w:val="24"/>
        </w:rPr>
        <w:t>WSC</w:t>
      </w:r>
      <w:r w:rsidRPr="00C8674E">
        <w:rPr>
          <w:szCs w:val="24"/>
        </w:rPr>
        <w:t xml:space="preserve">’s facility.  The modification was for the replacement of the existing slope diffuser with a more efficient tower diffuser.  Although the diffuser was not an emitting unit, the diffuser has the potential to affect the downstream emitting units (pressed pulp dryers and pelletizer cooler).  Therefore, </w:t>
      </w:r>
      <w:r w:rsidR="00C3058F" w:rsidRPr="00C8674E">
        <w:rPr>
          <w:szCs w:val="24"/>
        </w:rPr>
        <w:t>WSC</w:t>
      </w:r>
      <w:r w:rsidRPr="00C8674E">
        <w:rPr>
          <w:szCs w:val="24"/>
        </w:rPr>
        <w:t xml:space="preserve"> requested federally enforceable throughput limits on the pressed pulp dryers and the pelletizer cooler that limited potential emissions levels below PSD significance levels.  </w:t>
      </w:r>
      <w:r w:rsidR="00D4457C">
        <w:rPr>
          <w:szCs w:val="24"/>
        </w:rPr>
        <w:t>DEQ</w:t>
      </w:r>
      <w:r w:rsidRPr="00C8674E">
        <w:rPr>
          <w:szCs w:val="24"/>
        </w:rPr>
        <w:t xml:space="preserve"> also received a letter on April 1, 2004, requesting that Mr. Ken Bennett, the Billings Factory Manager, be added as an alternate responsible official.  </w:t>
      </w:r>
      <w:r w:rsidR="00C3058F" w:rsidRPr="00C8674E">
        <w:rPr>
          <w:b/>
          <w:szCs w:val="24"/>
        </w:rPr>
        <w:t xml:space="preserve">Operating </w:t>
      </w:r>
      <w:r w:rsidRPr="00C8674E">
        <w:rPr>
          <w:b/>
          <w:szCs w:val="24"/>
        </w:rPr>
        <w:t>Permit #OP2912-03</w:t>
      </w:r>
      <w:r w:rsidRPr="00C8674E">
        <w:rPr>
          <w:szCs w:val="24"/>
        </w:rPr>
        <w:t xml:space="preserve"> replace</w:t>
      </w:r>
      <w:r w:rsidR="00C3058F" w:rsidRPr="00C8674E">
        <w:rPr>
          <w:szCs w:val="24"/>
        </w:rPr>
        <w:t>d</w:t>
      </w:r>
      <w:r w:rsidRPr="00C8674E">
        <w:rPr>
          <w:szCs w:val="24"/>
        </w:rPr>
        <w:t xml:space="preserve"> </w:t>
      </w:r>
      <w:r w:rsidR="00C3058F" w:rsidRPr="00C8674E">
        <w:rPr>
          <w:szCs w:val="24"/>
        </w:rPr>
        <w:t xml:space="preserve">Operating </w:t>
      </w:r>
      <w:r w:rsidRPr="00C8674E">
        <w:rPr>
          <w:szCs w:val="24"/>
        </w:rPr>
        <w:t>Permit #OP2912-02.</w:t>
      </w:r>
    </w:p>
    <w:p w14:paraId="5627DF0A" w14:textId="77777777" w:rsidR="004F3420" w:rsidRPr="00C8674E" w:rsidRDefault="004F3420" w:rsidP="008B1BAD">
      <w:pPr>
        <w:tabs>
          <w:tab w:val="left" w:pos="-1440"/>
          <w:tab w:val="left" w:pos="-720"/>
          <w:tab w:val="left" w:pos="600"/>
          <w:tab w:val="left" w:pos="1350"/>
          <w:tab w:val="left" w:pos="1800"/>
          <w:tab w:val="left" w:pos="2400"/>
          <w:tab w:val="left" w:pos="2988"/>
        </w:tabs>
        <w:rPr>
          <w:szCs w:val="24"/>
        </w:rPr>
      </w:pPr>
    </w:p>
    <w:p w14:paraId="5B6EF682" w14:textId="77777777" w:rsidR="00C3058F" w:rsidRPr="00C8674E" w:rsidRDefault="00C3058F" w:rsidP="00C3058F">
      <w:pPr>
        <w:tabs>
          <w:tab w:val="left" w:pos="-1440"/>
          <w:tab w:val="left" w:pos="-720"/>
          <w:tab w:val="left" w:pos="600"/>
          <w:tab w:val="left" w:pos="1350"/>
          <w:tab w:val="left" w:pos="1800"/>
          <w:tab w:val="left" w:pos="2400"/>
          <w:tab w:val="left" w:pos="2988"/>
        </w:tabs>
        <w:ind w:left="540"/>
        <w:rPr>
          <w:szCs w:val="24"/>
        </w:rPr>
      </w:pPr>
      <w:r w:rsidRPr="00C8674E">
        <w:rPr>
          <w:szCs w:val="24"/>
        </w:rPr>
        <w:t xml:space="preserve">On May 18, 2005, WSC submitted a renewal application.  The application was deemed administratively complete on May 18, 2005, and technically complete on June 18, 2005.  The application requested the following changes to Operating Permit #OP2912-03:  Incorporate the MAQP requirement to install, operate, and maintain a wet scrubber on the Riley Boilers; incorporate the Compliance Assurance Monitoring (CAM) Plan (submitted as part of the application) for the particulate control provided by the scrubbers for the Riley boilers into the permit; and incorporate the CAM Plan (submitted as part of the application) for the particulate control provided for the natural gas fired pulp dryers into the permit.  In addition, WSC submitted an updated Hazardous Air Pollutant (HAP) </w:t>
      </w:r>
      <w:r w:rsidR="00FF3085" w:rsidRPr="00C8674E">
        <w:rPr>
          <w:szCs w:val="24"/>
        </w:rPr>
        <w:t>emissions</w:t>
      </w:r>
      <w:r w:rsidRPr="00C8674E">
        <w:rPr>
          <w:szCs w:val="24"/>
        </w:rPr>
        <w:t xml:space="preserve"> inventory, which demonstrates that the facility is not a major source of HAPs.  </w:t>
      </w:r>
      <w:r w:rsidRPr="00C8674E">
        <w:rPr>
          <w:b/>
          <w:szCs w:val="24"/>
        </w:rPr>
        <w:t>Operating Permit #</w:t>
      </w:r>
      <w:r w:rsidRPr="00C8674E">
        <w:rPr>
          <w:b/>
          <w:bCs/>
          <w:szCs w:val="24"/>
        </w:rPr>
        <w:t>OP2912-04</w:t>
      </w:r>
      <w:r w:rsidRPr="00C8674E">
        <w:rPr>
          <w:szCs w:val="24"/>
        </w:rPr>
        <w:t xml:space="preserve"> replaced Operating Permit #OP2912-03.</w:t>
      </w:r>
    </w:p>
    <w:p w14:paraId="5B6EF683" w14:textId="77777777" w:rsidR="0015796E" w:rsidRPr="00C8674E" w:rsidRDefault="0015796E" w:rsidP="008B1BAD">
      <w:pPr>
        <w:tabs>
          <w:tab w:val="left" w:pos="-1440"/>
          <w:tab w:val="left" w:pos="-720"/>
          <w:tab w:val="left" w:pos="600"/>
          <w:tab w:val="left" w:pos="1350"/>
          <w:tab w:val="left" w:pos="1800"/>
          <w:tab w:val="left" w:pos="2400"/>
          <w:tab w:val="left" w:pos="2988"/>
        </w:tabs>
        <w:rPr>
          <w:szCs w:val="24"/>
        </w:rPr>
      </w:pPr>
    </w:p>
    <w:p w14:paraId="5B6EF684" w14:textId="78ECFC1C" w:rsidR="0015796E" w:rsidRPr="00C8674E" w:rsidRDefault="0015796E" w:rsidP="0015796E">
      <w:pPr>
        <w:tabs>
          <w:tab w:val="left" w:pos="-1440"/>
          <w:tab w:val="left" w:pos="-720"/>
          <w:tab w:val="left" w:pos="600"/>
          <w:tab w:val="left" w:pos="1200"/>
          <w:tab w:val="left" w:pos="1800"/>
          <w:tab w:val="left" w:pos="2400"/>
          <w:tab w:val="left" w:pos="2988"/>
        </w:tabs>
        <w:ind w:left="504"/>
        <w:rPr>
          <w:szCs w:val="24"/>
        </w:rPr>
      </w:pPr>
      <w:r w:rsidRPr="00C8674E">
        <w:rPr>
          <w:szCs w:val="24"/>
        </w:rPr>
        <w:t xml:space="preserve">On February 19, 2010, </w:t>
      </w:r>
      <w:r w:rsidR="00D4457C">
        <w:rPr>
          <w:szCs w:val="24"/>
        </w:rPr>
        <w:t>DEQ</w:t>
      </w:r>
      <w:r w:rsidRPr="00C8674E">
        <w:rPr>
          <w:szCs w:val="24"/>
        </w:rPr>
        <w:t xml:space="preserve"> received a renewal application from WSC (assigned Operating Permit #OP2912-05).  The permit action also included the following changes:  On January 17, 2007, WSC submitted an updated CAM Plan to </w:t>
      </w:r>
      <w:r w:rsidR="00D4457C">
        <w:rPr>
          <w:szCs w:val="24"/>
        </w:rPr>
        <w:t>DEQ</w:t>
      </w:r>
      <w:r w:rsidRPr="00C8674E">
        <w:rPr>
          <w:szCs w:val="24"/>
        </w:rPr>
        <w:t xml:space="preserve">.  This CAM Plan update correctly identified the rating for each pulp dryer as 120 million British thermal units per hour (MMBtu/hr).  On February 4, 2008, WSC submitted a notification letter to </w:t>
      </w:r>
      <w:r w:rsidR="00D4457C">
        <w:rPr>
          <w:szCs w:val="24"/>
        </w:rPr>
        <w:t>DEQ</w:t>
      </w:r>
      <w:r w:rsidRPr="00C8674E">
        <w:rPr>
          <w:szCs w:val="24"/>
        </w:rPr>
        <w:t xml:space="preserve"> of a change in the Billings facility’s alternate responsible official for the overall operation of the facility.  The alternate responsible official is Mr. Ray Bode, Facility Manager.  On May 30, 2008, WSC submitted a letter to </w:t>
      </w:r>
      <w:r w:rsidR="00D4457C">
        <w:rPr>
          <w:szCs w:val="24"/>
        </w:rPr>
        <w:t>DEQ</w:t>
      </w:r>
      <w:r w:rsidRPr="00C8674E">
        <w:rPr>
          <w:szCs w:val="24"/>
        </w:rPr>
        <w:t xml:space="preserve"> with a proposed change to install two sulfur stoves at the Billings Facility.  The stoves would be used to generate a disinfection agent, SO</w:t>
      </w:r>
      <w:r w:rsidRPr="00C8674E">
        <w:rPr>
          <w:szCs w:val="24"/>
          <w:vertAlign w:val="subscript"/>
        </w:rPr>
        <w:t>2</w:t>
      </w:r>
      <w:r w:rsidRPr="00C8674E">
        <w:rPr>
          <w:szCs w:val="24"/>
        </w:rPr>
        <w:t xml:space="preserve">, with direct injection via an </w:t>
      </w:r>
      <w:r w:rsidR="006213AF" w:rsidRPr="00C8674E">
        <w:rPr>
          <w:szCs w:val="24"/>
        </w:rPr>
        <w:t>educator</w:t>
      </w:r>
      <w:r w:rsidRPr="00C8674E">
        <w:rPr>
          <w:szCs w:val="24"/>
        </w:rPr>
        <w:t xml:space="preserve"> to two liquid streams.  </w:t>
      </w:r>
      <w:r w:rsidR="00D4457C">
        <w:rPr>
          <w:szCs w:val="24"/>
        </w:rPr>
        <w:t>DEQ</w:t>
      </w:r>
      <w:r w:rsidRPr="00C8674E">
        <w:rPr>
          <w:szCs w:val="24"/>
        </w:rPr>
        <w:t xml:space="preserve"> determined this change was de minimis on October 7, 2008.  </w:t>
      </w:r>
      <w:r w:rsidRPr="00C8674E">
        <w:rPr>
          <w:b/>
          <w:szCs w:val="24"/>
        </w:rPr>
        <w:t xml:space="preserve">Operating Permit #2912-05 </w:t>
      </w:r>
      <w:r w:rsidRPr="00C8674E">
        <w:rPr>
          <w:szCs w:val="24"/>
        </w:rPr>
        <w:t xml:space="preserve">replaced Operating Permit #2912-04.  </w:t>
      </w:r>
    </w:p>
    <w:p w14:paraId="5B6EF685" w14:textId="77777777" w:rsidR="005A2FDF" w:rsidRDefault="005A2FDF" w:rsidP="008B1BAD">
      <w:pPr>
        <w:tabs>
          <w:tab w:val="left" w:pos="-1440"/>
          <w:tab w:val="left" w:pos="-720"/>
          <w:tab w:val="left" w:pos="600"/>
          <w:tab w:val="left" w:pos="1350"/>
          <w:tab w:val="left" w:pos="1800"/>
          <w:tab w:val="left" w:pos="2400"/>
          <w:tab w:val="left" w:pos="2988"/>
        </w:tabs>
        <w:rPr>
          <w:szCs w:val="24"/>
        </w:rPr>
      </w:pPr>
    </w:p>
    <w:p w14:paraId="5B6EF686" w14:textId="0A0D63ED" w:rsidR="005A459A" w:rsidRDefault="005A459A" w:rsidP="005A459A">
      <w:pPr>
        <w:tabs>
          <w:tab w:val="left" w:pos="-1440"/>
          <w:tab w:val="left" w:pos="-720"/>
          <w:tab w:val="left" w:pos="540"/>
          <w:tab w:val="left" w:pos="1200"/>
          <w:tab w:val="left" w:pos="1800"/>
          <w:tab w:val="left" w:pos="2400"/>
          <w:tab w:val="left" w:pos="2988"/>
        </w:tabs>
        <w:ind w:left="504"/>
        <w:rPr>
          <w:szCs w:val="24"/>
        </w:rPr>
      </w:pPr>
      <w:r w:rsidRPr="00C8674E">
        <w:rPr>
          <w:szCs w:val="24"/>
        </w:rPr>
        <w:lastRenderedPageBreak/>
        <w:t xml:space="preserve">On August 4, </w:t>
      </w:r>
      <w:r w:rsidR="00DB2279" w:rsidRPr="00C8674E">
        <w:rPr>
          <w:szCs w:val="24"/>
        </w:rPr>
        <w:t>2014,</w:t>
      </w:r>
      <w:r w:rsidRPr="00C8674E">
        <w:rPr>
          <w:szCs w:val="24"/>
        </w:rPr>
        <w:t xml:space="preserve"> </w:t>
      </w:r>
      <w:r w:rsidR="00D4457C">
        <w:rPr>
          <w:szCs w:val="24"/>
        </w:rPr>
        <w:t>DEQ</w:t>
      </w:r>
      <w:r w:rsidRPr="00C8674E">
        <w:rPr>
          <w:szCs w:val="24"/>
        </w:rPr>
        <w:t xml:space="preserve"> received a request from WSC to amend Operating Permit #OP9612-05 to change the responsible official to Rodney Perry.  </w:t>
      </w:r>
      <w:r w:rsidRPr="00C8674E">
        <w:rPr>
          <w:b/>
          <w:szCs w:val="24"/>
        </w:rPr>
        <w:t>Operating Permit #OP2912-06</w:t>
      </w:r>
      <w:r>
        <w:rPr>
          <w:szCs w:val="24"/>
        </w:rPr>
        <w:t xml:space="preserve"> replaced</w:t>
      </w:r>
      <w:r w:rsidRPr="00C8674E">
        <w:rPr>
          <w:szCs w:val="24"/>
        </w:rPr>
        <w:t xml:space="preserve"> Operating Permit #OP2912-05.</w:t>
      </w:r>
    </w:p>
    <w:p w14:paraId="5B6EF687" w14:textId="77777777" w:rsidR="00D743E0" w:rsidRDefault="00D743E0" w:rsidP="005A459A">
      <w:pPr>
        <w:tabs>
          <w:tab w:val="left" w:pos="-1440"/>
          <w:tab w:val="left" w:pos="-720"/>
          <w:tab w:val="left" w:pos="540"/>
          <w:tab w:val="left" w:pos="1200"/>
          <w:tab w:val="left" w:pos="1800"/>
          <w:tab w:val="left" w:pos="2400"/>
          <w:tab w:val="left" w:pos="2988"/>
        </w:tabs>
        <w:ind w:left="504"/>
        <w:rPr>
          <w:szCs w:val="24"/>
        </w:rPr>
      </w:pPr>
    </w:p>
    <w:p w14:paraId="5B6EF688" w14:textId="72D8A4DB" w:rsidR="00D743E0" w:rsidRDefault="00D743E0" w:rsidP="00D743E0">
      <w:pPr>
        <w:ind w:left="504"/>
        <w:rPr>
          <w:szCs w:val="24"/>
        </w:rPr>
      </w:pPr>
      <w:r w:rsidRPr="00C72EA4">
        <w:rPr>
          <w:szCs w:val="24"/>
        </w:rPr>
        <w:t xml:space="preserve">On October 8, 2015, </w:t>
      </w:r>
      <w:r w:rsidR="00D4457C">
        <w:rPr>
          <w:szCs w:val="24"/>
        </w:rPr>
        <w:t>DEQ</w:t>
      </w:r>
      <w:r w:rsidRPr="00C72EA4">
        <w:rPr>
          <w:szCs w:val="24"/>
        </w:rPr>
        <w:t xml:space="preserve"> received a renewal application from WSC that was assigned Operating Permit #</w:t>
      </w:r>
      <w:r>
        <w:rPr>
          <w:szCs w:val="24"/>
        </w:rPr>
        <w:t xml:space="preserve">OP2912-07. The permit action </w:t>
      </w:r>
      <w:r w:rsidRPr="00C72EA4">
        <w:rPr>
          <w:szCs w:val="24"/>
        </w:rPr>
        <w:t xml:space="preserve">included: The Responsible Official is now Mr. Ray Bode, the new Billings Factory Manager. The Alternative Responsible Official is now Mr. Mike Skeans, Vice President of Operations. The facility is now subject to two Area Source Maximum Achievable Control Technology (MACT) standards: 40 CFR 63 Subpart CCCCCC and JJJJJJ. The MACT standards </w:t>
      </w:r>
      <w:r>
        <w:rPr>
          <w:szCs w:val="24"/>
        </w:rPr>
        <w:t>were</w:t>
      </w:r>
      <w:r w:rsidRPr="00C72EA4">
        <w:rPr>
          <w:szCs w:val="24"/>
        </w:rPr>
        <w:t xml:space="preserve"> added to the permit as applicable standards the facility is subject to. The permit renewal included the addition of a significant emission unit, EU012 Fuel (Gasoline) Storage Tank, subject to 40 CFR 63 Subpart CCCCCC, added new MACT regulation to EU002 Boiler House Stack, 40 CFR 63 Subpart JJJJJJ and updated the Sugar Dust Collector emission unit number from EU017 to EU011. </w:t>
      </w:r>
      <w:r w:rsidRPr="00C72EA4">
        <w:rPr>
          <w:b/>
          <w:szCs w:val="24"/>
        </w:rPr>
        <w:t>Operating Permit #OP2912-07</w:t>
      </w:r>
      <w:r w:rsidRPr="00C72EA4">
        <w:rPr>
          <w:szCs w:val="24"/>
        </w:rPr>
        <w:t xml:space="preserve"> replace</w:t>
      </w:r>
      <w:r>
        <w:rPr>
          <w:szCs w:val="24"/>
        </w:rPr>
        <w:t>d</w:t>
      </w:r>
      <w:r w:rsidRPr="00C72EA4">
        <w:rPr>
          <w:szCs w:val="24"/>
        </w:rPr>
        <w:t xml:space="preserve"> Operating #OP2912-06.</w:t>
      </w:r>
    </w:p>
    <w:p w14:paraId="3AD48C0D" w14:textId="070D9B87" w:rsidR="000F3875" w:rsidRDefault="000F3875" w:rsidP="00D743E0">
      <w:pPr>
        <w:ind w:left="504"/>
        <w:rPr>
          <w:szCs w:val="24"/>
        </w:rPr>
      </w:pPr>
    </w:p>
    <w:p w14:paraId="14943CF7" w14:textId="10700D91" w:rsidR="000F3875" w:rsidRDefault="000F3875" w:rsidP="000F3875">
      <w:pPr>
        <w:ind w:left="504"/>
        <w:rPr>
          <w:szCs w:val="24"/>
        </w:rPr>
      </w:pPr>
      <w:r>
        <w:rPr>
          <w:szCs w:val="24"/>
        </w:rPr>
        <w:t xml:space="preserve">On April 15, 2019, </w:t>
      </w:r>
      <w:r w:rsidR="00D4457C">
        <w:rPr>
          <w:szCs w:val="24"/>
        </w:rPr>
        <w:t>DEQ</w:t>
      </w:r>
      <w:r>
        <w:rPr>
          <w:szCs w:val="24"/>
        </w:rPr>
        <w:t xml:space="preserve"> received an Administrative Amendment application from The Western Sugar Cooperative requesting the Responsible Official be changed from Ray Bode to Gary Brachtenbach. The application also requested both changing and adding Alternate Responsible Officials to the Operating Permit. </w:t>
      </w:r>
      <w:r w:rsidRPr="00C72EA4">
        <w:rPr>
          <w:b/>
          <w:szCs w:val="24"/>
        </w:rPr>
        <w:t>Operating Permit #OP2912-0</w:t>
      </w:r>
      <w:r>
        <w:rPr>
          <w:b/>
          <w:szCs w:val="24"/>
        </w:rPr>
        <w:t>8</w:t>
      </w:r>
      <w:r w:rsidRPr="00C72EA4">
        <w:rPr>
          <w:szCs w:val="24"/>
        </w:rPr>
        <w:t xml:space="preserve"> replace</w:t>
      </w:r>
      <w:r w:rsidR="00DA091B">
        <w:rPr>
          <w:szCs w:val="24"/>
        </w:rPr>
        <w:t>d</w:t>
      </w:r>
      <w:r w:rsidRPr="00C72EA4">
        <w:rPr>
          <w:szCs w:val="24"/>
        </w:rPr>
        <w:t xml:space="preserve"> Operating #OP2912-0</w:t>
      </w:r>
      <w:r>
        <w:rPr>
          <w:szCs w:val="24"/>
        </w:rPr>
        <w:t>7</w:t>
      </w:r>
      <w:r w:rsidRPr="00C72EA4">
        <w:rPr>
          <w:szCs w:val="24"/>
        </w:rPr>
        <w:t>.</w:t>
      </w:r>
    </w:p>
    <w:p w14:paraId="7E863F76" w14:textId="77777777" w:rsidR="006D4A9C" w:rsidRDefault="006D4A9C" w:rsidP="000F3875">
      <w:pPr>
        <w:ind w:left="504"/>
        <w:rPr>
          <w:szCs w:val="24"/>
        </w:rPr>
      </w:pPr>
    </w:p>
    <w:p w14:paraId="36CC6966" w14:textId="77777777" w:rsidR="006D4A9C" w:rsidRDefault="006D4A9C" w:rsidP="006D4A9C">
      <w:pPr>
        <w:ind w:left="504"/>
      </w:pPr>
      <w:r>
        <w:t xml:space="preserve">On August 24, 2021, DEQ received a renewal application from WSC. </w:t>
      </w:r>
      <w:r>
        <w:rPr>
          <w:szCs w:val="24"/>
        </w:rPr>
        <w:t>WSC requested the following updates to the Operating Permit</w:t>
      </w:r>
      <w:r w:rsidRPr="00C72EA4">
        <w:rPr>
          <w:szCs w:val="24"/>
        </w:rPr>
        <w:t>:</w:t>
      </w:r>
      <w:r>
        <w:rPr>
          <w:szCs w:val="24"/>
        </w:rPr>
        <w:t xml:space="preserve"> addition of significant emitting unit (EU) EU011 – Coal Handling, EU013 – Beet Hauling, EU014 – Wind Erosion, updated insignificant emissions unit table, redesignation of the Dust Collectors (IEU005-008), addition of a diesel track mobile unit, updated CFR and ARM regulations and requirements, various administrative changes, removal</w:t>
      </w:r>
      <w:r w:rsidDel="00FE6276">
        <w:rPr>
          <w:szCs w:val="24"/>
        </w:rPr>
        <w:t xml:space="preserve"> </w:t>
      </w:r>
      <w:r w:rsidRPr="67CF5FA8" w:rsidDel="00FE6276">
        <w:t>of</w:t>
      </w:r>
      <w:r w:rsidRPr="67CF5FA8">
        <w:t xml:space="preserve"> fuel oil requirements for the Pulp Dryer, removal of the C</w:t>
      </w:r>
      <w:r>
        <w:t xml:space="preserve">ontinuous </w:t>
      </w:r>
      <w:r w:rsidRPr="67CF5FA8">
        <w:t>E</w:t>
      </w:r>
      <w:r>
        <w:t xml:space="preserve">missions </w:t>
      </w:r>
      <w:r w:rsidRPr="67CF5FA8">
        <w:t>M</w:t>
      </w:r>
      <w:r>
        <w:t xml:space="preserve">onitoring </w:t>
      </w:r>
      <w:r w:rsidRPr="67CF5FA8">
        <w:t>S</w:t>
      </w:r>
      <w:r>
        <w:t>ystem (CEMS)</w:t>
      </w:r>
      <w:r w:rsidRPr="67CF5FA8">
        <w:t xml:space="preserve"> requirements for the Boiler House Stack, and increasing the campaign duration from 190 days to 210 days</w:t>
      </w:r>
      <w:r>
        <w:t xml:space="preserve">. </w:t>
      </w:r>
    </w:p>
    <w:p w14:paraId="5AF44F63" w14:textId="77777777" w:rsidR="006D4A9C" w:rsidRDefault="006D4A9C" w:rsidP="006D4A9C">
      <w:pPr>
        <w:ind w:left="504"/>
      </w:pPr>
    </w:p>
    <w:p w14:paraId="699660EE" w14:textId="77777777" w:rsidR="006D4A9C" w:rsidRDefault="006D4A9C" w:rsidP="006D4A9C">
      <w:pPr>
        <w:ind w:left="504"/>
      </w:pPr>
      <w:r>
        <w:t xml:space="preserve">DEQ reviewed and completed </w:t>
      </w:r>
      <w:proofErr w:type="gramStart"/>
      <w:r>
        <w:t>a majority of</w:t>
      </w:r>
      <w:proofErr w:type="gramEnd"/>
      <w:r>
        <w:t xml:space="preserve"> the requested changes </w:t>
      </w:r>
      <w:proofErr w:type="gramStart"/>
      <w:r>
        <w:t>with the exception of</w:t>
      </w:r>
      <w:proofErr w:type="gramEnd"/>
      <w:r>
        <w:t xml:space="preserve"> the diesel track mobile unit which is considered a mobile source and not included in the insignificant emitting unit table.  </w:t>
      </w:r>
    </w:p>
    <w:p w14:paraId="49116DBE" w14:textId="77777777" w:rsidR="006D4A9C" w:rsidRDefault="006D4A9C" w:rsidP="006D4A9C">
      <w:pPr>
        <w:ind w:left="504"/>
        <w:rPr>
          <w:szCs w:val="24"/>
        </w:rPr>
      </w:pPr>
    </w:p>
    <w:p w14:paraId="3CABDF5A" w14:textId="178527FA" w:rsidR="006D4A9C" w:rsidRDefault="006D4A9C" w:rsidP="006D4A9C">
      <w:pPr>
        <w:ind w:left="504"/>
      </w:pPr>
      <w:r>
        <w:t>DEQ did not accommodate the requests to remove the CEMS requirement for monitoring the Boiler House Stack emissions or the increase of the campaign duration.  These are applicable requirements of the Stipulation and therefore must be included in the Title V Operating Permit.  DEQ did not consider the proposed changes to be minor or clerical and WSC would need to use the process outlined in the Stipulation for modifying the text of the requirements.  The modified applicable requirement text could then be reflected in the Title V Operating Permit.  The CEMS are required by the 1998 Stipulation to confirm compliance its Section 2(A)(1), (6), (8) and (12). The 190-day campaign duration described at Section 3(C) is the basis for the hourly SO</w:t>
      </w:r>
      <w:r w:rsidRPr="004F2A29">
        <w:rPr>
          <w:vertAlign w:val="subscript"/>
        </w:rPr>
        <w:t>2</w:t>
      </w:r>
      <w:r>
        <w:t xml:space="preserve"> emissions. </w:t>
      </w:r>
    </w:p>
    <w:p w14:paraId="28A4448E" w14:textId="77777777" w:rsidR="006D4A9C" w:rsidRDefault="006D4A9C" w:rsidP="006D4A9C">
      <w:pPr>
        <w:ind w:left="504"/>
      </w:pPr>
    </w:p>
    <w:p w14:paraId="40E6D2A7" w14:textId="77777777" w:rsidR="006D4A9C" w:rsidRDefault="006D4A9C" w:rsidP="006D4A9C">
      <w:pPr>
        <w:ind w:left="504"/>
      </w:pPr>
      <w:r>
        <w:t xml:space="preserve">Additionally, DEQ changed EU011 from “Warehouse Sugar Dust Collector” to “Coal Handling, Fugitives” </w:t>
      </w:r>
      <w:proofErr w:type="gramStart"/>
      <w:r>
        <w:t>in order to</w:t>
      </w:r>
      <w:proofErr w:type="gramEnd"/>
      <w:r>
        <w:t xml:space="preserve"> maintain numbering conventions throughout the permit. The Warehouse Sugar Dust Collector was removed from the Operating Permit because it is not considered an Emitting Unit (EU). </w:t>
      </w:r>
    </w:p>
    <w:p w14:paraId="722C2D0D" w14:textId="77777777" w:rsidR="006D4A9C" w:rsidRDefault="006D4A9C" w:rsidP="006D4A9C">
      <w:pPr>
        <w:ind w:left="504"/>
      </w:pPr>
    </w:p>
    <w:p w14:paraId="23C94A81" w14:textId="23884709" w:rsidR="006D4A9C" w:rsidRDefault="006D4A9C" w:rsidP="006D4A9C">
      <w:pPr>
        <w:ind w:left="504"/>
      </w:pPr>
      <w:r w:rsidRPr="7699A81A">
        <w:rPr>
          <w:b/>
          <w:bCs/>
        </w:rPr>
        <w:lastRenderedPageBreak/>
        <w:t>Operating Permit #OP2912-09</w:t>
      </w:r>
      <w:r>
        <w:t xml:space="preserve"> replaced #OP2912-08. </w:t>
      </w:r>
    </w:p>
    <w:p w14:paraId="6F7B3F00" w14:textId="77777777" w:rsidR="004F3420" w:rsidRPr="00C8674E" w:rsidRDefault="004F3420" w:rsidP="008B1BAD">
      <w:pPr>
        <w:tabs>
          <w:tab w:val="left" w:pos="-1440"/>
          <w:tab w:val="left" w:pos="-720"/>
          <w:tab w:val="left" w:pos="600"/>
          <w:tab w:val="left" w:pos="1350"/>
          <w:tab w:val="left" w:pos="1800"/>
          <w:tab w:val="left" w:pos="2400"/>
          <w:tab w:val="left" w:pos="2988"/>
        </w:tabs>
        <w:rPr>
          <w:szCs w:val="24"/>
        </w:rPr>
      </w:pPr>
    </w:p>
    <w:p w14:paraId="5B6EF68A" w14:textId="77777777" w:rsidR="005A2FDF" w:rsidRPr="006035AB" w:rsidRDefault="005A2FDF">
      <w:pPr>
        <w:pStyle w:val="Heading2"/>
        <w:numPr>
          <w:ilvl w:val="0"/>
          <w:numId w:val="7"/>
        </w:numPr>
      </w:pPr>
      <w:bookmarkStart w:id="5" w:name="_Toc14435654"/>
      <w:r w:rsidRPr="00C8674E">
        <w:t xml:space="preserve">Current Permit </w:t>
      </w:r>
      <w:r w:rsidRPr="006035AB">
        <w:t>Action</w:t>
      </w:r>
      <w:bookmarkEnd w:id="5"/>
    </w:p>
    <w:p w14:paraId="5B6EF68B" w14:textId="77777777" w:rsidR="005A2FDF" w:rsidRPr="00C8674E" w:rsidRDefault="005A2FDF">
      <w:pPr>
        <w:tabs>
          <w:tab w:val="left" w:pos="-1440"/>
          <w:tab w:val="left" w:pos="-720"/>
          <w:tab w:val="left" w:pos="600"/>
          <w:tab w:val="left" w:pos="1200"/>
          <w:tab w:val="left" w:pos="1800"/>
          <w:tab w:val="left" w:pos="2400"/>
          <w:tab w:val="left" w:pos="2988"/>
        </w:tabs>
        <w:rPr>
          <w:szCs w:val="24"/>
        </w:rPr>
      </w:pPr>
    </w:p>
    <w:p w14:paraId="27F5E836" w14:textId="4DDF6FCE" w:rsidR="00D37827" w:rsidRDefault="005C6E7E" w:rsidP="00D37827">
      <w:pPr>
        <w:ind w:left="504"/>
      </w:pPr>
      <w:bookmarkStart w:id="6" w:name="_Hlk225511448"/>
      <w:r w:rsidRPr="005C6E7E">
        <w:rPr>
          <w:rFonts w:eastAsia="Aptos"/>
          <w:kern w:val="2"/>
          <w:szCs w:val="24"/>
          <w14:ligatures w14:val="standardContextual"/>
        </w:rPr>
        <w:t xml:space="preserve">On June 19, 2025, </w:t>
      </w:r>
      <w:r w:rsidR="002643A4">
        <w:rPr>
          <w:rFonts w:eastAsia="Aptos"/>
          <w:kern w:val="2"/>
          <w:szCs w:val="24"/>
          <w14:ligatures w14:val="standardContextual"/>
        </w:rPr>
        <w:t>WSC</w:t>
      </w:r>
      <w:r w:rsidRPr="005C6E7E">
        <w:rPr>
          <w:rFonts w:eastAsia="Aptos"/>
          <w:kern w:val="2"/>
          <w:szCs w:val="24"/>
          <w14:ligatures w14:val="standardContextual"/>
        </w:rPr>
        <w:t xml:space="preserve"> submitted to </w:t>
      </w:r>
      <w:r w:rsidR="006B2C67">
        <w:rPr>
          <w:rFonts w:eastAsia="Aptos"/>
          <w:kern w:val="2"/>
          <w:szCs w:val="24"/>
          <w14:ligatures w14:val="standardContextual"/>
        </w:rPr>
        <w:t>DEQ</w:t>
      </w:r>
      <w:r w:rsidRPr="005C6E7E">
        <w:rPr>
          <w:rFonts w:eastAsia="Aptos"/>
          <w:kern w:val="2"/>
          <w:szCs w:val="24"/>
          <w14:ligatures w14:val="standardContextual"/>
        </w:rPr>
        <w:t xml:space="preserve"> a complete, formal petition and supporting documentation </w:t>
      </w:r>
      <w:r>
        <w:rPr>
          <w:rFonts w:eastAsia="Aptos"/>
          <w:kern w:val="2"/>
          <w:szCs w:val="24"/>
          <w14:ligatures w14:val="standardContextual"/>
        </w:rPr>
        <w:t>to modify</w:t>
      </w:r>
      <w:r w:rsidRPr="005C6E7E">
        <w:rPr>
          <w:rFonts w:eastAsia="Aptos"/>
          <w:kern w:val="2"/>
          <w:szCs w:val="24"/>
          <w14:ligatures w14:val="standardContextual"/>
        </w:rPr>
        <w:t xml:space="preserve"> </w:t>
      </w:r>
      <w:r>
        <w:rPr>
          <w:rFonts w:eastAsia="Aptos"/>
          <w:kern w:val="2"/>
          <w:szCs w:val="24"/>
          <w14:ligatures w14:val="standardContextual"/>
        </w:rPr>
        <w:t>a</w:t>
      </w:r>
      <w:r w:rsidRPr="005C6E7E">
        <w:rPr>
          <w:rFonts w:eastAsia="Aptos"/>
          <w:kern w:val="2"/>
          <w:szCs w:val="24"/>
          <w14:ligatures w14:val="standardContextual"/>
        </w:rPr>
        <w:t xml:space="preserve"> 1998 Stipulation Agreement (1998 </w:t>
      </w:r>
      <w:r>
        <w:rPr>
          <w:rFonts w:eastAsia="Aptos"/>
          <w:kern w:val="2"/>
          <w:szCs w:val="24"/>
          <w14:ligatures w14:val="standardContextual"/>
        </w:rPr>
        <w:t>STIP</w:t>
      </w:r>
      <w:r w:rsidRPr="005C6E7E">
        <w:rPr>
          <w:rFonts w:eastAsia="Aptos"/>
          <w:kern w:val="2"/>
          <w:szCs w:val="24"/>
          <w14:ligatures w14:val="standardContextual"/>
        </w:rPr>
        <w:t xml:space="preserve">) between </w:t>
      </w:r>
      <w:r w:rsidR="002643A4">
        <w:rPr>
          <w:rFonts w:eastAsia="Aptos"/>
          <w:kern w:val="2"/>
          <w:szCs w:val="24"/>
          <w14:ligatures w14:val="standardContextual"/>
        </w:rPr>
        <w:t>WSC</w:t>
      </w:r>
      <w:r w:rsidRPr="005C6E7E">
        <w:rPr>
          <w:rFonts w:eastAsia="Aptos"/>
          <w:kern w:val="2"/>
          <w:szCs w:val="24"/>
          <w14:ligatures w14:val="standardContextual"/>
        </w:rPr>
        <w:t xml:space="preserve">, </w:t>
      </w:r>
      <w:r w:rsidR="00D37827">
        <w:rPr>
          <w:rFonts w:eastAsia="Aptos"/>
          <w:kern w:val="2"/>
          <w:szCs w:val="24"/>
          <w14:ligatures w14:val="standardContextual"/>
        </w:rPr>
        <w:t>EPA</w:t>
      </w:r>
      <w:r w:rsidRPr="005C6E7E">
        <w:rPr>
          <w:rFonts w:eastAsia="Aptos"/>
          <w:kern w:val="2"/>
          <w:szCs w:val="24"/>
          <w14:ligatures w14:val="standardContextual"/>
        </w:rPr>
        <w:t xml:space="preserve">, and DEQ related to attainment of the 1971 </w:t>
      </w:r>
      <w:r w:rsidR="00D37827" w:rsidRPr="005C6E7E">
        <w:rPr>
          <w:rFonts w:eastAsia="Aptos"/>
          <w:kern w:val="2"/>
          <w:szCs w:val="24"/>
          <w14:ligatures w14:val="standardContextual"/>
        </w:rPr>
        <w:t>SO</w:t>
      </w:r>
      <w:r w:rsidR="00D37827" w:rsidRPr="005C6E7E">
        <w:rPr>
          <w:rFonts w:eastAsia="Aptos"/>
          <w:kern w:val="2"/>
          <w:szCs w:val="24"/>
          <w:vertAlign w:val="subscript"/>
          <w14:ligatures w14:val="standardContextual"/>
        </w:rPr>
        <w:t>2</w:t>
      </w:r>
      <w:r w:rsidR="00D37827" w:rsidRPr="005C6E7E">
        <w:rPr>
          <w:rFonts w:eastAsia="Aptos"/>
          <w:kern w:val="2"/>
          <w:szCs w:val="24"/>
          <w14:ligatures w14:val="standardContextual"/>
        </w:rPr>
        <w:t xml:space="preserve"> </w:t>
      </w:r>
      <w:r w:rsidRPr="005C6E7E">
        <w:rPr>
          <w:rFonts w:eastAsia="Aptos"/>
          <w:kern w:val="2"/>
          <w:szCs w:val="24"/>
          <w14:ligatures w14:val="standardContextual"/>
        </w:rPr>
        <w:t>NAAQS in the Billings/Laurel area.</w:t>
      </w:r>
      <w:r>
        <w:rPr>
          <w:rFonts w:eastAsia="Aptos"/>
          <w:kern w:val="2"/>
          <w:szCs w:val="24"/>
          <w14:ligatures w14:val="standardContextual"/>
        </w:rPr>
        <w:t xml:space="preserve"> </w:t>
      </w:r>
      <w:r w:rsidRPr="00B3463B">
        <w:t xml:space="preserve">On August </w:t>
      </w:r>
      <w:r w:rsidR="008F4750">
        <w:t>13</w:t>
      </w:r>
      <w:r w:rsidRPr="00B3463B">
        <w:t>, 2025, an order (202</w:t>
      </w:r>
      <w:r>
        <w:t>6</w:t>
      </w:r>
      <w:r w:rsidRPr="00B3463B">
        <w:t xml:space="preserve"> </w:t>
      </w:r>
      <w:r>
        <w:t>SIP changes</w:t>
      </w:r>
      <w:r w:rsidRPr="00B3463B">
        <w:t xml:space="preserve">) for modification </w:t>
      </w:r>
      <w:r>
        <w:t>of</w:t>
      </w:r>
      <w:r w:rsidRPr="00B3463B">
        <w:t xml:space="preserve"> the 1998 STIP was issued by </w:t>
      </w:r>
      <w:r>
        <w:t>DEQ</w:t>
      </w:r>
      <w:r w:rsidRPr="00B3463B">
        <w:t>. The 202</w:t>
      </w:r>
      <w:r>
        <w:t>6</w:t>
      </w:r>
      <w:r w:rsidRPr="00B3463B">
        <w:t xml:space="preserve"> </w:t>
      </w:r>
      <w:r>
        <w:t>SIP changes</w:t>
      </w:r>
      <w:r w:rsidRPr="00B3463B">
        <w:t xml:space="preserve"> supersede </w:t>
      </w:r>
      <w:r w:rsidR="006B2C67">
        <w:t xml:space="preserve">all </w:t>
      </w:r>
      <w:r>
        <w:t>affected elements</w:t>
      </w:r>
      <w:r w:rsidRPr="00B3463B">
        <w:t xml:space="preserve"> of the 1998 STIP. </w:t>
      </w:r>
      <w:r>
        <w:t xml:space="preserve">DEQ </w:t>
      </w:r>
      <w:r w:rsidR="00D37827">
        <w:t xml:space="preserve">publicly processed the 2026 SIP changes and subsequently </w:t>
      </w:r>
      <w:r>
        <w:t>submitted the</w:t>
      </w:r>
      <w:r w:rsidR="00D37827">
        <w:t>m</w:t>
      </w:r>
      <w:r>
        <w:t xml:space="preserve"> to EPA </w:t>
      </w:r>
      <w:r w:rsidR="00D37827">
        <w:t>for approval into Montana’s SIP</w:t>
      </w:r>
      <w:r w:rsidR="00D37827" w:rsidRPr="00D37827">
        <w:t xml:space="preserve"> </w:t>
      </w:r>
      <w:r w:rsidR="00D37827" w:rsidRPr="00B3463B">
        <w:t xml:space="preserve">related to attainment of the 1971 </w:t>
      </w:r>
      <w:r w:rsidR="00D37827">
        <w:t>SO</w:t>
      </w:r>
      <w:r w:rsidR="00D37827" w:rsidRPr="006B2C67">
        <w:rPr>
          <w:vertAlign w:val="subscript"/>
        </w:rPr>
        <w:t>2</w:t>
      </w:r>
      <w:r w:rsidR="00D37827">
        <w:t xml:space="preserve"> </w:t>
      </w:r>
      <w:r w:rsidR="00D37827" w:rsidRPr="00B3463B">
        <w:t xml:space="preserve">NAAQS in the </w:t>
      </w:r>
      <w:r w:rsidR="00D37827">
        <w:t xml:space="preserve">affected area. </w:t>
      </w:r>
      <w:r w:rsidRPr="00B3463B">
        <w:t xml:space="preserve"> </w:t>
      </w:r>
      <w:r w:rsidR="008F4750">
        <w:t>The final publication in the Federal Register is pending and expected to be in place before a Department Decision.</w:t>
      </w:r>
    </w:p>
    <w:p w14:paraId="5F877254" w14:textId="77777777" w:rsidR="00D37827" w:rsidRDefault="00D37827" w:rsidP="00D37827">
      <w:pPr>
        <w:ind w:left="504"/>
      </w:pPr>
    </w:p>
    <w:p w14:paraId="60D5E736" w14:textId="258B7AD3" w:rsidR="00B3463B" w:rsidRPr="00B3463B" w:rsidRDefault="00D37827" w:rsidP="00D37827">
      <w:pPr>
        <w:ind w:left="504"/>
      </w:pPr>
      <w:r>
        <w:t>I</w:t>
      </w:r>
      <w:r w:rsidRPr="00B3463B">
        <w:t xml:space="preserve">n </w:t>
      </w:r>
      <w:r>
        <w:t>response to</w:t>
      </w:r>
      <w:r w:rsidR="007D6832">
        <w:t xml:space="preserve"> DEQ’s approval of </w:t>
      </w:r>
      <w:r>
        <w:t xml:space="preserve">the 2026 SIP changes, on </w:t>
      </w:r>
      <w:r w:rsidR="00B3463B" w:rsidRPr="00B3463B">
        <w:t xml:space="preserve">February 23, 2026, </w:t>
      </w:r>
      <w:r w:rsidR="002643A4">
        <w:rPr>
          <w:szCs w:val="24"/>
        </w:rPr>
        <w:t>WSC</w:t>
      </w:r>
      <w:r w:rsidR="001372D3">
        <w:rPr>
          <w:szCs w:val="24"/>
        </w:rPr>
        <w:t xml:space="preserve"> submitted to DEQ a request for administrative amendment of their existing Title V operating permit #OP2912-0</w:t>
      </w:r>
      <w:r w:rsidR="007D6832">
        <w:rPr>
          <w:szCs w:val="24"/>
        </w:rPr>
        <w:t>9</w:t>
      </w:r>
      <w:r w:rsidR="001372D3">
        <w:rPr>
          <w:szCs w:val="24"/>
        </w:rPr>
        <w:t xml:space="preserve"> to address and incorporate, as appropriate, the 2026 SIP changes. </w:t>
      </w:r>
      <w:r w:rsidR="00B3463B" w:rsidRPr="00B3463B">
        <w:t xml:space="preserve"> </w:t>
      </w:r>
      <w:r w:rsidR="001372D3">
        <w:rPr>
          <w:szCs w:val="24"/>
        </w:rPr>
        <w:t xml:space="preserve">Following review of the proposed administrative action, and pursuant to the applicable requirements of ARM 17.8.1227, DEQ notified </w:t>
      </w:r>
      <w:r w:rsidR="002643A4">
        <w:rPr>
          <w:szCs w:val="24"/>
        </w:rPr>
        <w:t>WSC</w:t>
      </w:r>
      <w:r w:rsidR="001372D3">
        <w:rPr>
          <w:szCs w:val="24"/>
        </w:rPr>
        <w:t xml:space="preserve"> the proposed action constitutes a significant modification of their existing Title V operating permit.  In response, on April 8, 2026, </w:t>
      </w:r>
      <w:r w:rsidR="002643A4">
        <w:rPr>
          <w:szCs w:val="24"/>
        </w:rPr>
        <w:t>WSC</w:t>
      </w:r>
      <w:r w:rsidR="001372D3">
        <w:rPr>
          <w:szCs w:val="24"/>
        </w:rPr>
        <w:t xml:space="preserve"> withdrew their February 23, 2026, request for an administrative amendment and submitted a complete application for a significant modification of Title V operating permit #OP2912-0</w:t>
      </w:r>
      <w:r w:rsidR="007D6832">
        <w:rPr>
          <w:szCs w:val="24"/>
        </w:rPr>
        <w:t>9</w:t>
      </w:r>
      <w:r w:rsidR="001372D3">
        <w:rPr>
          <w:szCs w:val="24"/>
        </w:rPr>
        <w:t xml:space="preserve">. </w:t>
      </w:r>
    </w:p>
    <w:p w14:paraId="0913EFCB" w14:textId="77777777" w:rsidR="00B3463B" w:rsidRPr="00B3463B" w:rsidRDefault="00B3463B" w:rsidP="00B3463B">
      <w:pPr>
        <w:ind w:left="504"/>
      </w:pPr>
    </w:p>
    <w:p w14:paraId="5BE45220" w14:textId="5F92402D" w:rsidR="004F7CD9" w:rsidRDefault="004F7CD9" w:rsidP="00B3463B">
      <w:pPr>
        <w:ind w:left="504"/>
      </w:pPr>
      <w:r>
        <w:t xml:space="preserve">The </w:t>
      </w:r>
      <w:r w:rsidR="00F24592">
        <w:t xml:space="preserve">specific </w:t>
      </w:r>
      <w:r>
        <w:t xml:space="preserve">changes </w:t>
      </w:r>
      <w:r w:rsidR="00F24592">
        <w:t>to Title V operating permit #OP2912-0</w:t>
      </w:r>
      <w:r w:rsidR="007D6832">
        <w:t>9</w:t>
      </w:r>
      <w:r w:rsidR="00F24592">
        <w:t xml:space="preserve"> under the current permit action </w:t>
      </w:r>
      <w:r>
        <w:t>are shown below.</w:t>
      </w:r>
    </w:p>
    <w:p w14:paraId="00BC5C1D" w14:textId="77777777" w:rsidR="004F7CD9" w:rsidRDefault="004F7CD9" w:rsidP="004F7CD9">
      <w:pPr>
        <w:spacing w:after="160" w:line="278" w:lineRule="auto"/>
        <w:ind w:left="720"/>
        <w:contextualSpacing/>
        <w:rPr>
          <w:rFonts w:eastAsia="Aptos"/>
          <w:kern w:val="2"/>
          <w:szCs w:val="24"/>
          <w14:ligatures w14:val="standardContextual"/>
        </w:rPr>
      </w:pPr>
    </w:p>
    <w:p w14:paraId="741F4211" w14:textId="77777777" w:rsidR="007A3E2C" w:rsidRPr="00BB1062" w:rsidRDefault="007A3E2C" w:rsidP="007A3E2C">
      <w:pPr>
        <w:numPr>
          <w:ilvl w:val="0"/>
          <w:numId w:val="35"/>
        </w:numPr>
        <w:spacing w:after="160" w:line="278" w:lineRule="auto"/>
        <w:contextualSpacing/>
        <w:rPr>
          <w:rFonts w:eastAsia="Aptos"/>
          <w:kern w:val="2"/>
          <w:szCs w:val="24"/>
          <w14:ligatures w14:val="standardContextual"/>
        </w:rPr>
      </w:pPr>
      <w:r w:rsidRPr="00BB1062">
        <w:rPr>
          <w:rFonts w:eastAsia="Aptos" w:cs="Times-Roman"/>
          <w:szCs w:val="24"/>
          <w14:ligatures w14:val="standardContextual"/>
        </w:rPr>
        <w:t>Replace the 190-day limit on the duration of each annual campaign [Exhibit A, Section 3(C)] with a heat input limit on the boiler that corresponds with the current allowable annual emissions included the STIP</w:t>
      </w:r>
      <w:r>
        <w:rPr>
          <w:rFonts w:eastAsia="Aptos" w:cs="Times-Roman"/>
          <w:szCs w:val="24"/>
          <w14:ligatures w14:val="standardContextual"/>
        </w:rPr>
        <w:t xml:space="preserve"> </w:t>
      </w:r>
      <w:r w:rsidRPr="00BB1062">
        <w:rPr>
          <w:rFonts w:eastAsia="Aptos" w:cs="Times-Roman"/>
          <w:szCs w:val="24"/>
          <w14:ligatures w14:val="standardContextual"/>
        </w:rPr>
        <w:t>[</w:t>
      </w:r>
      <w:r w:rsidRPr="00BB1062">
        <w:rPr>
          <w:rFonts w:eastAsia="Aptos" w:cs="Times-Roman"/>
          <w:i/>
          <w:iCs/>
          <w:szCs w:val="24"/>
          <w14:ligatures w14:val="standardContextual"/>
        </w:rPr>
        <w:t>New</w:t>
      </w:r>
      <w:r w:rsidRPr="00BB1062">
        <w:rPr>
          <w:rFonts w:eastAsia="Aptos" w:cs="Times-Roman"/>
          <w:szCs w:val="24"/>
          <w14:ligatures w14:val="standardContextual"/>
        </w:rPr>
        <w:t xml:space="preserve"> Exhibit A, Section 3(A)(1)(b)]</w:t>
      </w:r>
    </w:p>
    <w:p w14:paraId="6E3684A7" w14:textId="77777777" w:rsidR="007A3E2C" w:rsidRPr="00BB1062" w:rsidRDefault="007A3E2C" w:rsidP="007A3E2C">
      <w:pPr>
        <w:numPr>
          <w:ilvl w:val="0"/>
          <w:numId w:val="35"/>
        </w:numPr>
        <w:spacing w:after="160" w:line="278" w:lineRule="auto"/>
        <w:contextualSpacing/>
        <w:rPr>
          <w:rFonts w:eastAsia="Aptos"/>
          <w:kern w:val="2"/>
          <w:szCs w:val="24"/>
          <w14:ligatures w14:val="standardContextual"/>
        </w:rPr>
      </w:pPr>
      <w:r w:rsidRPr="00BB1062">
        <w:rPr>
          <w:rFonts w:eastAsia="Aptos" w:cs="Times-Roman"/>
          <w:szCs w:val="24"/>
          <w14:ligatures w14:val="standardContextual"/>
        </w:rPr>
        <w:t>Removal of the requirement to continuously monitor SO</w:t>
      </w:r>
      <w:r w:rsidRPr="00BB1062">
        <w:rPr>
          <w:rFonts w:eastAsia="Aptos" w:cs="Times-Roman"/>
          <w:szCs w:val="24"/>
          <w:vertAlign w:val="subscript"/>
          <w14:ligatures w14:val="standardContextual"/>
        </w:rPr>
        <w:t>2</w:t>
      </w:r>
      <w:r w:rsidRPr="00BB1062">
        <w:rPr>
          <w:rFonts w:eastAsia="Aptos" w:cs="Times-Roman"/>
          <w:szCs w:val="24"/>
          <w14:ligatures w14:val="standardContextual"/>
        </w:rPr>
        <w:t xml:space="preserve"> emissions from the Boiler House [Exhibit A, Section 4(A) and Section 7]. Continuous monitoring replaced by a requirement for WSC to develop an emission factor from each boiler stack source test in units of pounds of SO</w:t>
      </w:r>
      <w:r w:rsidRPr="00AE2A0A">
        <w:rPr>
          <w:rFonts w:eastAsia="Aptos" w:cs="Times-Roman"/>
          <w:szCs w:val="24"/>
          <w:vertAlign w:val="subscript"/>
          <w14:ligatures w14:val="standardContextual"/>
        </w:rPr>
        <w:t>2</w:t>
      </w:r>
      <w:r w:rsidRPr="00BB1062">
        <w:rPr>
          <w:rFonts w:eastAsia="Aptos" w:cs="Times-Roman"/>
          <w:szCs w:val="24"/>
          <w14:ligatures w14:val="standardContextual"/>
        </w:rPr>
        <w:t xml:space="preserve"> per ton of coal combusted. This emission factor shall be used along with the coal tonnage combustion to demonstrate compliance with the Annual, Daily and Three-Hour emission limits [</w:t>
      </w:r>
      <w:r w:rsidRPr="00BB1062">
        <w:rPr>
          <w:rFonts w:eastAsia="Aptos" w:cs="Times-Roman"/>
          <w:i/>
          <w:iCs/>
          <w:szCs w:val="24"/>
          <w14:ligatures w14:val="standardContextual"/>
        </w:rPr>
        <w:t>New</w:t>
      </w:r>
      <w:r w:rsidRPr="00BB1062">
        <w:rPr>
          <w:rFonts w:eastAsia="Aptos" w:cs="Times-Roman"/>
          <w:szCs w:val="24"/>
          <w14:ligatures w14:val="standardContextual"/>
        </w:rPr>
        <w:t xml:space="preserve"> Exhibit A, Section 5(A)(3) and (B)].</w:t>
      </w:r>
    </w:p>
    <w:p w14:paraId="3C8BEBE3" w14:textId="77777777" w:rsidR="007A3E2C" w:rsidRPr="00BB1062" w:rsidRDefault="007A3E2C" w:rsidP="007A3E2C">
      <w:pPr>
        <w:numPr>
          <w:ilvl w:val="0"/>
          <w:numId w:val="35"/>
        </w:numPr>
        <w:spacing w:after="160" w:line="278" w:lineRule="auto"/>
        <w:contextualSpacing/>
        <w:rPr>
          <w:rFonts w:eastAsia="Aptos"/>
          <w:kern w:val="2"/>
          <w:szCs w:val="24"/>
          <w14:ligatures w14:val="standardContextual"/>
        </w:rPr>
      </w:pPr>
      <w:r w:rsidRPr="00BB1062">
        <w:rPr>
          <w:rFonts w:eastAsia="Aptos" w:cs="Times-Roman"/>
          <w:szCs w:val="24"/>
          <w14:ligatures w14:val="standardContextual"/>
        </w:rPr>
        <w:t>Quarterly reporting of continuous SO</w:t>
      </w:r>
      <w:r w:rsidRPr="00AE2A0A">
        <w:rPr>
          <w:rFonts w:eastAsia="Aptos" w:cs="Times-Roman"/>
          <w:szCs w:val="24"/>
          <w:vertAlign w:val="subscript"/>
          <w14:ligatures w14:val="standardContextual"/>
        </w:rPr>
        <w:t>2</w:t>
      </w:r>
      <w:r w:rsidRPr="00BB1062">
        <w:rPr>
          <w:rFonts w:eastAsia="Aptos" w:cs="Times-Roman"/>
          <w:szCs w:val="24"/>
          <w14:ligatures w14:val="standardContextual"/>
        </w:rPr>
        <w:t xml:space="preserve"> emissions data [Exhibit A, Section 7] was replaced by a requirement to report SO</w:t>
      </w:r>
      <w:r w:rsidRPr="00AE2A0A">
        <w:rPr>
          <w:rFonts w:eastAsia="Aptos" w:cs="Times-Roman"/>
          <w:szCs w:val="24"/>
          <w:vertAlign w:val="subscript"/>
          <w14:ligatures w14:val="standardContextual"/>
        </w:rPr>
        <w:t>2</w:t>
      </w:r>
      <w:r w:rsidRPr="00BB1062">
        <w:rPr>
          <w:rFonts w:eastAsia="Aptos" w:cs="Times-Roman"/>
          <w:szCs w:val="24"/>
          <w14:ligatures w14:val="standardContextual"/>
        </w:rPr>
        <w:t xml:space="preserve"> emissions once per year in Annual Emissions Inventory Reports [</w:t>
      </w:r>
      <w:r w:rsidRPr="00BB1062">
        <w:rPr>
          <w:rFonts w:eastAsia="Aptos" w:cs="Times-Roman"/>
          <w:i/>
          <w:iCs/>
          <w:szCs w:val="24"/>
          <w14:ligatures w14:val="standardContextual"/>
        </w:rPr>
        <w:t>New</w:t>
      </w:r>
      <w:r w:rsidRPr="00BB1062">
        <w:rPr>
          <w:rFonts w:eastAsia="Aptos" w:cs="Times-Roman"/>
          <w:szCs w:val="24"/>
          <w14:ligatures w14:val="standardContextual"/>
        </w:rPr>
        <w:t xml:space="preserve"> Exhibit A, Section 6(C)]. </w:t>
      </w:r>
    </w:p>
    <w:p w14:paraId="5EE5289F" w14:textId="77777777" w:rsidR="007A3E2C" w:rsidRPr="00BB1062" w:rsidRDefault="007A3E2C" w:rsidP="007A3E2C">
      <w:pPr>
        <w:numPr>
          <w:ilvl w:val="0"/>
          <w:numId w:val="35"/>
        </w:numPr>
        <w:spacing w:after="160" w:line="278" w:lineRule="auto"/>
        <w:contextualSpacing/>
        <w:rPr>
          <w:rFonts w:eastAsia="Aptos"/>
          <w:kern w:val="2"/>
          <w:szCs w:val="24"/>
          <w14:ligatures w14:val="standardContextual"/>
        </w:rPr>
      </w:pPr>
      <w:r w:rsidRPr="00BB1062">
        <w:rPr>
          <w:rFonts w:eastAsia="Aptos" w:cs="Times-Roman"/>
          <w:szCs w:val="24"/>
          <w14:ligatures w14:val="standardContextual"/>
        </w:rPr>
        <w:t>Removal of all pulp dryer monitoring, reporting and related requirements, as the dryers no longer have the capability to combust fuel oil [Exhibit A, Section(s) 1-7 (1.B, 2.8.b, 3.A.1.b, 4.B, 5.B, 6.B.3, 6.E.6, 6.E.9, 7.A, 7.B and 7.C)]</w:t>
      </w:r>
    </w:p>
    <w:p w14:paraId="18544EB4" w14:textId="77777777" w:rsidR="007A3E2C" w:rsidRPr="00BB1062" w:rsidRDefault="007A3E2C" w:rsidP="007A3E2C">
      <w:pPr>
        <w:numPr>
          <w:ilvl w:val="0"/>
          <w:numId w:val="35"/>
        </w:numPr>
        <w:spacing w:after="160" w:line="278" w:lineRule="auto"/>
        <w:contextualSpacing/>
        <w:rPr>
          <w:rFonts w:eastAsia="Aptos"/>
          <w:kern w:val="2"/>
          <w:szCs w:val="24"/>
          <w14:ligatures w14:val="standardContextual"/>
        </w:rPr>
      </w:pPr>
      <w:r w:rsidRPr="00BB1062">
        <w:rPr>
          <w:rFonts w:eastAsia="Aptos" w:cs="Times-Roman"/>
          <w:szCs w:val="24"/>
          <w14:ligatures w14:val="standardContextual"/>
        </w:rPr>
        <w:t>Removal of the natural gas fired boilers (Erie City and Cleaver Brooks) [Exhibit A, Section 1.B and 3.B]</w:t>
      </w:r>
    </w:p>
    <w:p w14:paraId="755C1B4A" w14:textId="77777777" w:rsidR="007A3E2C" w:rsidRPr="00BB1062" w:rsidRDefault="007A3E2C" w:rsidP="007A3E2C">
      <w:pPr>
        <w:numPr>
          <w:ilvl w:val="0"/>
          <w:numId w:val="35"/>
        </w:numPr>
        <w:spacing w:after="160" w:line="278" w:lineRule="auto"/>
        <w:contextualSpacing/>
        <w:rPr>
          <w:rFonts w:eastAsia="Aptos"/>
          <w:kern w:val="2"/>
          <w:szCs w:val="24"/>
          <w14:ligatures w14:val="standardContextual"/>
        </w:rPr>
      </w:pPr>
      <w:r w:rsidRPr="00BB1062">
        <w:rPr>
          <w:rFonts w:eastAsia="Aptos" w:cs="Times-Roman"/>
          <w:szCs w:val="24"/>
          <w14:ligatures w14:val="standardContextual"/>
        </w:rPr>
        <w:t xml:space="preserve">Modification of the required emissions testing schedule [Exhibit A, Section 5.A] and removal of quality assurance requirements for the continuous emissions monitoring </w:t>
      </w:r>
      <w:r w:rsidRPr="00BB1062">
        <w:rPr>
          <w:rFonts w:eastAsia="Aptos" w:cs="Times-Roman"/>
          <w:szCs w:val="24"/>
          <w14:ligatures w14:val="standardContextual"/>
        </w:rPr>
        <w:lastRenderedPageBreak/>
        <w:t>system for SO</w:t>
      </w:r>
      <w:r w:rsidRPr="00AE2A0A">
        <w:rPr>
          <w:rFonts w:eastAsia="Aptos" w:cs="Times-Roman"/>
          <w:szCs w:val="24"/>
          <w:vertAlign w:val="subscript"/>
          <w14:ligatures w14:val="standardContextual"/>
        </w:rPr>
        <w:t>2</w:t>
      </w:r>
      <w:r w:rsidRPr="00BB1062">
        <w:rPr>
          <w:rFonts w:eastAsia="Aptos" w:cs="Times-Roman"/>
          <w:szCs w:val="24"/>
          <w14:ligatures w14:val="standardContextual"/>
        </w:rPr>
        <w:t xml:space="preserve"> (i.e. quarterly CGAs, daily calibrations, annual RATA testing, etc.) [Exhibit A, Section 6].</w:t>
      </w:r>
    </w:p>
    <w:p w14:paraId="4F187FB6" w14:textId="77777777" w:rsidR="004F7CD9" w:rsidRDefault="004F7CD9" w:rsidP="00B3463B">
      <w:pPr>
        <w:ind w:left="504"/>
      </w:pPr>
    </w:p>
    <w:p w14:paraId="5CE2E4CF" w14:textId="4263E01B" w:rsidR="00B3463B" w:rsidRPr="008F4750" w:rsidRDefault="00F24592" w:rsidP="007D6832">
      <w:pPr>
        <w:ind w:left="504"/>
      </w:pPr>
      <w:r w:rsidRPr="008F4750">
        <w:t>Further, certain applicable requirements contained in the 1998 STIP and the</w:t>
      </w:r>
      <w:r w:rsidR="00EC36A3" w:rsidRPr="008F4750">
        <w:t xml:space="preserve"> revised 2026 SIP (Exhibit A elements) were also incorporated into Section III.C and III.E of the </w:t>
      </w:r>
      <w:r w:rsidR="001372D3" w:rsidRPr="008F4750">
        <w:t xml:space="preserve">operating </w:t>
      </w:r>
      <w:r w:rsidR="00EC36A3" w:rsidRPr="008F4750">
        <w:t>permit</w:t>
      </w:r>
      <w:r w:rsidRPr="008F4750">
        <w:t>, as required</w:t>
      </w:r>
      <w:r w:rsidR="00EC36A3" w:rsidRPr="008F4750">
        <w:t>.</w:t>
      </w:r>
    </w:p>
    <w:p w14:paraId="7AB0E5FF" w14:textId="77777777" w:rsidR="00B3463B" w:rsidRDefault="00B3463B">
      <w:pPr>
        <w:ind w:left="504"/>
      </w:pPr>
    </w:p>
    <w:p w14:paraId="1437A1D1" w14:textId="77777777" w:rsidR="00B3463B" w:rsidRPr="00B3463B" w:rsidRDefault="00B3463B" w:rsidP="001F003E">
      <w:pPr>
        <w:ind w:left="504"/>
      </w:pPr>
      <w:r w:rsidRPr="00B3463B">
        <w:t>In July 2023, EPA rescinded the emergency affirmative defense in its Title V regulations. In response, Montana was required to remove the affected provisions from their operating permit program rules and from affected title V operating permits at renewal or during permit revisions. Subsequently, in September 2025, the D.C. Circuit Court of Appeals reinstated the Clean Air Act emergency affirmative defense, reversing the EPA's 2023 rescission of the rule that provides a defense against liability for excess emissions during sudden, unforeseeable emergencies.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4462C0D0" w14:textId="77777777" w:rsidR="00B3463B" w:rsidRDefault="00B3463B" w:rsidP="00EF7925">
      <w:pPr>
        <w:ind w:left="504"/>
      </w:pPr>
    </w:p>
    <w:p w14:paraId="5B6EF68C" w14:textId="71D0C587" w:rsidR="005A2FDF" w:rsidRDefault="000F3875" w:rsidP="00EF7925">
      <w:pPr>
        <w:ind w:left="504"/>
      </w:pPr>
      <w:r w:rsidRPr="7699A81A">
        <w:rPr>
          <w:b/>
          <w:bCs/>
        </w:rPr>
        <w:t>Operating Permit #OP2912-</w:t>
      </w:r>
      <w:r w:rsidR="00B3463B">
        <w:rPr>
          <w:b/>
          <w:bCs/>
        </w:rPr>
        <w:t>10</w:t>
      </w:r>
      <w:r>
        <w:t xml:space="preserve"> replaces </w:t>
      </w:r>
      <w:r w:rsidR="00D12882">
        <w:t>#</w:t>
      </w:r>
      <w:r>
        <w:t>OP2912-0</w:t>
      </w:r>
      <w:r w:rsidR="00B3463B">
        <w:t>9</w:t>
      </w:r>
      <w:r>
        <w:t>.</w:t>
      </w:r>
      <w:r w:rsidR="003A5513">
        <w:t xml:space="preserve"> </w:t>
      </w:r>
    </w:p>
    <w:bookmarkEnd w:id="6"/>
    <w:p w14:paraId="5B6EF68D" w14:textId="77777777" w:rsidR="005A459A" w:rsidRDefault="005A459A" w:rsidP="008B1BAD">
      <w:pPr>
        <w:rPr>
          <w:szCs w:val="24"/>
        </w:rPr>
      </w:pPr>
    </w:p>
    <w:p w14:paraId="5B6EF68E" w14:textId="77777777" w:rsidR="005A2FDF" w:rsidRPr="006035AB" w:rsidRDefault="005A2FDF">
      <w:pPr>
        <w:pStyle w:val="Heading2"/>
        <w:numPr>
          <w:ilvl w:val="0"/>
          <w:numId w:val="7"/>
        </w:numPr>
      </w:pPr>
      <w:bookmarkStart w:id="7" w:name="_Toc14435655"/>
      <w:r w:rsidRPr="00C8674E">
        <w:t xml:space="preserve">Taking and Damaging </w:t>
      </w:r>
      <w:r w:rsidRPr="006035AB">
        <w:t>Analysis</w:t>
      </w:r>
      <w:bookmarkEnd w:id="7"/>
    </w:p>
    <w:p w14:paraId="5B6EF68F" w14:textId="77777777" w:rsidR="005A2FDF" w:rsidRPr="00C8674E" w:rsidRDefault="005A2FDF">
      <w:pPr>
        <w:rPr>
          <w:szCs w:val="24"/>
        </w:rPr>
      </w:pPr>
    </w:p>
    <w:p w14:paraId="5B6EF690" w14:textId="3BB7D236" w:rsidR="005A2FDF" w:rsidRPr="00C8674E" w:rsidRDefault="005A2FDF">
      <w:pPr>
        <w:ind w:left="540"/>
        <w:rPr>
          <w:szCs w:val="24"/>
        </w:rPr>
      </w:pPr>
      <w:r w:rsidRPr="00C8674E">
        <w:rPr>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As part of issuing an operating permit, </w:t>
      </w:r>
      <w:r w:rsidR="00D4457C">
        <w:rPr>
          <w:szCs w:val="24"/>
        </w:rPr>
        <w:t>DEQ</w:t>
      </w:r>
      <w:r w:rsidRPr="00C8674E">
        <w:rPr>
          <w:szCs w:val="24"/>
        </w:rPr>
        <w:t xml:space="preserve"> is required to complete a Taking and Damaging Checklist.  As required by 2-10-101 through </w:t>
      </w:r>
      <w:r w:rsidR="000912B2" w:rsidRPr="00C8674E">
        <w:rPr>
          <w:szCs w:val="24"/>
        </w:rPr>
        <w:t>2-10-</w:t>
      </w:r>
      <w:r w:rsidRPr="00C8674E">
        <w:rPr>
          <w:szCs w:val="24"/>
        </w:rPr>
        <w:t xml:space="preserve">105, MCA, </w:t>
      </w:r>
      <w:r w:rsidR="00D4457C">
        <w:rPr>
          <w:szCs w:val="24"/>
        </w:rPr>
        <w:t>DEQ</w:t>
      </w:r>
      <w:r w:rsidRPr="00C8674E">
        <w:rPr>
          <w:szCs w:val="24"/>
        </w:rPr>
        <w:t xml:space="preserve"> </w:t>
      </w:r>
      <w:r w:rsidR="00E84515" w:rsidRPr="00C8674E">
        <w:rPr>
          <w:szCs w:val="24"/>
        </w:rPr>
        <w:t>conducted the following private property taking and damaging assessment.</w:t>
      </w:r>
    </w:p>
    <w:p w14:paraId="5B6EF691" w14:textId="77777777" w:rsidR="00E84515" w:rsidRPr="00C8674E" w:rsidRDefault="00E84515" w:rsidP="008B1BAD">
      <w:pPr>
        <w:rPr>
          <w:szCs w:val="24"/>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74"/>
        <w:gridCol w:w="7650"/>
      </w:tblGrid>
      <w:tr w:rsidR="00E84515" w:rsidRPr="00C8674E" w14:paraId="5B6EF695" w14:textId="77777777" w:rsidTr="00D95072">
        <w:trPr>
          <w:tblHeader/>
          <w:jc w:val="center"/>
        </w:trPr>
        <w:tc>
          <w:tcPr>
            <w:tcW w:w="720" w:type="dxa"/>
            <w:tcBorders>
              <w:bottom w:val="nil"/>
            </w:tcBorders>
            <w:shd w:val="clear" w:color="auto" w:fill="FFFFFF"/>
          </w:tcPr>
          <w:p w14:paraId="5B6EF692" w14:textId="77777777" w:rsidR="00E84515" w:rsidRPr="00C8674E" w:rsidRDefault="00E84515" w:rsidP="00E84515">
            <w:pPr>
              <w:rPr>
                <w:b/>
              </w:rPr>
            </w:pPr>
            <w:r w:rsidRPr="00C8674E">
              <w:rPr>
                <w:b/>
              </w:rPr>
              <w:t>YES</w:t>
            </w:r>
          </w:p>
        </w:tc>
        <w:tc>
          <w:tcPr>
            <w:tcW w:w="774" w:type="dxa"/>
            <w:shd w:val="clear" w:color="auto" w:fill="CCCCCC"/>
          </w:tcPr>
          <w:p w14:paraId="5B6EF693" w14:textId="77777777" w:rsidR="00E84515" w:rsidRPr="00C8674E" w:rsidRDefault="00E84515" w:rsidP="00E84515">
            <w:pPr>
              <w:rPr>
                <w:b/>
              </w:rPr>
            </w:pPr>
            <w:r w:rsidRPr="00C8674E">
              <w:rPr>
                <w:b/>
              </w:rPr>
              <w:t>NO</w:t>
            </w:r>
          </w:p>
        </w:tc>
        <w:tc>
          <w:tcPr>
            <w:tcW w:w="7650" w:type="dxa"/>
          </w:tcPr>
          <w:p w14:paraId="5B6EF694" w14:textId="77777777" w:rsidR="00E84515" w:rsidRPr="00C8674E" w:rsidRDefault="00E84515" w:rsidP="00E84515"/>
        </w:tc>
      </w:tr>
      <w:tr w:rsidR="00E84515" w:rsidRPr="00C8674E" w14:paraId="5B6EF699" w14:textId="77777777" w:rsidTr="00D95072">
        <w:trPr>
          <w:trHeight w:val="539"/>
          <w:jc w:val="center"/>
        </w:trPr>
        <w:tc>
          <w:tcPr>
            <w:tcW w:w="720" w:type="dxa"/>
            <w:tcBorders>
              <w:bottom w:val="nil"/>
            </w:tcBorders>
            <w:shd w:val="clear" w:color="auto" w:fill="FFFFFF"/>
            <w:vAlign w:val="center"/>
          </w:tcPr>
          <w:p w14:paraId="5B6EF696" w14:textId="77777777" w:rsidR="00E84515" w:rsidRPr="00C8674E" w:rsidRDefault="00E84515" w:rsidP="00D95072">
            <w:pPr>
              <w:jc w:val="center"/>
              <w:rPr>
                <w:color w:val="FFFFFF"/>
              </w:rPr>
            </w:pPr>
            <w:r w:rsidRPr="00C8674E">
              <w:t>X</w:t>
            </w:r>
          </w:p>
        </w:tc>
        <w:tc>
          <w:tcPr>
            <w:tcW w:w="774" w:type="dxa"/>
            <w:shd w:val="clear" w:color="auto" w:fill="CCCCCC"/>
            <w:vAlign w:val="center"/>
          </w:tcPr>
          <w:p w14:paraId="5B6EF697" w14:textId="77777777" w:rsidR="00E84515" w:rsidRPr="00C8674E" w:rsidRDefault="00E84515" w:rsidP="00D95072">
            <w:pPr>
              <w:jc w:val="center"/>
            </w:pPr>
          </w:p>
        </w:tc>
        <w:tc>
          <w:tcPr>
            <w:tcW w:w="7650" w:type="dxa"/>
            <w:vAlign w:val="center"/>
          </w:tcPr>
          <w:p w14:paraId="5B6EF698" w14:textId="77777777" w:rsidR="00E84515" w:rsidRPr="00C8674E" w:rsidRDefault="00E84515" w:rsidP="005C5B2E">
            <w:pPr>
              <w:ind w:left="216" w:hanging="216"/>
            </w:pPr>
            <w:r w:rsidRPr="00C8674E">
              <w:t>1. Does the action pertain to land or water management or environmental regulation affecting private real property or water rights?</w:t>
            </w:r>
          </w:p>
        </w:tc>
      </w:tr>
      <w:tr w:rsidR="00E84515" w:rsidRPr="00C8674E" w14:paraId="5B6EF69D" w14:textId="77777777" w:rsidTr="00D95072">
        <w:trPr>
          <w:trHeight w:val="332"/>
          <w:jc w:val="center"/>
        </w:trPr>
        <w:tc>
          <w:tcPr>
            <w:tcW w:w="720" w:type="dxa"/>
            <w:shd w:val="pct15" w:color="auto" w:fill="FFFFFF"/>
            <w:vAlign w:val="center"/>
          </w:tcPr>
          <w:p w14:paraId="5B6EF69A" w14:textId="77777777" w:rsidR="00E84515" w:rsidRPr="00C8674E" w:rsidRDefault="00E84515" w:rsidP="00D95072">
            <w:pPr>
              <w:jc w:val="center"/>
            </w:pPr>
          </w:p>
        </w:tc>
        <w:tc>
          <w:tcPr>
            <w:tcW w:w="774" w:type="dxa"/>
            <w:vAlign w:val="center"/>
          </w:tcPr>
          <w:p w14:paraId="5B6EF69B" w14:textId="77777777" w:rsidR="00E84515" w:rsidRPr="00C8674E" w:rsidRDefault="00E84515" w:rsidP="00D95072">
            <w:pPr>
              <w:jc w:val="center"/>
            </w:pPr>
            <w:r w:rsidRPr="00C8674E">
              <w:t>X</w:t>
            </w:r>
          </w:p>
        </w:tc>
        <w:tc>
          <w:tcPr>
            <w:tcW w:w="7650" w:type="dxa"/>
            <w:vAlign w:val="center"/>
          </w:tcPr>
          <w:p w14:paraId="5B6EF69C" w14:textId="77777777" w:rsidR="00E84515" w:rsidRPr="00C8674E" w:rsidRDefault="00E84515" w:rsidP="005C5B2E">
            <w:pPr>
              <w:ind w:left="216" w:hanging="216"/>
            </w:pPr>
            <w:r w:rsidRPr="00C8674E">
              <w:t>2.  Does the action result in either a permanent or indefinite physical occupation of private property?</w:t>
            </w:r>
          </w:p>
        </w:tc>
      </w:tr>
      <w:tr w:rsidR="00E84515" w:rsidRPr="00C8674E" w14:paraId="5B6EF6A1" w14:textId="77777777" w:rsidTr="00D95072">
        <w:trPr>
          <w:trHeight w:val="512"/>
          <w:jc w:val="center"/>
        </w:trPr>
        <w:tc>
          <w:tcPr>
            <w:tcW w:w="720" w:type="dxa"/>
            <w:shd w:val="pct15" w:color="auto" w:fill="FFFFFF"/>
            <w:vAlign w:val="center"/>
          </w:tcPr>
          <w:p w14:paraId="5B6EF69E" w14:textId="77777777" w:rsidR="00E84515" w:rsidRPr="00C8674E" w:rsidRDefault="00E84515" w:rsidP="00D95072">
            <w:pPr>
              <w:jc w:val="center"/>
            </w:pPr>
          </w:p>
        </w:tc>
        <w:tc>
          <w:tcPr>
            <w:tcW w:w="774" w:type="dxa"/>
            <w:vAlign w:val="center"/>
          </w:tcPr>
          <w:p w14:paraId="5B6EF69F" w14:textId="77777777" w:rsidR="00E84515" w:rsidRPr="00C8674E" w:rsidRDefault="00E84515" w:rsidP="00D95072">
            <w:pPr>
              <w:jc w:val="center"/>
            </w:pPr>
            <w:r w:rsidRPr="00C8674E">
              <w:t>X</w:t>
            </w:r>
          </w:p>
        </w:tc>
        <w:tc>
          <w:tcPr>
            <w:tcW w:w="7650" w:type="dxa"/>
            <w:vAlign w:val="center"/>
          </w:tcPr>
          <w:p w14:paraId="5B6EF6A0" w14:textId="77777777" w:rsidR="00E84515" w:rsidRPr="00C8674E" w:rsidRDefault="00E84515" w:rsidP="005C5B2E">
            <w:pPr>
              <w:ind w:left="216" w:hanging="216"/>
            </w:pPr>
            <w:r w:rsidRPr="00C8674E">
              <w:t>3.  Does the action deny a fundamental attribute of ownership? (ex.:  right to exclude others, disposal of property)</w:t>
            </w:r>
          </w:p>
        </w:tc>
      </w:tr>
      <w:tr w:rsidR="00E84515" w:rsidRPr="00C8674E" w14:paraId="5B6EF6A5" w14:textId="77777777" w:rsidTr="00D95072">
        <w:trPr>
          <w:trHeight w:val="314"/>
          <w:jc w:val="center"/>
        </w:trPr>
        <w:tc>
          <w:tcPr>
            <w:tcW w:w="720" w:type="dxa"/>
            <w:shd w:val="pct15" w:color="auto" w:fill="FFFFFF"/>
            <w:vAlign w:val="center"/>
          </w:tcPr>
          <w:p w14:paraId="5B6EF6A2" w14:textId="77777777" w:rsidR="00E84515" w:rsidRPr="00C8674E" w:rsidRDefault="00E84515" w:rsidP="00D95072">
            <w:pPr>
              <w:jc w:val="center"/>
            </w:pPr>
          </w:p>
        </w:tc>
        <w:tc>
          <w:tcPr>
            <w:tcW w:w="774" w:type="dxa"/>
            <w:vAlign w:val="center"/>
          </w:tcPr>
          <w:p w14:paraId="5B6EF6A3" w14:textId="77777777" w:rsidR="00E84515" w:rsidRPr="00C8674E" w:rsidRDefault="00E84515" w:rsidP="00D95072">
            <w:pPr>
              <w:jc w:val="center"/>
            </w:pPr>
            <w:r w:rsidRPr="00C8674E">
              <w:t>X</w:t>
            </w:r>
          </w:p>
        </w:tc>
        <w:tc>
          <w:tcPr>
            <w:tcW w:w="7650" w:type="dxa"/>
            <w:vAlign w:val="center"/>
          </w:tcPr>
          <w:p w14:paraId="5B6EF6A4" w14:textId="77777777" w:rsidR="00E84515" w:rsidRPr="00C8674E" w:rsidRDefault="00E84515" w:rsidP="00E84515">
            <w:r w:rsidRPr="00C8674E">
              <w:t>4.  Does the action deprive the owner of all economically viable uses of the property?</w:t>
            </w:r>
          </w:p>
        </w:tc>
      </w:tr>
      <w:tr w:rsidR="00E84515" w:rsidRPr="00C8674E" w14:paraId="5B6EF6A9" w14:textId="77777777" w:rsidTr="00D95072">
        <w:trPr>
          <w:trHeight w:val="602"/>
          <w:jc w:val="center"/>
        </w:trPr>
        <w:tc>
          <w:tcPr>
            <w:tcW w:w="720" w:type="dxa"/>
            <w:vAlign w:val="center"/>
          </w:tcPr>
          <w:p w14:paraId="5B6EF6A6" w14:textId="77777777" w:rsidR="00E84515" w:rsidRPr="00C8674E" w:rsidRDefault="00E84515" w:rsidP="00D95072">
            <w:pPr>
              <w:jc w:val="center"/>
            </w:pPr>
          </w:p>
        </w:tc>
        <w:tc>
          <w:tcPr>
            <w:tcW w:w="774" w:type="dxa"/>
            <w:vAlign w:val="center"/>
          </w:tcPr>
          <w:p w14:paraId="5B6EF6A7" w14:textId="77777777" w:rsidR="00E84515" w:rsidRPr="00C8674E" w:rsidRDefault="00E84515" w:rsidP="00D95072">
            <w:pPr>
              <w:jc w:val="center"/>
            </w:pPr>
            <w:r w:rsidRPr="00C8674E">
              <w:t>X</w:t>
            </w:r>
          </w:p>
        </w:tc>
        <w:tc>
          <w:tcPr>
            <w:tcW w:w="7650" w:type="dxa"/>
            <w:vAlign w:val="center"/>
          </w:tcPr>
          <w:p w14:paraId="5B6EF6A8" w14:textId="77777777" w:rsidR="00E84515" w:rsidRPr="00C8674E" w:rsidRDefault="00E84515" w:rsidP="005C5B2E">
            <w:pPr>
              <w:ind w:left="216" w:hanging="216"/>
            </w:pPr>
            <w:r w:rsidRPr="00C8674E">
              <w:t>5.  Does the action require a property owner to dedicate a portion of property or to grant an easement? [If no, go to (6)].</w:t>
            </w:r>
          </w:p>
        </w:tc>
      </w:tr>
      <w:tr w:rsidR="00E84515" w:rsidRPr="00C8674E" w14:paraId="5B6EF6AD" w14:textId="77777777" w:rsidTr="00D95072">
        <w:trPr>
          <w:trHeight w:val="494"/>
          <w:jc w:val="center"/>
        </w:trPr>
        <w:tc>
          <w:tcPr>
            <w:tcW w:w="720" w:type="dxa"/>
            <w:vAlign w:val="center"/>
          </w:tcPr>
          <w:p w14:paraId="5B6EF6AA" w14:textId="77777777" w:rsidR="00E84515" w:rsidRPr="00C8674E" w:rsidRDefault="00E84515" w:rsidP="00D95072">
            <w:pPr>
              <w:jc w:val="center"/>
            </w:pPr>
          </w:p>
        </w:tc>
        <w:tc>
          <w:tcPr>
            <w:tcW w:w="774" w:type="dxa"/>
            <w:shd w:val="pct15" w:color="auto" w:fill="FFFFFF"/>
            <w:vAlign w:val="center"/>
          </w:tcPr>
          <w:p w14:paraId="5B6EF6AB" w14:textId="77777777" w:rsidR="00E84515" w:rsidRPr="00C8674E" w:rsidRDefault="00E84515" w:rsidP="00D95072">
            <w:pPr>
              <w:jc w:val="center"/>
            </w:pPr>
          </w:p>
        </w:tc>
        <w:tc>
          <w:tcPr>
            <w:tcW w:w="7650" w:type="dxa"/>
            <w:vAlign w:val="center"/>
          </w:tcPr>
          <w:p w14:paraId="5B6EF6AC" w14:textId="77777777" w:rsidR="00E84515" w:rsidRPr="00C8674E" w:rsidRDefault="00E84515" w:rsidP="005C5B2E">
            <w:pPr>
              <w:ind w:left="216" w:hanging="216"/>
            </w:pPr>
            <w:r w:rsidRPr="00C8674E">
              <w:t>5a. Is there a reasonable, specific connection between the government requirement and legitimate state interests?</w:t>
            </w:r>
          </w:p>
        </w:tc>
      </w:tr>
      <w:tr w:rsidR="00E84515" w:rsidRPr="00C8674E" w14:paraId="5B6EF6B1" w14:textId="77777777" w:rsidTr="00D95072">
        <w:trPr>
          <w:trHeight w:val="575"/>
          <w:jc w:val="center"/>
        </w:trPr>
        <w:tc>
          <w:tcPr>
            <w:tcW w:w="720" w:type="dxa"/>
            <w:vAlign w:val="center"/>
          </w:tcPr>
          <w:p w14:paraId="5B6EF6AE" w14:textId="77777777" w:rsidR="00E84515" w:rsidRPr="00C8674E" w:rsidRDefault="00E84515" w:rsidP="00D95072">
            <w:pPr>
              <w:jc w:val="center"/>
            </w:pPr>
          </w:p>
        </w:tc>
        <w:tc>
          <w:tcPr>
            <w:tcW w:w="774" w:type="dxa"/>
            <w:shd w:val="pct15" w:color="auto" w:fill="FFFFFF"/>
            <w:vAlign w:val="center"/>
          </w:tcPr>
          <w:p w14:paraId="5B6EF6AF" w14:textId="77777777" w:rsidR="00E84515" w:rsidRPr="00C8674E" w:rsidRDefault="00E84515" w:rsidP="00D95072">
            <w:pPr>
              <w:jc w:val="center"/>
            </w:pPr>
          </w:p>
        </w:tc>
        <w:tc>
          <w:tcPr>
            <w:tcW w:w="7650" w:type="dxa"/>
            <w:vAlign w:val="center"/>
          </w:tcPr>
          <w:p w14:paraId="5B6EF6B0" w14:textId="77777777" w:rsidR="00E84515" w:rsidRPr="00C8674E" w:rsidRDefault="00E84515" w:rsidP="005C5B2E">
            <w:pPr>
              <w:ind w:left="216" w:hanging="216"/>
            </w:pPr>
            <w:r w:rsidRPr="00C8674E">
              <w:t>5b. Is the government requirement roughly proportional to the impact of the proposed use of the property?</w:t>
            </w:r>
          </w:p>
        </w:tc>
      </w:tr>
      <w:tr w:rsidR="00E84515" w:rsidRPr="00C8674E" w14:paraId="5B6EF6B5" w14:textId="77777777" w:rsidTr="00D95072">
        <w:trPr>
          <w:trHeight w:val="539"/>
          <w:jc w:val="center"/>
        </w:trPr>
        <w:tc>
          <w:tcPr>
            <w:tcW w:w="720" w:type="dxa"/>
            <w:shd w:val="pct15" w:color="auto" w:fill="FFFFFF"/>
            <w:vAlign w:val="center"/>
          </w:tcPr>
          <w:p w14:paraId="5B6EF6B2" w14:textId="77777777" w:rsidR="00E84515" w:rsidRPr="00C8674E" w:rsidRDefault="00E84515" w:rsidP="00D95072">
            <w:pPr>
              <w:jc w:val="center"/>
            </w:pPr>
          </w:p>
        </w:tc>
        <w:tc>
          <w:tcPr>
            <w:tcW w:w="774" w:type="dxa"/>
            <w:vAlign w:val="center"/>
          </w:tcPr>
          <w:p w14:paraId="5B6EF6B3" w14:textId="77777777" w:rsidR="00E84515" w:rsidRPr="00C8674E" w:rsidRDefault="00E84515" w:rsidP="00D95072">
            <w:pPr>
              <w:jc w:val="center"/>
            </w:pPr>
            <w:r w:rsidRPr="00C8674E">
              <w:t>X</w:t>
            </w:r>
          </w:p>
        </w:tc>
        <w:tc>
          <w:tcPr>
            <w:tcW w:w="7650" w:type="dxa"/>
            <w:vAlign w:val="center"/>
          </w:tcPr>
          <w:p w14:paraId="5B6EF6B4" w14:textId="77777777" w:rsidR="00E84515" w:rsidRPr="00C8674E" w:rsidRDefault="00E84515" w:rsidP="005C5B2E">
            <w:pPr>
              <w:ind w:left="216" w:hanging="216"/>
            </w:pPr>
            <w:r w:rsidRPr="00C8674E">
              <w:t>6.  Does the action have a severe impact on the value of the property?  (consider economic impact, investment-backed expectations, character of government action)</w:t>
            </w:r>
          </w:p>
        </w:tc>
      </w:tr>
      <w:tr w:rsidR="00E84515" w:rsidRPr="00C8674E" w14:paraId="5B6EF6B9" w14:textId="77777777" w:rsidTr="00D95072">
        <w:trPr>
          <w:trHeight w:val="512"/>
          <w:jc w:val="center"/>
        </w:trPr>
        <w:tc>
          <w:tcPr>
            <w:tcW w:w="720" w:type="dxa"/>
            <w:vAlign w:val="center"/>
          </w:tcPr>
          <w:p w14:paraId="5B6EF6B6" w14:textId="77777777" w:rsidR="00E84515" w:rsidRPr="00C8674E" w:rsidRDefault="00E84515" w:rsidP="00D95072">
            <w:pPr>
              <w:jc w:val="center"/>
            </w:pPr>
          </w:p>
        </w:tc>
        <w:tc>
          <w:tcPr>
            <w:tcW w:w="774" w:type="dxa"/>
            <w:vAlign w:val="center"/>
          </w:tcPr>
          <w:p w14:paraId="5B6EF6B7" w14:textId="77777777" w:rsidR="00E84515" w:rsidRPr="00C8674E" w:rsidRDefault="00E84515" w:rsidP="00D95072">
            <w:pPr>
              <w:jc w:val="center"/>
            </w:pPr>
            <w:r w:rsidRPr="00C8674E">
              <w:t>X</w:t>
            </w:r>
          </w:p>
        </w:tc>
        <w:tc>
          <w:tcPr>
            <w:tcW w:w="7650" w:type="dxa"/>
            <w:vAlign w:val="center"/>
          </w:tcPr>
          <w:p w14:paraId="5B6EF6B8" w14:textId="77777777" w:rsidR="00E84515" w:rsidRPr="00C8674E" w:rsidRDefault="00E84515" w:rsidP="005C5B2E">
            <w:pPr>
              <w:ind w:left="216" w:hanging="216"/>
            </w:pPr>
            <w:r w:rsidRPr="00C8674E">
              <w:t>7</w:t>
            </w:r>
            <w:proofErr w:type="gramStart"/>
            <w:r w:rsidRPr="00C8674E">
              <w:t>.  Does</w:t>
            </w:r>
            <w:proofErr w:type="gramEnd"/>
            <w:r w:rsidRPr="00C8674E">
              <w:t xml:space="preserve"> the action damage the property by causing some physical disturbance with respect to the property </w:t>
            </w:r>
            <w:proofErr w:type="gramStart"/>
            <w:r w:rsidRPr="00C8674E">
              <w:t>in excess of</w:t>
            </w:r>
            <w:proofErr w:type="gramEnd"/>
            <w:r w:rsidRPr="00C8674E">
              <w:t xml:space="preserve"> that sustained by the </w:t>
            </w:r>
            <w:proofErr w:type="gramStart"/>
            <w:r w:rsidRPr="00C8674E">
              <w:t>pubic</w:t>
            </w:r>
            <w:proofErr w:type="gramEnd"/>
            <w:r w:rsidRPr="00C8674E">
              <w:t xml:space="preserve"> generally?</w:t>
            </w:r>
          </w:p>
        </w:tc>
      </w:tr>
      <w:tr w:rsidR="00E84515" w:rsidRPr="00C8674E" w14:paraId="5B6EF6BD" w14:textId="77777777" w:rsidTr="00D95072">
        <w:trPr>
          <w:trHeight w:val="314"/>
          <w:jc w:val="center"/>
        </w:trPr>
        <w:tc>
          <w:tcPr>
            <w:tcW w:w="720" w:type="dxa"/>
            <w:shd w:val="pct15" w:color="auto" w:fill="FFFFFF"/>
            <w:vAlign w:val="center"/>
          </w:tcPr>
          <w:p w14:paraId="5B6EF6BA" w14:textId="77777777" w:rsidR="00E84515" w:rsidRPr="00C8674E" w:rsidRDefault="00E84515" w:rsidP="00D95072">
            <w:pPr>
              <w:jc w:val="center"/>
            </w:pPr>
          </w:p>
        </w:tc>
        <w:tc>
          <w:tcPr>
            <w:tcW w:w="774" w:type="dxa"/>
            <w:vAlign w:val="center"/>
          </w:tcPr>
          <w:p w14:paraId="5B6EF6BB" w14:textId="77777777" w:rsidR="00E84515" w:rsidRPr="00C8674E" w:rsidRDefault="00E84515" w:rsidP="00D95072">
            <w:pPr>
              <w:jc w:val="center"/>
            </w:pPr>
            <w:r w:rsidRPr="00C8674E">
              <w:t>X</w:t>
            </w:r>
          </w:p>
        </w:tc>
        <w:tc>
          <w:tcPr>
            <w:tcW w:w="7650" w:type="dxa"/>
            <w:vAlign w:val="center"/>
          </w:tcPr>
          <w:p w14:paraId="5B6EF6BC" w14:textId="77777777" w:rsidR="00E84515" w:rsidRPr="00C8674E" w:rsidRDefault="00E84515" w:rsidP="00E84515">
            <w:r w:rsidRPr="00C8674E">
              <w:t xml:space="preserve">7a. Is the impact of government action direct, peculiar, and significant?  </w:t>
            </w:r>
          </w:p>
        </w:tc>
      </w:tr>
      <w:tr w:rsidR="00E84515" w:rsidRPr="00C8674E" w14:paraId="5B6EF6C1" w14:textId="77777777" w:rsidTr="00D95072">
        <w:trPr>
          <w:trHeight w:val="602"/>
          <w:jc w:val="center"/>
        </w:trPr>
        <w:tc>
          <w:tcPr>
            <w:tcW w:w="720" w:type="dxa"/>
            <w:shd w:val="pct15" w:color="auto" w:fill="FFFFFF"/>
            <w:vAlign w:val="center"/>
          </w:tcPr>
          <w:p w14:paraId="5B6EF6BE" w14:textId="77777777" w:rsidR="00E84515" w:rsidRPr="00C8674E" w:rsidRDefault="00E84515" w:rsidP="00D95072">
            <w:pPr>
              <w:jc w:val="center"/>
            </w:pPr>
          </w:p>
        </w:tc>
        <w:tc>
          <w:tcPr>
            <w:tcW w:w="774" w:type="dxa"/>
            <w:vAlign w:val="center"/>
          </w:tcPr>
          <w:p w14:paraId="5B6EF6BF" w14:textId="77777777" w:rsidR="00E84515" w:rsidRPr="00C8674E" w:rsidRDefault="00E84515" w:rsidP="00D95072">
            <w:pPr>
              <w:jc w:val="center"/>
            </w:pPr>
            <w:r w:rsidRPr="00C8674E">
              <w:t>X</w:t>
            </w:r>
          </w:p>
        </w:tc>
        <w:tc>
          <w:tcPr>
            <w:tcW w:w="7650" w:type="dxa"/>
            <w:vAlign w:val="center"/>
          </w:tcPr>
          <w:p w14:paraId="5B6EF6C0" w14:textId="77777777" w:rsidR="00E84515" w:rsidRPr="00C8674E" w:rsidRDefault="00E84515" w:rsidP="005C5B2E">
            <w:pPr>
              <w:ind w:left="216" w:hanging="216"/>
            </w:pPr>
            <w:r w:rsidRPr="00C8674E">
              <w:t>7b. Has government action resulted in the property becoming practically inaccessible, waterlogged or flooded?</w:t>
            </w:r>
          </w:p>
        </w:tc>
      </w:tr>
      <w:tr w:rsidR="00E84515" w:rsidRPr="00C8674E" w14:paraId="5B6EF6C5" w14:textId="77777777" w:rsidTr="00D95072">
        <w:trPr>
          <w:trHeight w:val="584"/>
          <w:jc w:val="center"/>
        </w:trPr>
        <w:tc>
          <w:tcPr>
            <w:tcW w:w="720" w:type="dxa"/>
            <w:shd w:val="pct15" w:color="auto" w:fill="FFFFFF"/>
            <w:vAlign w:val="center"/>
          </w:tcPr>
          <w:p w14:paraId="5B6EF6C2" w14:textId="77777777" w:rsidR="00E84515" w:rsidRPr="00C8674E" w:rsidRDefault="00E84515" w:rsidP="00D95072">
            <w:pPr>
              <w:jc w:val="center"/>
            </w:pPr>
          </w:p>
        </w:tc>
        <w:tc>
          <w:tcPr>
            <w:tcW w:w="774" w:type="dxa"/>
            <w:vAlign w:val="center"/>
          </w:tcPr>
          <w:p w14:paraId="5B6EF6C3" w14:textId="77777777" w:rsidR="00E84515" w:rsidRPr="00C8674E" w:rsidRDefault="00E84515" w:rsidP="00D95072">
            <w:pPr>
              <w:jc w:val="center"/>
            </w:pPr>
            <w:r w:rsidRPr="00C8674E">
              <w:t>X</w:t>
            </w:r>
          </w:p>
        </w:tc>
        <w:tc>
          <w:tcPr>
            <w:tcW w:w="7650" w:type="dxa"/>
            <w:vAlign w:val="center"/>
          </w:tcPr>
          <w:p w14:paraId="5B6EF6C4" w14:textId="77777777" w:rsidR="00E84515" w:rsidRPr="00C8674E" w:rsidRDefault="00E84515" w:rsidP="005C5B2E">
            <w:pPr>
              <w:ind w:left="216" w:hanging="216"/>
            </w:pPr>
            <w:r w:rsidRPr="00C8674E">
              <w:t>7c. Has government action lowered property values by more than 30% and necessitated the physical taking of adjacent property or property across a public way from the property in question?</w:t>
            </w:r>
          </w:p>
        </w:tc>
      </w:tr>
      <w:tr w:rsidR="00E84515" w:rsidRPr="00C8674E" w14:paraId="5B6EF6C9" w14:textId="77777777" w:rsidTr="00D95072">
        <w:trPr>
          <w:trHeight w:val="845"/>
          <w:jc w:val="center"/>
        </w:trPr>
        <w:tc>
          <w:tcPr>
            <w:tcW w:w="720" w:type="dxa"/>
            <w:vAlign w:val="center"/>
          </w:tcPr>
          <w:p w14:paraId="5B6EF6C6" w14:textId="77777777" w:rsidR="00E84515" w:rsidRPr="00C8674E" w:rsidRDefault="00E84515" w:rsidP="00D95072">
            <w:pPr>
              <w:jc w:val="center"/>
            </w:pPr>
          </w:p>
        </w:tc>
        <w:tc>
          <w:tcPr>
            <w:tcW w:w="774" w:type="dxa"/>
            <w:vAlign w:val="center"/>
          </w:tcPr>
          <w:p w14:paraId="5B6EF6C7" w14:textId="77777777" w:rsidR="00E84515" w:rsidRPr="00C8674E" w:rsidRDefault="00E84515" w:rsidP="00D95072">
            <w:pPr>
              <w:jc w:val="center"/>
            </w:pPr>
            <w:r w:rsidRPr="00C8674E">
              <w:t>X</w:t>
            </w:r>
          </w:p>
        </w:tc>
        <w:tc>
          <w:tcPr>
            <w:tcW w:w="7650" w:type="dxa"/>
            <w:vAlign w:val="center"/>
          </w:tcPr>
          <w:p w14:paraId="5B6EF6C8" w14:textId="77777777" w:rsidR="00E84515" w:rsidRPr="00C8674E" w:rsidRDefault="00E84515" w:rsidP="00E84515">
            <w:r w:rsidRPr="00C8674E">
              <w:t xml:space="preserve">Takings or damaging implications?  (Taking or damaging implications exist if YES is checked in response to question 1 </w:t>
            </w:r>
            <w:proofErr w:type="gramStart"/>
            <w:r w:rsidRPr="00C8674E">
              <w:t>and also</w:t>
            </w:r>
            <w:proofErr w:type="gramEnd"/>
            <w:r w:rsidRPr="00C8674E">
              <w:t xml:space="preserve"> to any one or more of the following questions</w:t>
            </w:r>
            <w:proofErr w:type="gramStart"/>
            <w:r w:rsidRPr="00C8674E">
              <w:t>:  2</w:t>
            </w:r>
            <w:proofErr w:type="gramEnd"/>
            <w:r w:rsidRPr="00C8674E">
              <w:t>, 3, 4, 6, 7a, 7b, 7c; or if NO is checked in response to questions 5a or 5b; the shaded areas)</w:t>
            </w:r>
          </w:p>
        </w:tc>
      </w:tr>
    </w:tbl>
    <w:p w14:paraId="5B6EF6CA" w14:textId="77777777" w:rsidR="00E84515" w:rsidRPr="00C8674E" w:rsidRDefault="00E84515" w:rsidP="008B1BAD">
      <w:pPr>
        <w:rPr>
          <w:szCs w:val="24"/>
        </w:rPr>
      </w:pPr>
    </w:p>
    <w:p w14:paraId="5B6EF6CC" w14:textId="283B91DD" w:rsidR="006035AB" w:rsidRDefault="00E84515" w:rsidP="00D95072">
      <w:pPr>
        <w:ind w:left="540"/>
        <w:rPr>
          <w:szCs w:val="24"/>
        </w:rPr>
      </w:pPr>
      <w:r w:rsidRPr="00C8674E">
        <w:rPr>
          <w:szCs w:val="24"/>
        </w:rPr>
        <w:t xml:space="preserve">Based on this analysis, </w:t>
      </w:r>
      <w:r w:rsidR="00D4457C">
        <w:rPr>
          <w:szCs w:val="24"/>
        </w:rPr>
        <w:t>DEQ</w:t>
      </w:r>
      <w:r w:rsidRPr="00C8674E">
        <w:rPr>
          <w:szCs w:val="24"/>
        </w:rPr>
        <w:t xml:space="preserve"> determined there are no taking or damaging implications associated with this permit action.</w:t>
      </w:r>
    </w:p>
    <w:p w14:paraId="1057A19B" w14:textId="77777777" w:rsidR="00AA3022" w:rsidRDefault="00AA3022" w:rsidP="00D95072">
      <w:pPr>
        <w:ind w:left="540"/>
        <w:rPr>
          <w:szCs w:val="24"/>
        </w:rPr>
      </w:pPr>
    </w:p>
    <w:p w14:paraId="5B6EF6CD" w14:textId="77777777" w:rsidR="005A2FDF" w:rsidRPr="006035AB" w:rsidRDefault="005A2FDF" w:rsidP="00904E0C">
      <w:pPr>
        <w:pStyle w:val="Heading2"/>
        <w:numPr>
          <w:ilvl w:val="0"/>
          <w:numId w:val="7"/>
        </w:numPr>
      </w:pPr>
      <w:bookmarkStart w:id="8" w:name="_Toc14435656"/>
      <w:r w:rsidRPr="00C8674E">
        <w:t>Compliance Designation</w:t>
      </w:r>
      <w:bookmarkEnd w:id="8"/>
    </w:p>
    <w:p w14:paraId="5B6EF6CE" w14:textId="77777777" w:rsidR="002612D6" w:rsidRPr="00C8674E" w:rsidRDefault="002612D6">
      <w:pPr>
        <w:rPr>
          <w:szCs w:val="24"/>
        </w:rPr>
      </w:pPr>
    </w:p>
    <w:p w14:paraId="5B6EF6CF" w14:textId="0C956CB2" w:rsidR="00C8674E" w:rsidRDefault="00D4457C" w:rsidP="00C22E15">
      <w:pPr>
        <w:ind w:left="540"/>
      </w:pPr>
      <w:r>
        <w:rPr>
          <w:szCs w:val="24"/>
        </w:rPr>
        <w:t>DEQ</w:t>
      </w:r>
      <w:r w:rsidR="00296429">
        <w:rPr>
          <w:szCs w:val="24"/>
        </w:rPr>
        <w:t xml:space="preserve"> last completed a Full Compliance Evaluation at </w:t>
      </w:r>
      <w:r w:rsidR="00744D2A">
        <w:rPr>
          <w:szCs w:val="24"/>
        </w:rPr>
        <w:t xml:space="preserve">the </w:t>
      </w:r>
      <w:r w:rsidR="00CE7C7F" w:rsidRPr="00C72EA4">
        <w:rPr>
          <w:szCs w:val="24"/>
        </w:rPr>
        <w:t xml:space="preserve">WSC Billings Facility on </w:t>
      </w:r>
      <w:r w:rsidR="00977AB3">
        <w:rPr>
          <w:szCs w:val="24"/>
        </w:rPr>
        <w:t>September 16, 2025,</w:t>
      </w:r>
      <w:r w:rsidR="00CC0738">
        <w:rPr>
          <w:szCs w:val="24"/>
        </w:rPr>
        <w:t xml:space="preserve"> which covered the period from </w:t>
      </w:r>
      <w:r w:rsidR="00977AB3">
        <w:rPr>
          <w:szCs w:val="24"/>
        </w:rPr>
        <w:t>August 29, 2023</w:t>
      </w:r>
      <w:r w:rsidR="00DB2279">
        <w:rPr>
          <w:szCs w:val="24"/>
        </w:rPr>
        <w:t>,</w:t>
      </w:r>
      <w:r w:rsidR="00CC0738">
        <w:rPr>
          <w:szCs w:val="24"/>
        </w:rPr>
        <w:t xml:space="preserve"> through </w:t>
      </w:r>
      <w:r w:rsidR="00977AB3">
        <w:rPr>
          <w:szCs w:val="24"/>
        </w:rPr>
        <w:t>August 26</w:t>
      </w:r>
      <w:r w:rsidR="00690EAE">
        <w:rPr>
          <w:szCs w:val="24"/>
        </w:rPr>
        <w:t>, 202</w:t>
      </w:r>
      <w:r w:rsidR="00977AB3">
        <w:rPr>
          <w:szCs w:val="24"/>
        </w:rPr>
        <w:t>5</w:t>
      </w:r>
      <w:r w:rsidR="002612D6" w:rsidRPr="00C72EA4">
        <w:rPr>
          <w:szCs w:val="24"/>
        </w:rPr>
        <w:t>.</w:t>
      </w:r>
      <w:r w:rsidR="002612D6" w:rsidRPr="00C8674E">
        <w:rPr>
          <w:szCs w:val="24"/>
        </w:rPr>
        <w:t xml:space="preserve">  </w:t>
      </w:r>
      <w:r w:rsidR="00690EAE" w:rsidRPr="00690EAE">
        <w:rPr>
          <w:szCs w:val="24"/>
        </w:rPr>
        <w:t xml:space="preserve">Based upon the information gathered at the time of the facility inspection conducted on </w:t>
      </w:r>
      <w:r w:rsidR="00977AB3">
        <w:rPr>
          <w:szCs w:val="24"/>
        </w:rPr>
        <w:t>9/16/2025</w:t>
      </w:r>
      <w:r w:rsidR="00690EAE" w:rsidRPr="00690EAE">
        <w:rPr>
          <w:szCs w:val="24"/>
        </w:rPr>
        <w:t xml:space="preserve">, the observations made during the inspection, the review of reports and compliance certifications submitted by WSC during the review period, DEQ believes that WSC </w:t>
      </w:r>
      <w:proofErr w:type="gramStart"/>
      <w:r w:rsidR="00690EAE" w:rsidRPr="00690EAE">
        <w:rPr>
          <w:szCs w:val="24"/>
        </w:rPr>
        <w:t>is in compliance with</w:t>
      </w:r>
      <w:proofErr w:type="gramEnd"/>
      <w:r w:rsidR="00690EAE" w:rsidRPr="00690EAE">
        <w:rPr>
          <w:szCs w:val="24"/>
        </w:rPr>
        <w:t xml:space="preserve"> the applicable requirements for the period covered.</w:t>
      </w:r>
    </w:p>
    <w:p w14:paraId="5B6EF6D0" w14:textId="77777777" w:rsidR="00C8674E" w:rsidRDefault="00C8674E" w:rsidP="006035AB">
      <w:pPr>
        <w:rPr>
          <w:b/>
          <w:szCs w:val="24"/>
        </w:rPr>
      </w:pPr>
      <w:r>
        <w:rPr>
          <w:szCs w:val="24"/>
        </w:rPr>
        <w:br w:type="page"/>
      </w:r>
    </w:p>
    <w:p w14:paraId="5B6EF6D1" w14:textId="77777777" w:rsidR="005A2FDF" w:rsidRPr="00C8674E" w:rsidRDefault="00C8674E" w:rsidP="00C8674E">
      <w:pPr>
        <w:pStyle w:val="Heading1"/>
        <w:keepNext w:val="0"/>
        <w:numPr>
          <w:ilvl w:val="0"/>
          <w:numId w:val="0"/>
        </w:numPr>
        <w:ind w:left="540"/>
        <w:rPr>
          <w:szCs w:val="24"/>
        </w:rPr>
      </w:pPr>
      <w:bookmarkStart w:id="9" w:name="_Toc14435657"/>
      <w:r w:rsidRPr="00C8674E">
        <w:rPr>
          <w:szCs w:val="24"/>
        </w:rPr>
        <w:lastRenderedPageBreak/>
        <w:t>SECTION II</w:t>
      </w:r>
      <w:r>
        <w:rPr>
          <w:szCs w:val="24"/>
        </w:rPr>
        <w:t xml:space="preserve">.  </w:t>
      </w:r>
      <w:r w:rsidR="005A2FDF" w:rsidRPr="00C8674E">
        <w:rPr>
          <w:szCs w:val="24"/>
        </w:rPr>
        <w:t>SUMMARY OF EMISSION</w:t>
      </w:r>
      <w:r w:rsidR="00CE7C7F" w:rsidRPr="00C8674E">
        <w:rPr>
          <w:szCs w:val="24"/>
        </w:rPr>
        <w:t>S</w:t>
      </w:r>
      <w:r w:rsidR="005A2FDF" w:rsidRPr="00C8674E">
        <w:rPr>
          <w:szCs w:val="24"/>
        </w:rPr>
        <w:t xml:space="preserve"> UNITS</w:t>
      </w:r>
      <w:bookmarkEnd w:id="9"/>
    </w:p>
    <w:p w14:paraId="5B6EF6D2" w14:textId="77777777" w:rsidR="005A2FDF" w:rsidRPr="00C8674E" w:rsidRDefault="005A2FDF">
      <w:pPr>
        <w:rPr>
          <w:szCs w:val="24"/>
        </w:rPr>
      </w:pPr>
    </w:p>
    <w:p w14:paraId="5B6EF6D3" w14:textId="77777777" w:rsidR="005A2FDF" w:rsidRPr="006035AB" w:rsidRDefault="005A2FDF">
      <w:pPr>
        <w:pStyle w:val="Heading2"/>
        <w:numPr>
          <w:ilvl w:val="0"/>
          <w:numId w:val="13"/>
        </w:numPr>
      </w:pPr>
      <w:bookmarkStart w:id="10" w:name="_Toc14435658"/>
      <w:r w:rsidRPr="00C8674E">
        <w:t xml:space="preserve">Facility Process </w:t>
      </w:r>
      <w:r w:rsidRPr="006035AB">
        <w:t>Description</w:t>
      </w:r>
      <w:bookmarkEnd w:id="10"/>
    </w:p>
    <w:p w14:paraId="5B6EF6D4" w14:textId="77777777" w:rsidR="005A2FDF" w:rsidRPr="00C8674E" w:rsidRDefault="005A2FDF">
      <w:pPr>
        <w:rPr>
          <w:szCs w:val="24"/>
        </w:rPr>
      </w:pPr>
    </w:p>
    <w:p w14:paraId="5B6EF6D5" w14:textId="3D0719F7" w:rsidR="005A2FDF" w:rsidRPr="00C8674E" w:rsidRDefault="005A2FDF">
      <w:pPr>
        <w:ind w:left="360"/>
        <w:rPr>
          <w:szCs w:val="24"/>
        </w:rPr>
      </w:pPr>
      <w:r w:rsidRPr="00C8674E">
        <w:rPr>
          <w:szCs w:val="24"/>
        </w:rPr>
        <w:t xml:space="preserve">This facility processes sugar beets </w:t>
      </w:r>
      <w:proofErr w:type="gramStart"/>
      <w:r w:rsidRPr="00C8674E">
        <w:rPr>
          <w:szCs w:val="24"/>
        </w:rPr>
        <w:t>for the production of</w:t>
      </w:r>
      <w:proofErr w:type="gramEnd"/>
      <w:r w:rsidRPr="00C8674E">
        <w:rPr>
          <w:szCs w:val="24"/>
        </w:rPr>
        <w:t xml:space="preserve"> sugar.  Sugar beets are received at the plant by truck at which time they are screened and washed to remove dirt and rocks.  The beets are then either fed into the plant for processing or stockpiled to be processed </w:t>
      </w:r>
      <w:proofErr w:type="gramStart"/>
      <w:r w:rsidRPr="00C8674E">
        <w:rPr>
          <w:szCs w:val="24"/>
        </w:rPr>
        <w:t>at a later time</w:t>
      </w:r>
      <w:proofErr w:type="gramEnd"/>
      <w:r w:rsidRPr="00C8674E">
        <w:rPr>
          <w:szCs w:val="24"/>
        </w:rPr>
        <w:t xml:space="preserve">.  Overall, processing of the beets begins by slicing them into long thin strips, referred to as </w:t>
      </w:r>
      <w:r w:rsidR="002612D6" w:rsidRPr="00C8674E">
        <w:rPr>
          <w:szCs w:val="24"/>
        </w:rPr>
        <w:t>“</w:t>
      </w:r>
      <w:r w:rsidRPr="00C8674E">
        <w:rPr>
          <w:szCs w:val="24"/>
        </w:rPr>
        <w:t>cossettes</w:t>
      </w:r>
      <w:r w:rsidR="002612D6" w:rsidRPr="00C8674E">
        <w:rPr>
          <w:szCs w:val="24"/>
        </w:rPr>
        <w:t>”</w:t>
      </w:r>
      <w:r w:rsidRPr="00C8674E">
        <w:rPr>
          <w:szCs w:val="24"/>
        </w:rPr>
        <w:t xml:space="preserve">.  The cossettes are conveyed into a diffuser where the beet sugar is removed by water and heat.  The juice goes through several purifying stages and </w:t>
      </w:r>
      <w:r w:rsidR="00EB5D17">
        <w:rPr>
          <w:szCs w:val="24"/>
        </w:rPr>
        <w:t xml:space="preserve">is </w:t>
      </w:r>
      <w:r w:rsidRPr="00C8674E">
        <w:rPr>
          <w:szCs w:val="24"/>
        </w:rPr>
        <w:t xml:space="preserve">sent to the evaporators that remove the liquids and allow crystallization.  The two by-products of this process are molasses and pulp, which are </w:t>
      </w:r>
      <w:proofErr w:type="gramStart"/>
      <w:r w:rsidRPr="00C8674E">
        <w:rPr>
          <w:szCs w:val="24"/>
        </w:rPr>
        <w:t>mixed together</w:t>
      </w:r>
      <w:proofErr w:type="gramEnd"/>
      <w:r w:rsidRPr="00C8674E">
        <w:rPr>
          <w:szCs w:val="24"/>
        </w:rPr>
        <w:t xml:space="preserve"> to create pellets to be sold as livestock feed.  Shipment of the product from the facility is achieved by both rail and truck.</w:t>
      </w:r>
    </w:p>
    <w:p w14:paraId="5B6EF6D6" w14:textId="77777777" w:rsidR="005A2FDF" w:rsidRPr="00C8674E" w:rsidRDefault="005A2FDF">
      <w:pPr>
        <w:rPr>
          <w:szCs w:val="24"/>
        </w:rPr>
      </w:pPr>
    </w:p>
    <w:p w14:paraId="5B6EF6D7" w14:textId="77777777" w:rsidR="005A2FDF" w:rsidRPr="006035AB" w:rsidRDefault="005A2FDF">
      <w:pPr>
        <w:pStyle w:val="Heading2"/>
        <w:numPr>
          <w:ilvl w:val="0"/>
          <w:numId w:val="13"/>
        </w:numPr>
      </w:pPr>
      <w:bookmarkStart w:id="11" w:name="_Toc14435659"/>
      <w:r w:rsidRPr="00C8674E">
        <w:t>Emission</w:t>
      </w:r>
      <w:r w:rsidR="00CE7C7F" w:rsidRPr="00C8674E">
        <w:t>s</w:t>
      </w:r>
      <w:r w:rsidRPr="00C8674E">
        <w:t xml:space="preserve"> Units and Pollution Control Device </w:t>
      </w:r>
      <w:r w:rsidRPr="006035AB">
        <w:t>Identification</w:t>
      </w:r>
      <w:bookmarkEnd w:id="11"/>
    </w:p>
    <w:p w14:paraId="5B6EF6D8" w14:textId="77777777" w:rsidR="005A2FDF" w:rsidRPr="00C8674E" w:rsidRDefault="005A2FDF">
      <w:pPr>
        <w:rPr>
          <w:szCs w:val="24"/>
        </w:rPr>
      </w:pPr>
    </w:p>
    <w:p w14:paraId="5B6EF6D9" w14:textId="2DD39F8C" w:rsidR="005A2FDF" w:rsidRPr="00C8674E" w:rsidRDefault="005A2FDF">
      <w:pPr>
        <w:ind w:left="360"/>
        <w:rPr>
          <w:szCs w:val="24"/>
        </w:rPr>
      </w:pPr>
      <w:r w:rsidRPr="00C8674E">
        <w:rPr>
          <w:szCs w:val="24"/>
        </w:rPr>
        <w:t xml:space="preserve">The </w:t>
      </w:r>
      <w:r w:rsidR="00FF3085" w:rsidRPr="00C8674E">
        <w:rPr>
          <w:szCs w:val="24"/>
        </w:rPr>
        <w:t>emissions</w:t>
      </w:r>
      <w:r w:rsidRPr="00C8674E">
        <w:rPr>
          <w:szCs w:val="24"/>
        </w:rPr>
        <w:t xml:space="preserve"> units regulated by </w:t>
      </w:r>
      <w:r w:rsidR="007C1D74">
        <w:rPr>
          <w:szCs w:val="24"/>
        </w:rPr>
        <w:t xml:space="preserve">Operating </w:t>
      </w:r>
      <w:r w:rsidRPr="00C8674E">
        <w:rPr>
          <w:szCs w:val="24"/>
        </w:rPr>
        <w:t>Permit #OP2912-</w:t>
      </w:r>
      <w:r w:rsidR="00977AB3">
        <w:rPr>
          <w:szCs w:val="24"/>
        </w:rPr>
        <w:t>10</w:t>
      </w:r>
      <w:r w:rsidR="00D95072" w:rsidRPr="00C8674E">
        <w:rPr>
          <w:szCs w:val="24"/>
        </w:rPr>
        <w:t xml:space="preserve"> </w:t>
      </w:r>
      <w:r w:rsidRPr="00C8674E">
        <w:rPr>
          <w:szCs w:val="24"/>
        </w:rPr>
        <w:t>and the pollution control device utilized by each emission</w:t>
      </w:r>
      <w:r w:rsidR="00CE7C7F" w:rsidRPr="00C8674E">
        <w:rPr>
          <w:szCs w:val="24"/>
        </w:rPr>
        <w:t>s</w:t>
      </w:r>
      <w:r w:rsidRPr="00C8674E">
        <w:rPr>
          <w:szCs w:val="24"/>
        </w:rPr>
        <w:t xml:space="preserve"> unit are summarized in the following table:</w:t>
      </w:r>
    </w:p>
    <w:p w14:paraId="5B6EF6DA" w14:textId="77777777" w:rsidR="005A2FDF" w:rsidRPr="00C8674E" w:rsidRDefault="005A2FDF">
      <w:pPr>
        <w:rPr>
          <w:szCs w:val="24"/>
        </w:rPr>
      </w:pPr>
    </w:p>
    <w:tbl>
      <w:tblPr>
        <w:tblW w:w="9373"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92"/>
        <w:gridCol w:w="4362"/>
        <w:gridCol w:w="3619"/>
      </w:tblGrid>
      <w:tr w:rsidR="005A2FDF" w:rsidRPr="00C8674E" w14:paraId="5B6EF6DE" w14:textId="77777777" w:rsidTr="00985847">
        <w:trPr>
          <w:trHeight w:val="519"/>
        </w:trPr>
        <w:tc>
          <w:tcPr>
            <w:tcW w:w="1392" w:type="dxa"/>
            <w:tcBorders>
              <w:top w:val="double" w:sz="4" w:space="0" w:color="auto"/>
              <w:left w:val="double" w:sz="4" w:space="0" w:color="auto"/>
              <w:bottom w:val="double" w:sz="4" w:space="0" w:color="auto"/>
            </w:tcBorders>
            <w:shd w:val="clear" w:color="auto" w:fill="FFFFFF"/>
            <w:vAlign w:val="center"/>
          </w:tcPr>
          <w:p w14:paraId="5B6EF6DB" w14:textId="77777777" w:rsidR="005A2FDF" w:rsidRPr="00E15210" w:rsidRDefault="005A2FDF">
            <w:pPr>
              <w:jc w:val="center"/>
              <w:rPr>
                <w:b/>
                <w:sz w:val="22"/>
                <w:szCs w:val="22"/>
              </w:rPr>
            </w:pPr>
            <w:r w:rsidRPr="00E15210">
              <w:rPr>
                <w:b/>
                <w:sz w:val="22"/>
                <w:szCs w:val="22"/>
              </w:rPr>
              <w:t>Emissions Unit ID</w:t>
            </w:r>
          </w:p>
        </w:tc>
        <w:tc>
          <w:tcPr>
            <w:tcW w:w="4362" w:type="dxa"/>
            <w:tcBorders>
              <w:top w:val="double" w:sz="4" w:space="0" w:color="auto"/>
              <w:bottom w:val="double" w:sz="4" w:space="0" w:color="auto"/>
            </w:tcBorders>
            <w:shd w:val="clear" w:color="auto" w:fill="FFFFFF"/>
            <w:vAlign w:val="center"/>
          </w:tcPr>
          <w:p w14:paraId="5B6EF6DC" w14:textId="77777777" w:rsidR="005A2FDF" w:rsidRPr="00E15210" w:rsidRDefault="005A2FDF">
            <w:pPr>
              <w:jc w:val="center"/>
              <w:rPr>
                <w:b/>
                <w:sz w:val="22"/>
                <w:szCs w:val="22"/>
              </w:rPr>
            </w:pPr>
            <w:r w:rsidRPr="00E15210">
              <w:rPr>
                <w:b/>
                <w:sz w:val="22"/>
                <w:szCs w:val="22"/>
              </w:rPr>
              <w:t>Description</w:t>
            </w:r>
          </w:p>
        </w:tc>
        <w:tc>
          <w:tcPr>
            <w:tcW w:w="3619" w:type="dxa"/>
            <w:tcBorders>
              <w:top w:val="double" w:sz="4" w:space="0" w:color="auto"/>
              <w:bottom w:val="double" w:sz="4" w:space="0" w:color="auto"/>
              <w:right w:val="double" w:sz="4" w:space="0" w:color="auto"/>
            </w:tcBorders>
            <w:shd w:val="clear" w:color="auto" w:fill="FFFFFF"/>
            <w:vAlign w:val="center"/>
          </w:tcPr>
          <w:p w14:paraId="5B6EF6DD" w14:textId="77777777" w:rsidR="005A2FDF" w:rsidRPr="00E15210" w:rsidRDefault="005A2FDF">
            <w:pPr>
              <w:jc w:val="center"/>
              <w:rPr>
                <w:b/>
                <w:sz w:val="22"/>
                <w:szCs w:val="22"/>
              </w:rPr>
            </w:pPr>
            <w:r w:rsidRPr="00E15210">
              <w:rPr>
                <w:b/>
                <w:sz w:val="22"/>
                <w:szCs w:val="22"/>
              </w:rPr>
              <w:t>Pollution Control Device/Practice</w:t>
            </w:r>
          </w:p>
        </w:tc>
      </w:tr>
      <w:tr w:rsidR="005A2FDF" w:rsidRPr="00C8674E" w14:paraId="5B6EF6E2" w14:textId="77777777" w:rsidTr="00985847">
        <w:trPr>
          <w:trHeight w:val="262"/>
        </w:trPr>
        <w:tc>
          <w:tcPr>
            <w:tcW w:w="1392" w:type="dxa"/>
            <w:tcBorders>
              <w:top w:val="double" w:sz="4" w:space="0" w:color="auto"/>
              <w:left w:val="double" w:sz="4" w:space="0" w:color="auto"/>
            </w:tcBorders>
            <w:vAlign w:val="center"/>
          </w:tcPr>
          <w:p w14:paraId="5B6EF6DF" w14:textId="77777777" w:rsidR="005A2FDF" w:rsidRPr="00E15210" w:rsidRDefault="005A2FDF">
            <w:pPr>
              <w:jc w:val="center"/>
              <w:rPr>
                <w:sz w:val="22"/>
                <w:szCs w:val="22"/>
              </w:rPr>
            </w:pPr>
            <w:r w:rsidRPr="00E15210">
              <w:rPr>
                <w:sz w:val="22"/>
                <w:szCs w:val="22"/>
              </w:rPr>
              <w:t>EU001</w:t>
            </w:r>
          </w:p>
        </w:tc>
        <w:tc>
          <w:tcPr>
            <w:tcW w:w="4362" w:type="dxa"/>
            <w:tcBorders>
              <w:top w:val="double" w:sz="4" w:space="0" w:color="auto"/>
            </w:tcBorders>
            <w:vAlign w:val="center"/>
          </w:tcPr>
          <w:p w14:paraId="5B6EF6E0" w14:textId="77777777" w:rsidR="005A2FDF" w:rsidRPr="00E15210" w:rsidRDefault="00897EC5">
            <w:pPr>
              <w:rPr>
                <w:sz w:val="22"/>
                <w:szCs w:val="22"/>
              </w:rPr>
            </w:pPr>
            <w:r w:rsidRPr="00E15210">
              <w:rPr>
                <w:sz w:val="22"/>
                <w:szCs w:val="22"/>
              </w:rPr>
              <w:t xml:space="preserve">Natural Gas </w:t>
            </w:r>
            <w:r w:rsidR="005A2FDF" w:rsidRPr="00E15210">
              <w:rPr>
                <w:sz w:val="22"/>
                <w:szCs w:val="22"/>
              </w:rPr>
              <w:t>Erie City Boiler #1</w:t>
            </w:r>
            <w:r w:rsidRPr="00E15210">
              <w:rPr>
                <w:sz w:val="22"/>
                <w:szCs w:val="22"/>
              </w:rPr>
              <w:t>(132 MMBtu/hr)</w:t>
            </w:r>
          </w:p>
        </w:tc>
        <w:tc>
          <w:tcPr>
            <w:tcW w:w="3619" w:type="dxa"/>
            <w:tcBorders>
              <w:top w:val="double" w:sz="4" w:space="0" w:color="auto"/>
              <w:right w:val="double" w:sz="4" w:space="0" w:color="auto"/>
            </w:tcBorders>
            <w:vAlign w:val="center"/>
          </w:tcPr>
          <w:p w14:paraId="5B6EF6E1" w14:textId="77777777" w:rsidR="005A2FDF" w:rsidRPr="00E15210" w:rsidRDefault="005A2FDF">
            <w:pPr>
              <w:rPr>
                <w:sz w:val="22"/>
                <w:szCs w:val="22"/>
              </w:rPr>
            </w:pPr>
            <w:r w:rsidRPr="00E15210">
              <w:rPr>
                <w:sz w:val="22"/>
                <w:szCs w:val="22"/>
              </w:rPr>
              <w:t>Natural Gas Fuel Only</w:t>
            </w:r>
          </w:p>
        </w:tc>
      </w:tr>
      <w:tr w:rsidR="005A2FDF" w:rsidRPr="00C8674E" w14:paraId="5B6EF6E7" w14:textId="77777777" w:rsidTr="00985847">
        <w:trPr>
          <w:trHeight w:val="488"/>
        </w:trPr>
        <w:tc>
          <w:tcPr>
            <w:tcW w:w="1392" w:type="dxa"/>
            <w:tcBorders>
              <w:left w:val="double" w:sz="4" w:space="0" w:color="auto"/>
            </w:tcBorders>
            <w:vAlign w:val="center"/>
          </w:tcPr>
          <w:p w14:paraId="5B6EF6E3" w14:textId="77777777" w:rsidR="005A2FDF" w:rsidRPr="00E15210" w:rsidRDefault="005A2FDF">
            <w:pPr>
              <w:jc w:val="center"/>
              <w:rPr>
                <w:sz w:val="22"/>
                <w:szCs w:val="22"/>
              </w:rPr>
            </w:pPr>
            <w:r w:rsidRPr="00E15210">
              <w:rPr>
                <w:sz w:val="22"/>
                <w:szCs w:val="22"/>
              </w:rPr>
              <w:t>EU002</w:t>
            </w:r>
          </w:p>
        </w:tc>
        <w:tc>
          <w:tcPr>
            <w:tcW w:w="4362" w:type="dxa"/>
            <w:vAlign w:val="center"/>
          </w:tcPr>
          <w:p w14:paraId="5B6EF6E4" w14:textId="77777777" w:rsidR="00897EC5" w:rsidRPr="00E15210" w:rsidRDefault="005A2FDF">
            <w:pPr>
              <w:rPr>
                <w:sz w:val="22"/>
                <w:szCs w:val="22"/>
              </w:rPr>
            </w:pPr>
            <w:r w:rsidRPr="00E15210">
              <w:rPr>
                <w:sz w:val="22"/>
                <w:szCs w:val="22"/>
              </w:rPr>
              <w:t xml:space="preserve">Boiler House Stack, </w:t>
            </w:r>
          </w:p>
          <w:p w14:paraId="5B6EF6E5" w14:textId="77777777" w:rsidR="005A2FDF" w:rsidRPr="00E15210" w:rsidRDefault="005A2FDF" w:rsidP="00897EC5">
            <w:pPr>
              <w:rPr>
                <w:sz w:val="22"/>
                <w:szCs w:val="22"/>
              </w:rPr>
            </w:pPr>
            <w:r w:rsidRPr="00E15210">
              <w:rPr>
                <w:sz w:val="22"/>
                <w:szCs w:val="22"/>
              </w:rPr>
              <w:t>(</w:t>
            </w:r>
            <w:r w:rsidR="00897EC5" w:rsidRPr="00E15210">
              <w:rPr>
                <w:sz w:val="22"/>
                <w:szCs w:val="22"/>
              </w:rPr>
              <w:t>coal-</w:t>
            </w:r>
            <w:r w:rsidR="00177B91" w:rsidRPr="00E15210">
              <w:rPr>
                <w:sz w:val="22"/>
                <w:szCs w:val="22"/>
              </w:rPr>
              <w:t>fired Riley</w:t>
            </w:r>
            <w:r w:rsidRPr="00E15210">
              <w:rPr>
                <w:sz w:val="22"/>
                <w:szCs w:val="22"/>
              </w:rPr>
              <w:t xml:space="preserve"> Boilers; #2, #3, #4</w:t>
            </w:r>
            <w:r w:rsidR="00897EC5" w:rsidRPr="00E15210">
              <w:rPr>
                <w:sz w:val="22"/>
                <w:szCs w:val="22"/>
              </w:rPr>
              <w:t xml:space="preserve"> - 148 MMBtu/hr each</w:t>
            </w:r>
            <w:r w:rsidRPr="00E15210">
              <w:rPr>
                <w:sz w:val="22"/>
                <w:szCs w:val="22"/>
              </w:rPr>
              <w:t>)</w:t>
            </w:r>
          </w:p>
        </w:tc>
        <w:tc>
          <w:tcPr>
            <w:tcW w:w="3619" w:type="dxa"/>
            <w:tcBorders>
              <w:right w:val="double" w:sz="4" w:space="0" w:color="auto"/>
            </w:tcBorders>
            <w:vAlign w:val="center"/>
          </w:tcPr>
          <w:p w14:paraId="5B6EF6E6" w14:textId="77777777" w:rsidR="005A2FDF" w:rsidRPr="00E15210" w:rsidRDefault="005A2FDF" w:rsidP="008B0C3F">
            <w:pPr>
              <w:rPr>
                <w:sz w:val="22"/>
                <w:szCs w:val="22"/>
              </w:rPr>
            </w:pPr>
            <w:r w:rsidRPr="00E15210">
              <w:rPr>
                <w:sz w:val="22"/>
                <w:szCs w:val="22"/>
              </w:rPr>
              <w:t>Wet Scrubbers (2)</w:t>
            </w:r>
            <w:r w:rsidR="008B0C3F" w:rsidRPr="00E15210">
              <w:rPr>
                <w:sz w:val="22"/>
                <w:szCs w:val="22"/>
              </w:rPr>
              <w:t>;</w:t>
            </w:r>
            <w:r w:rsidRPr="00E15210">
              <w:rPr>
                <w:sz w:val="22"/>
                <w:szCs w:val="22"/>
              </w:rPr>
              <w:t xml:space="preserve"> Mist Eliminator (1)</w:t>
            </w:r>
            <w:r w:rsidR="008B0C3F" w:rsidRPr="00E15210">
              <w:rPr>
                <w:sz w:val="22"/>
                <w:szCs w:val="22"/>
              </w:rPr>
              <w:t>;</w:t>
            </w:r>
            <w:r w:rsidRPr="00E15210">
              <w:rPr>
                <w:sz w:val="22"/>
                <w:szCs w:val="22"/>
              </w:rPr>
              <w:t xml:space="preserve"> </w:t>
            </w:r>
            <w:proofErr w:type="gramStart"/>
            <w:r w:rsidRPr="00E15210">
              <w:rPr>
                <w:sz w:val="22"/>
                <w:szCs w:val="22"/>
              </w:rPr>
              <w:t>Multi</w:t>
            </w:r>
            <w:r w:rsidR="00897EC5" w:rsidRPr="00E15210">
              <w:rPr>
                <w:sz w:val="22"/>
                <w:szCs w:val="22"/>
              </w:rPr>
              <w:t>-</w:t>
            </w:r>
            <w:r w:rsidRPr="00E15210">
              <w:rPr>
                <w:sz w:val="22"/>
                <w:szCs w:val="22"/>
              </w:rPr>
              <w:t>cyclones</w:t>
            </w:r>
            <w:proofErr w:type="gramEnd"/>
            <w:r w:rsidRPr="00E15210">
              <w:rPr>
                <w:sz w:val="22"/>
                <w:szCs w:val="22"/>
              </w:rPr>
              <w:t xml:space="preserve"> (3) – vented to common stack</w:t>
            </w:r>
          </w:p>
        </w:tc>
      </w:tr>
      <w:tr w:rsidR="005A2FDF" w:rsidRPr="00C8674E" w14:paraId="5B6EF6EB" w14:textId="77777777" w:rsidTr="00985847">
        <w:trPr>
          <w:trHeight w:val="305"/>
        </w:trPr>
        <w:tc>
          <w:tcPr>
            <w:tcW w:w="1392" w:type="dxa"/>
            <w:tcBorders>
              <w:left w:val="double" w:sz="4" w:space="0" w:color="auto"/>
            </w:tcBorders>
            <w:vAlign w:val="center"/>
          </w:tcPr>
          <w:p w14:paraId="5B6EF6E8" w14:textId="77777777" w:rsidR="005A2FDF" w:rsidRPr="00E15210" w:rsidRDefault="005A2FDF">
            <w:pPr>
              <w:jc w:val="center"/>
              <w:rPr>
                <w:sz w:val="22"/>
                <w:szCs w:val="22"/>
              </w:rPr>
            </w:pPr>
            <w:r w:rsidRPr="00E15210">
              <w:rPr>
                <w:sz w:val="22"/>
                <w:szCs w:val="22"/>
              </w:rPr>
              <w:t>EU003</w:t>
            </w:r>
          </w:p>
        </w:tc>
        <w:tc>
          <w:tcPr>
            <w:tcW w:w="4362" w:type="dxa"/>
            <w:vAlign w:val="center"/>
          </w:tcPr>
          <w:p w14:paraId="5B6EF6E9" w14:textId="77777777" w:rsidR="005A2FDF" w:rsidRPr="00E15210" w:rsidRDefault="00897EC5" w:rsidP="00897EC5">
            <w:pPr>
              <w:rPr>
                <w:sz w:val="22"/>
                <w:szCs w:val="22"/>
              </w:rPr>
            </w:pPr>
            <w:r w:rsidRPr="00E15210">
              <w:rPr>
                <w:sz w:val="22"/>
                <w:szCs w:val="22"/>
              </w:rPr>
              <w:t xml:space="preserve">Natural Gas </w:t>
            </w:r>
            <w:r w:rsidR="005A2FDF" w:rsidRPr="00E15210">
              <w:rPr>
                <w:sz w:val="22"/>
                <w:szCs w:val="22"/>
              </w:rPr>
              <w:t>Clever Brooks Boiler #5</w:t>
            </w:r>
            <w:r w:rsidRPr="00E15210">
              <w:rPr>
                <w:sz w:val="22"/>
                <w:szCs w:val="22"/>
              </w:rPr>
              <w:t>(17 MMBtu/hr)</w:t>
            </w:r>
          </w:p>
        </w:tc>
        <w:tc>
          <w:tcPr>
            <w:tcW w:w="3619" w:type="dxa"/>
            <w:tcBorders>
              <w:right w:val="double" w:sz="4" w:space="0" w:color="auto"/>
            </w:tcBorders>
            <w:vAlign w:val="center"/>
          </w:tcPr>
          <w:p w14:paraId="5B6EF6EA" w14:textId="77777777" w:rsidR="005A2FDF" w:rsidRPr="00E15210" w:rsidRDefault="005A2FDF">
            <w:pPr>
              <w:rPr>
                <w:sz w:val="22"/>
                <w:szCs w:val="22"/>
              </w:rPr>
            </w:pPr>
            <w:r w:rsidRPr="00E15210">
              <w:rPr>
                <w:sz w:val="22"/>
                <w:szCs w:val="22"/>
              </w:rPr>
              <w:t>Natural Gas Fuel Only</w:t>
            </w:r>
          </w:p>
        </w:tc>
      </w:tr>
      <w:tr w:rsidR="005A2FDF" w:rsidRPr="00C8674E" w14:paraId="5B6EF6F0" w14:textId="77777777" w:rsidTr="00985847">
        <w:trPr>
          <w:trHeight w:val="510"/>
        </w:trPr>
        <w:tc>
          <w:tcPr>
            <w:tcW w:w="1392" w:type="dxa"/>
            <w:tcBorders>
              <w:left w:val="double" w:sz="4" w:space="0" w:color="auto"/>
            </w:tcBorders>
            <w:vAlign w:val="center"/>
          </w:tcPr>
          <w:p w14:paraId="5B6EF6EC" w14:textId="77777777" w:rsidR="005A2FDF" w:rsidRPr="00E15210" w:rsidRDefault="005A2FDF">
            <w:pPr>
              <w:jc w:val="center"/>
              <w:rPr>
                <w:sz w:val="22"/>
                <w:szCs w:val="22"/>
              </w:rPr>
            </w:pPr>
            <w:r w:rsidRPr="00E15210">
              <w:rPr>
                <w:sz w:val="22"/>
                <w:szCs w:val="22"/>
              </w:rPr>
              <w:t>EU004</w:t>
            </w:r>
          </w:p>
        </w:tc>
        <w:tc>
          <w:tcPr>
            <w:tcW w:w="4362" w:type="dxa"/>
            <w:vAlign w:val="center"/>
          </w:tcPr>
          <w:p w14:paraId="5B6EF6ED" w14:textId="77777777" w:rsidR="005A2FDF" w:rsidRPr="00E15210" w:rsidRDefault="005A2FDF" w:rsidP="00897EC5">
            <w:pPr>
              <w:rPr>
                <w:sz w:val="22"/>
                <w:szCs w:val="22"/>
              </w:rPr>
            </w:pPr>
            <w:r w:rsidRPr="00E15210">
              <w:rPr>
                <w:sz w:val="22"/>
                <w:szCs w:val="22"/>
              </w:rPr>
              <w:t>Pulp Dryers</w:t>
            </w:r>
            <w:r w:rsidR="00897EC5" w:rsidRPr="00E15210">
              <w:rPr>
                <w:sz w:val="22"/>
                <w:szCs w:val="22"/>
              </w:rPr>
              <w:t xml:space="preserve"> – East and West (120 MMBtu/hr each)</w:t>
            </w:r>
          </w:p>
        </w:tc>
        <w:tc>
          <w:tcPr>
            <w:tcW w:w="3619" w:type="dxa"/>
            <w:tcBorders>
              <w:right w:val="double" w:sz="4" w:space="0" w:color="auto"/>
            </w:tcBorders>
            <w:vAlign w:val="center"/>
          </w:tcPr>
          <w:p w14:paraId="5B6EF6EE" w14:textId="77777777" w:rsidR="00897EC5" w:rsidRPr="00E15210" w:rsidRDefault="005A2FDF">
            <w:pPr>
              <w:rPr>
                <w:sz w:val="22"/>
                <w:szCs w:val="22"/>
              </w:rPr>
            </w:pPr>
            <w:r w:rsidRPr="00E15210">
              <w:rPr>
                <w:sz w:val="22"/>
                <w:szCs w:val="22"/>
              </w:rPr>
              <w:t xml:space="preserve">Wet Scrubber, Mist Eliminator, </w:t>
            </w:r>
          </w:p>
          <w:p w14:paraId="5B6EF6EF" w14:textId="77777777" w:rsidR="005A2FDF" w:rsidRPr="00E15210" w:rsidRDefault="005A2FDF">
            <w:pPr>
              <w:rPr>
                <w:sz w:val="22"/>
                <w:szCs w:val="22"/>
              </w:rPr>
            </w:pPr>
            <w:r w:rsidRPr="00E15210">
              <w:rPr>
                <w:sz w:val="22"/>
                <w:szCs w:val="22"/>
              </w:rPr>
              <w:t>Multi</w:t>
            </w:r>
            <w:r w:rsidR="00897EC5" w:rsidRPr="00E15210">
              <w:rPr>
                <w:sz w:val="22"/>
                <w:szCs w:val="22"/>
              </w:rPr>
              <w:t>-</w:t>
            </w:r>
            <w:r w:rsidRPr="00E15210">
              <w:rPr>
                <w:sz w:val="22"/>
                <w:szCs w:val="22"/>
              </w:rPr>
              <w:t>cyclones</w:t>
            </w:r>
          </w:p>
        </w:tc>
      </w:tr>
      <w:tr w:rsidR="005A2FDF" w:rsidRPr="00C8674E" w14:paraId="5B6EF6F4" w14:textId="77777777" w:rsidTr="00985847">
        <w:trPr>
          <w:trHeight w:val="277"/>
        </w:trPr>
        <w:tc>
          <w:tcPr>
            <w:tcW w:w="1392" w:type="dxa"/>
            <w:tcBorders>
              <w:left w:val="double" w:sz="4" w:space="0" w:color="auto"/>
            </w:tcBorders>
            <w:vAlign w:val="center"/>
          </w:tcPr>
          <w:p w14:paraId="5B6EF6F1" w14:textId="77777777" w:rsidR="005A2FDF" w:rsidRPr="00E15210" w:rsidRDefault="005A2FDF">
            <w:pPr>
              <w:jc w:val="center"/>
              <w:rPr>
                <w:sz w:val="22"/>
                <w:szCs w:val="22"/>
              </w:rPr>
            </w:pPr>
            <w:r w:rsidRPr="00E15210">
              <w:rPr>
                <w:sz w:val="22"/>
                <w:szCs w:val="22"/>
              </w:rPr>
              <w:t>EU005</w:t>
            </w:r>
          </w:p>
        </w:tc>
        <w:tc>
          <w:tcPr>
            <w:tcW w:w="4362" w:type="dxa"/>
            <w:vAlign w:val="center"/>
          </w:tcPr>
          <w:p w14:paraId="5B6EF6F2" w14:textId="77777777" w:rsidR="005A2FDF" w:rsidRPr="00E15210" w:rsidRDefault="005A2FDF">
            <w:pPr>
              <w:rPr>
                <w:sz w:val="22"/>
                <w:szCs w:val="22"/>
              </w:rPr>
            </w:pPr>
            <w:r w:rsidRPr="00E15210">
              <w:rPr>
                <w:sz w:val="22"/>
                <w:szCs w:val="22"/>
              </w:rPr>
              <w:t>Pellet Mills/ Conveyor</w:t>
            </w:r>
          </w:p>
        </w:tc>
        <w:tc>
          <w:tcPr>
            <w:tcW w:w="3619" w:type="dxa"/>
            <w:tcBorders>
              <w:right w:val="double" w:sz="4" w:space="0" w:color="auto"/>
            </w:tcBorders>
            <w:vAlign w:val="center"/>
          </w:tcPr>
          <w:p w14:paraId="5B6EF6F3" w14:textId="77777777" w:rsidR="005A2FDF" w:rsidRPr="00E15210" w:rsidRDefault="005A2FDF">
            <w:pPr>
              <w:rPr>
                <w:sz w:val="22"/>
                <w:szCs w:val="22"/>
              </w:rPr>
            </w:pPr>
            <w:r w:rsidRPr="00E15210">
              <w:rPr>
                <w:sz w:val="22"/>
                <w:szCs w:val="22"/>
              </w:rPr>
              <w:t>Multi</w:t>
            </w:r>
            <w:r w:rsidR="00897EC5" w:rsidRPr="00E15210">
              <w:rPr>
                <w:sz w:val="22"/>
                <w:szCs w:val="22"/>
              </w:rPr>
              <w:t>-</w:t>
            </w:r>
            <w:r w:rsidRPr="00E15210">
              <w:rPr>
                <w:sz w:val="22"/>
                <w:szCs w:val="22"/>
              </w:rPr>
              <w:t>cyclones</w:t>
            </w:r>
          </w:p>
        </w:tc>
      </w:tr>
      <w:tr w:rsidR="005A2FDF" w:rsidRPr="00C8674E" w14:paraId="5B6EF6F8" w14:textId="77777777" w:rsidTr="00985847">
        <w:trPr>
          <w:trHeight w:val="259"/>
        </w:trPr>
        <w:tc>
          <w:tcPr>
            <w:tcW w:w="1392" w:type="dxa"/>
            <w:tcBorders>
              <w:left w:val="double" w:sz="4" w:space="0" w:color="auto"/>
            </w:tcBorders>
            <w:vAlign w:val="center"/>
          </w:tcPr>
          <w:p w14:paraId="5B6EF6F5" w14:textId="77777777" w:rsidR="005A2FDF" w:rsidRPr="00E15210" w:rsidRDefault="005A2FDF">
            <w:pPr>
              <w:jc w:val="center"/>
              <w:rPr>
                <w:sz w:val="22"/>
                <w:szCs w:val="22"/>
              </w:rPr>
            </w:pPr>
            <w:r w:rsidRPr="00E15210">
              <w:rPr>
                <w:sz w:val="22"/>
                <w:szCs w:val="22"/>
              </w:rPr>
              <w:t>EU006</w:t>
            </w:r>
          </w:p>
        </w:tc>
        <w:tc>
          <w:tcPr>
            <w:tcW w:w="4362" w:type="dxa"/>
            <w:vAlign w:val="center"/>
          </w:tcPr>
          <w:p w14:paraId="5B6EF6F6" w14:textId="77777777" w:rsidR="005A2FDF" w:rsidRPr="007A3E2C" w:rsidRDefault="005A2FDF" w:rsidP="00897EC5">
            <w:pPr>
              <w:rPr>
                <w:sz w:val="22"/>
                <w:szCs w:val="22"/>
              </w:rPr>
            </w:pPr>
            <w:r w:rsidRPr="007A3E2C">
              <w:rPr>
                <w:sz w:val="22"/>
                <w:szCs w:val="22"/>
              </w:rPr>
              <w:t>Pelletizer</w:t>
            </w:r>
            <w:r w:rsidR="00897EC5" w:rsidRPr="007A3E2C">
              <w:rPr>
                <w:sz w:val="22"/>
                <w:szCs w:val="22"/>
              </w:rPr>
              <w:t xml:space="preserve"> </w:t>
            </w:r>
            <w:r w:rsidRPr="007A3E2C">
              <w:rPr>
                <w:sz w:val="22"/>
                <w:szCs w:val="22"/>
              </w:rPr>
              <w:t>Cooler</w:t>
            </w:r>
          </w:p>
        </w:tc>
        <w:tc>
          <w:tcPr>
            <w:tcW w:w="3619" w:type="dxa"/>
            <w:tcBorders>
              <w:right w:val="double" w:sz="4" w:space="0" w:color="auto"/>
            </w:tcBorders>
            <w:vAlign w:val="center"/>
          </w:tcPr>
          <w:p w14:paraId="5B6EF6F7" w14:textId="77777777" w:rsidR="005A2FDF" w:rsidRPr="00E15210" w:rsidRDefault="005A2FDF">
            <w:pPr>
              <w:rPr>
                <w:sz w:val="22"/>
                <w:szCs w:val="22"/>
              </w:rPr>
            </w:pPr>
            <w:r w:rsidRPr="00E15210">
              <w:rPr>
                <w:sz w:val="22"/>
                <w:szCs w:val="22"/>
              </w:rPr>
              <w:t>Multi</w:t>
            </w:r>
            <w:r w:rsidR="00897EC5" w:rsidRPr="00E15210">
              <w:rPr>
                <w:sz w:val="22"/>
                <w:szCs w:val="22"/>
              </w:rPr>
              <w:t>-</w:t>
            </w:r>
            <w:r w:rsidRPr="00E15210">
              <w:rPr>
                <w:sz w:val="22"/>
                <w:szCs w:val="22"/>
              </w:rPr>
              <w:t>cyclones</w:t>
            </w:r>
          </w:p>
        </w:tc>
      </w:tr>
      <w:tr w:rsidR="005A2FDF" w:rsidRPr="00C8674E" w14:paraId="5B6EF6FC" w14:textId="77777777" w:rsidTr="00985847">
        <w:trPr>
          <w:trHeight w:val="277"/>
        </w:trPr>
        <w:tc>
          <w:tcPr>
            <w:tcW w:w="1392" w:type="dxa"/>
            <w:tcBorders>
              <w:left w:val="double" w:sz="4" w:space="0" w:color="auto"/>
            </w:tcBorders>
            <w:vAlign w:val="center"/>
          </w:tcPr>
          <w:p w14:paraId="5B6EF6F9" w14:textId="77777777" w:rsidR="005A2FDF" w:rsidRPr="007A3E2C" w:rsidRDefault="005A2FDF">
            <w:pPr>
              <w:jc w:val="center"/>
              <w:rPr>
                <w:sz w:val="22"/>
                <w:szCs w:val="22"/>
              </w:rPr>
            </w:pPr>
            <w:r w:rsidRPr="007A3E2C">
              <w:rPr>
                <w:sz w:val="22"/>
                <w:szCs w:val="22"/>
              </w:rPr>
              <w:t>EU007</w:t>
            </w:r>
          </w:p>
        </w:tc>
        <w:tc>
          <w:tcPr>
            <w:tcW w:w="4362" w:type="dxa"/>
            <w:vAlign w:val="center"/>
          </w:tcPr>
          <w:p w14:paraId="5B6EF6FA" w14:textId="6550B83F" w:rsidR="005A2FDF" w:rsidRPr="007A3E2C" w:rsidRDefault="007446A4" w:rsidP="008B0C3F">
            <w:pPr>
              <w:rPr>
                <w:strike/>
                <w:sz w:val="22"/>
                <w:szCs w:val="22"/>
              </w:rPr>
            </w:pPr>
            <w:r w:rsidRPr="007A3E2C">
              <w:rPr>
                <w:sz w:val="22"/>
                <w:szCs w:val="22"/>
              </w:rPr>
              <w:t>Sugar Cooler Dryer</w:t>
            </w:r>
          </w:p>
        </w:tc>
        <w:tc>
          <w:tcPr>
            <w:tcW w:w="3619" w:type="dxa"/>
            <w:tcBorders>
              <w:right w:val="double" w:sz="4" w:space="0" w:color="auto"/>
            </w:tcBorders>
            <w:vAlign w:val="center"/>
          </w:tcPr>
          <w:p w14:paraId="5B6EF6FB" w14:textId="77592A5E" w:rsidR="005A2FDF" w:rsidRPr="007A3E2C" w:rsidRDefault="007446A4" w:rsidP="008B0C3F">
            <w:pPr>
              <w:rPr>
                <w:sz w:val="22"/>
                <w:szCs w:val="22"/>
              </w:rPr>
            </w:pPr>
            <w:r w:rsidRPr="007A3E2C">
              <w:rPr>
                <w:sz w:val="22"/>
                <w:szCs w:val="22"/>
              </w:rPr>
              <w:t>We</w:t>
            </w:r>
            <w:r w:rsidR="007124EB" w:rsidRPr="007A3E2C">
              <w:rPr>
                <w:sz w:val="22"/>
                <w:szCs w:val="22"/>
              </w:rPr>
              <w:t>t</w:t>
            </w:r>
            <w:r w:rsidRPr="007A3E2C">
              <w:rPr>
                <w:sz w:val="22"/>
                <w:szCs w:val="22"/>
              </w:rPr>
              <w:t xml:space="preserve"> Scrubber</w:t>
            </w:r>
            <w:r w:rsidR="007A3E2C">
              <w:rPr>
                <w:sz w:val="22"/>
                <w:szCs w:val="22"/>
              </w:rPr>
              <w:t xml:space="preserve"> (1)</w:t>
            </w:r>
          </w:p>
        </w:tc>
      </w:tr>
      <w:tr w:rsidR="005A2FDF" w:rsidRPr="00C8674E" w14:paraId="5B6EF700" w14:textId="77777777" w:rsidTr="00985847">
        <w:trPr>
          <w:trHeight w:val="259"/>
        </w:trPr>
        <w:tc>
          <w:tcPr>
            <w:tcW w:w="1392" w:type="dxa"/>
            <w:tcBorders>
              <w:left w:val="double" w:sz="4" w:space="0" w:color="auto"/>
            </w:tcBorders>
            <w:vAlign w:val="center"/>
          </w:tcPr>
          <w:p w14:paraId="5B6EF6FD" w14:textId="77777777" w:rsidR="005A2FDF" w:rsidRPr="00E15210" w:rsidRDefault="005A2FDF">
            <w:pPr>
              <w:jc w:val="center"/>
              <w:rPr>
                <w:sz w:val="22"/>
                <w:szCs w:val="22"/>
              </w:rPr>
            </w:pPr>
            <w:r w:rsidRPr="00E15210">
              <w:rPr>
                <w:sz w:val="22"/>
                <w:szCs w:val="22"/>
              </w:rPr>
              <w:t>EU008</w:t>
            </w:r>
          </w:p>
        </w:tc>
        <w:tc>
          <w:tcPr>
            <w:tcW w:w="4362" w:type="dxa"/>
            <w:vAlign w:val="center"/>
          </w:tcPr>
          <w:p w14:paraId="5B6EF6FE" w14:textId="77777777" w:rsidR="005A2FDF" w:rsidRPr="00E15210" w:rsidRDefault="005A2FDF">
            <w:pPr>
              <w:rPr>
                <w:sz w:val="22"/>
                <w:szCs w:val="22"/>
              </w:rPr>
            </w:pPr>
            <w:r w:rsidRPr="00E15210">
              <w:rPr>
                <w:sz w:val="22"/>
                <w:szCs w:val="22"/>
              </w:rPr>
              <w:t>Lime Slaker Vent</w:t>
            </w:r>
          </w:p>
        </w:tc>
        <w:tc>
          <w:tcPr>
            <w:tcW w:w="3619" w:type="dxa"/>
            <w:tcBorders>
              <w:right w:val="double" w:sz="4" w:space="0" w:color="auto"/>
            </w:tcBorders>
            <w:vAlign w:val="center"/>
          </w:tcPr>
          <w:p w14:paraId="5B6EF6FF" w14:textId="77777777" w:rsidR="005A2FDF" w:rsidRPr="00E15210" w:rsidRDefault="005A2FDF">
            <w:pPr>
              <w:rPr>
                <w:sz w:val="22"/>
                <w:szCs w:val="22"/>
              </w:rPr>
            </w:pPr>
            <w:r w:rsidRPr="00E15210">
              <w:rPr>
                <w:sz w:val="22"/>
                <w:szCs w:val="22"/>
              </w:rPr>
              <w:t>Wet Scrubber</w:t>
            </w:r>
          </w:p>
        </w:tc>
      </w:tr>
      <w:tr w:rsidR="005A2FDF" w:rsidRPr="00C8674E" w14:paraId="5B6EF704" w14:textId="77777777" w:rsidTr="00985847">
        <w:trPr>
          <w:trHeight w:val="259"/>
        </w:trPr>
        <w:tc>
          <w:tcPr>
            <w:tcW w:w="1392" w:type="dxa"/>
            <w:tcBorders>
              <w:left w:val="double" w:sz="4" w:space="0" w:color="auto"/>
            </w:tcBorders>
            <w:vAlign w:val="center"/>
          </w:tcPr>
          <w:p w14:paraId="5B6EF701" w14:textId="77777777" w:rsidR="005A2FDF" w:rsidRPr="00E15210" w:rsidRDefault="005A2FDF">
            <w:pPr>
              <w:jc w:val="center"/>
              <w:rPr>
                <w:sz w:val="22"/>
                <w:szCs w:val="22"/>
              </w:rPr>
            </w:pPr>
            <w:r w:rsidRPr="00E15210">
              <w:rPr>
                <w:sz w:val="22"/>
                <w:szCs w:val="22"/>
              </w:rPr>
              <w:t>EU009</w:t>
            </w:r>
          </w:p>
        </w:tc>
        <w:tc>
          <w:tcPr>
            <w:tcW w:w="4362" w:type="dxa"/>
            <w:vAlign w:val="center"/>
          </w:tcPr>
          <w:p w14:paraId="5B6EF702" w14:textId="77777777" w:rsidR="005A2FDF" w:rsidRPr="00E15210" w:rsidRDefault="005A2FDF">
            <w:pPr>
              <w:rPr>
                <w:sz w:val="22"/>
                <w:szCs w:val="22"/>
              </w:rPr>
            </w:pPr>
            <w:r w:rsidRPr="00E15210">
              <w:rPr>
                <w:sz w:val="22"/>
                <w:szCs w:val="22"/>
              </w:rPr>
              <w:t>Burnt Lime Collector</w:t>
            </w:r>
          </w:p>
        </w:tc>
        <w:tc>
          <w:tcPr>
            <w:tcW w:w="3619" w:type="dxa"/>
            <w:tcBorders>
              <w:right w:val="double" w:sz="4" w:space="0" w:color="auto"/>
            </w:tcBorders>
            <w:vAlign w:val="center"/>
          </w:tcPr>
          <w:p w14:paraId="5B6EF703" w14:textId="77777777" w:rsidR="005A2FDF" w:rsidRPr="00E15210" w:rsidRDefault="005A2FDF">
            <w:pPr>
              <w:rPr>
                <w:sz w:val="22"/>
                <w:szCs w:val="22"/>
              </w:rPr>
            </w:pPr>
            <w:r w:rsidRPr="00E15210">
              <w:rPr>
                <w:sz w:val="22"/>
                <w:szCs w:val="22"/>
              </w:rPr>
              <w:t>Baghouse</w:t>
            </w:r>
          </w:p>
        </w:tc>
      </w:tr>
      <w:tr w:rsidR="005A2FDF" w:rsidRPr="00C8674E" w14:paraId="5B6EF708" w14:textId="77777777" w:rsidTr="00985847">
        <w:trPr>
          <w:trHeight w:val="259"/>
        </w:trPr>
        <w:tc>
          <w:tcPr>
            <w:tcW w:w="1392" w:type="dxa"/>
            <w:tcBorders>
              <w:left w:val="double" w:sz="4" w:space="0" w:color="auto"/>
            </w:tcBorders>
            <w:vAlign w:val="center"/>
          </w:tcPr>
          <w:p w14:paraId="5B6EF705" w14:textId="77777777" w:rsidR="005A2FDF" w:rsidRPr="00E15210" w:rsidRDefault="005A2FDF">
            <w:pPr>
              <w:jc w:val="center"/>
              <w:rPr>
                <w:sz w:val="22"/>
                <w:szCs w:val="22"/>
              </w:rPr>
            </w:pPr>
            <w:r w:rsidRPr="00E15210">
              <w:rPr>
                <w:sz w:val="22"/>
                <w:szCs w:val="22"/>
              </w:rPr>
              <w:t>EU010</w:t>
            </w:r>
          </w:p>
        </w:tc>
        <w:tc>
          <w:tcPr>
            <w:tcW w:w="4362" w:type="dxa"/>
            <w:vAlign w:val="center"/>
          </w:tcPr>
          <w:p w14:paraId="5B6EF706" w14:textId="77777777" w:rsidR="005A2FDF" w:rsidRPr="00E15210" w:rsidRDefault="005A2FDF">
            <w:pPr>
              <w:rPr>
                <w:sz w:val="22"/>
                <w:szCs w:val="22"/>
              </w:rPr>
            </w:pPr>
            <w:r w:rsidRPr="00E15210">
              <w:rPr>
                <w:sz w:val="22"/>
                <w:szCs w:val="22"/>
              </w:rPr>
              <w:t>Truck Hauling-Fugitives</w:t>
            </w:r>
          </w:p>
        </w:tc>
        <w:tc>
          <w:tcPr>
            <w:tcW w:w="3619" w:type="dxa"/>
            <w:tcBorders>
              <w:right w:val="double" w:sz="4" w:space="0" w:color="auto"/>
            </w:tcBorders>
            <w:vAlign w:val="center"/>
          </w:tcPr>
          <w:p w14:paraId="5B6EF707" w14:textId="77777777" w:rsidR="005A2FDF" w:rsidRPr="00E15210" w:rsidRDefault="005A2FDF">
            <w:pPr>
              <w:rPr>
                <w:sz w:val="22"/>
                <w:szCs w:val="22"/>
              </w:rPr>
            </w:pPr>
            <w:r w:rsidRPr="00E15210">
              <w:rPr>
                <w:sz w:val="22"/>
                <w:szCs w:val="22"/>
              </w:rPr>
              <w:t>Water Spray</w:t>
            </w:r>
          </w:p>
        </w:tc>
      </w:tr>
      <w:tr w:rsidR="005A2FDF" w:rsidRPr="00C8674E" w14:paraId="5B6EF70C" w14:textId="77777777" w:rsidTr="00985847">
        <w:trPr>
          <w:trHeight w:val="259"/>
        </w:trPr>
        <w:tc>
          <w:tcPr>
            <w:tcW w:w="1392" w:type="dxa"/>
            <w:tcBorders>
              <w:left w:val="double" w:sz="4" w:space="0" w:color="auto"/>
            </w:tcBorders>
            <w:vAlign w:val="center"/>
          </w:tcPr>
          <w:p w14:paraId="5B6EF709" w14:textId="77777777" w:rsidR="005A2FDF" w:rsidRPr="00C72EA4" w:rsidRDefault="005A2FDF">
            <w:pPr>
              <w:jc w:val="center"/>
              <w:rPr>
                <w:sz w:val="22"/>
                <w:szCs w:val="22"/>
              </w:rPr>
            </w:pPr>
            <w:r w:rsidRPr="00C72EA4">
              <w:rPr>
                <w:sz w:val="22"/>
                <w:szCs w:val="22"/>
              </w:rPr>
              <w:t>EU01</w:t>
            </w:r>
            <w:r w:rsidR="006A76B7" w:rsidRPr="00C72EA4">
              <w:rPr>
                <w:sz w:val="22"/>
                <w:szCs w:val="22"/>
              </w:rPr>
              <w:t>1</w:t>
            </w:r>
          </w:p>
        </w:tc>
        <w:tc>
          <w:tcPr>
            <w:tcW w:w="4362" w:type="dxa"/>
            <w:vAlign w:val="center"/>
          </w:tcPr>
          <w:p w14:paraId="5B6EF70A" w14:textId="76C1BA6C" w:rsidR="005A2FDF" w:rsidRPr="00C72EA4" w:rsidRDefault="00926838">
            <w:pPr>
              <w:rPr>
                <w:sz w:val="22"/>
                <w:szCs w:val="22"/>
              </w:rPr>
            </w:pPr>
            <w:r>
              <w:rPr>
                <w:sz w:val="22"/>
                <w:szCs w:val="22"/>
              </w:rPr>
              <w:t>Coal Handling, Fugitives</w:t>
            </w:r>
          </w:p>
        </w:tc>
        <w:tc>
          <w:tcPr>
            <w:tcW w:w="3619" w:type="dxa"/>
            <w:tcBorders>
              <w:right w:val="double" w:sz="4" w:space="0" w:color="auto"/>
            </w:tcBorders>
            <w:vAlign w:val="center"/>
          </w:tcPr>
          <w:p w14:paraId="5B6EF70B" w14:textId="6F00DCA2" w:rsidR="005A2FDF" w:rsidRPr="00E15210" w:rsidRDefault="00926838">
            <w:pPr>
              <w:rPr>
                <w:sz w:val="22"/>
                <w:szCs w:val="22"/>
              </w:rPr>
            </w:pPr>
            <w:r>
              <w:rPr>
                <w:sz w:val="22"/>
                <w:szCs w:val="22"/>
              </w:rPr>
              <w:t>40 CFR 60, Subpa</w:t>
            </w:r>
            <w:r w:rsidR="007C1D74">
              <w:rPr>
                <w:sz w:val="22"/>
                <w:szCs w:val="22"/>
              </w:rPr>
              <w:t>r</w:t>
            </w:r>
            <w:r>
              <w:rPr>
                <w:sz w:val="22"/>
                <w:szCs w:val="22"/>
              </w:rPr>
              <w:t>t Y</w:t>
            </w:r>
          </w:p>
        </w:tc>
      </w:tr>
      <w:tr w:rsidR="006A76B7" w:rsidRPr="00C8674E" w14:paraId="5B6EF710" w14:textId="77777777" w:rsidTr="00985847">
        <w:trPr>
          <w:trHeight w:val="259"/>
        </w:trPr>
        <w:tc>
          <w:tcPr>
            <w:tcW w:w="1392" w:type="dxa"/>
            <w:tcBorders>
              <w:left w:val="double" w:sz="4" w:space="0" w:color="auto"/>
            </w:tcBorders>
            <w:vAlign w:val="center"/>
          </w:tcPr>
          <w:p w14:paraId="5B6EF70D" w14:textId="77777777" w:rsidR="006A76B7" w:rsidRPr="00E15210" w:rsidRDefault="006A76B7">
            <w:pPr>
              <w:jc w:val="center"/>
              <w:rPr>
                <w:sz w:val="22"/>
                <w:szCs w:val="22"/>
              </w:rPr>
            </w:pPr>
            <w:r>
              <w:rPr>
                <w:sz w:val="22"/>
                <w:szCs w:val="22"/>
              </w:rPr>
              <w:t>EU012</w:t>
            </w:r>
          </w:p>
        </w:tc>
        <w:tc>
          <w:tcPr>
            <w:tcW w:w="4362" w:type="dxa"/>
            <w:vAlign w:val="center"/>
          </w:tcPr>
          <w:p w14:paraId="5B6EF70E" w14:textId="77777777" w:rsidR="006A76B7" w:rsidRPr="00E15210" w:rsidRDefault="006A76B7">
            <w:pPr>
              <w:rPr>
                <w:sz w:val="22"/>
                <w:szCs w:val="22"/>
              </w:rPr>
            </w:pPr>
            <w:r>
              <w:rPr>
                <w:sz w:val="22"/>
                <w:szCs w:val="22"/>
              </w:rPr>
              <w:t>Fuel (Gasoline) Storage Tank</w:t>
            </w:r>
          </w:p>
        </w:tc>
        <w:tc>
          <w:tcPr>
            <w:tcW w:w="3619" w:type="dxa"/>
            <w:tcBorders>
              <w:right w:val="double" w:sz="4" w:space="0" w:color="auto"/>
            </w:tcBorders>
            <w:vAlign w:val="center"/>
          </w:tcPr>
          <w:p w14:paraId="5B6EF70F" w14:textId="77777777" w:rsidR="006A76B7" w:rsidRPr="00E15210" w:rsidRDefault="006A76B7">
            <w:pPr>
              <w:rPr>
                <w:sz w:val="22"/>
                <w:szCs w:val="22"/>
              </w:rPr>
            </w:pPr>
            <w:r>
              <w:rPr>
                <w:sz w:val="22"/>
                <w:szCs w:val="22"/>
              </w:rPr>
              <w:t>40 CFR 63 Subpart CCCCCC</w:t>
            </w:r>
          </w:p>
        </w:tc>
      </w:tr>
      <w:tr w:rsidR="00926838" w:rsidRPr="00C8674E" w14:paraId="6F7AEA46" w14:textId="77777777" w:rsidTr="00985847">
        <w:trPr>
          <w:trHeight w:val="259"/>
        </w:trPr>
        <w:tc>
          <w:tcPr>
            <w:tcW w:w="1392" w:type="dxa"/>
            <w:tcBorders>
              <w:left w:val="double" w:sz="4" w:space="0" w:color="auto"/>
            </w:tcBorders>
            <w:vAlign w:val="center"/>
          </w:tcPr>
          <w:p w14:paraId="609A4298" w14:textId="079A2913" w:rsidR="00926838" w:rsidRDefault="00926838">
            <w:pPr>
              <w:jc w:val="center"/>
              <w:rPr>
                <w:sz w:val="22"/>
                <w:szCs w:val="22"/>
              </w:rPr>
            </w:pPr>
            <w:r>
              <w:rPr>
                <w:sz w:val="22"/>
                <w:szCs w:val="22"/>
              </w:rPr>
              <w:t>EU013</w:t>
            </w:r>
          </w:p>
        </w:tc>
        <w:tc>
          <w:tcPr>
            <w:tcW w:w="4362" w:type="dxa"/>
            <w:vAlign w:val="center"/>
          </w:tcPr>
          <w:p w14:paraId="18F99E0F" w14:textId="16787424" w:rsidR="00926838" w:rsidRDefault="00926838">
            <w:pPr>
              <w:rPr>
                <w:sz w:val="22"/>
                <w:szCs w:val="22"/>
              </w:rPr>
            </w:pPr>
            <w:r>
              <w:rPr>
                <w:sz w:val="22"/>
                <w:szCs w:val="22"/>
              </w:rPr>
              <w:t xml:space="preserve">Beet Piling, </w:t>
            </w:r>
            <w:r w:rsidR="00987378">
              <w:rPr>
                <w:sz w:val="22"/>
                <w:szCs w:val="22"/>
              </w:rPr>
              <w:t>Fugitives</w:t>
            </w:r>
          </w:p>
        </w:tc>
        <w:tc>
          <w:tcPr>
            <w:tcW w:w="3619" w:type="dxa"/>
            <w:tcBorders>
              <w:right w:val="double" w:sz="4" w:space="0" w:color="auto"/>
            </w:tcBorders>
            <w:vAlign w:val="center"/>
          </w:tcPr>
          <w:p w14:paraId="3B315AF3" w14:textId="609299FC" w:rsidR="00926838" w:rsidRDefault="00926838">
            <w:pPr>
              <w:rPr>
                <w:sz w:val="22"/>
                <w:szCs w:val="22"/>
              </w:rPr>
            </w:pPr>
            <w:r>
              <w:rPr>
                <w:sz w:val="22"/>
                <w:szCs w:val="22"/>
              </w:rPr>
              <w:t>None</w:t>
            </w:r>
          </w:p>
        </w:tc>
      </w:tr>
      <w:tr w:rsidR="00926838" w:rsidRPr="00C8674E" w14:paraId="5EB5ED95" w14:textId="77777777" w:rsidTr="00985847">
        <w:trPr>
          <w:trHeight w:val="259"/>
        </w:trPr>
        <w:tc>
          <w:tcPr>
            <w:tcW w:w="1392" w:type="dxa"/>
            <w:tcBorders>
              <w:left w:val="double" w:sz="4" w:space="0" w:color="auto"/>
            </w:tcBorders>
            <w:vAlign w:val="center"/>
          </w:tcPr>
          <w:p w14:paraId="57203AE9" w14:textId="78ACF30A" w:rsidR="00926838" w:rsidRDefault="00926838">
            <w:pPr>
              <w:jc w:val="center"/>
              <w:rPr>
                <w:sz w:val="22"/>
                <w:szCs w:val="22"/>
              </w:rPr>
            </w:pPr>
            <w:r>
              <w:rPr>
                <w:sz w:val="22"/>
                <w:szCs w:val="22"/>
              </w:rPr>
              <w:t>EU014</w:t>
            </w:r>
          </w:p>
        </w:tc>
        <w:tc>
          <w:tcPr>
            <w:tcW w:w="4362" w:type="dxa"/>
            <w:vAlign w:val="center"/>
          </w:tcPr>
          <w:p w14:paraId="0A80E087" w14:textId="46434EF0" w:rsidR="00926838" w:rsidRDefault="00926838">
            <w:pPr>
              <w:rPr>
                <w:sz w:val="22"/>
                <w:szCs w:val="22"/>
              </w:rPr>
            </w:pPr>
            <w:r>
              <w:rPr>
                <w:sz w:val="22"/>
                <w:szCs w:val="22"/>
              </w:rPr>
              <w:t>Wind Erosion, Fugitives</w:t>
            </w:r>
          </w:p>
        </w:tc>
        <w:tc>
          <w:tcPr>
            <w:tcW w:w="3619" w:type="dxa"/>
            <w:tcBorders>
              <w:right w:val="double" w:sz="4" w:space="0" w:color="auto"/>
            </w:tcBorders>
            <w:vAlign w:val="center"/>
          </w:tcPr>
          <w:p w14:paraId="0D325364" w14:textId="501EC940" w:rsidR="00926838" w:rsidRDefault="00926838">
            <w:pPr>
              <w:rPr>
                <w:sz w:val="22"/>
                <w:szCs w:val="22"/>
              </w:rPr>
            </w:pPr>
            <w:r>
              <w:rPr>
                <w:sz w:val="22"/>
                <w:szCs w:val="22"/>
              </w:rPr>
              <w:t>None</w:t>
            </w:r>
          </w:p>
        </w:tc>
      </w:tr>
    </w:tbl>
    <w:p w14:paraId="5B6EF711" w14:textId="77777777" w:rsidR="005A2FDF" w:rsidRPr="00C8674E" w:rsidRDefault="005A2FDF">
      <w:pPr>
        <w:rPr>
          <w:szCs w:val="24"/>
        </w:rPr>
      </w:pPr>
    </w:p>
    <w:p w14:paraId="5B6EF712" w14:textId="77777777" w:rsidR="005A2FDF" w:rsidRPr="006035AB" w:rsidRDefault="005A2FDF" w:rsidP="002612D6">
      <w:pPr>
        <w:pStyle w:val="Heading2"/>
        <w:numPr>
          <w:ilvl w:val="0"/>
          <w:numId w:val="13"/>
        </w:numPr>
      </w:pPr>
      <w:bookmarkStart w:id="12" w:name="_Toc14435660"/>
      <w:r w:rsidRPr="00C8674E">
        <w:t>Categorically Insignificant Sources/Activities</w:t>
      </w:r>
      <w:bookmarkEnd w:id="12"/>
    </w:p>
    <w:p w14:paraId="5B6EF713" w14:textId="77777777" w:rsidR="005A2FDF" w:rsidRPr="00C8674E" w:rsidRDefault="005A2FDF" w:rsidP="00515DFB">
      <w:pPr>
        <w:keepNext/>
        <w:rPr>
          <w:szCs w:val="24"/>
        </w:rPr>
      </w:pPr>
    </w:p>
    <w:p w14:paraId="5B6EF714" w14:textId="77777777" w:rsidR="005A2FDF" w:rsidRPr="00C8674E" w:rsidRDefault="005A2FDF" w:rsidP="00515DFB">
      <w:pPr>
        <w:keepNext/>
        <w:ind w:left="360"/>
        <w:rPr>
          <w:szCs w:val="24"/>
        </w:rPr>
      </w:pPr>
      <w:r w:rsidRPr="00C8674E">
        <w:rPr>
          <w:szCs w:val="24"/>
        </w:rPr>
        <w:t>ARM 17.8.1201(</w:t>
      </w:r>
      <w:r w:rsidR="00177B91" w:rsidRPr="00C8674E">
        <w:rPr>
          <w:szCs w:val="24"/>
        </w:rPr>
        <w:t>22) (</w:t>
      </w:r>
      <w:r w:rsidRPr="00C8674E">
        <w:rPr>
          <w:szCs w:val="24"/>
        </w:rPr>
        <w:t xml:space="preserve">a) defines an insignificant emissions unit as one that emits less than 5 tons per year of any regulated air pollutant, has the potential to emit less than 500 pounds per year of lead or any HAP, and is not regulated by any applicable requirement other than a generally applicable requirement.  Insignificant emitting units at the </w:t>
      </w:r>
      <w:r w:rsidR="008B0C3F" w:rsidRPr="00C8674E">
        <w:rPr>
          <w:szCs w:val="24"/>
        </w:rPr>
        <w:t>WSC</w:t>
      </w:r>
      <w:r w:rsidRPr="00C8674E">
        <w:rPr>
          <w:szCs w:val="24"/>
        </w:rPr>
        <w:t xml:space="preserve"> </w:t>
      </w:r>
      <w:r w:rsidR="008B0C3F" w:rsidRPr="00C8674E">
        <w:rPr>
          <w:szCs w:val="24"/>
        </w:rPr>
        <w:t>f</w:t>
      </w:r>
      <w:r w:rsidRPr="00C8674E">
        <w:rPr>
          <w:szCs w:val="24"/>
        </w:rPr>
        <w:t>acility are summarized in the following table:</w:t>
      </w:r>
    </w:p>
    <w:p w14:paraId="5B6EF715" w14:textId="77777777" w:rsidR="005A2FDF" w:rsidRPr="00C8674E" w:rsidRDefault="005A2FDF" w:rsidP="00515DFB">
      <w:pPr>
        <w:keepNext/>
        <w:rPr>
          <w:szCs w:val="24"/>
        </w:rPr>
      </w:pPr>
    </w:p>
    <w:p w14:paraId="5B6EF728" w14:textId="77777777" w:rsidR="005A2FDF" w:rsidRPr="00C8674E" w:rsidRDefault="005A2FDF">
      <w:pPr>
        <w:rPr>
          <w:szCs w:val="24"/>
        </w:rPr>
      </w:pPr>
    </w:p>
    <w:p w14:paraId="5B6EF729" w14:textId="77777777" w:rsidR="005A2FDF" w:rsidRPr="00C8674E" w:rsidRDefault="005A2FDF">
      <w:pPr>
        <w:rPr>
          <w:szCs w:val="24"/>
        </w:rPr>
      </w:pPr>
    </w:p>
    <w:tbl>
      <w:tblPr>
        <w:tblW w:w="0" w:type="auto"/>
        <w:tblInd w:w="28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1890"/>
      </w:tblGrid>
      <w:tr w:rsidR="00B748B9" w:rsidRPr="00B748B9" w14:paraId="07810942" w14:textId="77777777" w:rsidTr="00D66205">
        <w:tc>
          <w:tcPr>
            <w:tcW w:w="1620" w:type="dxa"/>
            <w:tcBorders>
              <w:top w:val="double" w:sz="4" w:space="0" w:color="auto"/>
              <w:left w:val="double" w:sz="4" w:space="0" w:color="auto"/>
              <w:bottom w:val="double" w:sz="4" w:space="0" w:color="auto"/>
            </w:tcBorders>
            <w:shd w:val="clear" w:color="auto" w:fill="FFFFFF"/>
          </w:tcPr>
          <w:p w14:paraId="6997AC15" w14:textId="77777777" w:rsidR="00B748B9" w:rsidRPr="00B748B9" w:rsidRDefault="00B748B9" w:rsidP="00B748B9">
            <w:pPr>
              <w:jc w:val="center"/>
              <w:rPr>
                <w:b/>
              </w:rPr>
            </w:pPr>
            <w:r w:rsidRPr="00B748B9">
              <w:rPr>
                <w:b/>
              </w:rPr>
              <w:t>Emissions Unit ID</w:t>
            </w:r>
          </w:p>
        </w:tc>
        <w:tc>
          <w:tcPr>
            <w:tcW w:w="1890" w:type="dxa"/>
            <w:tcBorders>
              <w:top w:val="double" w:sz="4" w:space="0" w:color="auto"/>
              <w:bottom w:val="double" w:sz="4" w:space="0" w:color="auto"/>
              <w:right w:val="double" w:sz="4" w:space="0" w:color="auto"/>
            </w:tcBorders>
            <w:shd w:val="clear" w:color="auto" w:fill="FFFFFF"/>
          </w:tcPr>
          <w:p w14:paraId="7AB1867B" w14:textId="77777777" w:rsidR="00B748B9" w:rsidRPr="00B748B9" w:rsidRDefault="00B748B9" w:rsidP="00B748B9">
            <w:pPr>
              <w:jc w:val="center"/>
              <w:rPr>
                <w:b/>
              </w:rPr>
            </w:pPr>
            <w:r w:rsidRPr="00B748B9">
              <w:rPr>
                <w:b/>
              </w:rPr>
              <w:t>Description</w:t>
            </w:r>
          </w:p>
        </w:tc>
      </w:tr>
      <w:tr w:rsidR="00B748B9" w:rsidRPr="00B748B9" w14:paraId="5B8978CC" w14:textId="77777777" w:rsidTr="00D66205">
        <w:tc>
          <w:tcPr>
            <w:tcW w:w="1620" w:type="dxa"/>
            <w:tcBorders>
              <w:top w:val="double" w:sz="4" w:space="0" w:color="auto"/>
              <w:left w:val="double" w:sz="4" w:space="0" w:color="auto"/>
            </w:tcBorders>
          </w:tcPr>
          <w:p w14:paraId="7C4CE417" w14:textId="77777777" w:rsidR="00B748B9" w:rsidRPr="00B748B9" w:rsidRDefault="00B748B9" w:rsidP="00B748B9">
            <w:pPr>
              <w:jc w:val="center"/>
            </w:pPr>
            <w:r w:rsidRPr="00B748B9">
              <w:t>IEU001</w:t>
            </w:r>
          </w:p>
        </w:tc>
        <w:tc>
          <w:tcPr>
            <w:tcW w:w="1890" w:type="dxa"/>
            <w:tcBorders>
              <w:top w:val="double" w:sz="4" w:space="0" w:color="auto"/>
              <w:right w:val="double" w:sz="4" w:space="0" w:color="auto"/>
            </w:tcBorders>
          </w:tcPr>
          <w:p w14:paraId="2CD7529F" w14:textId="77777777" w:rsidR="00B748B9" w:rsidRPr="00B748B9" w:rsidRDefault="00B748B9" w:rsidP="00B748B9">
            <w:pPr>
              <w:jc w:val="center"/>
            </w:pPr>
            <w:r w:rsidRPr="00B748B9">
              <w:t>Lime Kiln</w:t>
            </w:r>
          </w:p>
        </w:tc>
      </w:tr>
      <w:tr w:rsidR="00B748B9" w:rsidRPr="00B748B9" w14:paraId="05FFE4DB" w14:textId="77777777" w:rsidTr="00D66205">
        <w:tc>
          <w:tcPr>
            <w:tcW w:w="1620" w:type="dxa"/>
            <w:tcBorders>
              <w:left w:val="double" w:sz="4" w:space="0" w:color="auto"/>
            </w:tcBorders>
          </w:tcPr>
          <w:p w14:paraId="43EC1E8C" w14:textId="77777777" w:rsidR="00B748B9" w:rsidRPr="00B748B9" w:rsidRDefault="00B748B9" w:rsidP="00B748B9">
            <w:pPr>
              <w:jc w:val="center"/>
            </w:pPr>
            <w:r w:rsidRPr="00B748B9">
              <w:t>IEU002</w:t>
            </w:r>
          </w:p>
        </w:tc>
        <w:tc>
          <w:tcPr>
            <w:tcW w:w="1890" w:type="dxa"/>
            <w:tcBorders>
              <w:right w:val="double" w:sz="4" w:space="0" w:color="auto"/>
            </w:tcBorders>
          </w:tcPr>
          <w:p w14:paraId="545CC50A" w14:textId="24AD324E" w:rsidR="00B748B9" w:rsidRPr="00B748B9" w:rsidRDefault="00B748B9" w:rsidP="00B748B9">
            <w:pPr>
              <w:jc w:val="center"/>
            </w:pPr>
            <w:r w:rsidRPr="00B748B9">
              <w:t>Limestone Handling</w:t>
            </w:r>
          </w:p>
        </w:tc>
      </w:tr>
      <w:tr w:rsidR="00B748B9" w:rsidRPr="00B748B9" w14:paraId="59BAD8C1" w14:textId="77777777" w:rsidTr="00D66205">
        <w:tc>
          <w:tcPr>
            <w:tcW w:w="1620" w:type="dxa"/>
            <w:tcBorders>
              <w:left w:val="double" w:sz="4" w:space="0" w:color="auto"/>
            </w:tcBorders>
          </w:tcPr>
          <w:p w14:paraId="44FB5F54" w14:textId="77777777" w:rsidR="00B748B9" w:rsidRPr="00B748B9" w:rsidRDefault="00B748B9" w:rsidP="00B748B9">
            <w:pPr>
              <w:jc w:val="center"/>
            </w:pPr>
            <w:r w:rsidRPr="00B748B9">
              <w:t>IEU003</w:t>
            </w:r>
          </w:p>
        </w:tc>
        <w:tc>
          <w:tcPr>
            <w:tcW w:w="1890" w:type="dxa"/>
            <w:tcBorders>
              <w:right w:val="double" w:sz="4" w:space="0" w:color="auto"/>
            </w:tcBorders>
          </w:tcPr>
          <w:p w14:paraId="7A84F513" w14:textId="0A720CCC" w:rsidR="00B748B9" w:rsidRPr="00B748B9" w:rsidRDefault="00B748B9" w:rsidP="00B748B9">
            <w:pPr>
              <w:jc w:val="center"/>
            </w:pPr>
            <w:r w:rsidRPr="00B748B9">
              <w:t>Coke Handling</w:t>
            </w:r>
          </w:p>
        </w:tc>
      </w:tr>
      <w:tr w:rsidR="00B748B9" w:rsidRPr="00B748B9" w14:paraId="4C625C5E" w14:textId="77777777" w:rsidTr="00D66205">
        <w:tc>
          <w:tcPr>
            <w:tcW w:w="1620" w:type="dxa"/>
            <w:tcBorders>
              <w:left w:val="double" w:sz="4" w:space="0" w:color="auto"/>
            </w:tcBorders>
          </w:tcPr>
          <w:p w14:paraId="701A51E1" w14:textId="77777777" w:rsidR="00B748B9" w:rsidRPr="00B748B9" w:rsidRDefault="00B748B9" w:rsidP="00B748B9">
            <w:pPr>
              <w:jc w:val="center"/>
            </w:pPr>
            <w:r w:rsidRPr="00B748B9">
              <w:t>IEU004</w:t>
            </w:r>
          </w:p>
        </w:tc>
        <w:tc>
          <w:tcPr>
            <w:tcW w:w="1890" w:type="dxa"/>
            <w:tcBorders>
              <w:bottom w:val="double" w:sz="4" w:space="0" w:color="auto"/>
              <w:right w:val="double" w:sz="4" w:space="0" w:color="auto"/>
            </w:tcBorders>
          </w:tcPr>
          <w:p w14:paraId="3CC428EA" w14:textId="5461A734" w:rsidR="00B748B9" w:rsidRPr="00B748B9" w:rsidRDefault="00B748B9" w:rsidP="00B748B9">
            <w:pPr>
              <w:jc w:val="center"/>
            </w:pPr>
            <w:r w:rsidRPr="00B748B9">
              <w:t>Sulfur Stoves (2)</w:t>
            </w:r>
          </w:p>
        </w:tc>
      </w:tr>
      <w:tr w:rsidR="00B748B9" w:rsidRPr="00B748B9" w14:paraId="35400516" w14:textId="77777777" w:rsidTr="00D66205">
        <w:tc>
          <w:tcPr>
            <w:tcW w:w="1620" w:type="dxa"/>
            <w:tcBorders>
              <w:left w:val="double" w:sz="4" w:space="0" w:color="auto"/>
            </w:tcBorders>
          </w:tcPr>
          <w:p w14:paraId="747E674C" w14:textId="77777777" w:rsidR="00B748B9" w:rsidRPr="00B748B9" w:rsidRDefault="00B748B9" w:rsidP="00B748B9">
            <w:pPr>
              <w:jc w:val="center"/>
            </w:pPr>
            <w:r w:rsidRPr="00B748B9">
              <w:t>IEU005</w:t>
            </w:r>
          </w:p>
        </w:tc>
        <w:tc>
          <w:tcPr>
            <w:tcW w:w="1890" w:type="dxa"/>
            <w:tcBorders>
              <w:right w:val="double" w:sz="4" w:space="0" w:color="auto"/>
            </w:tcBorders>
          </w:tcPr>
          <w:p w14:paraId="304DD70E" w14:textId="41585F77" w:rsidR="00B748B9" w:rsidRPr="00B748B9" w:rsidRDefault="00B748B9" w:rsidP="00B748B9">
            <w:pPr>
              <w:jc w:val="center"/>
            </w:pPr>
            <w:r w:rsidRPr="00B748B9">
              <w:t>6</w:t>
            </w:r>
            <w:r w:rsidRPr="00B748B9">
              <w:rPr>
                <w:vertAlign w:val="superscript"/>
              </w:rPr>
              <w:t>th</w:t>
            </w:r>
            <w:r w:rsidRPr="00B748B9">
              <w:t xml:space="preserve"> Floor Production Dust Collector</w:t>
            </w:r>
          </w:p>
        </w:tc>
      </w:tr>
      <w:tr w:rsidR="00B748B9" w:rsidRPr="00B748B9" w14:paraId="7C78B160" w14:textId="77777777" w:rsidTr="00D66205">
        <w:tc>
          <w:tcPr>
            <w:tcW w:w="1620" w:type="dxa"/>
            <w:tcBorders>
              <w:left w:val="double" w:sz="4" w:space="0" w:color="auto"/>
            </w:tcBorders>
          </w:tcPr>
          <w:p w14:paraId="740FDE07" w14:textId="77777777" w:rsidR="00B748B9" w:rsidRPr="00B748B9" w:rsidRDefault="00B748B9" w:rsidP="00B748B9">
            <w:pPr>
              <w:jc w:val="center"/>
            </w:pPr>
            <w:r w:rsidRPr="00B748B9">
              <w:t>IEU006</w:t>
            </w:r>
          </w:p>
        </w:tc>
        <w:tc>
          <w:tcPr>
            <w:tcW w:w="1890" w:type="dxa"/>
            <w:tcBorders>
              <w:right w:val="double" w:sz="4" w:space="0" w:color="auto"/>
            </w:tcBorders>
          </w:tcPr>
          <w:p w14:paraId="1FC5A5DC" w14:textId="77777777" w:rsidR="00B748B9" w:rsidRPr="00B748B9" w:rsidRDefault="00B748B9" w:rsidP="00B748B9">
            <w:pPr>
              <w:jc w:val="center"/>
            </w:pPr>
            <w:r w:rsidRPr="00B748B9">
              <w:t>Warehouse Dust Collector</w:t>
            </w:r>
          </w:p>
        </w:tc>
      </w:tr>
      <w:tr w:rsidR="00B748B9" w:rsidRPr="00B748B9" w14:paraId="4A47721C" w14:textId="77777777" w:rsidTr="00D66205">
        <w:tc>
          <w:tcPr>
            <w:tcW w:w="1620" w:type="dxa"/>
            <w:tcBorders>
              <w:left w:val="double" w:sz="4" w:space="0" w:color="auto"/>
            </w:tcBorders>
          </w:tcPr>
          <w:p w14:paraId="3D39A284" w14:textId="77777777" w:rsidR="00B748B9" w:rsidRPr="00B748B9" w:rsidRDefault="00B748B9" w:rsidP="00B748B9">
            <w:pPr>
              <w:jc w:val="center"/>
            </w:pPr>
            <w:r w:rsidRPr="00B748B9">
              <w:t>IEU007</w:t>
            </w:r>
          </w:p>
        </w:tc>
        <w:tc>
          <w:tcPr>
            <w:tcW w:w="1890" w:type="dxa"/>
            <w:tcBorders>
              <w:right w:val="double" w:sz="4" w:space="0" w:color="auto"/>
            </w:tcBorders>
          </w:tcPr>
          <w:p w14:paraId="671C787E" w14:textId="77777777" w:rsidR="00B748B9" w:rsidRPr="00B748B9" w:rsidRDefault="00B748B9" w:rsidP="00B748B9">
            <w:pPr>
              <w:jc w:val="center"/>
            </w:pPr>
            <w:r w:rsidRPr="00B748B9">
              <w:t>North Warehouse Dust Collector</w:t>
            </w:r>
          </w:p>
        </w:tc>
      </w:tr>
      <w:tr w:rsidR="00B748B9" w:rsidRPr="00B748B9" w14:paraId="079F0832" w14:textId="77777777" w:rsidTr="00D66205">
        <w:tc>
          <w:tcPr>
            <w:tcW w:w="1620" w:type="dxa"/>
            <w:tcBorders>
              <w:left w:val="double" w:sz="4" w:space="0" w:color="auto"/>
            </w:tcBorders>
          </w:tcPr>
          <w:p w14:paraId="31F16B13" w14:textId="77777777" w:rsidR="00B748B9" w:rsidRPr="00B748B9" w:rsidRDefault="00B748B9" w:rsidP="00B748B9">
            <w:pPr>
              <w:jc w:val="center"/>
            </w:pPr>
            <w:r w:rsidRPr="00B748B9">
              <w:t>IEU008</w:t>
            </w:r>
          </w:p>
        </w:tc>
        <w:tc>
          <w:tcPr>
            <w:tcW w:w="1890" w:type="dxa"/>
            <w:tcBorders>
              <w:right w:val="double" w:sz="4" w:space="0" w:color="auto"/>
            </w:tcBorders>
          </w:tcPr>
          <w:p w14:paraId="15A575A5" w14:textId="77777777" w:rsidR="00B748B9" w:rsidRPr="00B748B9" w:rsidRDefault="00B748B9" w:rsidP="00B748B9">
            <w:pPr>
              <w:jc w:val="center"/>
            </w:pPr>
            <w:r w:rsidRPr="00B748B9">
              <w:t>West Granulator Dust Collector</w:t>
            </w:r>
          </w:p>
        </w:tc>
      </w:tr>
      <w:tr w:rsidR="00B748B9" w:rsidRPr="00B748B9" w14:paraId="1B484185" w14:textId="77777777" w:rsidTr="00D66205">
        <w:tc>
          <w:tcPr>
            <w:tcW w:w="1620" w:type="dxa"/>
            <w:tcBorders>
              <w:left w:val="double" w:sz="4" w:space="0" w:color="auto"/>
            </w:tcBorders>
          </w:tcPr>
          <w:p w14:paraId="7B0A240D" w14:textId="77777777" w:rsidR="00B748B9" w:rsidRPr="00B748B9" w:rsidRDefault="00B748B9" w:rsidP="00B748B9">
            <w:pPr>
              <w:jc w:val="center"/>
            </w:pPr>
            <w:r w:rsidRPr="00B748B9">
              <w:t>IEU009</w:t>
            </w:r>
          </w:p>
        </w:tc>
        <w:tc>
          <w:tcPr>
            <w:tcW w:w="1890" w:type="dxa"/>
            <w:tcBorders>
              <w:right w:val="double" w:sz="4" w:space="0" w:color="auto"/>
            </w:tcBorders>
          </w:tcPr>
          <w:p w14:paraId="4F160846" w14:textId="3EE77650" w:rsidR="00B748B9" w:rsidRPr="00B748B9" w:rsidRDefault="007A3E2C" w:rsidP="00B748B9">
            <w:pPr>
              <w:jc w:val="center"/>
            </w:pPr>
            <w:r>
              <w:t>Diesel Trackmobile</w:t>
            </w:r>
          </w:p>
        </w:tc>
      </w:tr>
      <w:tr w:rsidR="00B748B9" w:rsidRPr="00B748B9" w14:paraId="14D4C609" w14:textId="77777777" w:rsidTr="00D66205">
        <w:tc>
          <w:tcPr>
            <w:tcW w:w="1620" w:type="dxa"/>
            <w:tcBorders>
              <w:left w:val="double" w:sz="4" w:space="0" w:color="auto"/>
            </w:tcBorders>
          </w:tcPr>
          <w:p w14:paraId="3E0647DC" w14:textId="77777777" w:rsidR="00B748B9" w:rsidRPr="00B748B9" w:rsidRDefault="00B748B9" w:rsidP="00B748B9">
            <w:pPr>
              <w:jc w:val="center"/>
            </w:pPr>
            <w:r w:rsidRPr="00B748B9">
              <w:t>IEU010</w:t>
            </w:r>
          </w:p>
        </w:tc>
        <w:tc>
          <w:tcPr>
            <w:tcW w:w="1890" w:type="dxa"/>
            <w:tcBorders>
              <w:right w:val="double" w:sz="4" w:space="0" w:color="auto"/>
            </w:tcBorders>
          </w:tcPr>
          <w:p w14:paraId="11FF93C6" w14:textId="77777777" w:rsidR="00B748B9" w:rsidRPr="00B748B9" w:rsidRDefault="00B748B9" w:rsidP="00B748B9">
            <w:pPr>
              <w:jc w:val="center"/>
            </w:pPr>
            <w:r w:rsidRPr="00B748B9">
              <w:t>Miscellaneous Diesel Combustion Sources</w:t>
            </w:r>
          </w:p>
        </w:tc>
      </w:tr>
      <w:tr w:rsidR="00B748B9" w:rsidRPr="00B748B9" w14:paraId="5090CA9E" w14:textId="77777777" w:rsidTr="00D66205">
        <w:tc>
          <w:tcPr>
            <w:tcW w:w="1620" w:type="dxa"/>
            <w:tcBorders>
              <w:left w:val="double" w:sz="4" w:space="0" w:color="auto"/>
            </w:tcBorders>
          </w:tcPr>
          <w:p w14:paraId="41BDF61A" w14:textId="77777777" w:rsidR="00B748B9" w:rsidRPr="00B748B9" w:rsidRDefault="00B748B9" w:rsidP="00B748B9">
            <w:pPr>
              <w:jc w:val="center"/>
            </w:pPr>
            <w:r w:rsidRPr="00B748B9">
              <w:t>IEU011</w:t>
            </w:r>
          </w:p>
        </w:tc>
        <w:tc>
          <w:tcPr>
            <w:tcW w:w="1890" w:type="dxa"/>
            <w:tcBorders>
              <w:right w:val="double" w:sz="4" w:space="0" w:color="auto"/>
            </w:tcBorders>
          </w:tcPr>
          <w:p w14:paraId="2F970B14" w14:textId="77777777" w:rsidR="00B748B9" w:rsidRPr="00B748B9" w:rsidRDefault="00B748B9" w:rsidP="00B748B9">
            <w:pPr>
              <w:jc w:val="center"/>
            </w:pPr>
            <w:r w:rsidRPr="00B748B9">
              <w:t>Natural Gas Space Heater(s)</w:t>
            </w:r>
          </w:p>
        </w:tc>
      </w:tr>
      <w:tr w:rsidR="00B748B9" w:rsidRPr="00B748B9" w14:paraId="226F27A2" w14:textId="77777777" w:rsidTr="00D66205">
        <w:tc>
          <w:tcPr>
            <w:tcW w:w="1620" w:type="dxa"/>
            <w:tcBorders>
              <w:left w:val="double" w:sz="4" w:space="0" w:color="auto"/>
              <w:bottom w:val="double" w:sz="4" w:space="0" w:color="auto"/>
            </w:tcBorders>
          </w:tcPr>
          <w:p w14:paraId="5DB9ECC2" w14:textId="77777777" w:rsidR="00B748B9" w:rsidRPr="00B748B9" w:rsidRDefault="00B748B9" w:rsidP="00B748B9">
            <w:pPr>
              <w:jc w:val="center"/>
            </w:pPr>
          </w:p>
        </w:tc>
        <w:tc>
          <w:tcPr>
            <w:tcW w:w="1890" w:type="dxa"/>
            <w:tcBorders>
              <w:bottom w:val="double" w:sz="4" w:space="0" w:color="auto"/>
              <w:right w:val="double" w:sz="4" w:space="0" w:color="auto"/>
            </w:tcBorders>
          </w:tcPr>
          <w:p w14:paraId="40BCB4C1" w14:textId="77777777" w:rsidR="00B748B9" w:rsidRPr="00B748B9" w:rsidRDefault="00B748B9" w:rsidP="00B748B9">
            <w:pPr>
              <w:jc w:val="center"/>
            </w:pPr>
          </w:p>
        </w:tc>
      </w:tr>
    </w:tbl>
    <w:p w14:paraId="5B6EF72A" w14:textId="77777777" w:rsidR="00C8674E" w:rsidRDefault="005A2FDF" w:rsidP="00C8674E">
      <w:pPr>
        <w:pStyle w:val="Heading1"/>
        <w:rPr>
          <w:szCs w:val="24"/>
        </w:rPr>
      </w:pPr>
      <w:r w:rsidRPr="00C8674E">
        <w:rPr>
          <w:szCs w:val="24"/>
        </w:rPr>
        <w:br w:type="page"/>
      </w:r>
    </w:p>
    <w:p w14:paraId="5B6EF72B" w14:textId="77777777" w:rsidR="005A2FDF" w:rsidRPr="00C8674E" w:rsidRDefault="005A2FDF" w:rsidP="00C8674E">
      <w:pPr>
        <w:pStyle w:val="Heading1"/>
        <w:rPr>
          <w:szCs w:val="24"/>
        </w:rPr>
      </w:pPr>
      <w:r w:rsidRPr="00C8674E">
        <w:rPr>
          <w:szCs w:val="24"/>
        </w:rPr>
        <w:lastRenderedPageBreak/>
        <w:t xml:space="preserve">  </w:t>
      </w:r>
      <w:bookmarkStart w:id="13" w:name="_Toc14435661"/>
      <w:r w:rsidRPr="00C8674E">
        <w:rPr>
          <w:szCs w:val="24"/>
        </w:rPr>
        <w:t>PERMIT CONDITIONS</w:t>
      </w:r>
      <w:bookmarkEnd w:id="13"/>
    </w:p>
    <w:p w14:paraId="5B6EF72C" w14:textId="77777777" w:rsidR="005A2FDF" w:rsidRPr="00C8674E" w:rsidRDefault="005A2FDF">
      <w:pPr>
        <w:rPr>
          <w:szCs w:val="24"/>
        </w:rPr>
      </w:pPr>
    </w:p>
    <w:p w14:paraId="5B6EF72D" w14:textId="77777777" w:rsidR="005A2FDF" w:rsidRPr="00456FCB" w:rsidRDefault="005A2FDF" w:rsidP="00456FCB">
      <w:pPr>
        <w:pStyle w:val="Heading2"/>
      </w:pPr>
      <w:bookmarkStart w:id="14" w:name="_Toc14435662"/>
      <w:r w:rsidRPr="00456FCB">
        <w:t>Emission Limits and Standards</w:t>
      </w:r>
      <w:bookmarkEnd w:id="14"/>
    </w:p>
    <w:p w14:paraId="5B6EF72E" w14:textId="77777777" w:rsidR="005A2FDF" w:rsidRPr="00C8674E" w:rsidRDefault="005A2FDF">
      <w:pPr>
        <w:rPr>
          <w:szCs w:val="24"/>
        </w:rPr>
      </w:pPr>
    </w:p>
    <w:p w14:paraId="5B6EF72F" w14:textId="56764548" w:rsidR="005A2FDF" w:rsidRPr="00C8674E" w:rsidRDefault="005A2FDF">
      <w:pPr>
        <w:ind w:left="360"/>
        <w:rPr>
          <w:szCs w:val="24"/>
        </w:rPr>
      </w:pPr>
      <w:r w:rsidRPr="004632DF">
        <w:rPr>
          <w:szCs w:val="24"/>
        </w:rPr>
        <w:t>Emission limits and standards for Operating Permit #OP2912-</w:t>
      </w:r>
      <w:r w:rsidR="00C529C0" w:rsidRPr="004632DF">
        <w:rPr>
          <w:szCs w:val="24"/>
        </w:rPr>
        <w:t>10</w:t>
      </w:r>
      <w:r w:rsidR="00D95072" w:rsidRPr="004632DF">
        <w:rPr>
          <w:szCs w:val="24"/>
        </w:rPr>
        <w:t xml:space="preserve"> </w:t>
      </w:r>
      <w:r w:rsidRPr="004632DF">
        <w:rPr>
          <w:szCs w:val="24"/>
        </w:rPr>
        <w:t xml:space="preserve">were established from the limits and standards contained in </w:t>
      </w:r>
      <w:r w:rsidR="008B0C3F" w:rsidRPr="004632DF">
        <w:rPr>
          <w:szCs w:val="24"/>
        </w:rPr>
        <w:t>WSC</w:t>
      </w:r>
      <w:r w:rsidRPr="004632DF">
        <w:rPr>
          <w:szCs w:val="24"/>
        </w:rPr>
        <w:t xml:space="preserve">’s </w:t>
      </w:r>
      <w:r w:rsidR="008B0C3F" w:rsidRPr="004632DF">
        <w:rPr>
          <w:szCs w:val="24"/>
        </w:rPr>
        <w:t>MAQP</w:t>
      </w:r>
      <w:r w:rsidRPr="004632DF">
        <w:rPr>
          <w:szCs w:val="24"/>
        </w:rPr>
        <w:t xml:space="preserve"> #2912</w:t>
      </w:r>
      <w:r w:rsidR="00C91DD2" w:rsidRPr="004632DF">
        <w:rPr>
          <w:szCs w:val="24"/>
        </w:rPr>
        <w:t>-0</w:t>
      </w:r>
      <w:r w:rsidR="00C529C0" w:rsidRPr="004632DF">
        <w:rPr>
          <w:szCs w:val="24"/>
        </w:rPr>
        <w:t>5</w:t>
      </w:r>
      <w:r w:rsidRPr="004632DF">
        <w:rPr>
          <w:szCs w:val="24"/>
        </w:rPr>
        <w:t xml:space="preserve"> and the </w:t>
      </w:r>
      <w:r w:rsidR="000C4BF5" w:rsidRPr="004632DF">
        <w:rPr>
          <w:szCs w:val="24"/>
        </w:rPr>
        <w:t xml:space="preserve">2025 </w:t>
      </w:r>
      <w:r w:rsidRPr="004632DF">
        <w:rPr>
          <w:szCs w:val="24"/>
        </w:rPr>
        <w:t>S</w:t>
      </w:r>
      <w:r w:rsidR="00B3463B" w:rsidRPr="004632DF">
        <w:rPr>
          <w:szCs w:val="24"/>
        </w:rPr>
        <w:t>tipulation</w:t>
      </w:r>
      <w:r w:rsidRPr="004632DF">
        <w:rPr>
          <w:szCs w:val="24"/>
        </w:rPr>
        <w:t xml:space="preserve"> </w:t>
      </w:r>
      <w:r w:rsidR="00B3463B" w:rsidRPr="004632DF">
        <w:rPr>
          <w:szCs w:val="24"/>
        </w:rPr>
        <w:t>update</w:t>
      </w:r>
      <w:r w:rsidRPr="004632DF">
        <w:rPr>
          <w:szCs w:val="24"/>
        </w:rPr>
        <w:t xml:space="preserve"> between </w:t>
      </w:r>
      <w:r w:rsidR="00D4457C" w:rsidRPr="004632DF">
        <w:rPr>
          <w:szCs w:val="24"/>
        </w:rPr>
        <w:t>DEQ</w:t>
      </w:r>
      <w:r w:rsidR="000C4BF5" w:rsidRPr="004632DF">
        <w:rPr>
          <w:szCs w:val="24"/>
        </w:rPr>
        <w:t>, EPA,</w:t>
      </w:r>
      <w:r w:rsidRPr="004632DF">
        <w:rPr>
          <w:szCs w:val="24"/>
        </w:rPr>
        <w:t xml:space="preserve"> and </w:t>
      </w:r>
      <w:r w:rsidR="008B0C3F" w:rsidRPr="004632DF">
        <w:rPr>
          <w:szCs w:val="24"/>
        </w:rPr>
        <w:t>WSC</w:t>
      </w:r>
      <w:r w:rsidRPr="004632DF">
        <w:rPr>
          <w:szCs w:val="24"/>
        </w:rPr>
        <w:t xml:space="preserve">.  The September 1979 Stipulation modified the sulfur in fuel rule for </w:t>
      </w:r>
      <w:r w:rsidR="008B0C3F" w:rsidRPr="004632DF">
        <w:rPr>
          <w:szCs w:val="24"/>
        </w:rPr>
        <w:t>WSC</w:t>
      </w:r>
      <w:r w:rsidRPr="004632DF">
        <w:rPr>
          <w:szCs w:val="24"/>
        </w:rPr>
        <w:t>.  Citing of the modified rule is not listed under each unit, but rather can be found in Section III.A - Facility Wide of the permit.  Compliance demonstrations for each unit are listed in a specific section for that unit (i.e. fuel analysis, or by burning of natural gas).</w:t>
      </w:r>
    </w:p>
    <w:p w14:paraId="5B6EF730" w14:textId="77777777" w:rsidR="005A2FDF" w:rsidRPr="00456FCB" w:rsidRDefault="005A2FDF">
      <w:pPr>
        <w:rPr>
          <w:szCs w:val="24"/>
        </w:rPr>
      </w:pPr>
    </w:p>
    <w:p w14:paraId="5B6EF731" w14:textId="77777777" w:rsidR="005A2FDF" w:rsidRPr="00456FCB" w:rsidRDefault="005A2FDF" w:rsidP="00456FCB">
      <w:pPr>
        <w:pStyle w:val="Heading2"/>
      </w:pPr>
      <w:bookmarkStart w:id="15" w:name="_Toc14435663"/>
      <w:r w:rsidRPr="00456FCB">
        <w:t>Monitoring Requirements</w:t>
      </w:r>
      <w:bookmarkEnd w:id="15"/>
    </w:p>
    <w:p w14:paraId="5B6EF732" w14:textId="77777777" w:rsidR="005A2FDF" w:rsidRPr="00C8674E" w:rsidRDefault="005A2FDF" w:rsidP="00456FCB">
      <w:pPr>
        <w:pStyle w:val="Heading2"/>
        <w:numPr>
          <w:ilvl w:val="0"/>
          <w:numId w:val="0"/>
        </w:numPr>
      </w:pPr>
    </w:p>
    <w:p w14:paraId="5B6EF733" w14:textId="77777777" w:rsidR="005A2FDF" w:rsidRPr="00C8674E" w:rsidRDefault="005A2FDF">
      <w:pPr>
        <w:pStyle w:val="BodyText"/>
        <w:ind w:left="360"/>
        <w:rPr>
          <w:rFonts w:ascii="Garamond" w:hAnsi="Garamond"/>
          <w:sz w:val="24"/>
          <w:szCs w:val="24"/>
        </w:rPr>
      </w:pPr>
      <w:r w:rsidRPr="00C8674E">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proofErr w:type="gramStart"/>
      <w:r w:rsidRPr="00C8674E">
        <w:rPr>
          <w:rFonts w:ascii="Garamond" w:hAnsi="Garamond"/>
          <w:sz w:val="24"/>
          <w:szCs w:val="24"/>
        </w:rPr>
        <w:t>time period</w:t>
      </w:r>
      <w:proofErr w:type="gramEnd"/>
      <w:r w:rsidRPr="00C8674E">
        <w:rPr>
          <w:rFonts w:ascii="Garamond" w:hAnsi="Garamond"/>
          <w:sz w:val="24"/>
          <w:szCs w:val="24"/>
        </w:rPr>
        <w:t xml:space="preserve"> that is representative of the source's compliance with the permit.</w:t>
      </w:r>
    </w:p>
    <w:p w14:paraId="5B6EF734" w14:textId="77777777" w:rsidR="005A2FDF" w:rsidRPr="00C8674E" w:rsidRDefault="005A2FDF">
      <w:pPr>
        <w:rPr>
          <w:szCs w:val="24"/>
        </w:rPr>
      </w:pPr>
    </w:p>
    <w:p w14:paraId="5B6EF735" w14:textId="77777777" w:rsidR="005A2FDF" w:rsidRPr="00C8674E" w:rsidRDefault="005A2FDF">
      <w:pPr>
        <w:ind w:left="360"/>
        <w:rPr>
          <w:szCs w:val="24"/>
        </w:rPr>
      </w:pPr>
      <w:r w:rsidRPr="00C8674E">
        <w:rPr>
          <w:szCs w:val="24"/>
        </w:rPr>
        <w:t xml:space="preserve">The requirements for testing, monitoring, recordkeeping, reporting, and compliance certification sufficient to assure compliance does not require the permit to impose the same level of rigor for all emission units.  Furthermore, </w:t>
      </w:r>
      <w:r w:rsidR="00C91DD2" w:rsidRPr="00C8674E">
        <w:rPr>
          <w:szCs w:val="24"/>
        </w:rPr>
        <w:t>they do</w:t>
      </w:r>
      <w:r w:rsidRPr="00C8674E">
        <w:rPr>
          <w:szCs w:val="24"/>
        </w:rPr>
        <w:t xml:space="preserve"> not require extensive testing or monitoring to assure compliance with the applicable requirements for emission</w:t>
      </w:r>
      <w:r w:rsidR="00C91DD2" w:rsidRPr="00C8674E">
        <w:rPr>
          <w:szCs w:val="24"/>
        </w:rPr>
        <w:t>s</w:t>
      </w:r>
      <w:r w:rsidRPr="00C8674E">
        <w:rPr>
          <w:szCs w:val="24"/>
        </w:rPr>
        <w:t xml:space="preserve"> units that do not have significant potential to violate emission limitations or other requirements under normal operating conditions.  When compliance with the underlying applicable requirement for an insignificant emissions unit is not threatened by lack of regular monitoring and when periodic testing or monitoring is not otherwise required by the applicable requirement, the status quo </w:t>
      </w:r>
      <w:r w:rsidRPr="00C8674E">
        <w:rPr>
          <w:b/>
          <w:szCs w:val="24"/>
        </w:rPr>
        <w:t>(i.e., no monitoring)</w:t>
      </w:r>
      <w:r w:rsidRPr="00C8674E">
        <w:rPr>
          <w:szCs w:val="24"/>
        </w:rPr>
        <w:t xml:space="preserve"> will meet the requirements of ARM 17.8.1212(1).  Therefore, the permit does not include monitoring for insignificant emission units.</w:t>
      </w:r>
    </w:p>
    <w:p w14:paraId="5B6EF736" w14:textId="77777777" w:rsidR="005A2FDF" w:rsidRPr="00C8674E" w:rsidRDefault="005A2FDF">
      <w:pPr>
        <w:rPr>
          <w:szCs w:val="24"/>
        </w:rPr>
      </w:pPr>
    </w:p>
    <w:p w14:paraId="5B6EF737" w14:textId="2E81B77C" w:rsidR="005A2FDF" w:rsidRPr="00C8674E" w:rsidRDefault="005A2FDF">
      <w:pPr>
        <w:ind w:left="360"/>
        <w:rPr>
          <w:szCs w:val="24"/>
        </w:rPr>
      </w:pPr>
      <w:r w:rsidRPr="00C8674E">
        <w:rPr>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D4457C">
        <w:rPr>
          <w:szCs w:val="24"/>
        </w:rPr>
        <w:t>DEQ</w:t>
      </w:r>
      <w:r w:rsidRPr="00C8674E">
        <w:rPr>
          <w:szCs w:val="24"/>
        </w:rPr>
        <w:t xml:space="preserve"> may request additional testing to determine compliance with the emission limits and standards.</w:t>
      </w:r>
    </w:p>
    <w:p w14:paraId="5B6EF738" w14:textId="77777777" w:rsidR="005A2FDF" w:rsidRPr="00C8674E" w:rsidRDefault="005A2FDF">
      <w:pPr>
        <w:rPr>
          <w:szCs w:val="24"/>
        </w:rPr>
      </w:pPr>
    </w:p>
    <w:p w14:paraId="5B6EF739" w14:textId="77777777" w:rsidR="005A2FDF" w:rsidRPr="00456FCB" w:rsidRDefault="005A2FDF" w:rsidP="00456FCB">
      <w:pPr>
        <w:pStyle w:val="Heading2"/>
      </w:pPr>
      <w:bookmarkStart w:id="16" w:name="_Toc14435664"/>
      <w:r w:rsidRPr="00C8674E">
        <w:t>Test Methods and Procedures</w:t>
      </w:r>
      <w:bookmarkEnd w:id="16"/>
    </w:p>
    <w:p w14:paraId="5B6EF73A" w14:textId="77777777" w:rsidR="005A2FDF" w:rsidRPr="00C8674E" w:rsidRDefault="005A2FDF">
      <w:pPr>
        <w:rPr>
          <w:szCs w:val="24"/>
        </w:rPr>
      </w:pPr>
    </w:p>
    <w:p w14:paraId="5B6EF73B" w14:textId="6DD95E0D" w:rsidR="005A2FDF" w:rsidRPr="004632DF" w:rsidRDefault="005A2FDF">
      <w:pPr>
        <w:ind w:left="360"/>
        <w:rPr>
          <w:szCs w:val="24"/>
        </w:rPr>
      </w:pPr>
      <w:r w:rsidRPr="004632DF">
        <w:rPr>
          <w:szCs w:val="24"/>
        </w:rPr>
        <w:t xml:space="preserve">The operating permit may not require testing for all sources if routine monitoring is used to determine compliance, but </w:t>
      </w:r>
      <w:r w:rsidR="00D4457C" w:rsidRPr="004632DF">
        <w:rPr>
          <w:szCs w:val="24"/>
        </w:rPr>
        <w:t>DEQ</w:t>
      </w:r>
      <w:r w:rsidRPr="004632DF">
        <w:rPr>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5B6EF73C" w14:textId="77777777" w:rsidR="005A2FDF" w:rsidRPr="00C529C0" w:rsidRDefault="005A2FDF">
      <w:pPr>
        <w:rPr>
          <w:szCs w:val="24"/>
          <w:highlight w:val="yellow"/>
        </w:rPr>
      </w:pPr>
    </w:p>
    <w:p w14:paraId="5B6EF73D" w14:textId="5FAD8BEB" w:rsidR="005A2FDF" w:rsidRPr="004632DF" w:rsidRDefault="005A2FDF">
      <w:pPr>
        <w:ind w:left="360"/>
        <w:rPr>
          <w:szCs w:val="24"/>
        </w:rPr>
      </w:pPr>
      <w:r w:rsidRPr="004632DF">
        <w:rPr>
          <w:szCs w:val="24"/>
        </w:rPr>
        <w:t xml:space="preserve">Based on the schedule outlined in the </w:t>
      </w:r>
      <w:r w:rsidR="007446A4" w:rsidRPr="004632DF">
        <w:rPr>
          <w:szCs w:val="24"/>
        </w:rPr>
        <w:t>2026 SIP WSC</w:t>
      </w:r>
      <w:r w:rsidRPr="004632DF">
        <w:rPr>
          <w:szCs w:val="24"/>
        </w:rPr>
        <w:t xml:space="preserve"> must test the boiler house stack </w:t>
      </w:r>
      <w:r w:rsidR="004632DF" w:rsidRPr="004632DF">
        <w:rPr>
          <w:szCs w:val="24"/>
        </w:rPr>
        <w:t xml:space="preserve">for </w:t>
      </w:r>
      <w:r w:rsidRPr="004632DF">
        <w:rPr>
          <w:szCs w:val="24"/>
        </w:rPr>
        <w:t>sulfur dioxide (SO</w:t>
      </w:r>
      <w:r w:rsidRPr="004632DF">
        <w:rPr>
          <w:szCs w:val="24"/>
          <w:vertAlign w:val="subscript"/>
        </w:rPr>
        <w:t>2</w:t>
      </w:r>
      <w:r w:rsidRPr="004632DF">
        <w:rPr>
          <w:szCs w:val="24"/>
        </w:rPr>
        <w:t xml:space="preserve">) </w:t>
      </w:r>
      <w:r w:rsidR="004632DF" w:rsidRPr="004632DF">
        <w:rPr>
          <w:szCs w:val="24"/>
        </w:rPr>
        <w:t xml:space="preserve">emissions </w:t>
      </w:r>
      <w:r w:rsidRPr="004632DF">
        <w:rPr>
          <w:szCs w:val="24"/>
        </w:rPr>
        <w:t>during the campaign annually</w:t>
      </w:r>
      <w:r w:rsidR="004632DF" w:rsidRPr="004632DF">
        <w:rPr>
          <w:szCs w:val="24"/>
        </w:rPr>
        <w:t>.</w:t>
      </w:r>
      <w:r w:rsidRPr="004632DF">
        <w:rPr>
          <w:szCs w:val="24"/>
        </w:rPr>
        <w:t xml:space="preserve"> Based on </w:t>
      </w:r>
      <w:r w:rsidR="00D4457C" w:rsidRPr="004632DF">
        <w:rPr>
          <w:szCs w:val="24"/>
        </w:rPr>
        <w:t>DEQ</w:t>
      </w:r>
      <w:r w:rsidRPr="004632DF">
        <w:rPr>
          <w:szCs w:val="24"/>
        </w:rPr>
        <w:t xml:space="preserve">s policy, </w:t>
      </w:r>
      <w:r w:rsidR="00D758B9" w:rsidRPr="004632DF">
        <w:rPr>
          <w:szCs w:val="24"/>
        </w:rPr>
        <w:t>WSC</w:t>
      </w:r>
      <w:r w:rsidRPr="004632DF">
        <w:rPr>
          <w:szCs w:val="24"/>
        </w:rPr>
        <w:t xml:space="preserve"> must test the boiler house stack</w:t>
      </w:r>
      <w:r w:rsidR="007446A4" w:rsidRPr="004632DF">
        <w:rPr>
          <w:szCs w:val="24"/>
        </w:rPr>
        <w:t xml:space="preserve"> once during each campaign season,</w:t>
      </w:r>
      <w:r w:rsidRPr="004632DF">
        <w:rPr>
          <w:szCs w:val="24"/>
        </w:rPr>
        <w:t xml:space="preserve"> and the beet pulp dryer stacks for particulate matter every two years</w:t>
      </w:r>
      <w:r w:rsidR="004632DF" w:rsidRPr="004632DF">
        <w:rPr>
          <w:szCs w:val="24"/>
        </w:rPr>
        <w:t xml:space="preserve"> during the campaign season and</w:t>
      </w:r>
      <w:r w:rsidRPr="004632DF">
        <w:rPr>
          <w:szCs w:val="24"/>
        </w:rPr>
        <w:t xml:space="preserve"> opacity testing</w:t>
      </w:r>
      <w:r w:rsidR="004632DF" w:rsidRPr="004632DF">
        <w:rPr>
          <w:szCs w:val="24"/>
        </w:rPr>
        <w:t xml:space="preserve"> annually</w:t>
      </w:r>
      <w:r w:rsidRPr="004632DF">
        <w:rPr>
          <w:szCs w:val="24"/>
        </w:rPr>
        <w:t xml:space="preserve"> during each campaign.</w:t>
      </w:r>
    </w:p>
    <w:p w14:paraId="5B6EF73E" w14:textId="77777777" w:rsidR="005A2FDF" w:rsidRPr="004632DF" w:rsidRDefault="005A2FDF">
      <w:pPr>
        <w:rPr>
          <w:szCs w:val="24"/>
        </w:rPr>
      </w:pPr>
    </w:p>
    <w:p w14:paraId="5B6EF73F" w14:textId="1D6540FC" w:rsidR="005A2FDF" w:rsidRDefault="00D4457C">
      <w:pPr>
        <w:ind w:left="360"/>
        <w:rPr>
          <w:szCs w:val="24"/>
        </w:rPr>
      </w:pPr>
      <w:r w:rsidRPr="004632DF">
        <w:rPr>
          <w:szCs w:val="24"/>
        </w:rPr>
        <w:t>DEQ</w:t>
      </w:r>
      <w:r w:rsidR="005A2FDF" w:rsidRPr="004632DF">
        <w:rPr>
          <w:szCs w:val="24"/>
        </w:rPr>
        <w:t xml:space="preserve"> may require particulate testing for the Erie City and the Clever Brooks boilers as well as for the pellet mill/conveyor, pelletizer</w:t>
      </w:r>
      <w:r w:rsidR="00D758B9" w:rsidRPr="004632DF">
        <w:rPr>
          <w:szCs w:val="24"/>
        </w:rPr>
        <w:t xml:space="preserve"> </w:t>
      </w:r>
      <w:r w:rsidR="005A2FDF" w:rsidRPr="004632DF">
        <w:rPr>
          <w:szCs w:val="24"/>
        </w:rPr>
        <w:t xml:space="preserve">cooler, </w:t>
      </w:r>
      <w:r w:rsidR="007446A4" w:rsidRPr="004632DF">
        <w:rPr>
          <w:szCs w:val="24"/>
        </w:rPr>
        <w:t>sugar dryer</w:t>
      </w:r>
      <w:r w:rsidR="005A2FDF" w:rsidRPr="004632DF">
        <w:rPr>
          <w:szCs w:val="24"/>
        </w:rPr>
        <w:t>, and the lime slaker vent.</w:t>
      </w:r>
    </w:p>
    <w:p w14:paraId="612E32AE" w14:textId="77777777" w:rsidR="00AC0432" w:rsidRPr="00C8674E" w:rsidRDefault="00AC0432">
      <w:pPr>
        <w:ind w:left="360"/>
        <w:rPr>
          <w:szCs w:val="24"/>
        </w:rPr>
      </w:pPr>
    </w:p>
    <w:p w14:paraId="5B6EF741" w14:textId="77777777" w:rsidR="005A2FDF" w:rsidRPr="00456FCB" w:rsidRDefault="005A2FDF" w:rsidP="00456FCB">
      <w:pPr>
        <w:pStyle w:val="Heading2"/>
      </w:pPr>
      <w:bookmarkStart w:id="17" w:name="_Toc14435665"/>
      <w:r w:rsidRPr="00C8674E">
        <w:t>Recordkeeping Requirements</w:t>
      </w:r>
      <w:bookmarkEnd w:id="17"/>
    </w:p>
    <w:p w14:paraId="5B6EF742" w14:textId="77777777" w:rsidR="005A2FDF" w:rsidRPr="00FF64C0" w:rsidRDefault="005A2FDF">
      <w:pPr>
        <w:rPr>
          <w:sz w:val="22"/>
          <w:szCs w:val="22"/>
        </w:rPr>
      </w:pPr>
    </w:p>
    <w:p w14:paraId="5B6EF743" w14:textId="77777777" w:rsidR="005A2FDF" w:rsidRPr="00C8674E" w:rsidRDefault="00D758B9">
      <w:pPr>
        <w:ind w:left="360"/>
        <w:rPr>
          <w:szCs w:val="24"/>
        </w:rPr>
      </w:pPr>
      <w:r w:rsidRPr="00C8674E">
        <w:rPr>
          <w:szCs w:val="24"/>
        </w:rPr>
        <w:t>The permittee</w:t>
      </w:r>
      <w:r w:rsidR="005A2FDF" w:rsidRPr="00C8674E">
        <w:rPr>
          <w:szCs w:val="24"/>
        </w:rPr>
        <w:t xml:space="preserve"> is required to keep all records listed in the operating permit as a permanent business record for at least </w:t>
      </w:r>
      <w:r w:rsidR="00C91DD2" w:rsidRPr="00C8674E">
        <w:rPr>
          <w:szCs w:val="24"/>
        </w:rPr>
        <w:t>five</w:t>
      </w:r>
      <w:r w:rsidR="00CA01A7" w:rsidRPr="00C8674E">
        <w:rPr>
          <w:szCs w:val="24"/>
        </w:rPr>
        <w:t xml:space="preserve"> </w:t>
      </w:r>
      <w:r w:rsidR="005A2FDF" w:rsidRPr="00C8674E">
        <w:rPr>
          <w:szCs w:val="24"/>
        </w:rPr>
        <w:t>years following the date of the generation of the record.</w:t>
      </w:r>
    </w:p>
    <w:p w14:paraId="5B6EF744" w14:textId="77777777" w:rsidR="005A2FDF" w:rsidRPr="00FF64C0" w:rsidRDefault="005A2FDF">
      <w:pPr>
        <w:rPr>
          <w:sz w:val="22"/>
          <w:szCs w:val="22"/>
        </w:rPr>
      </w:pPr>
    </w:p>
    <w:p w14:paraId="5B6EF745" w14:textId="77777777" w:rsidR="00134490" w:rsidRPr="00456FCB" w:rsidRDefault="005A2FDF" w:rsidP="00456FCB">
      <w:pPr>
        <w:pStyle w:val="Heading2"/>
      </w:pPr>
      <w:bookmarkStart w:id="18" w:name="_Toc14435666"/>
      <w:r w:rsidRPr="00C8674E">
        <w:t xml:space="preserve">Reporting </w:t>
      </w:r>
      <w:r w:rsidRPr="00456FCB">
        <w:t>Requirements</w:t>
      </w:r>
      <w:bookmarkEnd w:id="18"/>
    </w:p>
    <w:p w14:paraId="5B6EF746" w14:textId="77777777" w:rsidR="005A2FDF" w:rsidRPr="00FF64C0" w:rsidRDefault="005A2FDF">
      <w:pPr>
        <w:rPr>
          <w:sz w:val="22"/>
          <w:szCs w:val="22"/>
        </w:rPr>
      </w:pPr>
    </w:p>
    <w:p w14:paraId="009D0C80" w14:textId="77777777" w:rsidR="004154B8" w:rsidRPr="004154B8" w:rsidRDefault="004154B8" w:rsidP="004154B8">
      <w:pPr>
        <w:ind w:left="360"/>
        <w:rPr>
          <w:szCs w:val="24"/>
        </w:rPr>
      </w:pPr>
      <w:r w:rsidRPr="004154B8">
        <w:rPr>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DEQ and to annually certify compliance with the applicable requirements contained in the permit.  The reports must include a list of all emission limit and monitoring deviations, the reason for any deviation, and the corrective action taken </w:t>
      </w:r>
      <w:proofErr w:type="gramStart"/>
      <w:r w:rsidRPr="004154B8">
        <w:rPr>
          <w:szCs w:val="24"/>
        </w:rPr>
        <w:t>as a result of</w:t>
      </w:r>
      <w:proofErr w:type="gramEnd"/>
      <w:r w:rsidRPr="004154B8">
        <w:rPr>
          <w:szCs w:val="24"/>
        </w:rPr>
        <w:t xml:space="preserve"> any deviation.</w:t>
      </w:r>
    </w:p>
    <w:p w14:paraId="5B6EF748" w14:textId="77777777" w:rsidR="005A2FDF" w:rsidRPr="00FF64C0" w:rsidRDefault="005A2FDF">
      <w:pPr>
        <w:rPr>
          <w:sz w:val="22"/>
          <w:szCs w:val="22"/>
        </w:rPr>
      </w:pPr>
    </w:p>
    <w:p w14:paraId="5B6EF749" w14:textId="77777777" w:rsidR="00134490" w:rsidRDefault="00134490" w:rsidP="00456FCB">
      <w:pPr>
        <w:pStyle w:val="Heading2"/>
      </w:pPr>
      <w:bookmarkStart w:id="19" w:name="_Toc287002108"/>
      <w:bookmarkStart w:id="20" w:name="_Toc14435667"/>
      <w:r w:rsidRPr="00134490">
        <w:t>Public Notice</w:t>
      </w:r>
      <w:bookmarkEnd w:id="19"/>
      <w:bookmarkEnd w:id="20"/>
    </w:p>
    <w:p w14:paraId="5B6EF74A" w14:textId="77777777" w:rsidR="00134490" w:rsidRPr="00FF64C0" w:rsidRDefault="00134490" w:rsidP="00134490">
      <w:pPr>
        <w:rPr>
          <w:sz w:val="22"/>
          <w:szCs w:val="22"/>
        </w:rPr>
      </w:pPr>
    </w:p>
    <w:p w14:paraId="35D4D4A5" w14:textId="24F456E5" w:rsidR="00DD6533" w:rsidRPr="00DD6533" w:rsidRDefault="00DD6533" w:rsidP="00DD6533">
      <w:pPr>
        <w:ind w:left="360"/>
        <w:rPr>
          <w:szCs w:val="24"/>
        </w:rPr>
      </w:pPr>
      <w:r w:rsidRPr="00DD6533">
        <w:rPr>
          <w:szCs w:val="24"/>
        </w:rPr>
        <w:t xml:space="preserve">In accordance with ARM 17.8.1232, a public notice was published in the </w:t>
      </w:r>
      <w:r>
        <w:rPr>
          <w:i/>
          <w:szCs w:val="24"/>
        </w:rPr>
        <w:t>Billings Gazette</w:t>
      </w:r>
      <w:r w:rsidRPr="00DD6533">
        <w:rPr>
          <w:szCs w:val="24"/>
        </w:rPr>
        <w:t xml:space="preserve"> newspaper on or before </w:t>
      </w:r>
      <w:r>
        <w:rPr>
          <w:szCs w:val="24"/>
        </w:rPr>
        <w:t>April 22, 2026</w:t>
      </w:r>
      <w:r w:rsidRPr="00DD6533">
        <w:rPr>
          <w:szCs w:val="24"/>
        </w:rPr>
        <w:t xml:space="preserve">.  DEQ provided a 30-day public comment period on the draft operating permit from </w:t>
      </w:r>
      <w:r>
        <w:rPr>
          <w:szCs w:val="24"/>
        </w:rPr>
        <w:t>April 22, 2026, through May 22, 2026,</w:t>
      </w:r>
      <w:r w:rsidRPr="00DD6533">
        <w:rPr>
          <w:szCs w:val="24"/>
        </w:rPr>
        <w:t xml:space="preserve"> ARM 17.8.1232 requires DEQ to keep a record of both comments and issues raised during the public participation process.  The comments and issues received by </w:t>
      </w:r>
      <w:r>
        <w:rPr>
          <w:szCs w:val="24"/>
        </w:rPr>
        <w:t>May 22, 2026,</w:t>
      </w:r>
      <w:r w:rsidRPr="00DD6533">
        <w:rPr>
          <w:szCs w:val="24"/>
        </w:rPr>
        <w:t xml:space="preserve"> will be summarized, along with DEQ's responses, in the following table.  All comments received during the public comment period will be promptly forwarded to </w:t>
      </w:r>
      <w:r>
        <w:rPr>
          <w:szCs w:val="24"/>
        </w:rPr>
        <w:t>WSC</w:t>
      </w:r>
      <w:r w:rsidRPr="00DD6533">
        <w:rPr>
          <w:szCs w:val="24"/>
        </w:rPr>
        <w:t xml:space="preserve"> so they may have an opportunity to respond to these comments as well.</w:t>
      </w:r>
    </w:p>
    <w:p w14:paraId="79B32037" w14:textId="67E7C5C1" w:rsidR="003F5BA0" w:rsidRDefault="003F5BA0" w:rsidP="003F5BA0">
      <w:bookmarkStart w:id="21" w:name="_Toc14435668"/>
    </w:p>
    <w:p w14:paraId="33C16D7B" w14:textId="1A125070" w:rsidR="003F5BA0" w:rsidRPr="003F5BA0" w:rsidRDefault="00DF4C5E" w:rsidP="003F5BA0">
      <w:pPr>
        <w:pStyle w:val="Heading2"/>
      </w:pPr>
      <w:r w:rsidRPr="006035AB">
        <w:t xml:space="preserve">MACT </w:t>
      </w:r>
      <w:r w:rsidR="00456FCB" w:rsidRPr="006035AB">
        <w:t>Compliance and Recordkeeping</w:t>
      </w:r>
      <w:r w:rsidRPr="006035AB">
        <w:t xml:space="preserve"> Discussion</w:t>
      </w:r>
      <w:bookmarkEnd w:id="21"/>
    </w:p>
    <w:p w14:paraId="5B6EF74E" w14:textId="77777777" w:rsidR="00DF4C5E" w:rsidRPr="00FF64C0" w:rsidRDefault="00DF4C5E" w:rsidP="007A6AD8">
      <w:pPr>
        <w:keepNext/>
        <w:rPr>
          <w:sz w:val="22"/>
          <w:szCs w:val="22"/>
        </w:rPr>
      </w:pPr>
    </w:p>
    <w:p w14:paraId="678D308A" w14:textId="5F3E18BA" w:rsidR="003F5BA0" w:rsidRDefault="00DF4C5E" w:rsidP="00A26D3D">
      <w:pPr>
        <w:keepNext/>
        <w:ind w:left="360"/>
      </w:pPr>
      <w:r w:rsidRPr="00D7507A">
        <w:t>This subsection is intended to provide clarity on regulations and requirement</w:t>
      </w:r>
      <w:r w:rsidR="007A6AD8" w:rsidRPr="00D7507A">
        <w:t>s specified in 40 CFR 63</w:t>
      </w:r>
      <w:r w:rsidR="00E37AA1">
        <w:t>, Subpart</w:t>
      </w:r>
      <w:r w:rsidR="007A6AD8" w:rsidRPr="00D7507A">
        <w:t xml:space="preserve"> JJJJJJ </w:t>
      </w:r>
      <w:proofErr w:type="gramStart"/>
      <w:r w:rsidR="00D743E0" w:rsidRPr="00291970">
        <w:t>in regard to</w:t>
      </w:r>
      <w:proofErr w:type="gramEnd"/>
      <w:r w:rsidR="007A6AD8" w:rsidRPr="00291970">
        <w:t xml:space="preserve"> </w:t>
      </w:r>
      <w:r w:rsidR="007A6AD8" w:rsidRPr="00D7507A">
        <w:t xml:space="preserve">compliance demonstration and recordkeeping, </w:t>
      </w:r>
      <w:r w:rsidRPr="00D7507A">
        <w:t>as applicable to EU002 Boiler</w:t>
      </w:r>
      <w:r w:rsidR="007A6AD8" w:rsidRPr="00D7507A">
        <w:t xml:space="preserve"> House Stack</w:t>
      </w:r>
      <w:r w:rsidR="00814959" w:rsidRPr="00D7507A">
        <w:t xml:space="preserve"> – </w:t>
      </w:r>
      <w:r w:rsidR="007A6AD8" w:rsidRPr="00D7507A">
        <w:t>(3) Riley Boilers</w:t>
      </w:r>
      <w:r w:rsidRPr="00D7507A">
        <w:t xml:space="preserve">. </w:t>
      </w:r>
    </w:p>
    <w:p w14:paraId="5B6EF74F" w14:textId="4B69F4FB" w:rsidR="00DF4C5E" w:rsidRPr="00D7507A" w:rsidRDefault="00DF4C5E" w:rsidP="00A26D3D">
      <w:pPr>
        <w:keepNext/>
        <w:ind w:left="360"/>
      </w:pPr>
      <w:r w:rsidRPr="00D7507A">
        <w:t>It is the responsibility of the source to be familiar with all applicable requirements and to be aware of amendments to the rule and to comply with the most recent version of 40 CFR 63</w:t>
      </w:r>
      <w:r w:rsidR="002B5E46">
        <w:t>, Subpart</w:t>
      </w:r>
      <w:r w:rsidRPr="00D7507A">
        <w:t xml:space="preserve"> JJJJJJ. </w:t>
      </w:r>
    </w:p>
    <w:p w14:paraId="5B6EF750" w14:textId="77777777" w:rsidR="00DF4C5E" w:rsidRPr="00FF64C0" w:rsidRDefault="00DF4C5E" w:rsidP="007A6AD8">
      <w:pPr>
        <w:keepNext/>
        <w:rPr>
          <w:sz w:val="22"/>
          <w:szCs w:val="22"/>
        </w:rPr>
      </w:pPr>
    </w:p>
    <w:p w14:paraId="5B6EF751" w14:textId="77777777" w:rsidR="00DF4C5E" w:rsidRPr="00D7507A" w:rsidRDefault="00DF4C5E" w:rsidP="00DF4C5E">
      <w:pPr>
        <w:pStyle w:val="CommentText"/>
        <w:rPr>
          <w:b/>
        </w:rPr>
      </w:pPr>
      <w:r w:rsidRPr="00D7507A">
        <w:rPr>
          <w:b/>
        </w:rPr>
        <w:t xml:space="preserve">Compliance demonstration: </w:t>
      </w:r>
    </w:p>
    <w:p w14:paraId="5B6EF752" w14:textId="77777777" w:rsidR="00DF4C5E" w:rsidRPr="00FF64C0" w:rsidRDefault="00DF4C5E" w:rsidP="00DF4C5E">
      <w:pPr>
        <w:pStyle w:val="CommentText"/>
        <w:rPr>
          <w:sz w:val="22"/>
          <w:szCs w:val="22"/>
        </w:rPr>
      </w:pPr>
    </w:p>
    <w:p w14:paraId="5B6EF753" w14:textId="77777777" w:rsidR="00DF4C5E" w:rsidRPr="00D7507A" w:rsidRDefault="00DF4C5E" w:rsidP="00A26D3D">
      <w:pPr>
        <w:keepNext/>
        <w:ind w:left="360"/>
      </w:pPr>
      <w:r w:rsidRPr="00D7507A">
        <w:t>Once every 3 years (but not to exceed 37 months) WSC shall perform a</w:t>
      </w:r>
      <w:r w:rsidR="00814959" w:rsidRPr="00D7507A">
        <w:t xml:space="preserve">n EPA Reference </w:t>
      </w:r>
      <w:r w:rsidRPr="00D7507A">
        <w:t xml:space="preserve">Method 10 </w:t>
      </w:r>
      <w:r w:rsidR="00814959" w:rsidRPr="00D7507A">
        <w:t xml:space="preserve">source test with </w:t>
      </w:r>
      <w:r w:rsidRPr="00D7507A">
        <w:t>a minimum of 1-hour sampling time per run</w:t>
      </w:r>
      <w:r w:rsidR="00814959" w:rsidRPr="00D7507A">
        <w:t xml:space="preserve"> to measure CO </w:t>
      </w:r>
      <w:r w:rsidR="00514CED" w:rsidRPr="00D7507A">
        <w:t>concentrations</w:t>
      </w:r>
      <w:r w:rsidRPr="00D7507A">
        <w:t>. During the CO performance test, WSC must monitor the O</w:t>
      </w:r>
      <w:r w:rsidRPr="004154B8">
        <w:rPr>
          <w:vertAlign w:val="subscript"/>
        </w:rPr>
        <w:t>2</w:t>
      </w:r>
      <w:r w:rsidRPr="00D7507A">
        <w:t xml:space="preserve"> at the same location as the CO sampling location. WSC must collect O</w:t>
      </w:r>
      <w:r w:rsidRPr="004154B8">
        <w:rPr>
          <w:vertAlign w:val="subscript"/>
        </w:rPr>
        <w:t>2</w:t>
      </w:r>
      <w:r w:rsidRPr="00D7507A">
        <w:t xml:space="preserve"> data from the installed oxygen analyzers every 15 minutes for the entire period of the performance test.</w:t>
      </w:r>
    </w:p>
    <w:p w14:paraId="5B6EF754" w14:textId="77777777" w:rsidR="00DF4C5E" w:rsidRPr="00FF64C0" w:rsidRDefault="00DF4C5E" w:rsidP="00DF4C5E">
      <w:pPr>
        <w:pStyle w:val="CommentText"/>
        <w:rPr>
          <w:sz w:val="22"/>
          <w:szCs w:val="22"/>
        </w:rPr>
      </w:pPr>
    </w:p>
    <w:p w14:paraId="5B6EF755" w14:textId="77777777" w:rsidR="00DF4C5E" w:rsidRPr="00D7507A" w:rsidRDefault="00814959" w:rsidP="00A26D3D">
      <w:pPr>
        <w:keepNext/>
        <w:ind w:left="360"/>
      </w:pPr>
      <w:r w:rsidRPr="00D7507A">
        <w:t>WSC shall c</w:t>
      </w:r>
      <w:r w:rsidR="00DF4C5E" w:rsidRPr="00D7507A">
        <w:t>ontinuously monitor O</w:t>
      </w:r>
      <w:r w:rsidR="00DF4C5E" w:rsidRPr="004154B8">
        <w:rPr>
          <w:vertAlign w:val="subscript"/>
        </w:rPr>
        <w:t>2</w:t>
      </w:r>
      <w:r w:rsidR="00DF4C5E" w:rsidRPr="00D7507A">
        <w:t xml:space="preserve"> </w:t>
      </w:r>
      <w:r w:rsidR="00514CED" w:rsidRPr="00D7507A">
        <w:t>and m</w:t>
      </w:r>
      <w:r w:rsidR="00DF4C5E" w:rsidRPr="00D7507A">
        <w:t xml:space="preserve">aintain </w:t>
      </w:r>
      <w:r w:rsidR="00514CED" w:rsidRPr="00D7507A">
        <w:t xml:space="preserve">a </w:t>
      </w:r>
      <w:r w:rsidR="00DF4C5E" w:rsidRPr="00D7507A">
        <w:t xml:space="preserve">30-day rolling average </w:t>
      </w:r>
      <w:r w:rsidR="00514CED" w:rsidRPr="00D7507A">
        <w:t>O</w:t>
      </w:r>
      <w:r w:rsidR="00514CED" w:rsidRPr="004154B8">
        <w:rPr>
          <w:vertAlign w:val="subscript"/>
        </w:rPr>
        <w:t>2</w:t>
      </w:r>
      <w:r w:rsidR="00514CED" w:rsidRPr="00D7507A">
        <w:t xml:space="preserve"> concentration </w:t>
      </w:r>
      <w:r w:rsidR="00835333" w:rsidRPr="00D7507A">
        <w:t xml:space="preserve">at or </w:t>
      </w:r>
      <w:r w:rsidR="00DF4C5E" w:rsidRPr="00D7507A">
        <w:t xml:space="preserve">above </w:t>
      </w:r>
      <w:r w:rsidR="00514CED" w:rsidRPr="00D7507A">
        <w:t xml:space="preserve">the </w:t>
      </w:r>
      <w:r w:rsidR="00DF4C5E" w:rsidRPr="00D7507A">
        <w:t>minimum level established during most recent CO performance test.</w:t>
      </w:r>
    </w:p>
    <w:p w14:paraId="5B6EF756" w14:textId="0CDF7461" w:rsidR="00DF4C5E" w:rsidRDefault="00DF4C5E" w:rsidP="00DF4C5E">
      <w:pPr>
        <w:rPr>
          <w:sz w:val="22"/>
          <w:szCs w:val="22"/>
        </w:rPr>
      </w:pPr>
    </w:p>
    <w:p w14:paraId="73806223" w14:textId="77777777" w:rsidR="00AA3022" w:rsidRPr="00FF64C0" w:rsidRDefault="00AA3022" w:rsidP="00DF4C5E">
      <w:pPr>
        <w:rPr>
          <w:sz w:val="22"/>
          <w:szCs w:val="22"/>
        </w:rPr>
      </w:pPr>
    </w:p>
    <w:p w14:paraId="5B6EF757" w14:textId="77777777" w:rsidR="00DF4C5E" w:rsidRPr="00D7507A" w:rsidRDefault="00DF4C5E" w:rsidP="00DF4C5E">
      <w:pPr>
        <w:rPr>
          <w:b/>
        </w:rPr>
      </w:pPr>
      <w:r w:rsidRPr="00D7507A">
        <w:rPr>
          <w:b/>
        </w:rPr>
        <w:t>Recordkeeping:</w:t>
      </w:r>
    </w:p>
    <w:p w14:paraId="5B6EF758" w14:textId="77777777" w:rsidR="00DF4C5E" w:rsidRPr="00FF64C0" w:rsidRDefault="00DF4C5E" w:rsidP="00DF4C5E">
      <w:pPr>
        <w:rPr>
          <w:sz w:val="22"/>
          <w:szCs w:val="22"/>
        </w:rPr>
      </w:pPr>
    </w:p>
    <w:p w14:paraId="5B6EF759" w14:textId="77777777" w:rsidR="00835333" w:rsidRPr="00D7507A" w:rsidRDefault="007A6AD8" w:rsidP="00A26D3D">
      <w:pPr>
        <w:pStyle w:val="CommentText"/>
        <w:ind w:left="360"/>
      </w:pPr>
      <w:r w:rsidRPr="00D7507A">
        <w:t>WSC must maintain</w:t>
      </w:r>
      <w:r w:rsidR="00835333" w:rsidRPr="00D7507A">
        <w:t>:</w:t>
      </w:r>
    </w:p>
    <w:p w14:paraId="5B6EF75A" w14:textId="77777777" w:rsidR="007A6AD8" w:rsidRPr="00D7507A" w:rsidRDefault="00835333" w:rsidP="00A26D3D">
      <w:pPr>
        <w:pStyle w:val="CommentText"/>
        <w:numPr>
          <w:ilvl w:val="0"/>
          <w:numId w:val="34"/>
        </w:numPr>
        <w:ind w:left="1080"/>
      </w:pPr>
      <w:r w:rsidRPr="00D7507A">
        <w:lastRenderedPageBreak/>
        <w:t>R</w:t>
      </w:r>
      <w:r w:rsidR="007A6AD8" w:rsidRPr="00D7507A">
        <w:t>ecords of fuel analysis or types and amounts of fuel burned since last fuel analysis to show compliance with Hg emission limits.</w:t>
      </w:r>
    </w:p>
    <w:p w14:paraId="5B6EF75B" w14:textId="77777777" w:rsidR="00835333" w:rsidRPr="00D7507A" w:rsidRDefault="00835333" w:rsidP="00A26D3D">
      <w:pPr>
        <w:pStyle w:val="CommentText"/>
        <w:numPr>
          <w:ilvl w:val="0"/>
          <w:numId w:val="34"/>
        </w:numPr>
        <w:ind w:left="1080"/>
      </w:pPr>
      <w:r w:rsidRPr="00D7507A">
        <w:t>Records of operating load showing load less than 110% of most recent performance test.</w:t>
      </w:r>
    </w:p>
    <w:p w14:paraId="5B6EF75C" w14:textId="77777777" w:rsidR="005A2FDF" w:rsidRPr="00FF64C0" w:rsidRDefault="00835333" w:rsidP="007A6AD8">
      <w:pPr>
        <w:pStyle w:val="CommentText"/>
        <w:numPr>
          <w:ilvl w:val="0"/>
          <w:numId w:val="34"/>
        </w:numPr>
        <w:ind w:left="1080"/>
      </w:pPr>
      <w:r w:rsidRPr="00D7507A">
        <w:t>Records of 30-day rolling O</w:t>
      </w:r>
      <w:r w:rsidRPr="00D7507A">
        <w:rPr>
          <w:vertAlign w:val="subscript"/>
        </w:rPr>
        <w:t>2</w:t>
      </w:r>
      <w:r w:rsidRPr="00D7507A">
        <w:t xml:space="preserve"> level at or above minimum determined during the most recent performance test.</w:t>
      </w:r>
    </w:p>
    <w:p w14:paraId="5B6EF75D" w14:textId="77777777" w:rsidR="005A2FDF" w:rsidRPr="00C8674E" w:rsidRDefault="005A2FDF">
      <w:pPr>
        <w:pStyle w:val="Heading1"/>
        <w:rPr>
          <w:szCs w:val="24"/>
        </w:rPr>
      </w:pPr>
      <w:r w:rsidRPr="00C8674E">
        <w:rPr>
          <w:szCs w:val="24"/>
        </w:rPr>
        <w:br w:type="page"/>
      </w:r>
      <w:r w:rsidRPr="00C8674E">
        <w:rPr>
          <w:szCs w:val="24"/>
        </w:rPr>
        <w:lastRenderedPageBreak/>
        <w:t xml:space="preserve">  </w:t>
      </w:r>
      <w:bookmarkStart w:id="22" w:name="_Toc14435669"/>
      <w:r w:rsidRPr="00C8674E">
        <w:rPr>
          <w:szCs w:val="24"/>
        </w:rPr>
        <w:t>NON-APPLICABLE REQUIREMENT ANALYSIS</w:t>
      </w:r>
      <w:bookmarkEnd w:id="22"/>
    </w:p>
    <w:p w14:paraId="5B6EF75E" w14:textId="77777777" w:rsidR="005A2FDF" w:rsidRPr="00C8674E" w:rsidRDefault="005A2FDF">
      <w:pPr>
        <w:rPr>
          <w:szCs w:val="24"/>
        </w:rPr>
      </w:pPr>
    </w:p>
    <w:p w14:paraId="5B6EF75F" w14:textId="147B6850" w:rsidR="005A1F79" w:rsidRPr="008448DC" w:rsidRDefault="005A1F79">
      <w:pPr>
        <w:rPr>
          <w:szCs w:val="24"/>
        </w:rPr>
      </w:pPr>
      <w:r w:rsidRPr="008448DC">
        <w:rPr>
          <w:szCs w:val="24"/>
        </w:rPr>
        <w:t xml:space="preserve">Section IV of the operating permit discussing “Non-applicable Requirements” contains the requirements of that WSC </w:t>
      </w:r>
      <w:r w:rsidR="001044B9" w:rsidRPr="008448DC">
        <w:rPr>
          <w:szCs w:val="24"/>
        </w:rPr>
        <w:t>identified</w:t>
      </w:r>
      <w:r w:rsidRPr="008448DC">
        <w:rPr>
          <w:szCs w:val="24"/>
        </w:rPr>
        <w:t xml:space="preserve"> as non-applicable and for which a permit shield was granted </w:t>
      </w:r>
      <w:r w:rsidR="00D4457C">
        <w:rPr>
          <w:szCs w:val="24"/>
        </w:rPr>
        <w:t>DEQ</w:t>
      </w:r>
      <w:r w:rsidRPr="008448DC">
        <w:rPr>
          <w:szCs w:val="24"/>
        </w:rPr>
        <w:t xml:space="preserve"> under the current operating permit renewal application (ARM 17.8.1214). </w:t>
      </w:r>
    </w:p>
    <w:p w14:paraId="5B6EF760" w14:textId="77777777" w:rsidR="005A1F79" w:rsidRPr="008448DC" w:rsidRDefault="005A1F79">
      <w:pPr>
        <w:rPr>
          <w:szCs w:val="24"/>
        </w:rPr>
      </w:pPr>
    </w:p>
    <w:p w14:paraId="5B6EF761" w14:textId="66E8CC2A" w:rsidR="005A1F79" w:rsidRPr="008448DC" w:rsidRDefault="005A1F79">
      <w:pPr>
        <w:rPr>
          <w:szCs w:val="24"/>
        </w:rPr>
      </w:pPr>
      <w:r w:rsidRPr="008448DC">
        <w:rPr>
          <w:szCs w:val="24"/>
        </w:rPr>
        <w:t>The following table su</w:t>
      </w:r>
      <w:r w:rsidR="000705F1" w:rsidRPr="008448DC">
        <w:rPr>
          <w:szCs w:val="24"/>
        </w:rPr>
        <w:t xml:space="preserve">mmarizes the requirements that </w:t>
      </w:r>
      <w:r w:rsidRPr="008448DC">
        <w:rPr>
          <w:szCs w:val="24"/>
        </w:rPr>
        <w:t xml:space="preserve">WSC identified as non-applicable in the renewal application but for which </w:t>
      </w:r>
      <w:r w:rsidR="00D4457C">
        <w:rPr>
          <w:szCs w:val="24"/>
        </w:rPr>
        <w:t>DEQ</w:t>
      </w:r>
      <w:r w:rsidRPr="008448DC">
        <w:rPr>
          <w:szCs w:val="24"/>
        </w:rPr>
        <w:t xml:space="preserve"> did not grant a permit shield or with the applicability determination. </w:t>
      </w:r>
    </w:p>
    <w:p w14:paraId="5B6EF762" w14:textId="77777777" w:rsidR="005A1F79" w:rsidRPr="008448DC" w:rsidRDefault="005A1F79">
      <w:pPr>
        <w:rPr>
          <w:szCs w:val="24"/>
        </w:rPr>
      </w:pPr>
    </w:p>
    <w:p w14:paraId="5B6EF763" w14:textId="77777777" w:rsidR="005A1F79" w:rsidRPr="008448DC" w:rsidRDefault="005A1F79" w:rsidP="005A1F79">
      <w:pPr>
        <w:jc w:val="center"/>
        <w:rPr>
          <w:b/>
          <w:szCs w:val="24"/>
        </w:rPr>
      </w:pPr>
      <w:bookmarkStart w:id="23" w:name="_Toc89751157"/>
      <w:r w:rsidRPr="008448DC">
        <w:rPr>
          <w:b/>
          <w:szCs w:val="24"/>
        </w:rPr>
        <w:t>Requirements not Identified in the Operating Permit</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33"/>
        <w:gridCol w:w="4428"/>
      </w:tblGrid>
      <w:tr w:rsidR="005A1F79" w:rsidRPr="008448DC" w14:paraId="5B6EF766" w14:textId="77777777" w:rsidTr="005A1F79">
        <w:trPr>
          <w:cantSplit/>
          <w:tblHeader/>
          <w:jc w:val="center"/>
        </w:trPr>
        <w:tc>
          <w:tcPr>
            <w:tcW w:w="4855" w:type="dxa"/>
            <w:gridSpan w:val="2"/>
            <w:tcBorders>
              <w:top w:val="double" w:sz="4" w:space="0" w:color="auto"/>
              <w:left w:val="double" w:sz="4" w:space="0" w:color="auto"/>
              <w:bottom w:val="double" w:sz="4" w:space="0" w:color="auto"/>
            </w:tcBorders>
            <w:shd w:val="clear" w:color="auto" w:fill="F3F3F3"/>
            <w:vAlign w:val="center"/>
          </w:tcPr>
          <w:p w14:paraId="5B6EF764" w14:textId="77777777" w:rsidR="005A1F79" w:rsidRPr="008448DC" w:rsidRDefault="005A1F79" w:rsidP="005A1F79">
            <w:pPr>
              <w:spacing w:after="58"/>
              <w:jc w:val="center"/>
              <w:rPr>
                <w:b/>
                <w:szCs w:val="24"/>
              </w:rPr>
            </w:pPr>
            <w:r w:rsidRPr="008448DC">
              <w:rPr>
                <w:b/>
                <w:szCs w:val="24"/>
              </w:rPr>
              <w:t>Applicable Requirement</w:t>
            </w:r>
          </w:p>
        </w:tc>
        <w:tc>
          <w:tcPr>
            <w:tcW w:w="4428" w:type="dxa"/>
            <w:tcBorders>
              <w:top w:val="double" w:sz="4" w:space="0" w:color="auto"/>
              <w:bottom w:val="double" w:sz="4" w:space="0" w:color="auto"/>
              <w:right w:val="double" w:sz="4" w:space="0" w:color="auto"/>
            </w:tcBorders>
            <w:shd w:val="clear" w:color="auto" w:fill="F3F3F3"/>
            <w:vAlign w:val="center"/>
          </w:tcPr>
          <w:p w14:paraId="5B6EF765" w14:textId="77777777" w:rsidR="005A1F79" w:rsidRPr="008448DC" w:rsidRDefault="005A1F79" w:rsidP="005A1F79">
            <w:pPr>
              <w:spacing w:after="58"/>
              <w:jc w:val="center"/>
              <w:rPr>
                <w:b/>
                <w:szCs w:val="24"/>
              </w:rPr>
            </w:pPr>
            <w:r w:rsidRPr="008448DC">
              <w:rPr>
                <w:b/>
                <w:szCs w:val="24"/>
              </w:rPr>
              <w:t>Reason</w:t>
            </w:r>
          </w:p>
        </w:tc>
      </w:tr>
      <w:tr w:rsidR="005A1F79" w:rsidRPr="008448DC" w14:paraId="5B6EF768" w14:textId="77777777" w:rsidTr="005A1F79">
        <w:trPr>
          <w:cantSplit/>
          <w:jc w:val="center"/>
        </w:trPr>
        <w:tc>
          <w:tcPr>
            <w:tcW w:w="9283" w:type="dxa"/>
            <w:gridSpan w:val="3"/>
            <w:tcBorders>
              <w:top w:val="double" w:sz="4" w:space="0" w:color="auto"/>
              <w:left w:val="double" w:sz="4" w:space="0" w:color="auto"/>
              <w:right w:val="double" w:sz="4" w:space="0" w:color="auto"/>
            </w:tcBorders>
            <w:shd w:val="clear" w:color="auto" w:fill="F3F3F3"/>
            <w:vAlign w:val="center"/>
          </w:tcPr>
          <w:p w14:paraId="5B6EF767" w14:textId="77777777" w:rsidR="005A1F79" w:rsidRPr="008448DC" w:rsidRDefault="005A1F79" w:rsidP="00DB275A">
            <w:pPr>
              <w:jc w:val="center"/>
              <w:rPr>
                <w:b/>
                <w:bCs/>
                <w:szCs w:val="24"/>
              </w:rPr>
            </w:pPr>
            <w:r w:rsidRPr="008448DC">
              <w:rPr>
                <w:b/>
                <w:bCs/>
                <w:szCs w:val="24"/>
              </w:rPr>
              <w:t>Sub</w:t>
            </w:r>
            <w:r w:rsidR="00DB275A">
              <w:rPr>
                <w:b/>
                <w:bCs/>
                <w:szCs w:val="24"/>
              </w:rPr>
              <w:t>c</w:t>
            </w:r>
            <w:r w:rsidRPr="008448DC">
              <w:rPr>
                <w:b/>
                <w:bCs/>
                <w:szCs w:val="24"/>
              </w:rPr>
              <w:t>hapter 1 General Provisions</w:t>
            </w:r>
          </w:p>
        </w:tc>
      </w:tr>
      <w:tr w:rsidR="005A1F79" w:rsidRPr="008448DC" w14:paraId="5B6EF76E" w14:textId="77777777" w:rsidTr="005A1F79">
        <w:trPr>
          <w:cantSplit/>
          <w:trHeight w:val="240"/>
          <w:jc w:val="center"/>
        </w:trPr>
        <w:tc>
          <w:tcPr>
            <w:tcW w:w="4855" w:type="dxa"/>
            <w:gridSpan w:val="2"/>
            <w:tcBorders>
              <w:left w:val="double" w:sz="4" w:space="0" w:color="auto"/>
            </w:tcBorders>
            <w:vAlign w:val="center"/>
          </w:tcPr>
          <w:p w14:paraId="5B6EF769" w14:textId="77777777" w:rsidR="005A1F79" w:rsidRPr="008448DC" w:rsidRDefault="005A1F79" w:rsidP="005A1F79">
            <w:pPr>
              <w:rPr>
                <w:szCs w:val="24"/>
              </w:rPr>
            </w:pPr>
            <w:r w:rsidRPr="008448DC">
              <w:rPr>
                <w:szCs w:val="24"/>
              </w:rPr>
              <w:t>ARM 17.8.120 Variance Procedures</w:t>
            </w:r>
          </w:p>
          <w:p w14:paraId="5B6EF76A" w14:textId="77777777" w:rsidR="005A1F79" w:rsidRPr="008448DC" w:rsidRDefault="005A1F79" w:rsidP="005A1F79">
            <w:pPr>
              <w:rPr>
                <w:szCs w:val="24"/>
              </w:rPr>
            </w:pPr>
            <w:r w:rsidRPr="008448DC">
              <w:rPr>
                <w:szCs w:val="24"/>
              </w:rPr>
              <w:t>ARM 17.8.131 Enforcement Procedures – Appeal to Board</w:t>
            </w:r>
          </w:p>
          <w:p w14:paraId="5B6EF76B" w14:textId="77777777" w:rsidR="005A1F79" w:rsidRPr="008448DC" w:rsidRDefault="005A1F79" w:rsidP="005A1F79">
            <w:pPr>
              <w:rPr>
                <w:szCs w:val="24"/>
              </w:rPr>
            </w:pPr>
            <w:r w:rsidRPr="008448DC">
              <w:rPr>
                <w:szCs w:val="24"/>
              </w:rPr>
              <w:t>ARM 17.8.140 Rehearing Procedures – Form and Filing of Petition</w:t>
            </w:r>
          </w:p>
          <w:p w14:paraId="5B6EF76C" w14:textId="77777777" w:rsidR="005A1F79" w:rsidRPr="008448DC" w:rsidRDefault="005A1F79" w:rsidP="005A1F79">
            <w:pPr>
              <w:rPr>
                <w:szCs w:val="24"/>
              </w:rPr>
            </w:pPr>
            <w:r w:rsidRPr="008448DC">
              <w:rPr>
                <w:szCs w:val="24"/>
              </w:rPr>
              <w:t>ARM 17.8.141 Rehearing Procedures – Filing Requirements</w:t>
            </w:r>
          </w:p>
        </w:tc>
        <w:tc>
          <w:tcPr>
            <w:tcW w:w="4428" w:type="dxa"/>
            <w:tcBorders>
              <w:right w:val="double" w:sz="4" w:space="0" w:color="auto"/>
            </w:tcBorders>
            <w:vAlign w:val="center"/>
          </w:tcPr>
          <w:p w14:paraId="5B6EF76D" w14:textId="77777777" w:rsidR="005A1F79" w:rsidRPr="008448DC" w:rsidRDefault="005A1F79" w:rsidP="005A1F79">
            <w:pPr>
              <w:spacing w:after="58"/>
              <w:rPr>
                <w:szCs w:val="24"/>
              </w:rPr>
            </w:pPr>
            <w:r w:rsidRPr="008448DC">
              <w:rPr>
                <w:szCs w:val="24"/>
              </w:rPr>
              <w:t xml:space="preserve">These are procedural rules that have specific requirements that may become relevant to a major source during the permit span.  </w:t>
            </w:r>
          </w:p>
        </w:tc>
      </w:tr>
      <w:tr w:rsidR="005A1F79" w:rsidRPr="008448DC" w14:paraId="5B6EF772" w14:textId="77777777" w:rsidTr="005A1F79">
        <w:trPr>
          <w:cantSplit/>
          <w:trHeight w:val="1050"/>
          <w:jc w:val="center"/>
        </w:trPr>
        <w:tc>
          <w:tcPr>
            <w:tcW w:w="4855" w:type="dxa"/>
            <w:gridSpan w:val="2"/>
            <w:tcBorders>
              <w:left w:val="double" w:sz="4" w:space="0" w:color="auto"/>
            </w:tcBorders>
            <w:vAlign w:val="center"/>
          </w:tcPr>
          <w:p w14:paraId="5B6EF76F" w14:textId="77777777" w:rsidR="005A1F79" w:rsidRPr="008448DC" w:rsidRDefault="005A1F79" w:rsidP="00677326">
            <w:pPr>
              <w:pStyle w:val="BodyText2"/>
              <w:jc w:val="left"/>
              <w:rPr>
                <w:rFonts w:ascii="Garamond" w:hAnsi="Garamond"/>
                <w:sz w:val="24"/>
                <w:szCs w:val="24"/>
              </w:rPr>
            </w:pPr>
            <w:r w:rsidRPr="008448DC">
              <w:rPr>
                <w:rFonts w:ascii="Garamond" w:hAnsi="Garamond"/>
                <w:sz w:val="24"/>
                <w:szCs w:val="24"/>
              </w:rPr>
              <w:t>ARM 17.8.130 Enforcement Procedures – NOV</w:t>
            </w:r>
          </w:p>
          <w:p w14:paraId="5B6EF770" w14:textId="77777777" w:rsidR="005A1F79" w:rsidRPr="008448DC" w:rsidRDefault="005A1F79" w:rsidP="005A1F79">
            <w:pPr>
              <w:spacing w:after="58"/>
              <w:rPr>
                <w:szCs w:val="24"/>
              </w:rPr>
            </w:pPr>
            <w:r w:rsidRPr="008448DC">
              <w:rPr>
                <w:szCs w:val="24"/>
              </w:rPr>
              <w:t xml:space="preserve">ARM </w:t>
            </w:r>
            <w:r w:rsidR="00177B91" w:rsidRPr="008448DC">
              <w:rPr>
                <w:szCs w:val="24"/>
              </w:rPr>
              <w:t>17.8.142 Rehearing</w:t>
            </w:r>
            <w:r w:rsidRPr="008448DC">
              <w:rPr>
                <w:szCs w:val="24"/>
              </w:rPr>
              <w:t xml:space="preserve"> Procedures – Board Review</w:t>
            </w:r>
          </w:p>
        </w:tc>
        <w:tc>
          <w:tcPr>
            <w:tcW w:w="4428" w:type="dxa"/>
            <w:tcBorders>
              <w:right w:val="double" w:sz="4" w:space="0" w:color="auto"/>
            </w:tcBorders>
            <w:vAlign w:val="center"/>
          </w:tcPr>
          <w:p w14:paraId="5B6EF771" w14:textId="77777777" w:rsidR="005A1F79" w:rsidRPr="008448DC" w:rsidRDefault="005A1F79" w:rsidP="005A1F79">
            <w:pPr>
              <w:spacing w:after="58"/>
              <w:rPr>
                <w:szCs w:val="24"/>
              </w:rPr>
            </w:pPr>
            <w:r w:rsidRPr="008448DC">
              <w:rPr>
                <w:szCs w:val="24"/>
              </w:rPr>
              <w:t>These rules contain requirements for the regulatory authorities and not major sources; however, they can be used as authority to impose specific requirements on a major source.</w:t>
            </w:r>
          </w:p>
        </w:tc>
      </w:tr>
      <w:tr w:rsidR="005A1F79" w:rsidRPr="008448DC" w14:paraId="5B6EF774" w14:textId="77777777" w:rsidTr="005A1F79">
        <w:trPr>
          <w:cantSplit/>
          <w:jc w:val="center"/>
        </w:trPr>
        <w:tc>
          <w:tcPr>
            <w:tcW w:w="9283" w:type="dxa"/>
            <w:gridSpan w:val="3"/>
            <w:tcBorders>
              <w:left w:val="double" w:sz="4" w:space="0" w:color="auto"/>
              <w:bottom w:val="single" w:sz="4" w:space="0" w:color="auto"/>
              <w:right w:val="double" w:sz="4" w:space="0" w:color="auto"/>
            </w:tcBorders>
            <w:shd w:val="clear" w:color="auto" w:fill="F3F3F3"/>
            <w:vAlign w:val="center"/>
          </w:tcPr>
          <w:p w14:paraId="5B6EF773" w14:textId="77777777" w:rsidR="005A1F79" w:rsidRPr="008448DC" w:rsidRDefault="005A1F79" w:rsidP="00DB275A">
            <w:pPr>
              <w:jc w:val="center"/>
              <w:rPr>
                <w:b/>
                <w:bCs/>
                <w:szCs w:val="24"/>
              </w:rPr>
            </w:pPr>
            <w:r w:rsidRPr="008448DC">
              <w:rPr>
                <w:b/>
                <w:bCs/>
                <w:szCs w:val="24"/>
              </w:rPr>
              <w:t>Sub</w:t>
            </w:r>
            <w:r w:rsidR="00DB275A">
              <w:rPr>
                <w:b/>
                <w:bCs/>
                <w:szCs w:val="24"/>
              </w:rPr>
              <w:t>c</w:t>
            </w:r>
            <w:r w:rsidRPr="008448DC">
              <w:rPr>
                <w:b/>
                <w:bCs/>
                <w:szCs w:val="24"/>
              </w:rPr>
              <w:t>hapter 2 Ambient Air Quality</w:t>
            </w:r>
          </w:p>
        </w:tc>
      </w:tr>
      <w:tr w:rsidR="00DD351F" w:rsidRPr="008448DC" w14:paraId="5B6EF777" w14:textId="77777777" w:rsidTr="005A1F79">
        <w:trPr>
          <w:cantSplit/>
          <w:jc w:val="center"/>
        </w:trPr>
        <w:tc>
          <w:tcPr>
            <w:tcW w:w="4822" w:type="dxa"/>
            <w:tcBorders>
              <w:left w:val="double" w:sz="4" w:space="0" w:color="auto"/>
              <w:right w:val="single" w:sz="4" w:space="0" w:color="auto"/>
            </w:tcBorders>
            <w:vAlign w:val="center"/>
          </w:tcPr>
          <w:p w14:paraId="5B6EF775" w14:textId="77777777" w:rsidR="00DD351F" w:rsidRPr="008448DC" w:rsidRDefault="00DD351F" w:rsidP="005A1F79">
            <w:pPr>
              <w:rPr>
                <w:bCs/>
                <w:szCs w:val="24"/>
              </w:rPr>
            </w:pPr>
            <w:r w:rsidRPr="008448DC">
              <w:rPr>
                <w:bCs/>
                <w:szCs w:val="24"/>
              </w:rPr>
              <w:t>ARM 17.8.202- Definitions and Incorporation by Reference</w:t>
            </w:r>
          </w:p>
        </w:tc>
        <w:tc>
          <w:tcPr>
            <w:tcW w:w="4461" w:type="dxa"/>
            <w:gridSpan w:val="2"/>
            <w:tcBorders>
              <w:left w:val="single" w:sz="4" w:space="0" w:color="auto"/>
              <w:right w:val="double" w:sz="4" w:space="0" w:color="auto"/>
            </w:tcBorders>
            <w:vAlign w:val="center"/>
          </w:tcPr>
          <w:p w14:paraId="5B6EF776" w14:textId="77777777" w:rsidR="00DD351F" w:rsidRPr="008448DC" w:rsidRDefault="008A1042" w:rsidP="005A1F79">
            <w:pPr>
              <w:rPr>
                <w:bCs/>
                <w:szCs w:val="24"/>
              </w:rPr>
            </w:pPr>
            <w:r w:rsidRPr="008448DC">
              <w:rPr>
                <w:szCs w:val="24"/>
              </w:rPr>
              <w:t>These are rules that consist of either: a statement of purpose, applicability statement, regulatory definitions or a statement of incorporation by reference.  These types of rules do not have specific requirements associated with them.</w:t>
            </w:r>
          </w:p>
        </w:tc>
      </w:tr>
      <w:tr w:rsidR="005A1F79" w:rsidRPr="008448DC" w14:paraId="5B6EF77B" w14:textId="77777777" w:rsidTr="005A1F79">
        <w:trPr>
          <w:cantSplit/>
          <w:jc w:val="center"/>
        </w:trPr>
        <w:tc>
          <w:tcPr>
            <w:tcW w:w="4822" w:type="dxa"/>
            <w:tcBorders>
              <w:left w:val="double" w:sz="4" w:space="0" w:color="auto"/>
              <w:right w:val="single" w:sz="4" w:space="0" w:color="auto"/>
            </w:tcBorders>
            <w:vAlign w:val="center"/>
          </w:tcPr>
          <w:p w14:paraId="5B6EF778" w14:textId="77777777" w:rsidR="005A1F79" w:rsidRPr="008448DC" w:rsidRDefault="005A1F79" w:rsidP="005A1F79">
            <w:pPr>
              <w:rPr>
                <w:bCs/>
                <w:szCs w:val="24"/>
              </w:rPr>
            </w:pPr>
            <w:r w:rsidRPr="008448DC">
              <w:rPr>
                <w:bCs/>
                <w:szCs w:val="24"/>
              </w:rPr>
              <w:t>ARM 17.8.204 Ambient Air Monitoring</w:t>
            </w:r>
          </w:p>
          <w:p w14:paraId="5B6EF779" w14:textId="77777777" w:rsidR="005A1F79" w:rsidRPr="008448DC" w:rsidRDefault="005A1F79" w:rsidP="005A1F79">
            <w:pPr>
              <w:jc w:val="center"/>
              <w:rPr>
                <w:bCs/>
                <w:szCs w:val="24"/>
              </w:rPr>
            </w:pPr>
          </w:p>
        </w:tc>
        <w:tc>
          <w:tcPr>
            <w:tcW w:w="4461" w:type="dxa"/>
            <w:gridSpan w:val="2"/>
            <w:tcBorders>
              <w:left w:val="single" w:sz="4" w:space="0" w:color="auto"/>
              <w:right w:val="double" w:sz="4" w:space="0" w:color="auto"/>
            </w:tcBorders>
            <w:vAlign w:val="center"/>
          </w:tcPr>
          <w:p w14:paraId="5B6EF77A" w14:textId="77777777" w:rsidR="005A1F79" w:rsidRPr="008448DC" w:rsidRDefault="005A1F79" w:rsidP="005A1F79">
            <w:pPr>
              <w:rPr>
                <w:bCs/>
                <w:szCs w:val="24"/>
              </w:rPr>
            </w:pPr>
            <w:r w:rsidRPr="008448DC">
              <w:rPr>
                <w:bCs/>
                <w:szCs w:val="24"/>
              </w:rPr>
              <w:t>These rules are always applicable to a major source and may contain specific requirements for compliance.</w:t>
            </w:r>
          </w:p>
        </w:tc>
      </w:tr>
      <w:tr w:rsidR="005A1F79" w:rsidRPr="008448DC" w14:paraId="5B6EF77D"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7C" w14:textId="77777777" w:rsidR="005A1F79" w:rsidRPr="008448DC" w:rsidRDefault="005A1F79" w:rsidP="00DB275A">
            <w:pPr>
              <w:jc w:val="center"/>
              <w:rPr>
                <w:b/>
                <w:bCs/>
                <w:szCs w:val="24"/>
              </w:rPr>
            </w:pPr>
            <w:r w:rsidRPr="008448DC">
              <w:rPr>
                <w:b/>
                <w:bCs/>
                <w:szCs w:val="24"/>
              </w:rPr>
              <w:t>Sub</w:t>
            </w:r>
            <w:r w:rsidR="00DB275A">
              <w:rPr>
                <w:b/>
                <w:bCs/>
                <w:szCs w:val="24"/>
              </w:rPr>
              <w:t>c</w:t>
            </w:r>
            <w:r w:rsidRPr="008448DC">
              <w:rPr>
                <w:b/>
                <w:bCs/>
                <w:szCs w:val="24"/>
              </w:rPr>
              <w:t>hapter 3 Emission Standards</w:t>
            </w:r>
          </w:p>
        </w:tc>
      </w:tr>
      <w:tr w:rsidR="005A1F79" w:rsidRPr="008448DC" w14:paraId="5B6EF781" w14:textId="77777777" w:rsidTr="005A1F79">
        <w:trPr>
          <w:cantSplit/>
          <w:trHeight w:val="330"/>
          <w:jc w:val="center"/>
        </w:trPr>
        <w:tc>
          <w:tcPr>
            <w:tcW w:w="4855" w:type="dxa"/>
            <w:gridSpan w:val="2"/>
            <w:tcBorders>
              <w:left w:val="double" w:sz="4" w:space="0" w:color="auto"/>
            </w:tcBorders>
            <w:vAlign w:val="center"/>
          </w:tcPr>
          <w:p w14:paraId="5B6EF77E" w14:textId="77777777" w:rsidR="005A1F79" w:rsidRPr="008448DC" w:rsidRDefault="005A1F79" w:rsidP="005A1F79">
            <w:pPr>
              <w:rPr>
                <w:szCs w:val="24"/>
              </w:rPr>
            </w:pPr>
            <w:r w:rsidRPr="008448DC">
              <w:rPr>
                <w:szCs w:val="24"/>
              </w:rPr>
              <w:t>ARM 17.8.301 and 302 Definitions and Incorporation by Reference</w:t>
            </w:r>
          </w:p>
          <w:p w14:paraId="5B6EF77F" w14:textId="77777777" w:rsidR="005A1F79" w:rsidRPr="008448DC" w:rsidRDefault="005A1F79" w:rsidP="005A1F79">
            <w:pPr>
              <w:rPr>
                <w:szCs w:val="24"/>
              </w:rPr>
            </w:pPr>
            <w:r w:rsidRPr="008448DC">
              <w:rPr>
                <w:szCs w:val="24"/>
              </w:rPr>
              <w:t>ARM 17.8.330 Emissions Standards for Aluminum Plants - Definitions</w:t>
            </w:r>
          </w:p>
        </w:tc>
        <w:tc>
          <w:tcPr>
            <w:tcW w:w="4428" w:type="dxa"/>
            <w:tcBorders>
              <w:right w:val="double" w:sz="4" w:space="0" w:color="auto"/>
            </w:tcBorders>
            <w:vAlign w:val="center"/>
          </w:tcPr>
          <w:p w14:paraId="5B6EF780" w14:textId="77777777" w:rsidR="005A1F79" w:rsidRPr="008448DC" w:rsidRDefault="005A1F79" w:rsidP="005A1F79">
            <w:pPr>
              <w:rPr>
                <w:szCs w:val="24"/>
              </w:rPr>
            </w:pPr>
            <w:r w:rsidRPr="008448DC">
              <w:rPr>
                <w:szCs w:val="24"/>
              </w:rPr>
              <w:t>These are rules that consist of either: a statement of purpose, applicability statement, regulatory definitions or a statement of incorporation by reference.  These types of rules do not have specific requirements associated with them.</w:t>
            </w:r>
          </w:p>
        </w:tc>
      </w:tr>
      <w:tr w:rsidR="005A1F79" w:rsidRPr="008448DC" w14:paraId="5B6EF784" w14:textId="77777777" w:rsidTr="005A1F79">
        <w:trPr>
          <w:cantSplit/>
          <w:trHeight w:val="900"/>
          <w:jc w:val="center"/>
        </w:trPr>
        <w:tc>
          <w:tcPr>
            <w:tcW w:w="4855" w:type="dxa"/>
            <w:gridSpan w:val="2"/>
            <w:tcBorders>
              <w:left w:val="double" w:sz="4" w:space="0" w:color="auto"/>
            </w:tcBorders>
            <w:vAlign w:val="center"/>
          </w:tcPr>
          <w:p w14:paraId="5B6EF782" w14:textId="77777777" w:rsidR="005A1F79" w:rsidRPr="008448DC" w:rsidRDefault="005A1F79" w:rsidP="0091393D">
            <w:pPr>
              <w:rPr>
                <w:szCs w:val="24"/>
              </w:rPr>
            </w:pPr>
            <w:r w:rsidRPr="008448DC">
              <w:rPr>
                <w:szCs w:val="24"/>
              </w:rPr>
              <w:t>ARM 17.8.326 Prohibited Materials for Wood or Coal Residential Stoves</w:t>
            </w:r>
          </w:p>
        </w:tc>
        <w:tc>
          <w:tcPr>
            <w:tcW w:w="4428" w:type="dxa"/>
            <w:tcBorders>
              <w:right w:val="double" w:sz="4" w:space="0" w:color="auto"/>
            </w:tcBorders>
            <w:vAlign w:val="center"/>
          </w:tcPr>
          <w:p w14:paraId="5B6EF783" w14:textId="77777777" w:rsidR="005A1F79" w:rsidRPr="008448DC" w:rsidRDefault="005A1F79" w:rsidP="005A1F79">
            <w:pPr>
              <w:rPr>
                <w:szCs w:val="24"/>
              </w:rPr>
            </w:pPr>
            <w:r w:rsidRPr="008448DC">
              <w:rPr>
                <w:szCs w:val="24"/>
              </w:rPr>
              <w:t>These are rules that are always applicable to a major source and may contain specific requirements for compliance</w:t>
            </w:r>
          </w:p>
        </w:tc>
      </w:tr>
      <w:tr w:rsidR="00503FCB" w:rsidRPr="008448DC" w14:paraId="5B6EF786"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85" w14:textId="77777777" w:rsidR="00503FCB" w:rsidRPr="008448DC" w:rsidRDefault="00503FCB" w:rsidP="00DB275A">
            <w:pPr>
              <w:keepNext/>
              <w:jc w:val="center"/>
              <w:rPr>
                <w:b/>
                <w:bCs/>
                <w:szCs w:val="24"/>
              </w:rPr>
            </w:pPr>
            <w:r w:rsidRPr="008448DC">
              <w:rPr>
                <w:b/>
                <w:bCs/>
                <w:szCs w:val="24"/>
              </w:rPr>
              <w:lastRenderedPageBreak/>
              <w:t>Sub</w:t>
            </w:r>
            <w:r w:rsidR="00DB275A">
              <w:rPr>
                <w:b/>
                <w:bCs/>
                <w:szCs w:val="24"/>
              </w:rPr>
              <w:t>c</w:t>
            </w:r>
            <w:r w:rsidRPr="008448DC">
              <w:rPr>
                <w:b/>
                <w:bCs/>
                <w:szCs w:val="24"/>
              </w:rPr>
              <w:t>hapter 4 Stack Heights and Dispersion Techniques</w:t>
            </w:r>
          </w:p>
        </w:tc>
      </w:tr>
      <w:tr w:rsidR="00503FCB" w:rsidRPr="008448DC" w14:paraId="5B6EF789" w14:textId="77777777" w:rsidTr="00503FCB">
        <w:trPr>
          <w:cantSplit/>
          <w:jc w:val="center"/>
        </w:trPr>
        <w:tc>
          <w:tcPr>
            <w:tcW w:w="4822" w:type="dxa"/>
            <w:tcBorders>
              <w:left w:val="double" w:sz="4" w:space="0" w:color="auto"/>
              <w:right w:val="double" w:sz="4" w:space="0" w:color="auto"/>
            </w:tcBorders>
            <w:vAlign w:val="center"/>
          </w:tcPr>
          <w:p w14:paraId="5B6EF787" w14:textId="77777777" w:rsidR="00503FCB" w:rsidRPr="008448DC" w:rsidRDefault="00503FCB" w:rsidP="00DB275A">
            <w:pPr>
              <w:keepNext/>
              <w:rPr>
                <w:bCs/>
                <w:szCs w:val="24"/>
              </w:rPr>
            </w:pPr>
            <w:r w:rsidRPr="008448DC">
              <w:rPr>
                <w:bCs/>
                <w:szCs w:val="24"/>
              </w:rPr>
              <w:t>ARM 17.8.401 Definitions</w:t>
            </w:r>
          </w:p>
        </w:tc>
        <w:tc>
          <w:tcPr>
            <w:tcW w:w="4461" w:type="dxa"/>
            <w:gridSpan w:val="2"/>
            <w:tcBorders>
              <w:left w:val="double" w:sz="4" w:space="0" w:color="auto"/>
              <w:right w:val="double" w:sz="4" w:space="0" w:color="auto"/>
            </w:tcBorders>
            <w:vAlign w:val="center"/>
          </w:tcPr>
          <w:p w14:paraId="5B6EF788" w14:textId="67689484" w:rsidR="00503FCB" w:rsidRPr="008448DC" w:rsidRDefault="00503FCB" w:rsidP="00DB275A">
            <w:pPr>
              <w:keepNext/>
              <w:rPr>
                <w:bCs/>
                <w:szCs w:val="24"/>
              </w:rPr>
            </w:pPr>
            <w:r w:rsidRPr="008448DC">
              <w:rPr>
                <w:bCs/>
                <w:szCs w:val="24"/>
              </w:rPr>
              <w:t xml:space="preserve">These are rules that consist of either: a statement of purpose, applicability statement, regulatory </w:t>
            </w:r>
            <w:r w:rsidR="00DB2279" w:rsidRPr="008448DC">
              <w:rPr>
                <w:bCs/>
                <w:szCs w:val="24"/>
              </w:rPr>
              <w:t>definitions,</w:t>
            </w:r>
            <w:r w:rsidRPr="008448DC">
              <w:rPr>
                <w:bCs/>
                <w:szCs w:val="24"/>
              </w:rPr>
              <w:t xml:space="preserve"> or a statement of incorporation by reference. These types of rules do not have specific requirements associated with them. </w:t>
            </w:r>
          </w:p>
        </w:tc>
      </w:tr>
      <w:tr w:rsidR="00503FCB" w:rsidRPr="008448DC" w14:paraId="5B6EF78C" w14:textId="77777777" w:rsidTr="00D27FE6">
        <w:trPr>
          <w:cantSplit/>
          <w:trHeight w:val="53"/>
          <w:jc w:val="center"/>
        </w:trPr>
        <w:tc>
          <w:tcPr>
            <w:tcW w:w="4822" w:type="dxa"/>
            <w:tcBorders>
              <w:left w:val="double" w:sz="4" w:space="0" w:color="auto"/>
              <w:right w:val="double" w:sz="4" w:space="0" w:color="auto"/>
            </w:tcBorders>
            <w:vAlign w:val="center"/>
          </w:tcPr>
          <w:p w14:paraId="5B6EF78A" w14:textId="77777777" w:rsidR="00503FCB" w:rsidRPr="008448DC" w:rsidRDefault="00503FCB" w:rsidP="00DB275A">
            <w:pPr>
              <w:keepNext/>
              <w:rPr>
                <w:bCs/>
                <w:szCs w:val="24"/>
              </w:rPr>
            </w:pPr>
            <w:r w:rsidRPr="008448DC">
              <w:rPr>
                <w:bCs/>
                <w:szCs w:val="24"/>
              </w:rPr>
              <w:t>ARM 17.8.403 Exemptions</w:t>
            </w:r>
          </w:p>
        </w:tc>
        <w:tc>
          <w:tcPr>
            <w:tcW w:w="4461" w:type="dxa"/>
            <w:gridSpan w:val="2"/>
            <w:tcBorders>
              <w:left w:val="double" w:sz="4" w:space="0" w:color="auto"/>
              <w:right w:val="double" w:sz="4" w:space="0" w:color="auto"/>
            </w:tcBorders>
            <w:vAlign w:val="center"/>
          </w:tcPr>
          <w:p w14:paraId="5B6EF78B" w14:textId="77777777" w:rsidR="00503FCB" w:rsidRPr="008448DC" w:rsidRDefault="006B109B" w:rsidP="00DB275A">
            <w:pPr>
              <w:keepNext/>
              <w:rPr>
                <w:bCs/>
                <w:szCs w:val="24"/>
              </w:rPr>
            </w:pPr>
            <w:r w:rsidRPr="008448DC">
              <w:rPr>
                <w:bCs/>
                <w:szCs w:val="24"/>
              </w:rPr>
              <w:t xml:space="preserve">These are procedural rules that have specific requirements that may become relevant to a major source during the permit span. </w:t>
            </w:r>
          </w:p>
        </w:tc>
      </w:tr>
      <w:tr w:rsidR="005A1F79" w:rsidRPr="008448DC" w14:paraId="5B6EF78E" w14:textId="77777777" w:rsidTr="008448DC">
        <w:trPr>
          <w:cantSplit/>
          <w:jc w:val="center"/>
        </w:trPr>
        <w:tc>
          <w:tcPr>
            <w:tcW w:w="9283" w:type="dxa"/>
            <w:gridSpan w:val="3"/>
            <w:tcBorders>
              <w:left w:val="double" w:sz="4" w:space="0" w:color="auto"/>
              <w:right w:val="double" w:sz="4" w:space="0" w:color="auto"/>
            </w:tcBorders>
            <w:shd w:val="clear" w:color="auto" w:fill="F2F2F2" w:themeFill="background1" w:themeFillShade="F2"/>
            <w:vAlign w:val="center"/>
          </w:tcPr>
          <w:p w14:paraId="5B6EF78D" w14:textId="77777777" w:rsidR="005A1F79" w:rsidRPr="008448DC" w:rsidRDefault="005A1F79" w:rsidP="00DB275A">
            <w:pPr>
              <w:jc w:val="center"/>
              <w:rPr>
                <w:b/>
                <w:bCs/>
                <w:szCs w:val="24"/>
              </w:rPr>
            </w:pPr>
            <w:r w:rsidRPr="008448DC">
              <w:rPr>
                <w:b/>
                <w:bCs/>
                <w:szCs w:val="24"/>
              </w:rPr>
              <w:t>Sub</w:t>
            </w:r>
            <w:r w:rsidR="00DB275A">
              <w:rPr>
                <w:b/>
                <w:bCs/>
                <w:szCs w:val="24"/>
              </w:rPr>
              <w:t>c</w:t>
            </w:r>
            <w:r w:rsidRPr="008448DC">
              <w:rPr>
                <w:b/>
                <w:bCs/>
                <w:szCs w:val="24"/>
              </w:rPr>
              <w:t>hapter 5 Air Quality Permit Application, Operation and Open Burning Fees</w:t>
            </w:r>
          </w:p>
        </w:tc>
      </w:tr>
      <w:tr w:rsidR="005A1F79" w:rsidRPr="008448DC" w14:paraId="5B6EF792" w14:textId="77777777" w:rsidTr="008448DC">
        <w:trPr>
          <w:cantSplit/>
          <w:trHeight w:val="900"/>
          <w:jc w:val="center"/>
        </w:trPr>
        <w:tc>
          <w:tcPr>
            <w:tcW w:w="4855" w:type="dxa"/>
            <w:gridSpan w:val="2"/>
            <w:tcBorders>
              <w:left w:val="double" w:sz="4" w:space="0" w:color="auto"/>
            </w:tcBorders>
            <w:shd w:val="clear" w:color="auto" w:fill="FFFFFF" w:themeFill="background1"/>
            <w:vAlign w:val="center"/>
          </w:tcPr>
          <w:p w14:paraId="5B6EF78F" w14:textId="77777777" w:rsidR="005A1F79" w:rsidRPr="008448DC" w:rsidRDefault="005A1F79" w:rsidP="005A1F79">
            <w:pPr>
              <w:rPr>
                <w:szCs w:val="24"/>
              </w:rPr>
            </w:pPr>
            <w:r w:rsidRPr="008448DC">
              <w:rPr>
                <w:szCs w:val="24"/>
              </w:rPr>
              <w:t>ARM 17.8.501 Definitions</w:t>
            </w:r>
          </w:p>
          <w:p w14:paraId="5B6EF790" w14:textId="77777777" w:rsidR="005A1F79" w:rsidRPr="008448DC" w:rsidRDefault="005A1F79" w:rsidP="005A1F79">
            <w:pPr>
              <w:rPr>
                <w:szCs w:val="24"/>
              </w:rPr>
            </w:pPr>
          </w:p>
        </w:tc>
        <w:tc>
          <w:tcPr>
            <w:tcW w:w="4428" w:type="dxa"/>
            <w:tcBorders>
              <w:right w:val="double" w:sz="4" w:space="0" w:color="auto"/>
            </w:tcBorders>
            <w:shd w:val="clear" w:color="auto" w:fill="FFFFFF" w:themeFill="background1"/>
            <w:vAlign w:val="center"/>
          </w:tcPr>
          <w:p w14:paraId="5B6EF791" w14:textId="77777777" w:rsidR="005A1F79" w:rsidRPr="008448DC" w:rsidRDefault="005A1F79" w:rsidP="005A1F79">
            <w:pPr>
              <w:rPr>
                <w:szCs w:val="24"/>
              </w:rPr>
            </w:pPr>
            <w:r w:rsidRPr="008448DC">
              <w:rPr>
                <w:szCs w:val="24"/>
              </w:rPr>
              <w:t>These are rules that consist of either a statement of purpose, applicability statement, regulatory definitions or a statement of incorporation by reference.  These types of rules do not have specific requirements associated with them.</w:t>
            </w:r>
          </w:p>
        </w:tc>
      </w:tr>
      <w:tr w:rsidR="005A1F79" w:rsidRPr="008448DC" w14:paraId="5B6EF795" w14:textId="77777777" w:rsidTr="008448DC">
        <w:trPr>
          <w:cantSplit/>
          <w:trHeight w:val="900"/>
          <w:jc w:val="center"/>
        </w:trPr>
        <w:tc>
          <w:tcPr>
            <w:tcW w:w="4855" w:type="dxa"/>
            <w:gridSpan w:val="2"/>
            <w:tcBorders>
              <w:left w:val="double" w:sz="4" w:space="0" w:color="auto"/>
            </w:tcBorders>
            <w:shd w:val="clear" w:color="auto" w:fill="FFFFFF" w:themeFill="background1"/>
            <w:vAlign w:val="center"/>
          </w:tcPr>
          <w:p w14:paraId="5B6EF793" w14:textId="77777777" w:rsidR="005A1F79" w:rsidRPr="008448DC" w:rsidRDefault="005A1F79" w:rsidP="005A1F79">
            <w:pPr>
              <w:rPr>
                <w:szCs w:val="24"/>
              </w:rPr>
            </w:pPr>
            <w:r w:rsidRPr="008448DC">
              <w:rPr>
                <w:szCs w:val="24"/>
              </w:rPr>
              <w:t>ARM 17.8.510 Annual Review</w:t>
            </w:r>
          </w:p>
        </w:tc>
        <w:tc>
          <w:tcPr>
            <w:tcW w:w="4428" w:type="dxa"/>
            <w:tcBorders>
              <w:right w:val="double" w:sz="4" w:space="0" w:color="auto"/>
            </w:tcBorders>
            <w:shd w:val="clear" w:color="auto" w:fill="FFFFFF" w:themeFill="background1"/>
            <w:vAlign w:val="center"/>
          </w:tcPr>
          <w:p w14:paraId="5B6EF794" w14:textId="77777777" w:rsidR="005A1F79" w:rsidRPr="008448DC" w:rsidRDefault="005A1F79" w:rsidP="005A1F79">
            <w:pPr>
              <w:rPr>
                <w:szCs w:val="24"/>
              </w:rPr>
            </w:pPr>
            <w:r w:rsidRPr="008448DC">
              <w:rPr>
                <w:szCs w:val="24"/>
              </w:rPr>
              <w:t>This rule contains requirements for the regulatory authorities and not major sources; however, it can be used as authority to impose specific requirements on a major source.</w:t>
            </w:r>
          </w:p>
        </w:tc>
      </w:tr>
      <w:tr w:rsidR="005A1F79" w:rsidRPr="008448DC" w14:paraId="5B6EF79A" w14:textId="77777777" w:rsidTr="008448DC">
        <w:trPr>
          <w:cantSplit/>
          <w:trHeight w:val="900"/>
          <w:jc w:val="center"/>
        </w:trPr>
        <w:tc>
          <w:tcPr>
            <w:tcW w:w="4855" w:type="dxa"/>
            <w:gridSpan w:val="2"/>
            <w:tcBorders>
              <w:left w:val="double" w:sz="4" w:space="0" w:color="auto"/>
            </w:tcBorders>
            <w:shd w:val="clear" w:color="auto" w:fill="FFFFFF" w:themeFill="background1"/>
            <w:vAlign w:val="center"/>
          </w:tcPr>
          <w:p w14:paraId="5B6EF796" w14:textId="77777777" w:rsidR="005A1F79" w:rsidRPr="008448DC" w:rsidRDefault="005A1F79" w:rsidP="005A1F79">
            <w:pPr>
              <w:rPr>
                <w:szCs w:val="24"/>
              </w:rPr>
            </w:pPr>
            <w:r w:rsidRPr="008448DC">
              <w:rPr>
                <w:szCs w:val="24"/>
              </w:rPr>
              <w:t>ARM 17.8.511 Air Quality Permit Application/Operation Fee Assessment Appeal Procedures</w:t>
            </w:r>
          </w:p>
          <w:p w14:paraId="5B6EF797" w14:textId="77777777" w:rsidR="005A1F79" w:rsidRPr="008448DC" w:rsidRDefault="005A1F79" w:rsidP="005A1F79">
            <w:pPr>
              <w:rPr>
                <w:szCs w:val="24"/>
              </w:rPr>
            </w:pPr>
            <w:r w:rsidRPr="008448DC">
              <w:rPr>
                <w:szCs w:val="24"/>
              </w:rPr>
              <w:t>ARM 17.8.514 Air Quality Open Burning Fees</w:t>
            </w:r>
          </w:p>
          <w:p w14:paraId="5B6EF798" w14:textId="77777777" w:rsidR="005A1F79" w:rsidRPr="008448DC" w:rsidRDefault="005A1F79" w:rsidP="005A1F79">
            <w:pPr>
              <w:rPr>
                <w:szCs w:val="24"/>
              </w:rPr>
            </w:pPr>
            <w:r w:rsidRPr="008448DC">
              <w:rPr>
                <w:szCs w:val="24"/>
              </w:rPr>
              <w:t>ARM 17.8.515 Air Quality Open Burning Fees for Conditional, Emergency, Christmas Tree Waste, and Commercial Film Production Open Burning Permits</w:t>
            </w:r>
          </w:p>
        </w:tc>
        <w:tc>
          <w:tcPr>
            <w:tcW w:w="4428" w:type="dxa"/>
            <w:tcBorders>
              <w:right w:val="double" w:sz="4" w:space="0" w:color="auto"/>
            </w:tcBorders>
            <w:shd w:val="clear" w:color="auto" w:fill="FFFFFF" w:themeFill="background1"/>
            <w:vAlign w:val="center"/>
          </w:tcPr>
          <w:p w14:paraId="5B6EF799" w14:textId="77777777" w:rsidR="005A1F79" w:rsidRPr="008448DC" w:rsidRDefault="005A1F79" w:rsidP="005A1F79">
            <w:pPr>
              <w:rPr>
                <w:szCs w:val="24"/>
              </w:rPr>
            </w:pPr>
            <w:r w:rsidRPr="008448DC">
              <w:rPr>
                <w:szCs w:val="24"/>
              </w:rPr>
              <w:t xml:space="preserve">These are procedural rules that have specific requirements that may become relevant to a major source during the permit span.  </w:t>
            </w:r>
          </w:p>
        </w:tc>
      </w:tr>
      <w:tr w:rsidR="005A1F79" w:rsidRPr="008448DC" w14:paraId="5B6EF79C" w14:textId="77777777" w:rsidTr="008448DC">
        <w:trPr>
          <w:cantSplit/>
          <w:jc w:val="center"/>
        </w:trPr>
        <w:tc>
          <w:tcPr>
            <w:tcW w:w="9283" w:type="dxa"/>
            <w:gridSpan w:val="3"/>
            <w:tcBorders>
              <w:left w:val="double" w:sz="4" w:space="0" w:color="auto"/>
              <w:right w:val="double" w:sz="4" w:space="0" w:color="auto"/>
            </w:tcBorders>
            <w:shd w:val="clear" w:color="auto" w:fill="F2F2F2" w:themeFill="background1" w:themeFillShade="F2"/>
            <w:vAlign w:val="center"/>
          </w:tcPr>
          <w:p w14:paraId="5B6EF79B" w14:textId="77777777" w:rsidR="005A1F79" w:rsidRPr="008448DC" w:rsidRDefault="005A1F79" w:rsidP="00DB275A">
            <w:pPr>
              <w:jc w:val="center"/>
              <w:rPr>
                <w:b/>
                <w:bCs/>
                <w:szCs w:val="24"/>
              </w:rPr>
            </w:pPr>
            <w:r w:rsidRPr="008448DC">
              <w:rPr>
                <w:b/>
                <w:bCs/>
                <w:szCs w:val="24"/>
              </w:rPr>
              <w:t>Sub</w:t>
            </w:r>
            <w:r w:rsidR="00DB275A">
              <w:rPr>
                <w:b/>
                <w:bCs/>
                <w:szCs w:val="24"/>
              </w:rPr>
              <w:t>c</w:t>
            </w:r>
            <w:r w:rsidRPr="008448DC">
              <w:rPr>
                <w:b/>
                <w:bCs/>
                <w:szCs w:val="24"/>
              </w:rPr>
              <w:t>hapter 6 Open Burning</w:t>
            </w:r>
          </w:p>
        </w:tc>
      </w:tr>
      <w:tr w:rsidR="005A1F79" w:rsidRPr="008448DC" w14:paraId="5B6EF79F" w14:textId="77777777" w:rsidTr="008448DC">
        <w:trPr>
          <w:cantSplit/>
          <w:trHeight w:val="900"/>
          <w:jc w:val="center"/>
        </w:trPr>
        <w:tc>
          <w:tcPr>
            <w:tcW w:w="4855" w:type="dxa"/>
            <w:gridSpan w:val="2"/>
            <w:tcBorders>
              <w:left w:val="double" w:sz="4" w:space="0" w:color="auto"/>
            </w:tcBorders>
            <w:shd w:val="clear" w:color="auto" w:fill="FFFFFF" w:themeFill="background1"/>
            <w:vAlign w:val="center"/>
          </w:tcPr>
          <w:p w14:paraId="5B6EF79D" w14:textId="77777777" w:rsidR="005A1F79" w:rsidRPr="008448DC" w:rsidRDefault="005A1F79" w:rsidP="005A1F79">
            <w:pPr>
              <w:rPr>
                <w:szCs w:val="24"/>
              </w:rPr>
            </w:pPr>
            <w:r w:rsidRPr="008448DC">
              <w:rPr>
                <w:szCs w:val="24"/>
              </w:rPr>
              <w:t>ARM 17.8.601 and 602 Definitions &amp; Incorporation by Reference</w:t>
            </w:r>
          </w:p>
        </w:tc>
        <w:tc>
          <w:tcPr>
            <w:tcW w:w="4428" w:type="dxa"/>
            <w:tcBorders>
              <w:right w:val="double" w:sz="4" w:space="0" w:color="auto"/>
            </w:tcBorders>
            <w:shd w:val="clear" w:color="auto" w:fill="FFFFFF" w:themeFill="background1"/>
            <w:vAlign w:val="center"/>
          </w:tcPr>
          <w:p w14:paraId="5B6EF79E" w14:textId="56E7C6C7" w:rsidR="005A1F79" w:rsidRPr="008448DC" w:rsidRDefault="005A1F79" w:rsidP="005A1F79">
            <w:pPr>
              <w:rPr>
                <w:szCs w:val="24"/>
              </w:rPr>
            </w:pPr>
            <w:r w:rsidRPr="008448DC">
              <w:rPr>
                <w:szCs w:val="24"/>
              </w:rPr>
              <w:t xml:space="preserve">These are rules that consist of either: a statement of purpose, applicability statement, regulatory </w:t>
            </w:r>
            <w:r w:rsidR="00DB2279" w:rsidRPr="008448DC">
              <w:rPr>
                <w:szCs w:val="24"/>
              </w:rPr>
              <w:t>definitions,</w:t>
            </w:r>
            <w:r w:rsidRPr="008448DC">
              <w:rPr>
                <w:szCs w:val="24"/>
              </w:rPr>
              <w:t xml:space="preserve"> or a statement of incorporation by reference.  These types of rules do not have specific requirements associated with them.</w:t>
            </w:r>
          </w:p>
        </w:tc>
      </w:tr>
      <w:tr w:rsidR="005A1F79" w:rsidRPr="008448DC" w14:paraId="5B6EF7A6" w14:textId="77777777" w:rsidTr="008448DC">
        <w:trPr>
          <w:cantSplit/>
          <w:trHeight w:val="900"/>
          <w:jc w:val="center"/>
        </w:trPr>
        <w:tc>
          <w:tcPr>
            <w:tcW w:w="4855" w:type="dxa"/>
            <w:gridSpan w:val="2"/>
            <w:tcBorders>
              <w:left w:val="double" w:sz="4" w:space="0" w:color="auto"/>
            </w:tcBorders>
            <w:shd w:val="clear" w:color="auto" w:fill="FFFFFF" w:themeFill="background1"/>
            <w:vAlign w:val="center"/>
          </w:tcPr>
          <w:p w14:paraId="5B6EF7A0" w14:textId="77777777" w:rsidR="005A1F79" w:rsidRPr="008448DC" w:rsidRDefault="005A1F79" w:rsidP="005A1F79">
            <w:pPr>
              <w:rPr>
                <w:szCs w:val="24"/>
              </w:rPr>
            </w:pPr>
            <w:r w:rsidRPr="008448DC">
              <w:rPr>
                <w:szCs w:val="24"/>
              </w:rPr>
              <w:t>ARM 17.8.611 Emergency Open Burning Permits</w:t>
            </w:r>
          </w:p>
          <w:p w14:paraId="5B6EF7A1" w14:textId="77777777" w:rsidR="005A1F79" w:rsidRPr="008448DC" w:rsidRDefault="005A1F79" w:rsidP="005A1F79">
            <w:pPr>
              <w:rPr>
                <w:szCs w:val="24"/>
              </w:rPr>
            </w:pPr>
            <w:r w:rsidRPr="008448DC">
              <w:rPr>
                <w:szCs w:val="24"/>
              </w:rPr>
              <w:t>ARM 17.8.612 Conditional Air Quality Open Burning Permits</w:t>
            </w:r>
          </w:p>
          <w:p w14:paraId="5B6EF7A2" w14:textId="77777777" w:rsidR="005A1F79" w:rsidRPr="008448DC" w:rsidRDefault="005A1F79" w:rsidP="005A1F79">
            <w:pPr>
              <w:rPr>
                <w:szCs w:val="24"/>
              </w:rPr>
            </w:pPr>
            <w:r w:rsidRPr="008448DC">
              <w:rPr>
                <w:szCs w:val="24"/>
              </w:rPr>
              <w:t>ARM 17.8.613 Christmas Tree Waste Open Burning Permits</w:t>
            </w:r>
          </w:p>
          <w:p w14:paraId="5B6EF7A3" w14:textId="77777777" w:rsidR="005A1F79" w:rsidRPr="008448DC" w:rsidRDefault="005A1F79" w:rsidP="005A1F79">
            <w:pPr>
              <w:rPr>
                <w:szCs w:val="24"/>
              </w:rPr>
            </w:pPr>
            <w:r w:rsidRPr="008448DC">
              <w:rPr>
                <w:szCs w:val="24"/>
              </w:rPr>
              <w:t>ARM 17.8.614 Commercial Film Production Open Burning Permits</w:t>
            </w:r>
          </w:p>
          <w:p w14:paraId="5B6EF7A4" w14:textId="77777777" w:rsidR="005A1F79" w:rsidRPr="008448DC" w:rsidRDefault="005A1F79" w:rsidP="005A1F79">
            <w:pPr>
              <w:rPr>
                <w:szCs w:val="24"/>
              </w:rPr>
            </w:pPr>
            <w:r w:rsidRPr="008448DC">
              <w:rPr>
                <w:szCs w:val="24"/>
              </w:rPr>
              <w:t>ARM 17.8.615 Firefighter Training</w:t>
            </w:r>
          </w:p>
        </w:tc>
        <w:tc>
          <w:tcPr>
            <w:tcW w:w="4428" w:type="dxa"/>
            <w:tcBorders>
              <w:right w:val="double" w:sz="4" w:space="0" w:color="auto"/>
            </w:tcBorders>
            <w:shd w:val="clear" w:color="auto" w:fill="FFFFFF" w:themeFill="background1"/>
            <w:vAlign w:val="center"/>
          </w:tcPr>
          <w:p w14:paraId="5B6EF7A5" w14:textId="77777777" w:rsidR="005A1F79" w:rsidRPr="008448DC" w:rsidRDefault="005A1F79" w:rsidP="005A1F79">
            <w:pPr>
              <w:rPr>
                <w:szCs w:val="24"/>
              </w:rPr>
            </w:pPr>
            <w:r w:rsidRPr="008448DC">
              <w:rPr>
                <w:szCs w:val="24"/>
              </w:rPr>
              <w:t xml:space="preserve">These are procedural rules that have specific requirements that may become relevant to a major source during the permit span.  </w:t>
            </w:r>
          </w:p>
        </w:tc>
      </w:tr>
      <w:tr w:rsidR="005A1F79" w:rsidRPr="008448DC" w14:paraId="5B6EF7A8"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A7" w14:textId="77777777" w:rsidR="005A1F79" w:rsidRPr="008448DC" w:rsidRDefault="005A1F79" w:rsidP="00DB275A">
            <w:pPr>
              <w:keepNext/>
              <w:jc w:val="center"/>
              <w:rPr>
                <w:b/>
                <w:bCs/>
                <w:szCs w:val="24"/>
              </w:rPr>
            </w:pPr>
            <w:r w:rsidRPr="008448DC">
              <w:rPr>
                <w:b/>
                <w:bCs/>
                <w:szCs w:val="24"/>
              </w:rPr>
              <w:lastRenderedPageBreak/>
              <w:t>Sub</w:t>
            </w:r>
            <w:r w:rsidR="00DB275A">
              <w:rPr>
                <w:b/>
                <w:bCs/>
                <w:szCs w:val="24"/>
              </w:rPr>
              <w:t>c</w:t>
            </w:r>
            <w:r w:rsidRPr="008448DC">
              <w:rPr>
                <w:b/>
                <w:bCs/>
                <w:szCs w:val="24"/>
              </w:rPr>
              <w:t>hapter 7 Permit, Construction and Operation of Air Contaminant Sources</w:t>
            </w:r>
          </w:p>
        </w:tc>
      </w:tr>
      <w:tr w:rsidR="005A1F79" w:rsidRPr="008448DC" w14:paraId="5B6EF7AC" w14:textId="77777777" w:rsidTr="005A1F79">
        <w:trPr>
          <w:cantSplit/>
          <w:jc w:val="center"/>
        </w:trPr>
        <w:tc>
          <w:tcPr>
            <w:tcW w:w="4822" w:type="dxa"/>
            <w:tcBorders>
              <w:left w:val="double" w:sz="4" w:space="0" w:color="auto"/>
              <w:right w:val="double" w:sz="4" w:space="0" w:color="auto"/>
            </w:tcBorders>
            <w:vAlign w:val="center"/>
          </w:tcPr>
          <w:p w14:paraId="5B6EF7A9" w14:textId="77777777" w:rsidR="005A1F79" w:rsidRPr="008448DC" w:rsidRDefault="005A1F79" w:rsidP="008448DC">
            <w:pPr>
              <w:keepNext/>
              <w:rPr>
                <w:bCs/>
                <w:szCs w:val="24"/>
              </w:rPr>
            </w:pPr>
            <w:r w:rsidRPr="008448DC">
              <w:rPr>
                <w:bCs/>
                <w:szCs w:val="24"/>
              </w:rPr>
              <w:t>ARM 17.8.740 Definitions</w:t>
            </w:r>
          </w:p>
          <w:p w14:paraId="5B6EF7AA" w14:textId="77777777" w:rsidR="00D27FE6" w:rsidRPr="008448DC" w:rsidRDefault="00D27FE6" w:rsidP="008448DC">
            <w:pPr>
              <w:keepNext/>
              <w:rPr>
                <w:bCs/>
                <w:szCs w:val="24"/>
              </w:rPr>
            </w:pPr>
            <w:r w:rsidRPr="008448DC">
              <w:rPr>
                <w:bCs/>
                <w:szCs w:val="24"/>
              </w:rPr>
              <w:t>ARM 17.8.767 Incorporation by Reference</w:t>
            </w:r>
          </w:p>
        </w:tc>
        <w:tc>
          <w:tcPr>
            <w:tcW w:w="4461" w:type="dxa"/>
            <w:gridSpan w:val="2"/>
            <w:tcBorders>
              <w:left w:val="double" w:sz="4" w:space="0" w:color="auto"/>
              <w:right w:val="double" w:sz="4" w:space="0" w:color="auto"/>
            </w:tcBorders>
            <w:vAlign w:val="center"/>
          </w:tcPr>
          <w:p w14:paraId="5B6EF7AB" w14:textId="1BC4B71E" w:rsidR="005A1F79" w:rsidRPr="008448DC" w:rsidRDefault="005A1F79" w:rsidP="008448DC">
            <w:pPr>
              <w:keepNext/>
              <w:rPr>
                <w:bCs/>
                <w:szCs w:val="24"/>
              </w:rPr>
            </w:pPr>
            <w:r w:rsidRPr="008448DC">
              <w:rPr>
                <w:bCs/>
                <w:szCs w:val="24"/>
              </w:rPr>
              <w:t xml:space="preserve">These rules consist of either: a statement of purpose, applicability statement, regulatory </w:t>
            </w:r>
            <w:r w:rsidR="00DB2279" w:rsidRPr="008448DC">
              <w:rPr>
                <w:bCs/>
                <w:szCs w:val="24"/>
              </w:rPr>
              <w:t>definitions,</w:t>
            </w:r>
            <w:r w:rsidRPr="008448DC">
              <w:rPr>
                <w:bCs/>
                <w:szCs w:val="24"/>
              </w:rPr>
              <w:t xml:space="preserve"> or a statement of incorporation by reference. These types of rules do not have specific requirement associate with them. </w:t>
            </w:r>
          </w:p>
        </w:tc>
      </w:tr>
      <w:tr w:rsidR="005A1F79" w:rsidRPr="008448DC" w14:paraId="5B6EF7B5" w14:textId="77777777" w:rsidTr="005A1F79">
        <w:trPr>
          <w:cantSplit/>
          <w:jc w:val="center"/>
        </w:trPr>
        <w:tc>
          <w:tcPr>
            <w:tcW w:w="4822" w:type="dxa"/>
            <w:tcBorders>
              <w:left w:val="double" w:sz="4" w:space="0" w:color="auto"/>
              <w:right w:val="double" w:sz="4" w:space="0" w:color="auto"/>
            </w:tcBorders>
            <w:vAlign w:val="center"/>
          </w:tcPr>
          <w:p w14:paraId="5B6EF7AD" w14:textId="77777777" w:rsidR="005A1F79" w:rsidRPr="008448DC" w:rsidRDefault="005A1F79" w:rsidP="008448DC">
            <w:pPr>
              <w:keepNext/>
              <w:rPr>
                <w:bCs/>
                <w:szCs w:val="24"/>
              </w:rPr>
            </w:pPr>
            <w:r w:rsidRPr="008448DC">
              <w:rPr>
                <w:bCs/>
                <w:szCs w:val="24"/>
              </w:rPr>
              <w:t>ARM 17.8.743</w:t>
            </w:r>
            <w:r w:rsidR="00D27FE6" w:rsidRPr="008448DC">
              <w:rPr>
                <w:bCs/>
                <w:szCs w:val="24"/>
              </w:rPr>
              <w:t xml:space="preserve"> Montana Air Quality Permit- When Required</w:t>
            </w:r>
          </w:p>
          <w:p w14:paraId="5B6EF7AE" w14:textId="77777777" w:rsidR="00D27FE6" w:rsidRPr="008448DC" w:rsidRDefault="00D27FE6" w:rsidP="008448DC">
            <w:pPr>
              <w:keepNext/>
              <w:rPr>
                <w:bCs/>
                <w:szCs w:val="24"/>
              </w:rPr>
            </w:pPr>
            <w:r w:rsidRPr="008448DC">
              <w:rPr>
                <w:bCs/>
                <w:szCs w:val="24"/>
              </w:rPr>
              <w:t>ARM 17.8.744 Montana Air Quality Permit- General Exclusions</w:t>
            </w:r>
          </w:p>
          <w:p w14:paraId="5B6EF7AF" w14:textId="77777777" w:rsidR="00D27FE6" w:rsidRPr="008448DC" w:rsidRDefault="00D27FE6" w:rsidP="008448DC">
            <w:pPr>
              <w:keepNext/>
              <w:rPr>
                <w:bCs/>
                <w:szCs w:val="24"/>
              </w:rPr>
            </w:pPr>
            <w:r w:rsidRPr="008448DC">
              <w:rPr>
                <w:bCs/>
                <w:szCs w:val="24"/>
              </w:rPr>
              <w:t>17.8.745 Montana Air Quality Permits- Exclusion for De Minimis Changes</w:t>
            </w:r>
          </w:p>
          <w:p w14:paraId="5B6EF7B0" w14:textId="77777777" w:rsidR="00D27FE6" w:rsidRPr="008448DC" w:rsidRDefault="00D27FE6" w:rsidP="008448DC">
            <w:pPr>
              <w:keepNext/>
              <w:rPr>
                <w:bCs/>
                <w:szCs w:val="24"/>
              </w:rPr>
            </w:pPr>
            <w:r w:rsidRPr="008448DC">
              <w:rPr>
                <w:bCs/>
                <w:szCs w:val="24"/>
              </w:rPr>
              <w:t>17.8.748 New of Modified Emitting Units – Permit Application Requirements</w:t>
            </w:r>
          </w:p>
          <w:p w14:paraId="5B6EF7B1" w14:textId="77777777" w:rsidR="00D27FE6" w:rsidRPr="008448DC" w:rsidRDefault="00D27FE6" w:rsidP="008448DC">
            <w:pPr>
              <w:keepNext/>
              <w:rPr>
                <w:bCs/>
                <w:szCs w:val="24"/>
              </w:rPr>
            </w:pPr>
            <w:r w:rsidRPr="008448DC">
              <w:rPr>
                <w:bCs/>
                <w:szCs w:val="24"/>
              </w:rPr>
              <w:t>17.8.762 Duration of Permit</w:t>
            </w:r>
          </w:p>
          <w:p w14:paraId="5B6EF7B2" w14:textId="77777777" w:rsidR="00D27FE6" w:rsidRPr="008448DC" w:rsidRDefault="00D27FE6" w:rsidP="008448DC">
            <w:pPr>
              <w:keepNext/>
              <w:rPr>
                <w:bCs/>
                <w:szCs w:val="24"/>
              </w:rPr>
            </w:pPr>
            <w:r w:rsidRPr="008448DC">
              <w:rPr>
                <w:bCs/>
                <w:szCs w:val="24"/>
              </w:rPr>
              <w:t>17.8.764 Administrative Amendment to Permit</w:t>
            </w:r>
          </w:p>
          <w:p w14:paraId="5B6EF7B3" w14:textId="77777777" w:rsidR="00D27FE6" w:rsidRPr="008448DC" w:rsidRDefault="00D27FE6" w:rsidP="008448DC">
            <w:pPr>
              <w:keepNext/>
              <w:rPr>
                <w:bCs/>
                <w:szCs w:val="24"/>
              </w:rPr>
            </w:pPr>
            <w:r w:rsidRPr="008448DC">
              <w:rPr>
                <w:bCs/>
                <w:szCs w:val="24"/>
              </w:rPr>
              <w:t>17.8.765 Transfer of Permit</w:t>
            </w:r>
          </w:p>
        </w:tc>
        <w:tc>
          <w:tcPr>
            <w:tcW w:w="4461" w:type="dxa"/>
            <w:gridSpan w:val="2"/>
            <w:tcBorders>
              <w:left w:val="double" w:sz="4" w:space="0" w:color="auto"/>
              <w:right w:val="double" w:sz="4" w:space="0" w:color="auto"/>
            </w:tcBorders>
            <w:vAlign w:val="center"/>
          </w:tcPr>
          <w:p w14:paraId="5B6EF7B4" w14:textId="77777777" w:rsidR="005A1F79" w:rsidRPr="008448DC" w:rsidRDefault="005A1F79" w:rsidP="008448DC">
            <w:pPr>
              <w:keepNext/>
              <w:rPr>
                <w:bCs/>
                <w:szCs w:val="24"/>
              </w:rPr>
            </w:pPr>
            <w:r w:rsidRPr="008448DC">
              <w:rPr>
                <w:bCs/>
                <w:szCs w:val="24"/>
              </w:rPr>
              <w:t>These are procedure rules that have specific requirements that may become relevant to major source during the permit span.</w:t>
            </w:r>
          </w:p>
        </w:tc>
      </w:tr>
      <w:tr w:rsidR="00D27FE6" w:rsidRPr="008448DC" w14:paraId="5B6EF7B9" w14:textId="77777777" w:rsidTr="005A1F79">
        <w:trPr>
          <w:cantSplit/>
          <w:jc w:val="center"/>
        </w:trPr>
        <w:tc>
          <w:tcPr>
            <w:tcW w:w="4822" w:type="dxa"/>
            <w:tcBorders>
              <w:left w:val="double" w:sz="4" w:space="0" w:color="auto"/>
              <w:right w:val="double" w:sz="4" w:space="0" w:color="auto"/>
            </w:tcBorders>
            <w:vAlign w:val="center"/>
          </w:tcPr>
          <w:p w14:paraId="5B6EF7B6" w14:textId="77777777" w:rsidR="00D27FE6" w:rsidRPr="008448DC" w:rsidRDefault="00DF6AF7" w:rsidP="005A1F79">
            <w:pPr>
              <w:rPr>
                <w:bCs/>
                <w:szCs w:val="24"/>
              </w:rPr>
            </w:pPr>
            <w:r w:rsidRPr="008448DC">
              <w:rPr>
                <w:bCs/>
                <w:szCs w:val="24"/>
              </w:rPr>
              <w:t>17.8.755 Inspection of Permit</w:t>
            </w:r>
          </w:p>
          <w:p w14:paraId="5B6EF7B7" w14:textId="77777777" w:rsidR="00DF6AF7" w:rsidRPr="008448DC" w:rsidRDefault="00530CB7" w:rsidP="00530CB7">
            <w:pPr>
              <w:rPr>
                <w:bCs/>
                <w:szCs w:val="24"/>
              </w:rPr>
            </w:pPr>
            <w:r w:rsidRPr="008448DC">
              <w:rPr>
                <w:bCs/>
                <w:szCs w:val="24"/>
              </w:rPr>
              <w:t>17.8.756</w:t>
            </w:r>
            <w:r w:rsidR="00DF6AF7" w:rsidRPr="008448DC">
              <w:rPr>
                <w:bCs/>
                <w:szCs w:val="24"/>
              </w:rPr>
              <w:t xml:space="preserve"> Compliance with Other Requirements</w:t>
            </w:r>
          </w:p>
        </w:tc>
        <w:tc>
          <w:tcPr>
            <w:tcW w:w="4461" w:type="dxa"/>
            <w:gridSpan w:val="2"/>
            <w:tcBorders>
              <w:left w:val="double" w:sz="4" w:space="0" w:color="auto"/>
              <w:right w:val="double" w:sz="4" w:space="0" w:color="auto"/>
            </w:tcBorders>
            <w:vAlign w:val="center"/>
          </w:tcPr>
          <w:p w14:paraId="5B6EF7B8" w14:textId="77777777" w:rsidR="00D27FE6" w:rsidRPr="008448DC" w:rsidRDefault="00DF6AF7" w:rsidP="005A1F79">
            <w:pPr>
              <w:rPr>
                <w:bCs/>
                <w:szCs w:val="24"/>
              </w:rPr>
            </w:pPr>
            <w:r w:rsidRPr="008448DC">
              <w:rPr>
                <w:bCs/>
                <w:szCs w:val="24"/>
              </w:rPr>
              <w:t>These are rules that are always applicable to a major source and may contain specific requirements for compliance.</w:t>
            </w:r>
          </w:p>
        </w:tc>
      </w:tr>
      <w:tr w:rsidR="005A1F79" w:rsidRPr="008448DC" w14:paraId="5B6EF7BB"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BA" w14:textId="77777777" w:rsidR="005A1F79" w:rsidRPr="008448DC" w:rsidRDefault="005A1F79" w:rsidP="00DB275A">
            <w:pPr>
              <w:jc w:val="center"/>
              <w:rPr>
                <w:b/>
                <w:bCs/>
                <w:szCs w:val="24"/>
              </w:rPr>
            </w:pPr>
            <w:r w:rsidRPr="008448DC">
              <w:rPr>
                <w:b/>
                <w:bCs/>
                <w:szCs w:val="24"/>
              </w:rPr>
              <w:t>Sub</w:t>
            </w:r>
            <w:r w:rsidR="00DB275A">
              <w:rPr>
                <w:b/>
                <w:bCs/>
                <w:szCs w:val="24"/>
              </w:rPr>
              <w:t>c</w:t>
            </w:r>
            <w:r w:rsidRPr="008448DC">
              <w:rPr>
                <w:b/>
                <w:bCs/>
                <w:szCs w:val="24"/>
              </w:rPr>
              <w:t>hapter 8 Prevention of Significant Deterioration</w:t>
            </w:r>
          </w:p>
        </w:tc>
      </w:tr>
      <w:tr w:rsidR="005A1F79" w:rsidRPr="008448DC" w14:paraId="5B6EF7C0" w14:textId="77777777" w:rsidTr="005A1F79">
        <w:trPr>
          <w:cantSplit/>
          <w:trHeight w:val="900"/>
          <w:jc w:val="center"/>
        </w:trPr>
        <w:tc>
          <w:tcPr>
            <w:tcW w:w="4855" w:type="dxa"/>
            <w:gridSpan w:val="2"/>
            <w:tcBorders>
              <w:left w:val="double" w:sz="4" w:space="0" w:color="auto"/>
            </w:tcBorders>
            <w:vAlign w:val="center"/>
          </w:tcPr>
          <w:p w14:paraId="5B6EF7BC" w14:textId="77777777" w:rsidR="005A1F79" w:rsidRPr="008448DC" w:rsidRDefault="005A1F79" w:rsidP="005A1F79">
            <w:pPr>
              <w:rPr>
                <w:szCs w:val="24"/>
              </w:rPr>
            </w:pPr>
            <w:r w:rsidRPr="008448DC">
              <w:rPr>
                <w:szCs w:val="24"/>
              </w:rPr>
              <w:t>ARM 17.8.801 Definitions</w:t>
            </w:r>
          </w:p>
          <w:p w14:paraId="5B6EF7BD" w14:textId="77777777" w:rsidR="005A1F79" w:rsidRPr="008448DC" w:rsidRDefault="005A1F79" w:rsidP="005A1F79">
            <w:pPr>
              <w:rPr>
                <w:szCs w:val="24"/>
              </w:rPr>
            </w:pPr>
            <w:r w:rsidRPr="008448DC">
              <w:rPr>
                <w:szCs w:val="24"/>
              </w:rPr>
              <w:t>ARM 17.8.802 Incorporation by Reference</w:t>
            </w:r>
          </w:p>
          <w:p w14:paraId="5B6EF7BE" w14:textId="77777777" w:rsidR="005A1F79" w:rsidRPr="008448DC" w:rsidRDefault="005A1F79" w:rsidP="005A1F79">
            <w:pPr>
              <w:rPr>
                <w:szCs w:val="24"/>
              </w:rPr>
            </w:pPr>
          </w:p>
        </w:tc>
        <w:tc>
          <w:tcPr>
            <w:tcW w:w="4428" w:type="dxa"/>
            <w:tcBorders>
              <w:right w:val="double" w:sz="4" w:space="0" w:color="auto"/>
            </w:tcBorders>
            <w:vAlign w:val="center"/>
          </w:tcPr>
          <w:p w14:paraId="5B6EF7BF" w14:textId="4AB151DD" w:rsidR="005A1F79" w:rsidRPr="008448DC" w:rsidRDefault="005A1F79" w:rsidP="005A1F79">
            <w:pPr>
              <w:rPr>
                <w:szCs w:val="24"/>
              </w:rPr>
            </w:pPr>
            <w:r w:rsidRPr="008448DC">
              <w:rPr>
                <w:szCs w:val="24"/>
              </w:rPr>
              <w:t xml:space="preserve">These are rules that consist of either: a statement of purpose, applicability statement, regulatory </w:t>
            </w:r>
            <w:r w:rsidR="00DB2279" w:rsidRPr="008448DC">
              <w:rPr>
                <w:szCs w:val="24"/>
              </w:rPr>
              <w:t>definitions,</w:t>
            </w:r>
            <w:r w:rsidRPr="008448DC">
              <w:rPr>
                <w:szCs w:val="24"/>
              </w:rPr>
              <w:t xml:space="preserve"> or a statement of incorporation by reference.  These types of rules do not have specific requirements associated with them.</w:t>
            </w:r>
          </w:p>
        </w:tc>
      </w:tr>
      <w:tr w:rsidR="005A1F79" w:rsidRPr="008448DC" w14:paraId="5B6EF7C5" w14:textId="77777777" w:rsidTr="005A1F79">
        <w:trPr>
          <w:cantSplit/>
          <w:trHeight w:val="900"/>
          <w:jc w:val="center"/>
        </w:trPr>
        <w:tc>
          <w:tcPr>
            <w:tcW w:w="4855" w:type="dxa"/>
            <w:gridSpan w:val="2"/>
            <w:tcBorders>
              <w:left w:val="double" w:sz="4" w:space="0" w:color="auto"/>
            </w:tcBorders>
            <w:vAlign w:val="center"/>
          </w:tcPr>
          <w:p w14:paraId="5B6EF7C1" w14:textId="77777777" w:rsidR="005A1F79" w:rsidRPr="008448DC" w:rsidRDefault="005A1F79" w:rsidP="005A1F79">
            <w:pPr>
              <w:rPr>
                <w:szCs w:val="24"/>
              </w:rPr>
            </w:pPr>
            <w:r w:rsidRPr="008448DC">
              <w:rPr>
                <w:szCs w:val="24"/>
              </w:rPr>
              <w:t>ARM 17.8.804 Ambient Air Increments</w:t>
            </w:r>
          </w:p>
          <w:p w14:paraId="5B6EF7C2" w14:textId="77777777" w:rsidR="005A1F79" w:rsidRPr="008448DC" w:rsidRDefault="005A1F79" w:rsidP="005A1F79">
            <w:pPr>
              <w:rPr>
                <w:szCs w:val="24"/>
              </w:rPr>
            </w:pPr>
            <w:r w:rsidRPr="008448DC">
              <w:rPr>
                <w:szCs w:val="24"/>
              </w:rPr>
              <w:t>ARM 17.8.805 Ambient Air Ceilings</w:t>
            </w:r>
          </w:p>
          <w:p w14:paraId="5B6EF7C3" w14:textId="77777777" w:rsidR="005A1F79" w:rsidRPr="008448DC" w:rsidRDefault="005A1F79" w:rsidP="005A1F79">
            <w:pPr>
              <w:rPr>
                <w:szCs w:val="24"/>
              </w:rPr>
            </w:pPr>
            <w:r w:rsidRPr="008448DC">
              <w:rPr>
                <w:szCs w:val="24"/>
              </w:rPr>
              <w:t>ARM 17.8.828 Innovative Control Technology</w:t>
            </w:r>
          </w:p>
        </w:tc>
        <w:tc>
          <w:tcPr>
            <w:tcW w:w="4428" w:type="dxa"/>
            <w:tcBorders>
              <w:right w:val="double" w:sz="4" w:space="0" w:color="auto"/>
            </w:tcBorders>
            <w:vAlign w:val="center"/>
          </w:tcPr>
          <w:p w14:paraId="5B6EF7C4" w14:textId="77777777" w:rsidR="005A1F79" w:rsidRPr="008448DC" w:rsidRDefault="005A1F79" w:rsidP="005A1F79">
            <w:pPr>
              <w:rPr>
                <w:szCs w:val="24"/>
              </w:rPr>
            </w:pPr>
            <w:r w:rsidRPr="008448DC">
              <w:rPr>
                <w:szCs w:val="24"/>
              </w:rPr>
              <w:t xml:space="preserve">These are procedural rules that have specific requirements that may become relevant to a major source during the permit span.  </w:t>
            </w:r>
          </w:p>
        </w:tc>
      </w:tr>
      <w:tr w:rsidR="005A1F79" w:rsidRPr="008448DC" w14:paraId="5B6EF7CC" w14:textId="77777777" w:rsidTr="005A1F79">
        <w:trPr>
          <w:cantSplit/>
          <w:trHeight w:val="900"/>
          <w:jc w:val="center"/>
        </w:trPr>
        <w:tc>
          <w:tcPr>
            <w:tcW w:w="4855" w:type="dxa"/>
            <w:gridSpan w:val="2"/>
            <w:tcBorders>
              <w:left w:val="double" w:sz="4" w:space="0" w:color="auto"/>
            </w:tcBorders>
            <w:vAlign w:val="center"/>
          </w:tcPr>
          <w:p w14:paraId="5B6EF7C6" w14:textId="77777777" w:rsidR="005A1F79" w:rsidRPr="008448DC" w:rsidRDefault="005A1F79" w:rsidP="005A1F79">
            <w:pPr>
              <w:rPr>
                <w:szCs w:val="24"/>
              </w:rPr>
            </w:pPr>
            <w:r w:rsidRPr="008448DC">
              <w:rPr>
                <w:szCs w:val="24"/>
              </w:rPr>
              <w:t>ARM 17.8.806 Restrictions on Area Classifications</w:t>
            </w:r>
          </w:p>
          <w:p w14:paraId="5B6EF7C7" w14:textId="77777777" w:rsidR="005A1F79" w:rsidRPr="008448DC" w:rsidRDefault="005A1F79" w:rsidP="005A1F79">
            <w:pPr>
              <w:rPr>
                <w:szCs w:val="24"/>
              </w:rPr>
            </w:pPr>
            <w:r w:rsidRPr="008448DC">
              <w:rPr>
                <w:szCs w:val="24"/>
              </w:rPr>
              <w:t>ARM 17.8.807 Exclusions from Increment Consumption</w:t>
            </w:r>
          </w:p>
          <w:p w14:paraId="5B6EF7C8" w14:textId="77777777" w:rsidR="005A1F79" w:rsidRPr="008448DC" w:rsidRDefault="005A1F79" w:rsidP="005A1F79">
            <w:pPr>
              <w:rPr>
                <w:szCs w:val="24"/>
              </w:rPr>
            </w:pPr>
            <w:r w:rsidRPr="008448DC">
              <w:rPr>
                <w:szCs w:val="24"/>
              </w:rPr>
              <w:t>ARM 17.8.808 Redesignation</w:t>
            </w:r>
          </w:p>
          <w:p w14:paraId="5B6EF7C9" w14:textId="77777777" w:rsidR="005A1F79" w:rsidRPr="008448DC" w:rsidRDefault="005A1F79" w:rsidP="005A1F79">
            <w:pPr>
              <w:rPr>
                <w:szCs w:val="24"/>
              </w:rPr>
            </w:pPr>
            <w:r w:rsidRPr="008448DC">
              <w:rPr>
                <w:szCs w:val="24"/>
              </w:rPr>
              <w:t>ARM 17.8.825 Sources Impacting Federal Class I Areas – Additional Requirements</w:t>
            </w:r>
          </w:p>
          <w:p w14:paraId="5B6EF7CA" w14:textId="77777777" w:rsidR="005A1F79" w:rsidRPr="008448DC" w:rsidRDefault="005A1F79" w:rsidP="005A1F79">
            <w:pPr>
              <w:rPr>
                <w:szCs w:val="24"/>
              </w:rPr>
            </w:pPr>
            <w:r w:rsidRPr="008448DC">
              <w:rPr>
                <w:szCs w:val="24"/>
              </w:rPr>
              <w:t>ARM 17.8.826 Public Participation</w:t>
            </w:r>
          </w:p>
        </w:tc>
        <w:tc>
          <w:tcPr>
            <w:tcW w:w="4428" w:type="dxa"/>
            <w:tcBorders>
              <w:right w:val="double" w:sz="4" w:space="0" w:color="auto"/>
            </w:tcBorders>
            <w:vAlign w:val="center"/>
          </w:tcPr>
          <w:p w14:paraId="5B6EF7CB" w14:textId="77777777" w:rsidR="005A1F79" w:rsidRPr="008448DC" w:rsidRDefault="005A1F79" w:rsidP="005A1F79">
            <w:pPr>
              <w:rPr>
                <w:szCs w:val="24"/>
              </w:rPr>
            </w:pPr>
            <w:r w:rsidRPr="008448DC">
              <w:rPr>
                <w:szCs w:val="24"/>
              </w:rPr>
              <w:t>These rules contain requirements for the regulatory authorities and not major sources; however, they can be used as authority to impose specific requirements on a major source.</w:t>
            </w:r>
          </w:p>
        </w:tc>
      </w:tr>
      <w:tr w:rsidR="005A1F79" w:rsidRPr="008448DC" w14:paraId="5B6EF7CE"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CD" w14:textId="77777777" w:rsidR="005A1F79" w:rsidRPr="008448DC" w:rsidRDefault="00DB275A" w:rsidP="00DB275A">
            <w:pPr>
              <w:jc w:val="center"/>
              <w:rPr>
                <w:b/>
                <w:bCs/>
                <w:szCs w:val="24"/>
              </w:rPr>
            </w:pPr>
            <w:r>
              <w:rPr>
                <w:b/>
                <w:bCs/>
                <w:szCs w:val="24"/>
              </w:rPr>
              <w:t>Subc</w:t>
            </w:r>
            <w:r w:rsidR="005A1F79" w:rsidRPr="008448DC">
              <w:rPr>
                <w:b/>
                <w:bCs/>
                <w:szCs w:val="24"/>
              </w:rPr>
              <w:t>hapter 9 Permit Requirements for Major Stationary Sources or Major Modifications Located Within Nonattainment Areas</w:t>
            </w:r>
          </w:p>
        </w:tc>
      </w:tr>
      <w:tr w:rsidR="005A1F79" w:rsidRPr="008448DC" w14:paraId="5B6EF7D3" w14:textId="77777777" w:rsidTr="005A1F79">
        <w:trPr>
          <w:cantSplit/>
          <w:trHeight w:val="900"/>
          <w:jc w:val="center"/>
        </w:trPr>
        <w:tc>
          <w:tcPr>
            <w:tcW w:w="4855" w:type="dxa"/>
            <w:gridSpan w:val="2"/>
            <w:tcBorders>
              <w:left w:val="double" w:sz="4" w:space="0" w:color="auto"/>
            </w:tcBorders>
            <w:vAlign w:val="center"/>
          </w:tcPr>
          <w:p w14:paraId="5B6EF7CF" w14:textId="77777777" w:rsidR="005A1F79" w:rsidRPr="008448DC" w:rsidRDefault="005A1F79" w:rsidP="005A1F79">
            <w:pPr>
              <w:rPr>
                <w:szCs w:val="24"/>
              </w:rPr>
            </w:pPr>
            <w:r w:rsidRPr="008448DC">
              <w:rPr>
                <w:szCs w:val="24"/>
              </w:rPr>
              <w:t>ARM 17.8.901 Definitions</w:t>
            </w:r>
          </w:p>
          <w:p w14:paraId="5B6EF7D0" w14:textId="77777777" w:rsidR="005A1F79" w:rsidRPr="008448DC" w:rsidRDefault="005A1F79" w:rsidP="005A1F79">
            <w:pPr>
              <w:rPr>
                <w:szCs w:val="24"/>
              </w:rPr>
            </w:pPr>
            <w:r w:rsidRPr="008448DC">
              <w:rPr>
                <w:szCs w:val="24"/>
              </w:rPr>
              <w:t>ARM 17.8.902 Incorporation by Reference</w:t>
            </w:r>
          </w:p>
          <w:p w14:paraId="5B6EF7D1" w14:textId="77777777" w:rsidR="005A1F79" w:rsidRPr="008448DC" w:rsidRDefault="005A1F79" w:rsidP="005A1F79">
            <w:pPr>
              <w:rPr>
                <w:szCs w:val="24"/>
              </w:rPr>
            </w:pPr>
            <w:r w:rsidRPr="008448DC">
              <w:rPr>
                <w:szCs w:val="24"/>
              </w:rPr>
              <w:t>ARM 17.8.904 When Montana Air Quality Permit Required</w:t>
            </w:r>
          </w:p>
        </w:tc>
        <w:tc>
          <w:tcPr>
            <w:tcW w:w="4428" w:type="dxa"/>
            <w:tcBorders>
              <w:right w:val="double" w:sz="4" w:space="0" w:color="auto"/>
            </w:tcBorders>
            <w:vAlign w:val="center"/>
          </w:tcPr>
          <w:p w14:paraId="5B6EF7D2" w14:textId="3FEF8501" w:rsidR="005A1F79" w:rsidRPr="008448DC" w:rsidRDefault="005A1F79" w:rsidP="005A1F79">
            <w:pPr>
              <w:rPr>
                <w:szCs w:val="24"/>
              </w:rPr>
            </w:pPr>
            <w:r w:rsidRPr="008448DC">
              <w:rPr>
                <w:szCs w:val="24"/>
              </w:rPr>
              <w:t xml:space="preserve">These are rules that consist of either: a statement of purpose, applicability statement, regulatory </w:t>
            </w:r>
            <w:r w:rsidR="00DB2279" w:rsidRPr="008448DC">
              <w:rPr>
                <w:szCs w:val="24"/>
              </w:rPr>
              <w:t>definitions,</w:t>
            </w:r>
            <w:r w:rsidRPr="008448DC">
              <w:rPr>
                <w:szCs w:val="24"/>
              </w:rPr>
              <w:t xml:space="preserve"> or a statement of incorporation by reference.  These types of rules do not have specific requirements associated with them.</w:t>
            </w:r>
          </w:p>
        </w:tc>
      </w:tr>
      <w:tr w:rsidR="005A1F79" w:rsidRPr="008448DC" w14:paraId="5B6EF7D7" w14:textId="77777777" w:rsidTr="005A1F79">
        <w:trPr>
          <w:cantSplit/>
          <w:trHeight w:val="900"/>
          <w:jc w:val="center"/>
        </w:trPr>
        <w:tc>
          <w:tcPr>
            <w:tcW w:w="4855" w:type="dxa"/>
            <w:gridSpan w:val="2"/>
            <w:tcBorders>
              <w:left w:val="double" w:sz="4" w:space="0" w:color="auto"/>
            </w:tcBorders>
            <w:vAlign w:val="center"/>
          </w:tcPr>
          <w:p w14:paraId="5B6EF7D4" w14:textId="77777777" w:rsidR="005A1F79" w:rsidRPr="008448DC" w:rsidRDefault="005A1F79" w:rsidP="005A1F79">
            <w:pPr>
              <w:rPr>
                <w:szCs w:val="24"/>
              </w:rPr>
            </w:pPr>
            <w:r w:rsidRPr="008448DC">
              <w:rPr>
                <w:szCs w:val="24"/>
              </w:rPr>
              <w:lastRenderedPageBreak/>
              <w:t>ARM 17.8.905 Additional Conditions of Montana Air Quality Permit</w:t>
            </w:r>
          </w:p>
          <w:p w14:paraId="5B6EF7D5" w14:textId="77777777" w:rsidR="005A1F79" w:rsidRPr="008448DC" w:rsidRDefault="005A1F79" w:rsidP="005A1F79">
            <w:pPr>
              <w:rPr>
                <w:szCs w:val="24"/>
              </w:rPr>
            </w:pPr>
            <w:r w:rsidRPr="008448DC">
              <w:rPr>
                <w:szCs w:val="24"/>
              </w:rPr>
              <w:t>ARM 17.8.906 Baseline for Determining Credit for Emissions and Air Quality Offsets</w:t>
            </w:r>
          </w:p>
        </w:tc>
        <w:tc>
          <w:tcPr>
            <w:tcW w:w="4428" w:type="dxa"/>
            <w:tcBorders>
              <w:right w:val="double" w:sz="4" w:space="0" w:color="auto"/>
            </w:tcBorders>
            <w:vAlign w:val="center"/>
          </w:tcPr>
          <w:p w14:paraId="5B6EF7D6" w14:textId="77777777" w:rsidR="005A1F79" w:rsidRPr="008448DC" w:rsidRDefault="005A1F79" w:rsidP="005A1F79">
            <w:pPr>
              <w:rPr>
                <w:szCs w:val="24"/>
              </w:rPr>
            </w:pPr>
            <w:r w:rsidRPr="008448DC">
              <w:rPr>
                <w:szCs w:val="24"/>
              </w:rPr>
              <w:t xml:space="preserve">These are procedural rules that have specific requirements that may become relevant to a major source during the permit span.  </w:t>
            </w:r>
          </w:p>
        </w:tc>
      </w:tr>
      <w:tr w:rsidR="005A1F79" w:rsidRPr="008448DC" w14:paraId="5B6EF7D9"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D8" w14:textId="77777777" w:rsidR="005A1F79" w:rsidRPr="008448DC" w:rsidRDefault="00DB275A" w:rsidP="005A1F79">
            <w:pPr>
              <w:jc w:val="center"/>
              <w:rPr>
                <w:b/>
                <w:bCs/>
                <w:szCs w:val="24"/>
              </w:rPr>
            </w:pPr>
            <w:r>
              <w:rPr>
                <w:b/>
                <w:bCs/>
                <w:szCs w:val="24"/>
              </w:rPr>
              <w:t>Subc</w:t>
            </w:r>
            <w:r w:rsidR="005A1F79" w:rsidRPr="008448DC">
              <w:rPr>
                <w:b/>
                <w:bCs/>
                <w:szCs w:val="24"/>
              </w:rPr>
              <w:t>hapter 10 Preconstruction Permit Requirements for Major Stationary Sources or Major Modifications Located Within Attainment or Unclassified Areas</w:t>
            </w:r>
          </w:p>
        </w:tc>
      </w:tr>
      <w:tr w:rsidR="005A1F79" w:rsidRPr="008448DC" w14:paraId="5B6EF7DE" w14:textId="77777777" w:rsidTr="005A1F79">
        <w:trPr>
          <w:cantSplit/>
          <w:trHeight w:val="900"/>
          <w:jc w:val="center"/>
        </w:trPr>
        <w:tc>
          <w:tcPr>
            <w:tcW w:w="4855" w:type="dxa"/>
            <w:gridSpan w:val="2"/>
            <w:tcBorders>
              <w:left w:val="double" w:sz="4" w:space="0" w:color="auto"/>
            </w:tcBorders>
            <w:vAlign w:val="center"/>
          </w:tcPr>
          <w:p w14:paraId="5B6EF7DA" w14:textId="77777777" w:rsidR="005A1F79" w:rsidRPr="008448DC" w:rsidRDefault="005A1F79" w:rsidP="005A1F79">
            <w:pPr>
              <w:rPr>
                <w:szCs w:val="24"/>
              </w:rPr>
            </w:pPr>
            <w:r w:rsidRPr="008448DC">
              <w:rPr>
                <w:szCs w:val="24"/>
              </w:rPr>
              <w:t>ARM 17.8.1001 Definitions</w:t>
            </w:r>
          </w:p>
          <w:p w14:paraId="5B6EF7DB" w14:textId="77777777" w:rsidR="005A1F79" w:rsidRPr="008448DC" w:rsidRDefault="005A1F79" w:rsidP="005A1F79">
            <w:pPr>
              <w:rPr>
                <w:szCs w:val="24"/>
              </w:rPr>
            </w:pPr>
            <w:r w:rsidRPr="008448DC">
              <w:rPr>
                <w:szCs w:val="24"/>
              </w:rPr>
              <w:t>ARM 17.8.1002 Incorporation by Reference</w:t>
            </w:r>
          </w:p>
          <w:p w14:paraId="5B6EF7DC" w14:textId="77777777" w:rsidR="005A1F79" w:rsidRPr="008448DC" w:rsidRDefault="005A1F79" w:rsidP="005A1F79">
            <w:pPr>
              <w:rPr>
                <w:szCs w:val="24"/>
              </w:rPr>
            </w:pPr>
            <w:r w:rsidRPr="008448DC">
              <w:rPr>
                <w:szCs w:val="24"/>
              </w:rPr>
              <w:t>ARM 17.8.1004 When Montana Air Quality Permit Required</w:t>
            </w:r>
          </w:p>
        </w:tc>
        <w:tc>
          <w:tcPr>
            <w:tcW w:w="4428" w:type="dxa"/>
            <w:tcBorders>
              <w:right w:val="double" w:sz="4" w:space="0" w:color="auto"/>
            </w:tcBorders>
            <w:vAlign w:val="center"/>
          </w:tcPr>
          <w:p w14:paraId="5B6EF7DD" w14:textId="342487A8" w:rsidR="005A1F79" w:rsidRPr="008448DC" w:rsidRDefault="005A1F79" w:rsidP="005A1F79">
            <w:pPr>
              <w:rPr>
                <w:szCs w:val="24"/>
              </w:rPr>
            </w:pPr>
            <w:r w:rsidRPr="008448DC">
              <w:rPr>
                <w:szCs w:val="24"/>
              </w:rPr>
              <w:t xml:space="preserve">These are rules that consist of either: a statement of purpose, applicability statement, regulatory </w:t>
            </w:r>
            <w:r w:rsidR="00DB2279" w:rsidRPr="008448DC">
              <w:rPr>
                <w:szCs w:val="24"/>
              </w:rPr>
              <w:t>definitions,</w:t>
            </w:r>
            <w:r w:rsidRPr="008448DC">
              <w:rPr>
                <w:szCs w:val="24"/>
              </w:rPr>
              <w:t xml:space="preserve"> or a statement of incorporation by reference.  These types of rules do not have specific requirements associated with them.</w:t>
            </w:r>
          </w:p>
        </w:tc>
      </w:tr>
      <w:tr w:rsidR="005A1F79" w:rsidRPr="008448DC" w14:paraId="5B6EF7E3" w14:textId="77777777" w:rsidTr="005A1F79">
        <w:trPr>
          <w:cantSplit/>
          <w:trHeight w:val="900"/>
          <w:jc w:val="center"/>
        </w:trPr>
        <w:tc>
          <w:tcPr>
            <w:tcW w:w="4855" w:type="dxa"/>
            <w:gridSpan w:val="2"/>
            <w:tcBorders>
              <w:left w:val="double" w:sz="4" w:space="0" w:color="auto"/>
            </w:tcBorders>
            <w:vAlign w:val="center"/>
          </w:tcPr>
          <w:p w14:paraId="5B6EF7DF" w14:textId="77777777" w:rsidR="005A1F79" w:rsidRPr="008448DC" w:rsidRDefault="005A1F79" w:rsidP="00182735">
            <w:pPr>
              <w:pStyle w:val="BodyText2"/>
              <w:jc w:val="left"/>
              <w:rPr>
                <w:rFonts w:ascii="Garamond" w:hAnsi="Garamond"/>
                <w:sz w:val="24"/>
                <w:szCs w:val="24"/>
              </w:rPr>
            </w:pPr>
            <w:r w:rsidRPr="008448DC">
              <w:rPr>
                <w:rFonts w:ascii="Garamond" w:hAnsi="Garamond"/>
                <w:sz w:val="24"/>
                <w:szCs w:val="24"/>
              </w:rPr>
              <w:t>ARM 17.8.1005 Additional Conditions of Air Quality Preconstruction Permit</w:t>
            </w:r>
          </w:p>
          <w:p w14:paraId="5B6EF7E0" w14:textId="77777777" w:rsidR="005A1F79" w:rsidRPr="008448DC" w:rsidRDefault="005A1F79" w:rsidP="00182735">
            <w:pPr>
              <w:pStyle w:val="BodyText2"/>
              <w:jc w:val="left"/>
              <w:rPr>
                <w:rFonts w:ascii="Garamond" w:hAnsi="Garamond"/>
                <w:sz w:val="24"/>
                <w:szCs w:val="24"/>
              </w:rPr>
            </w:pPr>
            <w:r w:rsidRPr="008448DC">
              <w:rPr>
                <w:rFonts w:ascii="Garamond" w:hAnsi="Garamond"/>
                <w:sz w:val="24"/>
                <w:szCs w:val="24"/>
              </w:rPr>
              <w:t>ARM 17.8.1006 Review of Specified Sources for Air Quality Impact</w:t>
            </w:r>
          </w:p>
          <w:p w14:paraId="5B6EF7E1" w14:textId="77777777" w:rsidR="005A1F79" w:rsidRPr="008448DC" w:rsidRDefault="005A1F79" w:rsidP="00182735">
            <w:pPr>
              <w:spacing w:after="58"/>
              <w:rPr>
                <w:szCs w:val="24"/>
              </w:rPr>
            </w:pPr>
            <w:r w:rsidRPr="008448DC">
              <w:rPr>
                <w:szCs w:val="24"/>
              </w:rPr>
              <w:t>ARM 17.8.1007 Baseline for Determining Credit for Emissions and Air Quality Offsets</w:t>
            </w:r>
          </w:p>
        </w:tc>
        <w:tc>
          <w:tcPr>
            <w:tcW w:w="4428" w:type="dxa"/>
            <w:tcBorders>
              <w:right w:val="double" w:sz="4" w:space="0" w:color="auto"/>
            </w:tcBorders>
            <w:vAlign w:val="center"/>
          </w:tcPr>
          <w:p w14:paraId="5B6EF7E2" w14:textId="77777777" w:rsidR="005A1F79" w:rsidRPr="008448DC" w:rsidRDefault="005A1F79" w:rsidP="005A1F79">
            <w:pPr>
              <w:rPr>
                <w:szCs w:val="24"/>
              </w:rPr>
            </w:pPr>
            <w:r w:rsidRPr="008448DC">
              <w:rPr>
                <w:szCs w:val="24"/>
              </w:rPr>
              <w:t xml:space="preserve">These are procedural rules that have specific requirements that may become relevant to a major source during the permit span.  </w:t>
            </w:r>
          </w:p>
        </w:tc>
      </w:tr>
      <w:tr w:rsidR="005A1F79" w:rsidRPr="008448DC" w14:paraId="5B6EF7E5"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E4" w14:textId="77777777" w:rsidR="005A1F79" w:rsidRPr="008448DC" w:rsidRDefault="00DB275A" w:rsidP="00DB275A">
            <w:pPr>
              <w:jc w:val="center"/>
              <w:rPr>
                <w:b/>
                <w:bCs/>
                <w:szCs w:val="24"/>
              </w:rPr>
            </w:pPr>
            <w:r>
              <w:rPr>
                <w:b/>
                <w:bCs/>
                <w:szCs w:val="24"/>
              </w:rPr>
              <w:t>Subc</w:t>
            </w:r>
            <w:r w:rsidR="005A1F79" w:rsidRPr="008448DC">
              <w:rPr>
                <w:b/>
                <w:bCs/>
                <w:szCs w:val="24"/>
              </w:rPr>
              <w:t>hapter 11 Visibility Impact Assessment</w:t>
            </w:r>
          </w:p>
        </w:tc>
      </w:tr>
      <w:tr w:rsidR="005A1F79" w:rsidRPr="008448DC" w14:paraId="5B6EF7EA" w14:textId="77777777" w:rsidTr="005A1F79">
        <w:trPr>
          <w:cantSplit/>
          <w:trHeight w:val="900"/>
          <w:jc w:val="center"/>
        </w:trPr>
        <w:tc>
          <w:tcPr>
            <w:tcW w:w="4855" w:type="dxa"/>
            <w:gridSpan w:val="2"/>
            <w:tcBorders>
              <w:left w:val="double" w:sz="4" w:space="0" w:color="auto"/>
            </w:tcBorders>
            <w:vAlign w:val="center"/>
          </w:tcPr>
          <w:p w14:paraId="5B6EF7E6" w14:textId="77777777" w:rsidR="005A1F79" w:rsidRPr="008448DC" w:rsidRDefault="005A1F79" w:rsidP="005A1F79">
            <w:pPr>
              <w:rPr>
                <w:szCs w:val="24"/>
              </w:rPr>
            </w:pPr>
            <w:r w:rsidRPr="008448DC">
              <w:rPr>
                <w:szCs w:val="24"/>
              </w:rPr>
              <w:t>ARM 17.8.1101 Definitions</w:t>
            </w:r>
          </w:p>
          <w:p w14:paraId="5B6EF7E7" w14:textId="77777777" w:rsidR="005A1F79" w:rsidRPr="008448DC" w:rsidRDefault="005A1F79" w:rsidP="005A1F79">
            <w:pPr>
              <w:rPr>
                <w:szCs w:val="24"/>
              </w:rPr>
            </w:pPr>
            <w:r w:rsidRPr="008448DC">
              <w:rPr>
                <w:szCs w:val="24"/>
              </w:rPr>
              <w:t>ARM 17.8.1102 Incorporation by Reference</w:t>
            </w:r>
          </w:p>
          <w:p w14:paraId="5B6EF7E8" w14:textId="77777777" w:rsidR="005A1F79" w:rsidRPr="008448DC" w:rsidRDefault="005A1F79" w:rsidP="000705F1">
            <w:pPr>
              <w:pStyle w:val="BodyText2"/>
              <w:jc w:val="left"/>
              <w:rPr>
                <w:rFonts w:ascii="Garamond" w:hAnsi="Garamond"/>
                <w:sz w:val="24"/>
                <w:szCs w:val="24"/>
              </w:rPr>
            </w:pPr>
            <w:r w:rsidRPr="008448DC">
              <w:rPr>
                <w:rFonts w:ascii="Garamond" w:hAnsi="Garamond"/>
                <w:sz w:val="24"/>
                <w:szCs w:val="24"/>
              </w:rPr>
              <w:t>ARM 17.8.1103 Applicability – Visibility Requirements</w:t>
            </w:r>
          </w:p>
        </w:tc>
        <w:tc>
          <w:tcPr>
            <w:tcW w:w="4428" w:type="dxa"/>
            <w:tcBorders>
              <w:right w:val="double" w:sz="4" w:space="0" w:color="auto"/>
            </w:tcBorders>
            <w:vAlign w:val="center"/>
          </w:tcPr>
          <w:p w14:paraId="5B6EF7E9" w14:textId="1C8E43AD" w:rsidR="005A1F79" w:rsidRPr="008448DC" w:rsidRDefault="005A1F79" w:rsidP="005A1F79">
            <w:pPr>
              <w:rPr>
                <w:szCs w:val="24"/>
              </w:rPr>
            </w:pPr>
            <w:r w:rsidRPr="008448DC">
              <w:rPr>
                <w:szCs w:val="24"/>
              </w:rPr>
              <w:t xml:space="preserve">These are rules that consist of either a statement of purpose, applicability statement, regulatory </w:t>
            </w:r>
            <w:r w:rsidR="00DB2279" w:rsidRPr="008448DC">
              <w:rPr>
                <w:szCs w:val="24"/>
              </w:rPr>
              <w:t>definitions,</w:t>
            </w:r>
            <w:r w:rsidRPr="008448DC">
              <w:rPr>
                <w:szCs w:val="24"/>
              </w:rPr>
              <w:t xml:space="preserve"> or a statement of incorporation by reference.  These types of rules do not have specific requirements associated with them.</w:t>
            </w:r>
          </w:p>
        </w:tc>
      </w:tr>
      <w:tr w:rsidR="005A1F79" w:rsidRPr="008448DC" w14:paraId="5B6EF7EE" w14:textId="77777777" w:rsidTr="005A1F79">
        <w:trPr>
          <w:cantSplit/>
          <w:trHeight w:val="900"/>
          <w:jc w:val="center"/>
        </w:trPr>
        <w:tc>
          <w:tcPr>
            <w:tcW w:w="4855" w:type="dxa"/>
            <w:gridSpan w:val="2"/>
            <w:tcBorders>
              <w:left w:val="double" w:sz="4" w:space="0" w:color="auto"/>
            </w:tcBorders>
            <w:vAlign w:val="center"/>
          </w:tcPr>
          <w:p w14:paraId="5B6EF7EB" w14:textId="77777777" w:rsidR="005A1F79" w:rsidRPr="008448DC" w:rsidRDefault="005A1F79" w:rsidP="005A1F79">
            <w:pPr>
              <w:rPr>
                <w:szCs w:val="24"/>
              </w:rPr>
            </w:pPr>
            <w:r w:rsidRPr="008448DC">
              <w:rPr>
                <w:szCs w:val="24"/>
              </w:rPr>
              <w:t>ARM 17.8.1108 Notification of Permit Application</w:t>
            </w:r>
          </w:p>
          <w:p w14:paraId="5B6EF7EC" w14:textId="77777777" w:rsidR="005A1F79" w:rsidRPr="008448DC" w:rsidRDefault="005A1F79" w:rsidP="005A1F79">
            <w:pPr>
              <w:rPr>
                <w:szCs w:val="24"/>
              </w:rPr>
            </w:pPr>
            <w:r w:rsidRPr="008448DC">
              <w:rPr>
                <w:szCs w:val="24"/>
              </w:rPr>
              <w:t>ARM 17.8.1109 Adverse Impact and Federal Land Management</w:t>
            </w:r>
          </w:p>
        </w:tc>
        <w:tc>
          <w:tcPr>
            <w:tcW w:w="4428" w:type="dxa"/>
            <w:tcBorders>
              <w:right w:val="double" w:sz="4" w:space="0" w:color="auto"/>
            </w:tcBorders>
            <w:vAlign w:val="center"/>
          </w:tcPr>
          <w:p w14:paraId="5B6EF7ED" w14:textId="77777777" w:rsidR="005A1F79" w:rsidRPr="008448DC" w:rsidRDefault="005A1F79" w:rsidP="005A1F79">
            <w:pPr>
              <w:rPr>
                <w:szCs w:val="24"/>
              </w:rPr>
            </w:pPr>
            <w:r w:rsidRPr="008448DC">
              <w:rPr>
                <w:szCs w:val="24"/>
              </w:rPr>
              <w:t>These rules contain requirements for the regulatory authorities and not major sources; however, they can be used as authority to impose specific requirements on a major source.</w:t>
            </w:r>
          </w:p>
        </w:tc>
      </w:tr>
      <w:tr w:rsidR="005A1F79" w:rsidRPr="008448DC" w14:paraId="5B6EF7F0" w14:textId="77777777" w:rsidTr="005A1F79">
        <w:trPr>
          <w:cantSplit/>
          <w:jc w:val="center"/>
        </w:trPr>
        <w:tc>
          <w:tcPr>
            <w:tcW w:w="9283" w:type="dxa"/>
            <w:gridSpan w:val="3"/>
            <w:tcBorders>
              <w:left w:val="double" w:sz="4" w:space="0" w:color="auto"/>
              <w:right w:val="double" w:sz="4" w:space="0" w:color="auto"/>
            </w:tcBorders>
            <w:shd w:val="clear" w:color="auto" w:fill="F3F3F3"/>
            <w:vAlign w:val="center"/>
          </w:tcPr>
          <w:p w14:paraId="5B6EF7EF" w14:textId="77777777" w:rsidR="005A1F79" w:rsidRPr="008448DC" w:rsidRDefault="005A1F79" w:rsidP="00DB275A">
            <w:pPr>
              <w:keepNext/>
              <w:jc w:val="center"/>
              <w:rPr>
                <w:b/>
                <w:bCs/>
                <w:szCs w:val="24"/>
              </w:rPr>
            </w:pPr>
            <w:r w:rsidRPr="008448DC">
              <w:rPr>
                <w:b/>
                <w:bCs/>
                <w:szCs w:val="24"/>
              </w:rPr>
              <w:lastRenderedPageBreak/>
              <w:t>Sub</w:t>
            </w:r>
            <w:r w:rsidR="00DB275A">
              <w:rPr>
                <w:b/>
                <w:bCs/>
                <w:szCs w:val="24"/>
              </w:rPr>
              <w:t>c</w:t>
            </w:r>
            <w:r w:rsidRPr="008448DC">
              <w:rPr>
                <w:b/>
                <w:bCs/>
                <w:szCs w:val="24"/>
              </w:rPr>
              <w:t>hapter 12 Operating Permit Program</w:t>
            </w:r>
          </w:p>
        </w:tc>
      </w:tr>
      <w:tr w:rsidR="005A1F79" w:rsidRPr="008448DC" w14:paraId="5B6EF7F6" w14:textId="77777777" w:rsidTr="005A1F79">
        <w:trPr>
          <w:cantSplit/>
          <w:trHeight w:val="900"/>
          <w:jc w:val="center"/>
        </w:trPr>
        <w:tc>
          <w:tcPr>
            <w:tcW w:w="4855" w:type="dxa"/>
            <w:gridSpan w:val="2"/>
            <w:tcBorders>
              <w:left w:val="double" w:sz="4" w:space="0" w:color="auto"/>
            </w:tcBorders>
            <w:vAlign w:val="center"/>
          </w:tcPr>
          <w:p w14:paraId="5B6EF7F1" w14:textId="77777777" w:rsidR="005A1F79" w:rsidRPr="008448DC" w:rsidRDefault="005A1F79" w:rsidP="005A1F79">
            <w:pPr>
              <w:keepNext/>
              <w:rPr>
                <w:szCs w:val="24"/>
              </w:rPr>
            </w:pPr>
            <w:r w:rsidRPr="008448DC">
              <w:rPr>
                <w:szCs w:val="24"/>
              </w:rPr>
              <w:t>ARM 17.8.1201 Definitions</w:t>
            </w:r>
          </w:p>
          <w:p w14:paraId="5B6EF7F2" w14:textId="77777777" w:rsidR="005A1F79" w:rsidRPr="008448DC" w:rsidRDefault="005A1F79" w:rsidP="005A1F79">
            <w:pPr>
              <w:keepNext/>
              <w:rPr>
                <w:szCs w:val="24"/>
              </w:rPr>
            </w:pPr>
            <w:r w:rsidRPr="008448DC">
              <w:rPr>
                <w:szCs w:val="24"/>
              </w:rPr>
              <w:t>ARM 17.8.1202 Incorporation by Reference</w:t>
            </w:r>
          </w:p>
          <w:p w14:paraId="5B6EF7F3" w14:textId="77777777" w:rsidR="005A1F79" w:rsidRPr="008448DC" w:rsidRDefault="005A1F79" w:rsidP="005A1F79">
            <w:pPr>
              <w:keepNext/>
              <w:rPr>
                <w:szCs w:val="24"/>
              </w:rPr>
            </w:pPr>
            <w:r w:rsidRPr="008448DC">
              <w:rPr>
                <w:szCs w:val="24"/>
              </w:rPr>
              <w:t>ARM 17.8.1203 Air Quality Operating Permit Program Overview</w:t>
            </w:r>
          </w:p>
          <w:p w14:paraId="5B6EF7F4" w14:textId="77777777" w:rsidR="005A1F79" w:rsidRPr="008448DC" w:rsidRDefault="005A1F79" w:rsidP="005A1F79">
            <w:pPr>
              <w:keepNext/>
              <w:rPr>
                <w:szCs w:val="24"/>
              </w:rPr>
            </w:pPr>
            <w:r w:rsidRPr="008448DC">
              <w:rPr>
                <w:szCs w:val="24"/>
              </w:rPr>
              <w:t>ARM 17.8.1234 Acid Rain – Permit Regulations</w:t>
            </w:r>
          </w:p>
        </w:tc>
        <w:tc>
          <w:tcPr>
            <w:tcW w:w="4428" w:type="dxa"/>
            <w:tcBorders>
              <w:right w:val="double" w:sz="4" w:space="0" w:color="auto"/>
            </w:tcBorders>
            <w:vAlign w:val="center"/>
          </w:tcPr>
          <w:p w14:paraId="5B6EF7F5" w14:textId="1B977997" w:rsidR="005A1F79" w:rsidRPr="008448DC" w:rsidRDefault="005A1F79" w:rsidP="005A1F79">
            <w:pPr>
              <w:keepNext/>
              <w:rPr>
                <w:szCs w:val="24"/>
              </w:rPr>
            </w:pPr>
            <w:r w:rsidRPr="008448DC">
              <w:rPr>
                <w:szCs w:val="24"/>
              </w:rPr>
              <w:t xml:space="preserve">These are rules that consist of either: a statement of purpose, applicability statement, regulatory </w:t>
            </w:r>
            <w:r w:rsidR="00DB2279" w:rsidRPr="008448DC">
              <w:rPr>
                <w:szCs w:val="24"/>
              </w:rPr>
              <w:t>definitions,</w:t>
            </w:r>
            <w:r w:rsidRPr="008448DC">
              <w:rPr>
                <w:szCs w:val="24"/>
              </w:rPr>
              <w:t xml:space="preserve"> or a statement of incorporation by reference.  These types of rules do not have specific requirements associated with them.</w:t>
            </w:r>
          </w:p>
        </w:tc>
      </w:tr>
      <w:tr w:rsidR="005A1F79" w:rsidRPr="008448DC" w14:paraId="5B6EF803" w14:textId="77777777" w:rsidTr="005A1F79">
        <w:trPr>
          <w:cantSplit/>
          <w:trHeight w:val="900"/>
          <w:jc w:val="center"/>
        </w:trPr>
        <w:tc>
          <w:tcPr>
            <w:tcW w:w="4855" w:type="dxa"/>
            <w:gridSpan w:val="2"/>
            <w:tcBorders>
              <w:left w:val="double" w:sz="4" w:space="0" w:color="auto"/>
            </w:tcBorders>
            <w:vAlign w:val="center"/>
          </w:tcPr>
          <w:p w14:paraId="5B6EF7F7" w14:textId="77777777" w:rsidR="005A1F79" w:rsidRPr="008448DC" w:rsidRDefault="005A1F79" w:rsidP="005A1F79">
            <w:pPr>
              <w:rPr>
                <w:szCs w:val="24"/>
              </w:rPr>
            </w:pPr>
            <w:r w:rsidRPr="008448DC">
              <w:rPr>
                <w:szCs w:val="24"/>
              </w:rPr>
              <w:t>ARM 17.8.1210 General Requirements for Air Quality Operating Permit Content</w:t>
            </w:r>
          </w:p>
          <w:p w14:paraId="5B6EF7F8" w14:textId="77777777" w:rsidR="005A1F79" w:rsidRPr="008448DC" w:rsidRDefault="005A1F79" w:rsidP="005A1F79">
            <w:pPr>
              <w:rPr>
                <w:szCs w:val="24"/>
              </w:rPr>
            </w:pPr>
            <w:r w:rsidRPr="008448DC">
              <w:rPr>
                <w:szCs w:val="24"/>
              </w:rPr>
              <w:t>ARM 17.8.1211 Requirements for Air Quality Operating Permit Content Relating to Emission Limitations and Standards, and other Requirements</w:t>
            </w:r>
          </w:p>
          <w:p w14:paraId="5B6EF7F9" w14:textId="77777777" w:rsidR="005A1F79" w:rsidRPr="008448DC" w:rsidRDefault="005A1F79" w:rsidP="005A1F79">
            <w:pPr>
              <w:rPr>
                <w:szCs w:val="24"/>
              </w:rPr>
            </w:pPr>
            <w:r w:rsidRPr="008448DC">
              <w:rPr>
                <w:szCs w:val="24"/>
              </w:rPr>
              <w:t>ARM 17.8.1212 Requirements for Air Quality Operating Permit Content Relating to Monitoring, Recordkeeping, and Reporting</w:t>
            </w:r>
          </w:p>
          <w:p w14:paraId="5B6EF7FA" w14:textId="77777777" w:rsidR="005A1F79" w:rsidRPr="008448DC" w:rsidRDefault="005A1F79" w:rsidP="005A1F79">
            <w:pPr>
              <w:rPr>
                <w:szCs w:val="24"/>
              </w:rPr>
            </w:pPr>
            <w:r w:rsidRPr="008448DC">
              <w:rPr>
                <w:szCs w:val="24"/>
              </w:rPr>
              <w:t>ARM 17.8.1213 Requirements for Air Quality Operating Permit Content relating to Compliance</w:t>
            </w:r>
          </w:p>
          <w:p w14:paraId="5B6EF7FB" w14:textId="77777777" w:rsidR="005A1F79" w:rsidRPr="008448DC" w:rsidRDefault="005A1F79" w:rsidP="005A1F79">
            <w:pPr>
              <w:rPr>
                <w:szCs w:val="24"/>
              </w:rPr>
            </w:pPr>
            <w:r w:rsidRPr="008448DC">
              <w:rPr>
                <w:szCs w:val="24"/>
              </w:rPr>
              <w:t>ARM 17.8.1214 Requirements for Air Quality Operating Permit Content Relating to the Permit Shield and Emergencies</w:t>
            </w:r>
          </w:p>
          <w:p w14:paraId="5B6EF7FC" w14:textId="77777777" w:rsidR="005A1F79" w:rsidRPr="008448DC" w:rsidRDefault="005A1F79" w:rsidP="005A1F79">
            <w:pPr>
              <w:rPr>
                <w:szCs w:val="24"/>
              </w:rPr>
            </w:pPr>
            <w:r w:rsidRPr="008448DC">
              <w:rPr>
                <w:szCs w:val="24"/>
              </w:rPr>
              <w:t>ARM 17.8.1215 Requirements for Air Quality Operating Permit Content Relating to Operational Flexibility</w:t>
            </w:r>
          </w:p>
          <w:p w14:paraId="5B6EF7FD" w14:textId="77777777" w:rsidR="005A1F79" w:rsidRPr="008448DC" w:rsidRDefault="005A1F79" w:rsidP="005A1F79">
            <w:pPr>
              <w:rPr>
                <w:szCs w:val="24"/>
              </w:rPr>
            </w:pPr>
            <w:r w:rsidRPr="008448DC">
              <w:rPr>
                <w:szCs w:val="24"/>
              </w:rPr>
              <w:t>ARM 17.8.1222 General Air Operating Permits</w:t>
            </w:r>
          </w:p>
          <w:p w14:paraId="5B6EF7FE" w14:textId="77777777" w:rsidR="005A1F79" w:rsidRPr="008448DC" w:rsidRDefault="005A1F79" w:rsidP="005A1F79">
            <w:pPr>
              <w:rPr>
                <w:szCs w:val="24"/>
              </w:rPr>
            </w:pPr>
            <w:r w:rsidRPr="008448DC">
              <w:rPr>
                <w:szCs w:val="24"/>
              </w:rPr>
              <w:t>ARM 17.8.1223 Temporary Air Quality Operating Permits</w:t>
            </w:r>
          </w:p>
          <w:p w14:paraId="5B6EF7FF" w14:textId="77777777" w:rsidR="005A1F79" w:rsidRPr="008448DC" w:rsidRDefault="005A1F79" w:rsidP="005A1F79">
            <w:pPr>
              <w:rPr>
                <w:szCs w:val="24"/>
              </w:rPr>
            </w:pPr>
            <w:r w:rsidRPr="008448DC">
              <w:rPr>
                <w:szCs w:val="24"/>
              </w:rPr>
              <w:t>ARM 17.8.1225 Additional Requirements for Air Quality Operating Permit Amendments</w:t>
            </w:r>
          </w:p>
          <w:p w14:paraId="5B6EF800" w14:textId="77777777" w:rsidR="005A1F79" w:rsidRPr="008448DC" w:rsidRDefault="005A1F79" w:rsidP="005A1F79">
            <w:pPr>
              <w:rPr>
                <w:szCs w:val="24"/>
              </w:rPr>
            </w:pPr>
            <w:r w:rsidRPr="008448DC">
              <w:rPr>
                <w:szCs w:val="24"/>
              </w:rPr>
              <w:t>ARM 17.8.1228 Additional Requirements for Air Quality Operating Permit Revocation, Reopening, and Revision for Cause</w:t>
            </w:r>
          </w:p>
          <w:p w14:paraId="5B6EF801" w14:textId="77777777" w:rsidR="005A1F79" w:rsidRPr="008448DC" w:rsidRDefault="005A1F79" w:rsidP="005A1F79">
            <w:pPr>
              <w:rPr>
                <w:szCs w:val="24"/>
              </w:rPr>
            </w:pPr>
            <w:r w:rsidRPr="008448DC">
              <w:rPr>
                <w:szCs w:val="24"/>
              </w:rPr>
              <w:t>ARM 17.8.1231 Notice of Termination, Modification, or Revocation and Reissuance by the Administrator for Cause</w:t>
            </w:r>
          </w:p>
        </w:tc>
        <w:tc>
          <w:tcPr>
            <w:tcW w:w="4428" w:type="dxa"/>
            <w:tcBorders>
              <w:right w:val="double" w:sz="4" w:space="0" w:color="auto"/>
            </w:tcBorders>
            <w:vAlign w:val="center"/>
          </w:tcPr>
          <w:p w14:paraId="5B6EF802" w14:textId="77777777" w:rsidR="005A1F79" w:rsidRPr="008448DC" w:rsidRDefault="005A1F79" w:rsidP="005A1F79">
            <w:pPr>
              <w:rPr>
                <w:szCs w:val="24"/>
              </w:rPr>
            </w:pPr>
            <w:r w:rsidRPr="008448DC">
              <w:rPr>
                <w:szCs w:val="24"/>
              </w:rPr>
              <w:t>These rules contain requirements for the regulatory authorities and not major sources; however, they can be used as authority to impose specific requirements on a major source.</w:t>
            </w:r>
          </w:p>
        </w:tc>
      </w:tr>
      <w:tr w:rsidR="005A1F79" w:rsidRPr="00944597" w14:paraId="5B6EF806" w14:textId="77777777" w:rsidTr="005A1F79">
        <w:trPr>
          <w:cantSplit/>
          <w:trHeight w:val="900"/>
          <w:jc w:val="center"/>
        </w:trPr>
        <w:tc>
          <w:tcPr>
            <w:tcW w:w="4855" w:type="dxa"/>
            <w:gridSpan w:val="2"/>
            <w:tcBorders>
              <w:left w:val="double" w:sz="4" w:space="0" w:color="auto"/>
            </w:tcBorders>
            <w:vAlign w:val="center"/>
          </w:tcPr>
          <w:p w14:paraId="5B6EF804" w14:textId="77777777" w:rsidR="005A1F79" w:rsidRPr="008448DC" w:rsidRDefault="005A1F79" w:rsidP="005A1F79">
            <w:pPr>
              <w:rPr>
                <w:szCs w:val="24"/>
              </w:rPr>
            </w:pPr>
            <w:r w:rsidRPr="008448DC">
              <w:rPr>
                <w:szCs w:val="24"/>
              </w:rPr>
              <w:t>ARM 17.8.1224 Additional Requirements for Operational Flexibility and Air Quality Operating Permit Changes that Do Not Require Revisions</w:t>
            </w:r>
          </w:p>
        </w:tc>
        <w:tc>
          <w:tcPr>
            <w:tcW w:w="4428" w:type="dxa"/>
            <w:tcBorders>
              <w:right w:val="double" w:sz="4" w:space="0" w:color="auto"/>
            </w:tcBorders>
            <w:vAlign w:val="center"/>
          </w:tcPr>
          <w:p w14:paraId="5B6EF805" w14:textId="77777777" w:rsidR="005A1F79" w:rsidRPr="008448DC" w:rsidRDefault="005A1F79" w:rsidP="005A1F79">
            <w:pPr>
              <w:rPr>
                <w:szCs w:val="24"/>
              </w:rPr>
            </w:pPr>
            <w:r w:rsidRPr="008448DC">
              <w:rPr>
                <w:szCs w:val="24"/>
              </w:rPr>
              <w:t xml:space="preserve">These are procedural rules that have specific requirements that may become relevant to a major source during the permit span.  </w:t>
            </w:r>
          </w:p>
        </w:tc>
      </w:tr>
    </w:tbl>
    <w:p w14:paraId="5B6EF807" w14:textId="77777777" w:rsidR="005A1F79" w:rsidRDefault="005A1F79" w:rsidP="005A1F79">
      <w:pPr>
        <w:rPr>
          <w:szCs w:val="24"/>
        </w:rPr>
      </w:pPr>
      <w:r>
        <w:rPr>
          <w:szCs w:val="24"/>
        </w:rPr>
        <w:br w:type="page"/>
      </w:r>
    </w:p>
    <w:p w14:paraId="5B6EF808" w14:textId="77777777" w:rsidR="005A1F79" w:rsidRPr="00944597" w:rsidRDefault="005A1F79" w:rsidP="005A1F79">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4487"/>
      </w:tblGrid>
      <w:tr w:rsidR="005A1F79" w:rsidRPr="00944597" w14:paraId="5B6EF80B" w14:textId="77777777" w:rsidTr="005A1F79">
        <w:trPr>
          <w:cantSplit/>
          <w:tblHeader/>
          <w:jc w:val="center"/>
        </w:trPr>
        <w:tc>
          <w:tcPr>
            <w:tcW w:w="4797" w:type="dxa"/>
            <w:tcBorders>
              <w:top w:val="double" w:sz="4" w:space="0" w:color="auto"/>
              <w:left w:val="double" w:sz="4" w:space="0" w:color="auto"/>
              <w:bottom w:val="double" w:sz="4" w:space="0" w:color="auto"/>
            </w:tcBorders>
            <w:shd w:val="clear" w:color="auto" w:fill="F3F3F3"/>
            <w:vAlign w:val="center"/>
          </w:tcPr>
          <w:p w14:paraId="5B6EF809" w14:textId="77777777" w:rsidR="005A1F79" w:rsidRPr="00944597" w:rsidRDefault="005A1F79" w:rsidP="005A1F79">
            <w:pPr>
              <w:spacing w:after="58"/>
              <w:jc w:val="center"/>
              <w:rPr>
                <w:b/>
                <w:szCs w:val="24"/>
              </w:rPr>
            </w:pPr>
            <w:r w:rsidRPr="00944597">
              <w:rPr>
                <w:b/>
                <w:szCs w:val="24"/>
              </w:rPr>
              <w:t>Applicable Requirement</w:t>
            </w:r>
          </w:p>
        </w:tc>
        <w:tc>
          <w:tcPr>
            <w:tcW w:w="4487" w:type="dxa"/>
            <w:tcBorders>
              <w:top w:val="double" w:sz="4" w:space="0" w:color="auto"/>
              <w:bottom w:val="double" w:sz="4" w:space="0" w:color="auto"/>
              <w:right w:val="double" w:sz="4" w:space="0" w:color="auto"/>
            </w:tcBorders>
            <w:shd w:val="clear" w:color="auto" w:fill="F3F3F3"/>
            <w:vAlign w:val="center"/>
          </w:tcPr>
          <w:p w14:paraId="5B6EF80A" w14:textId="77777777" w:rsidR="005A1F79" w:rsidRPr="00944597" w:rsidRDefault="005A1F79" w:rsidP="005A1F79">
            <w:pPr>
              <w:spacing w:after="58"/>
              <w:jc w:val="center"/>
              <w:rPr>
                <w:b/>
                <w:szCs w:val="24"/>
              </w:rPr>
            </w:pPr>
            <w:r w:rsidRPr="00944597">
              <w:rPr>
                <w:b/>
                <w:szCs w:val="24"/>
              </w:rPr>
              <w:t>Reason</w:t>
            </w:r>
          </w:p>
        </w:tc>
      </w:tr>
      <w:tr w:rsidR="005A1F79" w:rsidRPr="00944597" w14:paraId="5B6EF813" w14:textId="77777777" w:rsidTr="005A1F79">
        <w:trPr>
          <w:cantSplit/>
          <w:jc w:val="center"/>
        </w:trPr>
        <w:tc>
          <w:tcPr>
            <w:tcW w:w="4797" w:type="dxa"/>
            <w:tcBorders>
              <w:left w:val="double" w:sz="4" w:space="0" w:color="auto"/>
            </w:tcBorders>
            <w:vAlign w:val="center"/>
          </w:tcPr>
          <w:p w14:paraId="5B6EF80C" w14:textId="77777777" w:rsidR="00790224" w:rsidRDefault="00790224" w:rsidP="00B00E4F">
            <w:pPr>
              <w:pStyle w:val="BodyText2"/>
              <w:jc w:val="left"/>
              <w:rPr>
                <w:rFonts w:ascii="Garamond" w:hAnsi="Garamond"/>
                <w:sz w:val="24"/>
                <w:szCs w:val="24"/>
              </w:rPr>
            </w:pPr>
            <w:r>
              <w:rPr>
                <w:rFonts w:ascii="Garamond" w:hAnsi="Garamond"/>
                <w:sz w:val="24"/>
                <w:szCs w:val="24"/>
              </w:rPr>
              <w:t>40 CFR 61, Subpart A- General Provisions</w:t>
            </w:r>
          </w:p>
          <w:p w14:paraId="5B6EF80D" w14:textId="77777777" w:rsidR="00790224" w:rsidRDefault="00790224" w:rsidP="00B00E4F">
            <w:pPr>
              <w:pStyle w:val="BodyText2"/>
              <w:jc w:val="left"/>
              <w:rPr>
                <w:rFonts w:ascii="Garamond" w:hAnsi="Garamond"/>
                <w:sz w:val="24"/>
                <w:szCs w:val="24"/>
              </w:rPr>
            </w:pPr>
            <w:r>
              <w:rPr>
                <w:rFonts w:ascii="Garamond" w:hAnsi="Garamond"/>
                <w:sz w:val="24"/>
                <w:szCs w:val="24"/>
              </w:rPr>
              <w:t>40 CFR 60</w:t>
            </w:r>
            <w:r w:rsidR="00BB79D3">
              <w:rPr>
                <w:rFonts w:ascii="Garamond" w:hAnsi="Garamond"/>
                <w:sz w:val="24"/>
                <w:szCs w:val="24"/>
              </w:rPr>
              <w:t>,</w:t>
            </w:r>
            <w:r>
              <w:rPr>
                <w:rFonts w:ascii="Garamond" w:hAnsi="Garamond"/>
                <w:sz w:val="24"/>
                <w:szCs w:val="24"/>
              </w:rPr>
              <w:t xml:space="preserve"> Appendix B</w:t>
            </w:r>
            <w:r w:rsidR="00BB79D3">
              <w:rPr>
                <w:rFonts w:ascii="Garamond" w:hAnsi="Garamond"/>
                <w:sz w:val="24"/>
                <w:szCs w:val="24"/>
              </w:rPr>
              <w:t>,</w:t>
            </w:r>
            <w:r w:rsidR="008B1D55">
              <w:rPr>
                <w:rFonts w:ascii="Garamond" w:hAnsi="Garamond"/>
                <w:sz w:val="24"/>
                <w:szCs w:val="24"/>
              </w:rPr>
              <w:t xml:space="preserve"> Test Methods</w:t>
            </w:r>
          </w:p>
          <w:p w14:paraId="5B6EF80E" w14:textId="77777777" w:rsidR="00790224" w:rsidRDefault="00790224" w:rsidP="00B00E4F">
            <w:pPr>
              <w:pStyle w:val="BodyText2"/>
              <w:jc w:val="left"/>
              <w:rPr>
                <w:rFonts w:ascii="Garamond" w:hAnsi="Garamond"/>
                <w:sz w:val="24"/>
                <w:szCs w:val="24"/>
              </w:rPr>
            </w:pPr>
            <w:r>
              <w:rPr>
                <w:rFonts w:ascii="Garamond" w:hAnsi="Garamond"/>
                <w:sz w:val="24"/>
                <w:szCs w:val="24"/>
              </w:rPr>
              <w:t>40 CFR 60</w:t>
            </w:r>
            <w:r w:rsidR="00BB79D3">
              <w:rPr>
                <w:rFonts w:ascii="Garamond" w:hAnsi="Garamond"/>
                <w:sz w:val="24"/>
                <w:szCs w:val="24"/>
              </w:rPr>
              <w:t>,</w:t>
            </w:r>
            <w:r>
              <w:rPr>
                <w:rFonts w:ascii="Garamond" w:hAnsi="Garamond"/>
                <w:sz w:val="24"/>
                <w:szCs w:val="24"/>
              </w:rPr>
              <w:t xml:space="preserve"> Appendix C</w:t>
            </w:r>
            <w:r w:rsidR="00BB79D3">
              <w:rPr>
                <w:rFonts w:ascii="Garamond" w:hAnsi="Garamond"/>
                <w:sz w:val="24"/>
                <w:szCs w:val="24"/>
              </w:rPr>
              <w:t>,</w:t>
            </w:r>
            <w:r w:rsidR="008B1D55">
              <w:rPr>
                <w:rFonts w:ascii="Garamond" w:hAnsi="Garamond"/>
                <w:sz w:val="24"/>
                <w:szCs w:val="24"/>
              </w:rPr>
              <w:t xml:space="preserve"> Determination of Emission Rate Change</w:t>
            </w:r>
          </w:p>
          <w:p w14:paraId="5B6EF80F" w14:textId="77777777" w:rsidR="00790224" w:rsidRDefault="00790224" w:rsidP="00B00E4F">
            <w:pPr>
              <w:pStyle w:val="BodyText2"/>
              <w:jc w:val="left"/>
              <w:rPr>
                <w:rFonts w:ascii="Garamond" w:hAnsi="Garamond"/>
                <w:sz w:val="24"/>
                <w:szCs w:val="24"/>
              </w:rPr>
            </w:pPr>
            <w:r>
              <w:rPr>
                <w:rFonts w:ascii="Garamond" w:hAnsi="Garamond"/>
                <w:sz w:val="24"/>
                <w:szCs w:val="24"/>
              </w:rPr>
              <w:t>40 CFR 60</w:t>
            </w:r>
            <w:r w:rsidR="00BB79D3">
              <w:rPr>
                <w:rFonts w:ascii="Garamond" w:hAnsi="Garamond"/>
                <w:sz w:val="24"/>
                <w:szCs w:val="24"/>
              </w:rPr>
              <w:t>,</w:t>
            </w:r>
            <w:r>
              <w:rPr>
                <w:rFonts w:ascii="Garamond" w:hAnsi="Garamond"/>
                <w:sz w:val="24"/>
                <w:szCs w:val="24"/>
              </w:rPr>
              <w:t xml:space="preserve"> Appendix F</w:t>
            </w:r>
            <w:r w:rsidR="00BB79D3">
              <w:rPr>
                <w:rFonts w:ascii="Garamond" w:hAnsi="Garamond"/>
                <w:sz w:val="24"/>
                <w:szCs w:val="24"/>
              </w:rPr>
              <w:t>,</w:t>
            </w:r>
            <w:r w:rsidR="008B1D55">
              <w:rPr>
                <w:rFonts w:ascii="Garamond" w:hAnsi="Garamond"/>
                <w:sz w:val="24"/>
                <w:szCs w:val="24"/>
              </w:rPr>
              <w:t xml:space="preserve"> Quality Assurance Procedures</w:t>
            </w:r>
          </w:p>
          <w:p w14:paraId="5B6EF810" w14:textId="77777777" w:rsidR="00790224" w:rsidRDefault="00790224" w:rsidP="00B00E4F">
            <w:pPr>
              <w:pStyle w:val="BodyText2"/>
              <w:jc w:val="left"/>
              <w:rPr>
                <w:rFonts w:ascii="Garamond" w:hAnsi="Garamond"/>
                <w:sz w:val="24"/>
                <w:szCs w:val="24"/>
              </w:rPr>
            </w:pPr>
            <w:r>
              <w:rPr>
                <w:rFonts w:ascii="Garamond" w:hAnsi="Garamond"/>
                <w:sz w:val="24"/>
                <w:szCs w:val="24"/>
              </w:rPr>
              <w:t>40 CFR 63, Subpart B</w:t>
            </w:r>
            <w:r w:rsidR="00BB79D3">
              <w:rPr>
                <w:rFonts w:ascii="Garamond" w:hAnsi="Garamond"/>
                <w:sz w:val="24"/>
                <w:szCs w:val="24"/>
              </w:rPr>
              <w:t xml:space="preserve">, Requirements for Control Technology </w:t>
            </w:r>
            <w:r w:rsidR="00B34FD5">
              <w:rPr>
                <w:rFonts w:ascii="Garamond" w:hAnsi="Garamond"/>
                <w:sz w:val="24"/>
                <w:szCs w:val="24"/>
              </w:rPr>
              <w:t>Determination</w:t>
            </w:r>
            <w:r w:rsidR="00BB79D3">
              <w:rPr>
                <w:rFonts w:ascii="Garamond" w:hAnsi="Garamond"/>
                <w:sz w:val="24"/>
                <w:szCs w:val="24"/>
              </w:rPr>
              <w:t xml:space="preserve"> for Major Sources in Accordance with Clean Air Act Sections, Section 112(g) and 112 (j)</w:t>
            </w:r>
          </w:p>
          <w:p w14:paraId="5B6EF811" w14:textId="77777777" w:rsidR="00961BC3" w:rsidRPr="00944597" w:rsidRDefault="00BB79D3" w:rsidP="00B00E4F">
            <w:pPr>
              <w:pStyle w:val="BodyText2"/>
              <w:jc w:val="left"/>
              <w:rPr>
                <w:rFonts w:ascii="Garamond" w:hAnsi="Garamond"/>
                <w:sz w:val="24"/>
                <w:szCs w:val="24"/>
              </w:rPr>
            </w:pPr>
            <w:r>
              <w:rPr>
                <w:rFonts w:ascii="Garamond" w:hAnsi="Garamond"/>
                <w:sz w:val="24"/>
                <w:szCs w:val="24"/>
              </w:rPr>
              <w:t>40 CFR 63, Subpart D,</w:t>
            </w:r>
            <w:r w:rsidR="008B1D55">
              <w:rPr>
                <w:rFonts w:ascii="Garamond" w:hAnsi="Garamond"/>
                <w:sz w:val="24"/>
                <w:szCs w:val="24"/>
              </w:rPr>
              <w:t xml:space="preserve"> Regulations Governing Compliance Extensions for Early Reductions of Hazardous Air Pollutants</w:t>
            </w:r>
          </w:p>
        </w:tc>
        <w:tc>
          <w:tcPr>
            <w:tcW w:w="4487" w:type="dxa"/>
            <w:tcBorders>
              <w:right w:val="double" w:sz="4" w:space="0" w:color="auto"/>
            </w:tcBorders>
            <w:vAlign w:val="center"/>
          </w:tcPr>
          <w:p w14:paraId="5B6EF812" w14:textId="77777777" w:rsidR="005A1F79" w:rsidRPr="00944597" w:rsidRDefault="005A1F79" w:rsidP="005A1F79">
            <w:pPr>
              <w:spacing w:after="58"/>
              <w:rPr>
                <w:szCs w:val="24"/>
              </w:rPr>
            </w:pPr>
            <w:r w:rsidRPr="00944597">
              <w:rPr>
                <w:szCs w:val="24"/>
              </w:rPr>
              <w:t xml:space="preserve">These are procedural rules that have specific requirements that may become relevant to a major source during the permit span.  </w:t>
            </w:r>
          </w:p>
        </w:tc>
      </w:tr>
      <w:tr w:rsidR="005A1F79" w:rsidRPr="00944597" w14:paraId="5B6EF81F" w14:textId="77777777" w:rsidTr="005A1F79">
        <w:trPr>
          <w:cantSplit/>
          <w:jc w:val="center"/>
        </w:trPr>
        <w:tc>
          <w:tcPr>
            <w:tcW w:w="4797" w:type="dxa"/>
            <w:tcBorders>
              <w:left w:val="double" w:sz="4" w:space="0" w:color="auto"/>
            </w:tcBorders>
            <w:vAlign w:val="center"/>
          </w:tcPr>
          <w:p w14:paraId="5B6EF814" w14:textId="77777777" w:rsidR="00B00E4F" w:rsidRPr="00944597" w:rsidRDefault="00B00E4F" w:rsidP="00B00E4F">
            <w:pPr>
              <w:pStyle w:val="BodyText2"/>
              <w:jc w:val="left"/>
              <w:rPr>
                <w:rFonts w:ascii="Garamond" w:hAnsi="Garamond"/>
                <w:sz w:val="24"/>
                <w:szCs w:val="24"/>
              </w:rPr>
            </w:pPr>
            <w:r>
              <w:rPr>
                <w:rFonts w:ascii="Garamond" w:hAnsi="Garamond"/>
                <w:sz w:val="24"/>
                <w:szCs w:val="24"/>
              </w:rPr>
              <w:t>40 CFR 50, National Primary and Secondary Ambient Air Quality Standards</w:t>
            </w:r>
          </w:p>
          <w:p w14:paraId="5B6EF815"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51</w:t>
            </w:r>
            <w:r w:rsidR="008448DC">
              <w:rPr>
                <w:rFonts w:ascii="Garamond" w:hAnsi="Garamond"/>
                <w:sz w:val="24"/>
                <w:szCs w:val="24"/>
              </w:rPr>
              <w:t>,</w:t>
            </w:r>
            <w:r w:rsidRPr="00944597">
              <w:rPr>
                <w:rFonts w:ascii="Garamond" w:hAnsi="Garamond"/>
                <w:sz w:val="24"/>
                <w:szCs w:val="24"/>
              </w:rPr>
              <w:t xml:space="preserve"> Requirements for Preparation, Adoption, and Submittal of Implementation Plans</w:t>
            </w:r>
          </w:p>
          <w:p w14:paraId="5B6EF816"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53</w:t>
            </w:r>
            <w:r w:rsidR="00BB79D3">
              <w:rPr>
                <w:rFonts w:ascii="Garamond" w:hAnsi="Garamond"/>
                <w:sz w:val="24"/>
                <w:szCs w:val="24"/>
              </w:rPr>
              <w:t>,</w:t>
            </w:r>
            <w:r w:rsidRPr="00944597">
              <w:rPr>
                <w:rFonts w:ascii="Garamond" w:hAnsi="Garamond"/>
                <w:sz w:val="24"/>
                <w:szCs w:val="24"/>
              </w:rPr>
              <w:t xml:space="preserve"> Ambient Air Monitoring Reference and Equivalent Methods</w:t>
            </w:r>
          </w:p>
          <w:p w14:paraId="5B6EF817"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54</w:t>
            </w:r>
            <w:r w:rsidR="00BB79D3">
              <w:rPr>
                <w:rFonts w:ascii="Garamond" w:hAnsi="Garamond"/>
                <w:sz w:val="24"/>
                <w:szCs w:val="24"/>
              </w:rPr>
              <w:t>,</w:t>
            </w:r>
            <w:r w:rsidRPr="00944597">
              <w:rPr>
                <w:rFonts w:ascii="Garamond" w:hAnsi="Garamond"/>
                <w:sz w:val="24"/>
                <w:szCs w:val="24"/>
              </w:rPr>
              <w:t xml:space="preserve"> Prior Notice of Citizen Suits</w:t>
            </w:r>
          </w:p>
          <w:p w14:paraId="5B6EF818"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56</w:t>
            </w:r>
            <w:r w:rsidR="00BB79D3">
              <w:rPr>
                <w:rFonts w:ascii="Garamond" w:hAnsi="Garamond"/>
                <w:sz w:val="24"/>
                <w:szCs w:val="24"/>
              </w:rPr>
              <w:t>,</w:t>
            </w:r>
            <w:r w:rsidRPr="00944597">
              <w:rPr>
                <w:rFonts w:ascii="Garamond" w:hAnsi="Garamond"/>
                <w:sz w:val="24"/>
                <w:szCs w:val="24"/>
              </w:rPr>
              <w:t xml:space="preserve"> Regional Consistency</w:t>
            </w:r>
          </w:p>
          <w:p w14:paraId="5B6EF819" w14:textId="77777777" w:rsidR="005A1F79" w:rsidRDefault="005A1F79" w:rsidP="00B00E4F">
            <w:pPr>
              <w:pStyle w:val="BodyText2"/>
              <w:jc w:val="left"/>
              <w:rPr>
                <w:rFonts w:ascii="Garamond" w:hAnsi="Garamond"/>
                <w:sz w:val="24"/>
                <w:szCs w:val="24"/>
              </w:rPr>
            </w:pPr>
            <w:r w:rsidRPr="00944597">
              <w:rPr>
                <w:rFonts w:ascii="Garamond" w:hAnsi="Garamond"/>
                <w:sz w:val="24"/>
                <w:szCs w:val="24"/>
              </w:rPr>
              <w:t>40 CFR 58</w:t>
            </w:r>
            <w:r w:rsidR="00BB79D3">
              <w:rPr>
                <w:rFonts w:ascii="Garamond" w:hAnsi="Garamond"/>
                <w:sz w:val="24"/>
                <w:szCs w:val="24"/>
              </w:rPr>
              <w:t>,</w:t>
            </w:r>
            <w:r w:rsidRPr="00944597">
              <w:rPr>
                <w:rFonts w:ascii="Garamond" w:hAnsi="Garamond"/>
                <w:sz w:val="24"/>
                <w:szCs w:val="24"/>
              </w:rPr>
              <w:t xml:space="preserve"> Ambient Air Quality Surveillance</w:t>
            </w:r>
          </w:p>
          <w:p w14:paraId="5B6EF81A" w14:textId="77777777" w:rsidR="00BB79D3" w:rsidRPr="00944597" w:rsidRDefault="00BB79D3" w:rsidP="00B00E4F">
            <w:pPr>
              <w:pStyle w:val="BodyText2"/>
              <w:jc w:val="left"/>
              <w:rPr>
                <w:rFonts w:ascii="Garamond" w:hAnsi="Garamond"/>
                <w:sz w:val="24"/>
                <w:szCs w:val="24"/>
              </w:rPr>
            </w:pPr>
            <w:r>
              <w:rPr>
                <w:rFonts w:ascii="Garamond" w:hAnsi="Garamond"/>
                <w:sz w:val="24"/>
                <w:szCs w:val="24"/>
              </w:rPr>
              <w:t xml:space="preserve">40 CFR 63, Subpart </w:t>
            </w:r>
            <w:r w:rsidR="008B1D55">
              <w:rPr>
                <w:rFonts w:ascii="Garamond" w:hAnsi="Garamond"/>
                <w:sz w:val="24"/>
                <w:szCs w:val="24"/>
              </w:rPr>
              <w:t xml:space="preserve">E, </w:t>
            </w:r>
            <w:r>
              <w:rPr>
                <w:rFonts w:ascii="Garamond" w:hAnsi="Garamond"/>
                <w:sz w:val="24"/>
                <w:szCs w:val="24"/>
              </w:rPr>
              <w:t xml:space="preserve">Approval of State Programs and Delegation of Federal Authorities </w:t>
            </w:r>
          </w:p>
          <w:p w14:paraId="5B6EF81B"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64</w:t>
            </w:r>
            <w:r w:rsidR="00BB79D3">
              <w:rPr>
                <w:rFonts w:ascii="Garamond" w:hAnsi="Garamond"/>
                <w:sz w:val="24"/>
                <w:szCs w:val="24"/>
              </w:rPr>
              <w:t>,</w:t>
            </w:r>
            <w:r w:rsidRPr="00944597">
              <w:rPr>
                <w:rFonts w:ascii="Garamond" w:hAnsi="Garamond"/>
                <w:sz w:val="24"/>
                <w:szCs w:val="24"/>
              </w:rPr>
              <w:t xml:space="preserve"> Compliance Assurance Monitoring</w:t>
            </w:r>
          </w:p>
          <w:p w14:paraId="5B6EF81C"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67</w:t>
            </w:r>
            <w:r w:rsidR="00BB79D3">
              <w:rPr>
                <w:rFonts w:ascii="Garamond" w:hAnsi="Garamond"/>
                <w:sz w:val="24"/>
                <w:szCs w:val="24"/>
              </w:rPr>
              <w:t>,</w:t>
            </w:r>
            <w:r w:rsidRPr="00944597">
              <w:rPr>
                <w:rFonts w:ascii="Garamond" w:hAnsi="Garamond"/>
                <w:sz w:val="24"/>
                <w:szCs w:val="24"/>
              </w:rPr>
              <w:t xml:space="preserve"> EPA Approval of State Noncompliance Penalty Program</w:t>
            </w:r>
          </w:p>
          <w:p w14:paraId="5B6EF81D" w14:textId="77777777" w:rsidR="008448DC" w:rsidRPr="00944597" w:rsidDel="008E7A6A" w:rsidRDefault="008448DC" w:rsidP="00B00E4F">
            <w:pPr>
              <w:pStyle w:val="BodyText2"/>
              <w:jc w:val="left"/>
              <w:rPr>
                <w:rFonts w:ascii="Garamond" w:hAnsi="Garamond"/>
                <w:sz w:val="24"/>
                <w:szCs w:val="24"/>
              </w:rPr>
            </w:pPr>
            <w:r w:rsidRPr="00944597">
              <w:rPr>
                <w:rFonts w:ascii="Garamond" w:hAnsi="Garamond"/>
                <w:sz w:val="24"/>
                <w:szCs w:val="24"/>
              </w:rPr>
              <w:t>40 CFR 71</w:t>
            </w:r>
            <w:r>
              <w:rPr>
                <w:rFonts w:ascii="Garamond" w:hAnsi="Garamond"/>
                <w:sz w:val="24"/>
                <w:szCs w:val="24"/>
              </w:rPr>
              <w:t>,</w:t>
            </w:r>
            <w:r w:rsidRPr="00944597">
              <w:rPr>
                <w:rFonts w:ascii="Garamond" w:hAnsi="Garamond"/>
                <w:sz w:val="24"/>
                <w:szCs w:val="24"/>
              </w:rPr>
              <w:t xml:space="preserve"> Federal Operating Permit Programs </w:t>
            </w:r>
            <w:r w:rsidR="005A1F79" w:rsidRPr="00944597">
              <w:rPr>
                <w:rFonts w:ascii="Garamond" w:hAnsi="Garamond"/>
                <w:sz w:val="24"/>
                <w:szCs w:val="24"/>
              </w:rPr>
              <w:t>40 CFR 81</w:t>
            </w:r>
            <w:r w:rsidR="00BB79D3">
              <w:rPr>
                <w:rFonts w:ascii="Garamond" w:hAnsi="Garamond"/>
                <w:sz w:val="24"/>
                <w:szCs w:val="24"/>
              </w:rPr>
              <w:t>,</w:t>
            </w:r>
            <w:r w:rsidR="005A1F79" w:rsidRPr="00944597">
              <w:rPr>
                <w:rFonts w:ascii="Garamond" w:hAnsi="Garamond"/>
                <w:sz w:val="24"/>
                <w:szCs w:val="24"/>
              </w:rPr>
              <w:t xml:space="preserve"> Designation of Areas for Air Quality Planning Purposes</w:t>
            </w:r>
          </w:p>
        </w:tc>
        <w:tc>
          <w:tcPr>
            <w:tcW w:w="4487" w:type="dxa"/>
            <w:tcBorders>
              <w:right w:val="double" w:sz="4" w:space="0" w:color="auto"/>
            </w:tcBorders>
            <w:vAlign w:val="center"/>
          </w:tcPr>
          <w:p w14:paraId="5B6EF81E" w14:textId="77777777" w:rsidR="005A1F79" w:rsidRPr="00944597" w:rsidRDefault="005A1F79" w:rsidP="005A1F79">
            <w:pPr>
              <w:spacing w:after="58"/>
              <w:rPr>
                <w:szCs w:val="24"/>
              </w:rPr>
            </w:pPr>
            <w:r w:rsidRPr="00944597">
              <w:rPr>
                <w:szCs w:val="24"/>
              </w:rPr>
              <w:t>These rules contain requirements for the regulatory authorities and not major sources; however, they can be used as authority to impose specific requirements on a major source.</w:t>
            </w:r>
          </w:p>
        </w:tc>
      </w:tr>
      <w:tr w:rsidR="005A1F79" w:rsidRPr="00944597" w14:paraId="5B6EF825" w14:textId="77777777" w:rsidTr="005A1F79">
        <w:trPr>
          <w:cantSplit/>
          <w:trHeight w:val="2440"/>
          <w:jc w:val="center"/>
        </w:trPr>
        <w:tc>
          <w:tcPr>
            <w:tcW w:w="4797" w:type="dxa"/>
            <w:tcBorders>
              <w:left w:val="double" w:sz="4" w:space="0" w:color="auto"/>
            </w:tcBorders>
            <w:vAlign w:val="center"/>
          </w:tcPr>
          <w:p w14:paraId="5B6EF820" w14:textId="77777777" w:rsidR="005A1F79" w:rsidRPr="00944597" w:rsidRDefault="00B00E4F" w:rsidP="00B00E4F">
            <w:pPr>
              <w:rPr>
                <w:szCs w:val="24"/>
              </w:rPr>
            </w:pPr>
            <w:r>
              <w:rPr>
                <w:szCs w:val="24"/>
              </w:rPr>
              <w:t xml:space="preserve">40 CFR 52, Appendices D, E and F- </w:t>
            </w:r>
            <w:r w:rsidR="005A1F79" w:rsidRPr="00944597">
              <w:rPr>
                <w:szCs w:val="24"/>
              </w:rPr>
              <w:t>Approval and Promulgation of Implementation Plans</w:t>
            </w:r>
          </w:p>
          <w:p w14:paraId="5B6EF821"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62</w:t>
            </w:r>
            <w:r w:rsidR="008448DC">
              <w:rPr>
                <w:rFonts w:ascii="Garamond" w:hAnsi="Garamond"/>
                <w:sz w:val="24"/>
                <w:szCs w:val="24"/>
              </w:rPr>
              <w:t>,</w:t>
            </w:r>
            <w:r w:rsidRPr="00944597">
              <w:rPr>
                <w:rFonts w:ascii="Garamond" w:hAnsi="Garamond"/>
                <w:sz w:val="24"/>
                <w:szCs w:val="24"/>
              </w:rPr>
              <w:t xml:space="preserve"> Approval and Promulgation of State Plans for Designated Facilities and Pollutants </w:t>
            </w:r>
          </w:p>
          <w:p w14:paraId="5B6EF822" w14:textId="77777777" w:rsidR="005A1F79" w:rsidRPr="00944597" w:rsidRDefault="005A1F79" w:rsidP="00B00E4F">
            <w:pPr>
              <w:pStyle w:val="BodyText2"/>
              <w:jc w:val="left"/>
              <w:rPr>
                <w:rFonts w:ascii="Garamond" w:hAnsi="Garamond"/>
                <w:sz w:val="24"/>
                <w:szCs w:val="24"/>
              </w:rPr>
            </w:pPr>
            <w:r w:rsidRPr="00944597">
              <w:rPr>
                <w:rFonts w:ascii="Garamond" w:hAnsi="Garamond"/>
                <w:sz w:val="24"/>
                <w:szCs w:val="24"/>
              </w:rPr>
              <w:t>40 CFR 66</w:t>
            </w:r>
            <w:r w:rsidR="008448DC">
              <w:rPr>
                <w:rFonts w:ascii="Garamond" w:hAnsi="Garamond"/>
                <w:sz w:val="24"/>
                <w:szCs w:val="24"/>
              </w:rPr>
              <w:t>,</w:t>
            </w:r>
            <w:r w:rsidRPr="00944597">
              <w:rPr>
                <w:rFonts w:ascii="Garamond" w:hAnsi="Garamond"/>
                <w:sz w:val="24"/>
                <w:szCs w:val="24"/>
              </w:rPr>
              <w:t xml:space="preserve"> Assessment and Collection of Noncompliance Penalties by EPA</w:t>
            </w:r>
          </w:p>
          <w:p w14:paraId="5B6EF823" w14:textId="77777777" w:rsidR="005A1F79" w:rsidRPr="00944597" w:rsidRDefault="005A1F79" w:rsidP="00B00E4F">
            <w:pPr>
              <w:rPr>
                <w:szCs w:val="24"/>
              </w:rPr>
            </w:pPr>
            <w:r w:rsidRPr="00944597">
              <w:rPr>
                <w:szCs w:val="24"/>
              </w:rPr>
              <w:t>40 CFR 70</w:t>
            </w:r>
            <w:r w:rsidR="008448DC">
              <w:rPr>
                <w:szCs w:val="24"/>
              </w:rPr>
              <w:t>,</w:t>
            </w:r>
            <w:r w:rsidRPr="00944597">
              <w:rPr>
                <w:szCs w:val="24"/>
              </w:rPr>
              <w:t xml:space="preserve"> State Operating Permit Programs </w:t>
            </w:r>
          </w:p>
        </w:tc>
        <w:tc>
          <w:tcPr>
            <w:tcW w:w="4487" w:type="dxa"/>
            <w:tcBorders>
              <w:right w:val="double" w:sz="4" w:space="0" w:color="auto"/>
            </w:tcBorders>
            <w:vAlign w:val="center"/>
          </w:tcPr>
          <w:p w14:paraId="5B6EF824" w14:textId="77777777" w:rsidR="005A1F79" w:rsidRPr="00944597" w:rsidRDefault="005A1F79" w:rsidP="005A1F79">
            <w:pPr>
              <w:spacing w:after="58"/>
              <w:rPr>
                <w:szCs w:val="24"/>
              </w:rPr>
            </w:pPr>
            <w:r w:rsidRPr="00944597">
              <w:rPr>
                <w:szCs w:val="24"/>
              </w:rPr>
              <w:t>These rules do not have specific requirements but may or may not be relevant to a major source.</w:t>
            </w:r>
          </w:p>
        </w:tc>
      </w:tr>
    </w:tbl>
    <w:p w14:paraId="5B6EF826" w14:textId="77777777" w:rsidR="005A2FDF" w:rsidRPr="00C8674E" w:rsidRDefault="005A2FDF">
      <w:pPr>
        <w:pStyle w:val="Heading1"/>
        <w:rPr>
          <w:szCs w:val="24"/>
        </w:rPr>
      </w:pPr>
      <w:r w:rsidRPr="00C8674E">
        <w:rPr>
          <w:szCs w:val="24"/>
        </w:rPr>
        <w:br w:type="page"/>
      </w:r>
      <w:r w:rsidRPr="00C8674E">
        <w:rPr>
          <w:szCs w:val="24"/>
        </w:rPr>
        <w:lastRenderedPageBreak/>
        <w:t xml:space="preserve">  </w:t>
      </w:r>
      <w:bookmarkStart w:id="24" w:name="_Toc14435670"/>
      <w:r w:rsidRPr="00C8674E">
        <w:rPr>
          <w:szCs w:val="24"/>
        </w:rPr>
        <w:t>FUTURE PERMIT CONSIDERATIONS</w:t>
      </w:r>
      <w:bookmarkEnd w:id="24"/>
    </w:p>
    <w:p w14:paraId="5B6EF827" w14:textId="77777777" w:rsidR="005A2FDF" w:rsidRPr="00C8674E" w:rsidRDefault="005A2FDF">
      <w:pPr>
        <w:rPr>
          <w:szCs w:val="24"/>
        </w:rPr>
      </w:pPr>
    </w:p>
    <w:p w14:paraId="5B6EF828" w14:textId="77777777" w:rsidR="005A2FDF" w:rsidRPr="006035AB" w:rsidRDefault="005A2FDF">
      <w:pPr>
        <w:pStyle w:val="Heading2"/>
        <w:numPr>
          <w:ilvl w:val="0"/>
          <w:numId w:val="22"/>
        </w:numPr>
      </w:pPr>
      <w:bookmarkStart w:id="25" w:name="_Toc14435671"/>
      <w:r w:rsidRPr="00C8674E">
        <w:t>MACT Standards</w:t>
      </w:r>
      <w:r w:rsidR="00C91DD2" w:rsidRPr="00C8674E">
        <w:t xml:space="preserve"> (Part 63)</w:t>
      </w:r>
      <w:bookmarkEnd w:id="25"/>
    </w:p>
    <w:p w14:paraId="5B6EF829" w14:textId="77777777" w:rsidR="005A2FDF" w:rsidRPr="00C8674E" w:rsidRDefault="005A2FDF">
      <w:pPr>
        <w:rPr>
          <w:szCs w:val="24"/>
        </w:rPr>
      </w:pPr>
    </w:p>
    <w:p w14:paraId="5B6EF82A" w14:textId="6D703263" w:rsidR="005A2FDF" w:rsidRPr="00C8674E" w:rsidRDefault="00392DFE" w:rsidP="009B0D92">
      <w:pPr>
        <w:ind w:left="360"/>
        <w:rPr>
          <w:szCs w:val="24"/>
        </w:rPr>
      </w:pPr>
      <w:r>
        <w:rPr>
          <w:szCs w:val="24"/>
        </w:rPr>
        <w:t>As of</w:t>
      </w:r>
      <w:r w:rsidR="00076D7C">
        <w:rPr>
          <w:szCs w:val="24"/>
        </w:rPr>
        <w:t xml:space="preserve"> the date of</w:t>
      </w:r>
      <w:r w:rsidR="00177B91">
        <w:rPr>
          <w:szCs w:val="24"/>
        </w:rPr>
        <w:t xml:space="preserve"> </w:t>
      </w:r>
      <w:r w:rsidR="00076D7C">
        <w:rPr>
          <w:szCs w:val="24"/>
        </w:rPr>
        <w:t>issuance of this permit</w:t>
      </w:r>
      <w:r>
        <w:rPr>
          <w:szCs w:val="24"/>
        </w:rPr>
        <w:t>, for Operating Permit #OP2912-</w:t>
      </w:r>
      <w:r w:rsidR="00977AB3">
        <w:rPr>
          <w:szCs w:val="24"/>
        </w:rPr>
        <w:t>10</w:t>
      </w:r>
      <w:r>
        <w:rPr>
          <w:szCs w:val="24"/>
        </w:rPr>
        <w:t xml:space="preserve">, </w:t>
      </w:r>
      <w:r w:rsidR="00D4457C">
        <w:rPr>
          <w:szCs w:val="24"/>
        </w:rPr>
        <w:t>DEQ</w:t>
      </w:r>
      <w:r>
        <w:rPr>
          <w:szCs w:val="24"/>
        </w:rPr>
        <w:t xml:space="preserve"> is not aware of any new MACT standard </w:t>
      </w:r>
      <w:r w:rsidR="00076D7C">
        <w:rPr>
          <w:szCs w:val="24"/>
        </w:rPr>
        <w:t>applicable to this</w:t>
      </w:r>
      <w:r>
        <w:rPr>
          <w:szCs w:val="24"/>
        </w:rPr>
        <w:t xml:space="preserve"> facility</w:t>
      </w:r>
      <w:r w:rsidR="005A2FDF" w:rsidRPr="00C8674E">
        <w:rPr>
          <w:szCs w:val="24"/>
        </w:rPr>
        <w:t>.</w:t>
      </w:r>
    </w:p>
    <w:p w14:paraId="5B6EF82B" w14:textId="77777777" w:rsidR="005A2FDF" w:rsidRPr="00C8674E" w:rsidRDefault="005A2FDF">
      <w:pPr>
        <w:rPr>
          <w:szCs w:val="24"/>
        </w:rPr>
      </w:pPr>
    </w:p>
    <w:p w14:paraId="5B6EF82C" w14:textId="77777777" w:rsidR="005A2FDF" w:rsidRPr="006035AB" w:rsidRDefault="005A2FDF">
      <w:pPr>
        <w:pStyle w:val="Heading2"/>
        <w:numPr>
          <w:ilvl w:val="0"/>
          <w:numId w:val="22"/>
        </w:numPr>
      </w:pPr>
      <w:bookmarkStart w:id="26" w:name="_Toc14435672"/>
      <w:r w:rsidRPr="00C8674E">
        <w:t>NESHAP Standards</w:t>
      </w:r>
      <w:r w:rsidR="00C91DD2" w:rsidRPr="00C8674E">
        <w:t xml:space="preserve"> (Part 61)</w:t>
      </w:r>
      <w:bookmarkEnd w:id="26"/>
    </w:p>
    <w:p w14:paraId="5B6EF82D" w14:textId="77777777" w:rsidR="005A2FDF" w:rsidRPr="00C8674E" w:rsidRDefault="005A2FDF">
      <w:pPr>
        <w:rPr>
          <w:szCs w:val="24"/>
        </w:rPr>
      </w:pPr>
    </w:p>
    <w:p w14:paraId="5B6EF82E" w14:textId="6C8D7762" w:rsidR="005A2FDF" w:rsidRPr="00C8674E" w:rsidRDefault="00134490" w:rsidP="00DD42AA">
      <w:pPr>
        <w:spacing w:line="240" w:lineRule="atLeast"/>
        <w:ind w:left="360"/>
        <w:outlineLvl w:val="2"/>
        <w:rPr>
          <w:szCs w:val="24"/>
        </w:rPr>
      </w:pPr>
      <w:r>
        <w:rPr>
          <w:szCs w:val="24"/>
        </w:rPr>
        <w:t xml:space="preserve">As of </w:t>
      </w:r>
      <w:r w:rsidR="00076D7C">
        <w:rPr>
          <w:szCs w:val="24"/>
        </w:rPr>
        <w:t>the date of issuance of this permit</w:t>
      </w:r>
      <w:r>
        <w:rPr>
          <w:szCs w:val="24"/>
        </w:rPr>
        <w:t>, for Operating Perm</w:t>
      </w:r>
      <w:r w:rsidR="001044B9">
        <w:rPr>
          <w:szCs w:val="24"/>
        </w:rPr>
        <w:t>it #OP2912-</w:t>
      </w:r>
      <w:r w:rsidR="00977AB3">
        <w:rPr>
          <w:szCs w:val="24"/>
        </w:rPr>
        <w:t>10</w:t>
      </w:r>
      <w:r w:rsidR="001044B9">
        <w:rPr>
          <w:szCs w:val="24"/>
        </w:rPr>
        <w:t xml:space="preserve">, </w:t>
      </w:r>
      <w:r w:rsidR="007E60EA">
        <w:rPr>
          <w:szCs w:val="24"/>
        </w:rPr>
        <w:t>t</w:t>
      </w:r>
      <w:r w:rsidR="005A2FDF" w:rsidRPr="00C8674E">
        <w:rPr>
          <w:szCs w:val="24"/>
        </w:rPr>
        <w:t>he facility is not a major source of HAPs.</w:t>
      </w:r>
    </w:p>
    <w:p w14:paraId="5B6EF82F" w14:textId="77777777" w:rsidR="005A2FDF" w:rsidRPr="00C8674E" w:rsidRDefault="005A2FDF">
      <w:pPr>
        <w:rPr>
          <w:szCs w:val="24"/>
        </w:rPr>
      </w:pPr>
    </w:p>
    <w:p w14:paraId="5B6EF830" w14:textId="77777777" w:rsidR="005A2FDF" w:rsidRPr="006035AB" w:rsidRDefault="005A2FDF">
      <w:pPr>
        <w:pStyle w:val="Heading2"/>
        <w:numPr>
          <w:ilvl w:val="0"/>
          <w:numId w:val="22"/>
        </w:numPr>
      </w:pPr>
      <w:bookmarkStart w:id="27" w:name="_Toc14435673"/>
      <w:r w:rsidRPr="00C8674E">
        <w:t>NSPS Standards</w:t>
      </w:r>
      <w:bookmarkEnd w:id="27"/>
    </w:p>
    <w:p w14:paraId="5B6EF831" w14:textId="77777777" w:rsidR="005A2FDF" w:rsidRPr="00C8674E" w:rsidRDefault="005A2FDF">
      <w:pPr>
        <w:rPr>
          <w:szCs w:val="24"/>
        </w:rPr>
      </w:pPr>
    </w:p>
    <w:p w14:paraId="5B6EF832" w14:textId="635C6EC0" w:rsidR="005A2FDF" w:rsidRPr="00C8674E" w:rsidRDefault="005A2FDF">
      <w:pPr>
        <w:ind w:left="360"/>
        <w:rPr>
          <w:szCs w:val="24"/>
        </w:rPr>
      </w:pPr>
      <w:r w:rsidRPr="00C8674E">
        <w:rPr>
          <w:szCs w:val="24"/>
        </w:rPr>
        <w:t xml:space="preserve">As of </w:t>
      </w:r>
      <w:r w:rsidR="00076D7C">
        <w:rPr>
          <w:szCs w:val="24"/>
        </w:rPr>
        <w:t>the date of issuance of this permit</w:t>
      </w:r>
      <w:r w:rsidR="003D2204" w:rsidRPr="00C8674E">
        <w:rPr>
          <w:szCs w:val="24"/>
        </w:rPr>
        <w:t>, for Operating</w:t>
      </w:r>
      <w:r w:rsidRPr="00C8674E">
        <w:rPr>
          <w:szCs w:val="24"/>
        </w:rPr>
        <w:t xml:space="preserve"> Permit #OP2912-</w:t>
      </w:r>
      <w:r w:rsidR="00977AB3">
        <w:rPr>
          <w:szCs w:val="24"/>
        </w:rPr>
        <w:t>10</w:t>
      </w:r>
      <w:r w:rsidRPr="00C8674E">
        <w:rPr>
          <w:szCs w:val="24"/>
        </w:rPr>
        <w:t xml:space="preserve">, </w:t>
      </w:r>
      <w:r w:rsidR="00D4457C">
        <w:rPr>
          <w:szCs w:val="24"/>
        </w:rPr>
        <w:t>DEQ</w:t>
      </w:r>
      <w:r w:rsidRPr="00C8674E">
        <w:rPr>
          <w:szCs w:val="24"/>
        </w:rPr>
        <w:t xml:space="preserve"> is not aware of any </w:t>
      </w:r>
      <w:r w:rsidR="00D65747">
        <w:rPr>
          <w:szCs w:val="24"/>
        </w:rPr>
        <w:t xml:space="preserve">new </w:t>
      </w:r>
      <w:r w:rsidRPr="00C8674E">
        <w:rPr>
          <w:szCs w:val="24"/>
        </w:rPr>
        <w:t>NSPS standards that are applicable to this facility.  The steam generation boilers were all installed prior to the applicability dates for the designated NSPS standards.</w:t>
      </w:r>
    </w:p>
    <w:p w14:paraId="5B6EF833" w14:textId="77777777" w:rsidR="005A2FDF" w:rsidRPr="00C8674E" w:rsidRDefault="005A2FDF">
      <w:pPr>
        <w:rPr>
          <w:szCs w:val="24"/>
        </w:rPr>
      </w:pPr>
    </w:p>
    <w:p w14:paraId="5B6EF834" w14:textId="77777777" w:rsidR="005A2FDF" w:rsidRPr="006035AB" w:rsidRDefault="005A2FDF">
      <w:pPr>
        <w:pStyle w:val="Heading2"/>
        <w:numPr>
          <w:ilvl w:val="0"/>
          <w:numId w:val="22"/>
        </w:numPr>
      </w:pPr>
      <w:bookmarkStart w:id="28" w:name="_Toc14435674"/>
      <w:r w:rsidRPr="00C8674E">
        <w:t>Risk Management Plan</w:t>
      </w:r>
      <w:bookmarkEnd w:id="28"/>
    </w:p>
    <w:p w14:paraId="5B6EF835" w14:textId="77777777" w:rsidR="005A2FDF" w:rsidRPr="00C8674E" w:rsidRDefault="005A2FDF">
      <w:pPr>
        <w:rPr>
          <w:b/>
          <w:szCs w:val="24"/>
        </w:rPr>
      </w:pPr>
    </w:p>
    <w:p w14:paraId="5B6EF836" w14:textId="77777777" w:rsidR="003D2204" w:rsidRPr="00C8674E" w:rsidRDefault="005A2FDF" w:rsidP="003D2204">
      <w:pPr>
        <w:pStyle w:val="BodyText"/>
        <w:ind w:left="360"/>
        <w:rPr>
          <w:rFonts w:ascii="Garamond" w:hAnsi="Garamond"/>
          <w:sz w:val="24"/>
          <w:szCs w:val="24"/>
        </w:rPr>
      </w:pPr>
      <w:r w:rsidRPr="00C8674E">
        <w:rPr>
          <w:rFonts w:ascii="Garamond" w:hAnsi="Garamond"/>
          <w:sz w:val="24"/>
          <w:szCs w:val="24"/>
        </w:rPr>
        <w:t xml:space="preserve">Currently, this facility does not exceed the minimum threshold quantities for any regulated substance listed in 40 CFR 68.115 for any facility process.  Consequently, this facility is not required to submit a Risk Management Plan.  </w:t>
      </w:r>
    </w:p>
    <w:p w14:paraId="5B6EF837" w14:textId="77777777" w:rsidR="008B0C3C" w:rsidRPr="00C8674E" w:rsidRDefault="008B0C3C" w:rsidP="008B1BAD">
      <w:pPr>
        <w:pStyle w:val="BodyText"/>
        <w:rPr>
          <w:rFonts w:ascii="Garamond" w:hAnsi="Garamond"/>
          <w:sz w:val="24"/>
          <w:szCs w:val="24"/>
        </w:rPr>
      </w:pPr>
    </w:p>
    <w:p w14:paraId="5B6EF838" w14:textId="77777777" w:rsidR="008B0C3C" w:rsidRPr="006035AB" w:rsidRDefault="008B0C3C" w:rsidP="008B0C3C">
      <w:pPr>
        <w:pStyle w:val="Heading2"/>
        <w:numPr>
          <w:ilvl w:val="0"/>
          <w:numId w:val="22"/>
        </w:numPr>
      </w:pPr>
      <w:bookmarkStart w:id="29" w:name="_Toc14435675"/>
      <w:r w:rsidRPr="00C8674E">
        <w:t>CAM Applicability</w:t>
      </w:r>
      <w:bookmarkEnd w:id="29"/>
    </w:p>
    <w:p w14:paraId="5B6EF839" w14:textId="77777777" w:rsidR="008B0C3C" w:rsidRPr="00C8674E" w:rsidRDefault="008B0C3C" w:rsidP="008B0C3C">
      <w:pPr>
        <w:rPr>
          <w:szCs w:val="24"/>
        </w:rPr>
      </w:pPr>
    </w:p>
    <w:p w14:paraId="5B6EF83A" w14:textId="77777777" w:rsidR="008B0C3C" w:rsidRPr="00C8674E" w:rsidRDefault="008B0C3C" w:rsidP="008B0C3C">
      <w:pPr>
        <w:pStyle w:val="BodyTextIndent"/>
        <w:ind w:left="360"/>
        <w:rPr>
          <w:szCs w:val="24"/>
        </w:rPr>
      </w:pPr>
      <w:r w:rsidRPr="00C8674E">
        <w:rPr>
          <w:szCs w:val="24"/>
        </w:rPr>
        <w:t>An emitting unit located at a Title V facility that meets the following criteria listed in ARM 17.8.1503 is subject to Subchapter 15 and must develop a CAM Plan for that unit:</w:t>
      </w:r>
    </w:p>
    <w:p w14:paraId="5B6EF83B" w14:textId="77777777" w:rsidR="008B0C3C" w:rsidRPr="00C8674E" w:rsidRDefault="008B0C3C" w:rsidP="008B1BAD">
      <w:pPr>
        <w:pStyle w:val="BodyTextIndent"/>
        <w:ind w:left="0"/>
        <w:rPr>
          <w:szCs w:val="24"/>
        </w:rPr>
      </w:pPr>
    </w:p>
    <w:p w14:paraId="5B6EF83C" w14:textId="1509D84E" w:rsidR="008B0C3C" w:rsidRPr="00C8674E" w:rsidRDefault="008B0C3C" w:rsidP="007F5F54">
      <w:pPr>
        <w:pStyle w:val="BodyTextIndent"/>
        <w:numPr>
          <w:ilvl w:val="0"/>
          <w:numId w:val="26"/>
        </w:numPr>
        <w:ind w:left="720"/>
        <w:rPr>
          <w:szCs w:val="24"/>
        </w:rPr>
      </w:pPr>
      <w:r w:rsidRPr="00C8674E">
        <w:rPr>
          <w:szCs w:val="24"/>
        </w:rPr>
        <w:t xml:space="preserve">The emitting unit is subject to an emission limitation or standard for the applicable regulated air </w:t>
      </w:r>
      <w:r w:rsidR="00DB2279" w:rsidRPr="00C8674E">
        <w:rPr>
          <w:szCs w:val="24"/>
        </w:rPr>
        <w:t>pollutant,</w:t>
      </w:r>
      <w:r w:rsidR="00C91DD2" w:rsidRPr="00C8674E">
        <w:rPr>
          <w:szCs w:val="24"/>
        </w:rPr>
        <w:t xml:space="preserve"> </w:t>
      </w:r>
      <w:r w:rsidR="00C91DD2" w:rsidRPr="00C8674E">
        <w:rPr>
          <w:color w:val="000000"/>
          <w:szCs w:val="24"/>
        </w:rPr>
        <w:t>unless the limitation or standard that is exempt under ARM 17.8.1503(2</w:t>
      </w:r>
      <w:proofErr w:type="gramStart"/>
      <w:r w:rsidR="00C91DD2" w:rsidRPr="00C8674E">
        <w:rPr>
          <w:color w:val="000000"/>
          <w:szCs w:val="24"/>
        </w:rPr>
        <w:t>);</w:t>
      </w:r>
      <w:proofErr w:type="gramEnd"/>
      <w:r w:rsidRPr="00C8674E">
        <w:rPr>
          <w:szCs w:val="24"/>
        </w:rPr>
        <w:t xml:space="preserve"> </w:t>
      </w:r>
    </w:p>
    <w:p w14:paraId="5B6EF83D" w14:textId="77777777" w:rsidR="00AB29C9" w:rsidRPr="00C8674E" w:rsidRDefault="00AB29C9" w:rsidP="008B1BAD">
      <w:pPr>
        <w:pStyle w:val="BodyTextIndent"/>
        <w:ind w:left="0"/>
        <w:rPr>
          <w:szCs w:val="24"/>
        </w:rPr>
      </w:pPr>
    </w:p>
    <w:p w14:paraId="5B6EF83E" w14:textId="77777777" w:rsidR="00AB29C9" w:rsidRPr="00C8674E" w:rsidRDefault="008B0C3C" w:rsidP="00AB29C9">
      <w:pPr>
        <w:pStyle w:val="BodyTextIndent"/>
        <w:numPr>
          <w:ilvl w:val="0"/>
          <w:numId w:val="26"/>
        </w:numPr>
        <w:ind w:left="720"/>
        <w:rPr>
          <w:szCs w:val="24"/>
        </w:rPr>
      </w:pPr>
      <w:r w:rsidRPr="00C8674E">
        <w:rPr>
          <w:szCs w:val="24"/>
        </w:rPr>
        <w:t>The emitting unit uses a control device to achieve compliance with such limit; and</w:t>
      </w:r>
    </w:p>
    <w:p w14:paraId="5B6EF83F" w14:textId="77777777" w:rsidR="00AB29C9" w:rsidRPr="008B1BAD" w:rsidRDefault="00AB29C9" w:rsidP="008B1BAD">
      <w:pPr>
        <w:rPr>
          <w:szCs w:val="24"/>
        </w:rPr>
      </w:pPr>
    </w:p>
    <w:p w14:paraId="5B6EF840" w14:textId="77777777" w:rsidR="00AB29C9" w:rsidRPr="00C8674E" w:rsidRDefault="008B0C3C" w:rsidP="00AB29C9">
      <w:pPr>
        <w:pStyle w:val="BodyTextIndent"/>
        <w:numPr>
          <w:ilvl w:val="0"/>
          <w:numId w:val="26"/>
        </w:numPr>
        <w:ind w:left="720"/>
        <w:rPr>
          <w:szCs w:val="24"/>
        </w:rPr>
      </w:pPr>
      <w:r w:rsidRPr="00C8674E">
        <w:rPr>
          <w:szCs w:val="24"/>
        </w:rPr>
        <w:t>The emitting unit has potential pre-control device emissions of the applicable regulated air pollutant that is greater than major source thresholds.</w:t>
      </w:r>
    </w:p>
    <w:p w14:paraId="5B6EF841" w14:textId="77777777" w:rsidR="008B0C3C" w:rsidRPr="008B1BAD" w:rsidRDefault="008B0C3C" w:rsidP="008B1BAD">
      <w:pPr>
        <w:rPr>
          <w:szCs w:val="24"/>
        </w:rPr>
      </w:pPr>
    </w:p>
    <w:p w14:paraId="5B6EF842" w14:textId="332A42F8" w:rsidR="00C551B9" w:rsidRPr="00C8674E" w:rsidRDefault="008B0C3C" w:rsidP="00665479">
      <w:pPr>
        <w:pStyle w:val="BodyTextIndent"/>
        <w:ind w:left="360"/>
        <w:rPr>
          <w:szCs w:val="24"/>
        </w:rPr>
      </w:pPr>
      <w:r w:rsidRPr="00C8674E">
        <w:rPr>
          <w:szCs w:val="24"/>
        </w:rPr>
        <w:t xml:space="preserve">WSC currently has </w:t>
      </w:r>
      <w:r w:rsidR="00D801AA">
        <w:rPr>
          <w:szCs w:val="24"/>
        </w:rPr>
        <w:t xml:space="preserve">one </w:t>
      </w:r>
      <w:r w:rsidRPr="00C8674E">
        <w:rPr>
          <w:szCs w:val="24"/>
        </w:rPr>
        <w:t>emitting unit, EU0</w:t>
      </w:r>
      <w:r w:rsidR="006F092D" w:rsidRPr="00C8674E">
        <w:rPr>
          <w:szCs w:val="24"/>
        </w:rPr>
        <w:t>02 (coal-fired Riley boilers)</w:t>
      </w:r>
      <w:r w:rsidR="00B748B9">
        <w:rPr>
          <w:szCs w:val="24"/>
        </w:rPr>
        <w:t>,</w:t>
      </w:r>
      <w:r w:rsidRPr="00C8674E">
        <w:rPr>
          <w:szCs w:val="24"/>
        </w:rPr>
        <w:t xml:space="preserve"> which meet</w:t>
      </w:r>
      <w:r w:rsidR="00D801AA">
        <w:rPr>
          <w:szCs w:val="24"/>
        </w:rPr>
        <w:t>s</w:t>
      </w:r>
      <w:r w:rsidRPr="00C8674E">
        <w:rPr>
          <w:szCs w:val="24"/>
        </w:rPr>
        <w:t xml:space="preserve"> all the applicability criteria in ARM 17.8.1503 under Operating Permit #OP2912-</w:t>
      </w:r>
      <w:r w:rsidR="00977AB3">
        <w:rPr>
          <w:szCs w:val="24"/>
        </w:rPr>
        <w:t>10</w:t>
      </w:r>
      <w:r w:rsidRPr="00C8674E">
        <w:rPr>
          <w:szCs w:val="24"/>
        </w:rPr>
        <w:t>.  Therefore, WSC is required to develop a CAM Plan for the Billings Facility.  The CAM Plan provided by WSC can be found in Appendix F of Operating Permit #OP2912-</w:t>
      </w:r>
      <w:r w:rsidR="00977AB3">
        <w:rPr>
          <w:szCs w:val="24"/>
        </w:rPr>
        <w:t>10</w:t>
      </w:r>
      <w:r w:rsidRPr="00C8674E">
        <w:rPr>
          <w:szCs w:val="24"/>
        </w:rPr>
        <w:t>.</w:t>
      </w:r>
    </w:p>
    <w:p w14:paraId="5B6EF843" w14:textId="77777777" w:rsidR="00E15210" w:rsidRDefault="00E15210">
      <w:pPr>
        <w:rPr>
          <w:szCs w:val="24"/>
        </w:rPr>
      </w:pPr>
      <w:r>
        <w:rPr>
          <w:szCs w:val="24"/>
        </w:rPr>
        <w:br w:type="page"/>
      </w:r>
    </w:p>
    <w:p w14:paraId="5B6EF844" w14:textId="77777777" w:rsidR="00C551B9" w:rsidRPr="006035AB" w:rsidRDefault="00C91DD2" w:rsidP="00ED2C11">
      <w:pPr>
        <w:pStyle w:val="Heading2"/>
        <w:numPr>
          <w:ilvl w:val="0"/>
          <w:numId w:val="22"/>
        </w:numPr>
      </w:pPr>
      <w:bookmarkStart w:id="30" w:name="_Toc269882381"/>
      <w:bookmarkStart w:id="31" w:name="_Toc14435676"/>
      <w:r w:rsidRPr="00C8674E">
        <w:rPr>
          <w:rFonts w:cs="Garamond-Bold"/>
          <w:bCs/>
        </w:rPr>
        <w:lastRenderedPageBreak/>
        <w:t>PSD</w:t>
      </w:r>
      <w:r w:rsidR="00C551B9" w:rsidRPr="00C8674E">
        <w:rPr>
          <w:rFonts w:cs="Garamond-Bold"/>
          <w:bCs/>
        </w:rPr>
        <w:t xml:space="preserve"> and Title V Greenhouse Gas Tailoring </w:t>
      </w:r>
      <w:r w:rsidR="00C551B9" w:rsidRPr="006035AB">
        <w:t>Rule</w:t>
      </w:r>
      <w:bookmarkEnd w:id="30"/>
      <w:bookmarkEnd w:id="31"/>
    </w:p>
    <w:p w14:paraId="5B6EF845" w14:textId="77777777" w:rsidR="00C551B9" w:rsidRPr="00C8674E" w:rsidRDefault="00C551B9" w:rsidP="00665479">
      <w:pPr>
        <w:rPr>
          <w:szCs w:val="24"/>
        </w:rPr>
      </w:pPr>
    </w:p>
    <w:p w14:paraId="5B6EF846" w14:textId="77777777" w:rsidR="004853A6" w:rsidRPr="00C8674E" w:rsidRDefault="004853A6" w:rsidP="004853A6">
      <w:pPr>
        <w:ind w:left="360"/>
        <w:rPr>
          <w:szCs w:val="24"/>
        </w:rPr>
      </w:pPr>
      <w:r w:rsidRPr="00C8674E">
        <w:rPr>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5B6EF847" w14:textId="77777777" w:rsidR="004853A6" w:rsidRPr="00C8674E" w:rsidRDefault="004853A6" w:rsidP="00665479">
      <w:pPr>
        <w:rPr>
          <w:szCs w:val="24"/>
        </w:rPr>
      </w:pPr>
    </w:p>
    <w:p w14:paraId="5B6EF848" w14:textId="77777777" w:rsidR="004853A6" w:rsidRPr="00C8674E" w:rsidRDefault="004853A6" w:rsidP="004853A6">
      <w:pPr>
        <w:ind w:left="360"/>
        <w:rPr>
          <w:szCs w:val="24"/>
        </w:rPr>
      </w:pPr>
      <w:r w:rsidRPr="00C8674E">
        <w:rPr>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C8674E">
        <w:rPr>
          <w:szCs w:val="24"/>
          <w:vertAlign w:val="subscript"/>
        </w:rPr>
        <w:t>2</w:t>
      </w:r>
      <w:r w:rsidRPr="00C8674E">
        <w:rPr>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5B6EF849" w14:textId="77777777" w:rsidR="004853A6" w:rsidRPr="00C8674E" w:rsidRDefault="004853A6" w:rsidP="00665479">
      <w:pPr>
        <w:rPr>
          <w:szCs w:val="24"/>
        </w:rPr>
      </w:pPr>
    </w:p>
    <w:p w14:paraId="5B6EF84A" w14:textId="77777777" w:rsidR="004853A6" w:rsidRPr="00C8674E" w:rsidRDefault="004853A6" w:rsidP="004853A6">
      <w:pPr>
        <w:ind w:left="360"/>
        <w:rPr>
          <w:szCs w:val="24"/>
        </w:rPr>
      </w:pPr>
      <w:r w:rsidRPr="00C8674E">
        <w:rPr>
          <w:szCs w:val="24"/>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C8674E">
        <w:rPr>
          <w:szCs w:val="24"/>
          <w:vertAlign w:val="subscript"/>
        </w:rPr>
        <w:t>2</w:t>
      </w:r>
      <w:r w:rsidRPr="00C8674E">
        <w:rPr>
          <w:szCs w:val="24"/>
        </w:rPr>
        <w:t>e and 100 or 250 TPY of GHG on a mass basis depending on their listed status in ARM 17.8.801(22) and they undertook a permitting action with increases of 75,000 TPY or more of CO</w:t>
      </w:r>
      <w:r w:rsidRPr="00C8674E">
        <w:rPr>
          <w:szCs w:val="24"/>
          <w:vertAlign w:val="subscript"/>
        </w:rPr>
        <w:t>2</w:t>
      </w:r>
      <w:r w:rsidRPr="00C8674E">
        <w:rPr>
          <w:szCs w:val="24"/>
        </w:rPr>
        <w:t>e and greater than 0 TPY of GHG on a mass basis. With respect to Title V, sources not currently holding a Title V permit that have potential facility-wide emissions equal to or exceeding 100,000 TPY of CO</w:t>
      </w:r>
      <w:r w:rsidRPr="00C8674E">
        <w:rPr>
          <w:szCs w:val="24"/>
          <w:vertAlign w:val="subscript"/>
        </w:rPr>
        <w:t>2</w:t>
      </w:r>
      <w:r w:rsidRPr="00C8674E">
        <w:rPr>
          <w:szCs w:val="24"/>
        </w:rPr>
        <w:t>e and 100 TPY of GHG on a mass basis would be required to obtain a Title V Operating Permit.</w:t>
      </w:r>
    </w:p>
    <w:p w14:paraId="5B6EF84B" w14:textId="77777777" w:rsidR="004853A6" w:rsidRPr="00C8674E" w:rsidRDefault="004853A6" w:rsidP="00665479">
      <w:pPr>
        <w:rPr>
          <w:szCs w:val="24"/>
        </w:rPr>
      </w:pPr>
    </w:p>
    <w:p w14:paraId="5B6EF84C" w14:textId="77777777" w:rsidR="004853A6" w:rsidRPr="00C8674E" w:rsidRDefault="004853A6" w:rsidP="004853A6">
      <w:pPr>
        <w:ind w:left="360"/>
        <w:rPr>
          <w:szCs w:val="24"/>
        </w:rPr>
      </w:pPr>
      <w:r w:rsidRPr="00C8674E">
        <w:rPr>
          <w:szCs w:val="24"/>
        </w:rPr>
        <w:t xml:space="preserve">The Supreme Court of the United States (SCOTUS), in its </w:t>
      </w:r>
      <w:r w:rsidRPr="00C8674E">
        <w:rPr>
          <w:i/>
          <w:iCs/>
          <w:szCs w:val="24"/>
        </w:rPr>
        <w:t>Utility Air Regulatory Group v. EPA</w:t>
      </w:r>
      <w:r w:rsidRPr="00C8674E">
        <w:rPr>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C8674E">
        <w:rPr>
          <w:szCs w:val="24"/>
          <w:vertAlign w:val="subscript"/>
        </w:rPr>
        <w:t>2</w:t>
      </w:r>
      <w:r w:rsidR="00715035">
        <w:rPr>
          <w:szCs w:val="24"/>
        </w:rPr>
        <w:t>e threshold of 100,000 TPY.</w:t>
      </w:r>
      <w:r w:rsidRPr="00C8674E">
        <w:rPr>
          <w:szCs w:val="24"/>
        </w:rPr>
        <w:t xml:space="preserve"> SCOTUS upheld that EPA reasonably interpreted the Clean Air Act to require sources that would need PSD permits based on their emission of conventional pollutan</w:t>
      </w:r>
      <w:r w:rsidR="00715035">
        <w:rPr>
          <w:szCs w:val="24"/>
        </w:rPr>
        <w:t>ts to comply with BACT for GHG.</w:t>
      </w:r>
      <w:r w:rsidRPr="00C8674E">
        <w:rPr>
          <w:szCs w:val="24"/>
        </w:rPr>
        <w:t xml:space="preserve"> As such, the Tailoring Rule has been rendered invalid and sources cannot become subject to PSD or Title V regulation</w:t>
      </w:r>
      <w:r w:rsidR="006C1FB2">
        <w:rPr>
          <w:szCs w:val="24"/>
        </w:rPr>
        <w:t>s based on GHG emissions alone.</w:t>
      </w:r>
      <w:r w:rsidRPr="00C8674E">
        <w:rPr>
          <w:szCs w:val="24"/>
        </w:rPr>
        <w:t xml:space="preserve"> Sources that must undergo PSD permitting due to pollutant emissions other than PSD may still be required to comply with BACT for GHG emissions.</w:t>
      </w:r>
    </w:p>
    <w:p w14:paraId="5B6EF84D" w14:textId="77777777" w:rsidR="008B0C3C" w:rsidRPr="00C8674E" w:rsidRDefault="008B0C3C" w:rsidP="00196648">
      <w:pPr>
        <w:rPr>
          <w:szCs w:val="24"/>
        </w:rPr>
      </w:pPr>
    </w:p>
    <w:sectPr w:rsidR="008B0C3C" w:rsidRPr="00C8674E" w:rsidSect="008B1BAD">
      <w:footerReference w:type="even" r:id="rId7"/>
      <w:footerReference w:type="default" r:id="rId8"/>
      <w:pgSz w:w="12240" w:h="15840" w:code="1"/>
      <w:pgMar w:top="1152" w:right="1440" w:bottom="1008" w:left="1440" w:header="72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EABB" w14:textId="77777777" w:rsidR="007A0E74" w:rsidRDefault="007A0E74">
      <w:r>
        <w:separator/>
      </w:r>
    </w:p>
  </w:endnote>
  <w:endnote w:type="continuationSeparator" w:id="0">
    <w:p w14:paraId="50B340CF" w14:textId="77777777" w:rsidR="007A0E74" w:rsidRDefault="007A0E74">
      <w:r>
        <w:continuationSeparator/>
      </w:r>
    </w:p>
  </w:endnote>
  <w:endnote w:type="continuationNotice" w:id="1">
    <w:p w14:paraId="70EA4ABB" w14:textId="77777777" w:rsidR="007A0E74" w:rsidRDefault="007A0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imes New Roman Bold">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852" w14:textId="77777777" w:rsidR="00E82363" w:rsidRDefault="00E823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6EF853" w14:textId="77777777" w:rsidR="00E82363" w:rsidRDefault="00E82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856" w14:textId="5F3F2F84" w:rsidR="00E82363" w:rsidRDefault="00DB2279" w:rsidP="00DB2279">
    <w:pPr>
      <w:pStyle w:val="Footer"/>
      <w:tabs>
        <w:tab w:val="clear" w:pos="8640"/>
        <w:tab w:val="right" w:pos="9360"/>
      </w:tabs>
      <w:rPr>
        <w:sz w:val="18"/>
        <w:szCs w:val="18"/>
      </w:rPr>
    </w:pPr>
    <w:r>
      <w:rPr>
        <w:sz w:val="18"/>
        <w:szCs w:val="18"/>
      </w:rPr>
      <w:t>TRD2912-</w:t>
    </w:r>
    <w:r w:rsidR="00444A4C">
      <w:rPr>
        <w:sz w:val="18"/>
        <w:szCs w:val="18"/>
      </w:rPr>
      <w:t>10</w:t>
    </w:r>
    <w:r w:rsidRPr="00DB2279">
      <w:rPr>
        <w:sz w:val="18"/>
        <w:szCs w:val="18"/>
      </w:rPr>
      <w:ptab w:relativeTo="margin" w:alignment="center" w:leader="none"/>
    </w:r>
    <w:r w:rsidRPr="00DB2279">
      <w:rPr>
        <w:sz w:val="18"/>
        <w:szCs w:val="18"/>
      </w:rPr>
      <w:fldChar w:fldCharType="begin"/>
    </w:r>
    <w:r w:rsidRPr="00DB2279">
      <w:rPr>
        <w:sz w:val="18"/>
        <w:szCs w:val="18"/>
      </w:rPr>
      <w:instrText xml:space="preserve"> PAGE   \* MERGEFORMAT </w:instrText>
    </w:r>
    <w:r w:rsidRPr="00DB2279">
      <w:rPr>
        <w:sz w:val="18"/>
        <w:szCs w:val="18"/>
      </w:rPr>
      <w:fldChar w:fldCharType="separate"/>
    </w:r>
    <w:r w:rsidRPr="00DB2279">
      <w:rPr>
        <w:noProof/>
        <w:sz w:val="18"/>
        <w:szCs w:val="18"/>
      </w:rPr>
      <w:t>1</w:t>
    </w:r>
    <w:r w:rsidRPr="00DB2279">
      <w:rPr>
        <w:noProof/>
        <w:sz w:val="18"/>
        <w:szCs w:val="18"/>
      </w:rPr>
      <w:fldChar w:fldCharType="end"/>
    </w:r>
    <w:r w:rsidRPr="00DB2279">
      <w:rPr>
        <w:sz w:val="18"/>
        <w:szCs w:val="18"/>
      </w:rPr>
      <w:ptab w:relativeTo="margin" w:alignment="right" w:leader="none"/>
    </w:r>
    <w:r w:rsidR="00BC6DDF">
      <w:rPr>
        <w:sz w:val="18"/>
        <w:szCs w:val="18"/>
      </w:rPr>
      <w:t>D</w:t>
    </w:r>
    <w:r w:rsidR="00EC36A3">
      <w:rPr>
        <w:sz w:val="18"/>
        <w:szCs w:val="18"/>
      </w:rPr>
      <w:t>raft</w:t>
    </w:r>
    <w:r w:rsidR="00BC6DDF">
      <w:rPr>
        <w:sz w:val="18"/>
        <w:szCs w:val="18"/>
      </w:rPr>
      <w:t>: 0</w:t>
    </w:r>
    <w:r w:rsidR="00444A4C">
      <w:rPr>
        <w:sz w:val="18"/>
        <w:szCs w:val="18"/>
      </w:rPr>
      <w:t>4</w:t>
    </w:r>
    <w:r w:rsidR="00987378">
      <w:rPr>
        <w:sz w:val="18"/>
        <w:szCs w:val="18"/>
      </w:rPr>
      <w:t>/</w:t>
    </w:r>
    <w:r w:rsidR="00494CF8">
      <w:rPr>
        <w:sz w:val="18"/>
        <w:szCs w:val="18"/>
      </w:rPr>
      <w:t>2</w:t>
    </w:r>
    <w:r w:rsidR="00444A4C">
      <w:rPr>
        <w:sz w:val="18"/>
        <w:szCs w:val="18"/>
      </w:rPr>
      <w:t>2</w:t>
    </w:r>
    <w:r>
      <w:rPr>
        <w:sz w:val="18"/>
        <w:szCs w:val="18"/>
      </w:rPr>
      <w:t>/202</w:t>
    </w:r>
    <w:r w:rsidR="00444A4C">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8CB2" w14:textId="77777777" w:rsidR="007A0E74" w:rsidRDefault="007A0E74">
      <w:r>
        <w:separator/>
      </w:r>
    </w:p>
  </w:footnote>
  <w:footnote w:type="continuationSeparator" w:id="0">
    <w:p w14:paraId="37DBC8C2" w14:textId="77777777" w:rsidR="007A0E74" w:rsidRDefault="007A0E74">
      <w:r>
        <w:continuationSeparator/>
      </w:r>
    </w:p>
  </w:footnote>
  <w:footnote w:type="continuationNotice" w:id="1">
    <w:p w14:paraId="051E60EF" w14:textId="77777777" w:rsidR="007A0E74" w:rsidRDefault="007A0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1" w15:restartNumberingAfterBreak="0">
    <w:nsid w:val="057D40C8"/>
    <w:multiLevelType w:val="hybridMultilevel"/>
    <w:tmpl w:val="5E1E15AA"/>
    <w:lvl w:ilvl="0" w:tplc="F6385DE4">
      <w:start w:val="1"/>
      <w:numFmt w:val="upperLetter"/>
      <w:lvlText w:val="%1."/>
      <w:lvlJc w:val="left"/>
      <w:pPr>
        <w:ind w:left="720" w:hanging="360"/>
      </w:pPr>
      <w:rPr>
        <w:rFonts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F65"/>
    <w:multiLevelType w:val="multilevel"/>
    <w:tmpl w:val="97484CBE"/>
    <w:lvl w:ilvl="0">
      <w:start w:val="1"/>
      <w:numFmt w:val="upperRoman"/>
      <w:pStyle w:val="Heading1"/>
      <w:suff w:val="space"/>
      <w:lvlText w:val="SECTION %1."/>
      <w:lvlJc w:val="left"/>
      <w:pPr>
        <w:ind w:left="0" w:firstLine="0"/>
      </w:pPr>
      <w:rPr>
        <w:rFonts w:ascii="Garamond" w:hAnsi="Garamond" w:hint="default"/>
        <w:b/>
        <w:i w:val="0"/>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8303A1"/>
    <w:multiLevelType w:val="multilevel"/>
    <w:tmpl w:val="444EE9F6"/>
    <w:lvl w:ilvl="0">
      <w:start w:val="4"/>
      <w:numFmt w:val="upperLetter"/>
      <w:lvlText w:val="%1."/>
      <w:lvlJc w:val="left"/>
      <w:pPr>
        <w:tabs>
          <w:tab w:val="num" w:pos="720"/>
        </w:tabs>
        <w:ind w:left="720" w:hanging="936"/>
      </w:pPr>
      <w:rPr>
        <w:rFonts w:ascii="Times New Roman Bold" w:hAnsi="MS Mincho" w:hint="default"/>
        <w:b/>
        <w:i w:val="0"/>
        <w:sz w:val="22"/>
      </w:rPr>
    </w:lvl>
    <w:lvl w:ilvl="1">
      <w:start w:val="7"/>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5"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6" w15:restartNumberingAfterBreak="0">
    <w:nsid w:val="1411090D"/>
    <w:multiLevelType w:val="hybridMultilevel"/>
    <w:tmpl w:val="E6C6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8" w15:restartNumberingAfterBreak="0">
    <w:nsid w:val="19661CDE"/>
    <w:multiLevelType w:val="hybridMultilevel"/>
    <w:tmpl w:val="4ADA0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D7CCC"/>
    <w:multiLevelType w:val="singleLevel"/>
    <w:tmpl w:val="FFE2096C"/>
    <w:lvl w:ilvl="0">
      <w:start w:val="10"/>
      <w:numFmt w:val="decimal"/>
      <w:lvlText w:val="%1."/>
      <w:lvlJc w:val="left"/>
      <w:pPr>
        <w:tabs>
          <w:tab w:val="num" w:pos="1731"/>
        </w:tabs>
        <w:ind w:left="1731" w:hanging="435"/>
      </w:pPr>
      <w:rPr>
        <w:rFonts w:hint="default"/>
      </w:rPr>
    </w:lvl>
  </w:abstractNum>
  <w:abstractNum w:abstractNumId="10" w15:restartNumberingAfterBreak="0">
    <w:nsid w:val="27F22D22"/>
    <w:multiLevelType w:val="hybridMultilevel"/>
    <w:tmpl w:val="41A4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12"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13"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4"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15"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6"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7"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18"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19" w15:restartNumberingAfterBreak="0">
    <w:nsid w:val="51B43279"/>
    <w:multiLevelType w:val="singleLevel"/>
    <w:tmpl w:val="2496FE9E"/>
    <w:lvl w:ilvl="0">
      <w:start w:val="1"/>
      <w:numFmt w:val="upperLetter"/>
      <w:lvlText w:val="%1."/>
      <w:lvlJc w:val="left"/>
      <w:pPr>
        <w:tabs>
          <w:tab w:val="num" w:pos="504"/>
        </w:tabs>
        <w:ind w:left="504" w:hanging="504"/>
      </w:pPr>
      <w:rPr>
        <w:u w:val="none"/>
      </w:rPr>
    </w:lvl>
  </w:abstractNum>
  <w:abstractNum w:abstractNumId="20" w15:restartNumberingAfterBreak="0">
    <w:nsid w:val="57761157"/>
    <w:multiLevelType w:val="hybridMultilevel"/>
    <w:tmpl w:val="B39E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F7EFC"/>
    <w:multiLevelType w:val="singleLevel"/>
    <w:tmpl w:val="9926D38E"/>
    <w:lvl w:ilvl="0">
      <w:start w:val="1"/>
      <w:numFmt w:val="upperLetter"/>
      <w:pStyle w:val="Heading2"/>
      <w:lvlText w:val="%1."/>
      <w:lvlJc w:val="left"/>
      <w:pPr>
        <w:tabs>
          <w:tab w:val="num" w:pos="360"/>
        </w:tabs>
        <w:ind w:left="360" w:hanging="360"/>
      </w:pPr>
      <w:rPr>
        <w:u w:val="none"/>
      </w:rPr>
    </w:lvl>
  </w:abstractNum>
  <w:abstractNum w:abstractNumId="22" w15:restartNumberingAfterBreak="0">
    <w:nsid w:val="65D26D61"/>
    <w:multiLevelType w:val="singleLevel"/>
    <w:tmpl w:val="EA86C2BE"/>
    <w:lvl w:ilvl="0">
      <w:start w:val="1"/>
      <w:numFmt w:val="decimal"/>
      <w:lvlText w:val="%1."/>
      <w:lvlJc w:val="left"/>
      <w:pPr>
        <w:tabs>
          <w:tab w:val="num" w:pos="1800"/>
        </w:tabs>
        <w:ind w:left="1800" w:hanging="600"/>
      </w:pPr>
      <w:rPr>
        <w:rFonts w:hint="default"/>
      </w:rPr>
    </w:lvl>
  </w:abstractNum>
  <w:abstractNum w:abstractNumId="23"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24"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25" w15:restartNumberingAfterBreak="0">
    <w:nsid w:val="69DB56FB"/>
    <w:multiLevelType w:val="multilevel"/>
    <w:tmpl w:val="248460C6"/>
    <w:lvl w:ilvl="0">
      <w:start w:val="1"/>
      <w:numFmt w:val="upperLetter"/>
      <w:lvlText w:val="%1."/>
      <w:lvlJc w:val="left"/>
      <w:pPr>
        <w:tabs>
          <w:tab w:val="num" w:pos="360"/>
        </w:tabs>
        <w:ind w:left="360" w:hanging="360"/>
      </w:pPr>
      <w:rPr>
        <w:rFonts w:ascii="Times New Roman Bold" w:hAnsi="Times New Roman Bold"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AC66AC2"/>
    <w:multiLevelType w:val="hybridMultilevel"/>
    <w:tmpl w:val="DB723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BE2B00"/>
    <w:multiLevelType w:val="singleLevel"/>
    <w:tmpl w:val="720EDCD6"/>
    <w:lvl w:ilvl="0">
      <w:start w:val="3"/>
      <w:numFmt w:val="upperLetter"/>
      <w:pStyle w:val="Heading5"/>
      <w:lvlText w:val="%1."/>
      <w:lvlJc w:val="left"/>
      <w:pPr>
        <w:tabs>
          <w:tab w:val="num" w:pos="504"/>
        </w:tabs>
        <w:ind w:left="504" w:hanging="504"/>
      </w:pPr>
      <w:rPr>
        <w:u w:val="none"/>
      </w:rPr>
    </w:lvl>
  </w:abstractNum>
  <w:abstractNum w:abstractNumId="28"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804083566">
    <w:abstractNumId w:val="2"/>
  </w:num>
  <w:num w:numId="2" w16cid:durableId="363409912">
    <w:abstractNumId w:val="2"/>
  </w:num>
  <w:num w:numId="3" w16cid:durableId="1006790344">
    <w:abstractNumId w:val="2"/>
  </w:num>
  <w:num w:numId="4" w16cid:durableId="955408743">
    <w:abstractNumId w:val="2"/>
  </w:num>
  <w:num w:numId="5" w16cid:durableId="1172716221">
    <w:abstractNumId w:val="15"/>
  </w:num>
  <w:num w:numId="6" w16cid:durableId="500121757">
    <w:abstractNumId w:val="11"/>
  </w:num>
  <w:num w:numId="7" w16cid:durableId="597786499">
    <w:abstractNumId w:val="19"/>
  </w:num>
  <w:num w:numId="8" w16cid:durableId="524560177">
    <w:abstractNumId w:val="7"/>
  </w:num>
  <w:num w:numId="9" w16cid:durableId="125584249">
    <w:abstractNumId w:val="12"/>
  </w:num>
  <w:num w:numId="10" w16cid:durableId="744574649">
    <w:abstractNumId w:val="13"/>
  </w:num>
  <w:num w:numId="11" w16cid:durableId="1532721521">
    <w:abstractNumId w:val="2"/>
  </w:num>
  <w:num w:numId="12" w16cid:durableId="477185085">
    <w:abstractNumId w:val="28"/>
  </w:num>
  <w:num w:numId="13" w16cid:durableId="1883125597">
    <w:abstractNumId w:val="5"/>
  </w:num>
  <w:num w:numId="14" w16cid:durableId="952328851">
    <w:abstractNumId w:val="0"/>
  </w:num>
  <w:num w:numId="15" w16cid:durableId="2041779587">
    <w:abstractNumId w:val="23"/>
  </w:num>
  <w:num w:numId="16" w16cid:durableId="526216499">
    <w:abstractNumId w:val="21"/>
  </w:num>
  <w:num w:numId="17" w16cid:durableId="748969460">
    <w:abstractNumId w:val="24"/>
  </w:num>
  <w:num w:numId="18" w16cid:durableId="1935239805">
    <w:abstractNumId w:val="16"/>
  </w:num>
  <w:num w:numId="19" w16cid:durableId="552155760">
    <w:abstractNumId w:val="27"/>
  </w:num>
  <w:num w:numId="20" w16cid:durableId="2029483336">
    <w:abstractNumId w:val="4"/>
  </w:num>
  <w:num w:numId="21" w16cid:durableId="1747730501">
    <w:abstractNumId w:val="17"/>
  </w:num>
  <w:num w:numId="22" w16cid:durableId="1532721486">
    <w:abstractNumId w:val="18"/>
  </w:num>
  <w:num w:numId="23" w16cid:durableId="154036105">
    <w:abstractNumId w:val="22"/>
  </w:num>
  <w:num w:numId="24" w16cid:durableId="897980594">
    <w:abstractNumId w:val="25"/>
  </w:num>
  <w:num w:numId="25" w16cid:durableId="1554349520">
    <w:abstractNumId w:val="3"/>
  </w:num>
  <w:num w:numId="26" w16cid:durableId="310796938">
    <w:abstractNumId w:val="26"/>
  </w:num>
  <w:num w:numId="27" w16cid:durableId="1726640184">
    <w:abstractNumId w:val="2"/>
  </w:num>
  <w:num w:numId="28" w16cid:durableId="1680350481">
    <w:abstractNumId w:val="2"/>
  </w:num>
  <w:num w:numId="29" w16cid:durableId="760490312">
    <w:abstractNumId w:val="9"/>
  </w:num>
  <w:num w:numId="30" w16cid:durableId="1819496526">
    <w:abstractNumId w:val="14"/>
  </w:num>
  <w:num w:numId="31" w16cid:durableId="551771145">
    <w:abstractNumId w:val="20"/>
  </w:num>
  <w:num w:numId="32" w16cid:durableId="1052191692">
    <w:abstractNumId w:val="10"/>
  </w:num>
  <w:num w:numId="33" w16cid:durableId="522674016">
    <w:abstractNumId w:val="1"/>
  </w:num>
  <w:num w:numId="34" w16cid:durableId="1023673508">
    <w:abstractNumId w:val="6"/>
  </w:num>
  <w:num w:numId="35" w16cid:durableId="1959530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CXEHm0IID2Ejduu79KMKSNNg3e1DxaBZIGsU+qFZUEc0H53KIxNXdbXR7CU8LwfAkZ3OeVcPjrsUK+tQ6j+7g==" w:salt="afbyE17vqd6PAHjKfqrEb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F3"/>
    <w:rsid w:val="00001E23"/>
    <w:rsid w:val="00003336"/>
    <w:rsid w:val="000049B4"/>
    <w:rsid w:val="0000637E"/>
    <w:rsid w:val="000165C3"/>
    <w:rsid w:val="00021674"/>
    <w:rsid w:val="00026829"/>
    <w:rsid w:val="00030055"/>
    <w:rsid w:val="000454D6"/>
    <w:rsid w:val="0005592C"/>
    <w:rsid w:val="00057CEE"/>
    <w:rsid w:val="000624F9"/>
    <w:rsid w:val="00064CB5"/>
    <w:rsid w:val="000705F1"/>
    <w:rsid w:val="00076D7C"/>
    <w:rsid w:val="00082C2A"/>
    <w:rsid w:val="000865BD"/>
    <w:rsid w:val="00086BAF"/>
    <w:rsid w:val="000873E5"/>
    <w:rsid w:val="000912B2"/>
    <w:rsid w:val="00093172"/>
    <w:rsid w:val="00097ED6"/>
    <w:rsid w:val="000A027F"/>
    <w:rsid w:val="000A0616"/>
    <w:rsid w:val="000A4559"/>
    <w:rsid w:val="000A4F1C"/>
    <w:rsid w:val="000A68F4"/>
    <w:rsid w:val="000B3387"/>
    <w:rsid w:val="000B5F13"/>
    <w:rsid w:val="000B644B"/>
    <w:rsid w:val="000B7733"/>
    <w:rsid w:val="000C43CA"/>
    <w:rsid w:val="000C481A"/>
    <w:rsid w:val="000C4BF5"/>
    <w:rsid w:val="000C64F7"/>
    <w:rsid w:val="000D6CA0"/>
    <w:rsid w:val="000F137A"/>
    <w:rsid w:val="000F3875"/>
    <w:rsid w:val="00100F55"/>
    <w:rsid w:val="00101468"/>
    <w:rsid w:val="00102063"/>
    <w:rsid w:val="001044B9"/>
    <w:rsid w:val="00113F57"/>
    <w:rsid w:val="001164CC"/>
    <w:rsid w:val="00126821"/>
    <w:rsid w:val="00133C4A"/>
    <w:rsid w:val="00134490"/>
    <w:rsid w:val="001366C9"/>
    <w:rsid w:val="001372D3"/>
    <w:rsid w:val="00141320"/>
    <w:rsid w:val="00143AF7"/>
    <w:rsid w:val="001479F2"/>
    <w:rsid w:val="001512C5"/>
    <w:rsid w:val="00151829"/>
    <w:rsid w:val="0015796E"/>
    <w:rsid w:val="001651B0"/>
    <w:rsid w:val="00177B91"/>
    <w:rsid w:val="00182735"/>
    <w:rsid w:val="0018329B"/>
    <w:rsid w:val="00185234"/>
    <w:rsid w:val="00190BE0"/>
    <w:rsid w:val="00196648"/>
    <w:rsid w:val="001A03FC"/>
    <w:rsid w:val="001A7749"/>
    <w:rsid w:val="001B219A"/>
    <w:rsid w:val="001B2E5F"/>
    <w:rsid w:val="001B5BB2"/>
    <w:rsid w:val="001D3DA7"/>
    <w:rsid w:val="001E06EA"/>
    <w:rsid w:val="001E6B1D"/>
    <w:rsid w:val="001F003E"/>
    <w:rsid w:val="001F1BBC"/>
    <w:rsid w:val="001F6F22"/>
    <w:rsid w:val="002004CE"/>
    <w:rsid w:val="002030D5"/>
    <w:rsid w:val="00206283"/>
    <w:rsid w:val="00207EBE"/>
    <w:rsid w:val="00207F6A"/>
    <w:rsid w:val="00221F24"/>
    <w:rsid w:val="0023092A"/>
    <w:rsid w:val="00230B8B"/>
    <w:rsid w:val="0024286E"/>
    <w:rsid w:val="002442C7"/>
    <w:rsid w:val="00252862"/>
    <w:rsid w:val="0025349B"/>
    <w:rsid w:val="0025384E"/>
    <w:rsid w:val="00255BC1"/>
    <w:rsid w:val="00256204"/>
    <w:rsid w:val="002612D6"/>
    <w:rsid w:val="00263DDA"/>
    <w:rsid w:val="0026413E"/>
    <w:rsid w:val="002643A4"/>
    <w:rsid w:val="00267283"/>
    <w:rsid w:val="00275590"/>
    <w:rsid w:val="00276E64"/>
    <w:rsid w:val="00282CDE"/>
    <w:rsid w:val="0028485E"/>
    <w:rsid w:val="002859D8"/>
    <w:rsid w:val="002912A4"/>
    <w:rsid w:val="00291970"/>
    <w:rsid w:val="002926C9"/>
    <w:rsid w:val="00294899"/>
    <w:rsid w:val="00296429"/>
    <w:rsid w:val="00296908"/>
    <w:rsid w:val="00296DF1"/>
    <w:rsid w:val="002A068B"/>
    <w:rsid w:val="002A3C4A"/>
    <w:rsid w:val="002A605C"/>
    <w:rsid w:val="002B28B4"/>
    <w:rsid w:val="002B37D2"/>
    <w:rsid w:val="002B5E46"/>
    <w:rsid w:val="002B768A"/>
    <w:rsid w:val="002C3D0A"/>
    <w:rsid w:val="002C7468"/>
    <w:rsid w:val="002D72BC"/>
    <w:rsid w:val="002F12D3"/>
    <w:rsid w:val="002F3B6A"/>
    <w:rsid w:val="002F3C69"/>
    <w:rsid w:val="002F5884"/>
    <w:rsid w:val="002F6F2C"/>
    <w:rsid w:val="00301566"/>
    <w:rsid w:val="0030359C"/>
    <w:rsid w:val="00303EE8"/>
    <w:rsid w:val="00304A26"/>
    <w:rsid w:val="003112CD"/>
    <w:rsid w:val="003177A7"/>
    <w:rsid w:val="00320401"/>
    <w:rsid w:val="00320EEB"/>
    <w:rsid w:val="00326F28"/>
    <w:rsid w:val="00327A8C"/>
    <w:rsid w:val="00335037"/>
    <w:rsid w:val="00337B6B"/>
    <w:rsid w:val="00340A9F"/>
    <w:rsid w:val="00341A2F"/>
    <w:rsid w:val="00346AD2"/>
    <w:rsid w:val="00350D61"/>
    <w:rsid w:val="00354213"/>
    <w:rsid w:val="00360138"/>
    <w:rsid w:val="00365323"/>
    <w:rsid w:val="00367616"/>
    <w:rsid w:val="003738BA"/>
    <w:rsid w:val="00373E9B"/>
    <w:rsid w:val="00380F3A"/>
    <w:rsid w:val="00390818"/>
    <w:rsid w:val="00392DFE"/>
    <w:rsid w:val="003A1F18"/>
    <w:rsid w:val="003A2AA0"/>
    <w:rsid w:val="003A5513"/>
    <w:rsid w:val="003B5F35"/>
    <w:rsid w:val="003B6C5F"/>
    <w:rsid w:val="003B715B"/>
    <w:rsid w:val="003B7642"/>
    <w:rsid w:val="003C020B"/>
    <w:rsid w:val="003C577C"/>
    <w:rsid w:val="003D2204"/>
    <w:rsid w:val="003D5885"/>
    <w:rsid w:val="003D6A73"/>
    <w:rsid w:val="003E17D5"/>
    <w:rsid w:val="003E3D77"/>
    <w:rsid w:val="003F04AA"/>
    <w:rsid w:val="003F5710"/>
    <w:rsid w:val="003F5BA0"/>
    <w:rsid w:val="00403EAF"/>
    <w:rsid w:val="0040633D"/>
    <w:rsid w:val="00406563"/>
    <w:rsid w:val="0041132A"/>
    <w:rsid w:val="00411F4F"/>
    <w:rsid w:val="004154B8"/>
    <w:rsid w:val="00417E60"/>
    <w:rsid w:val="0042084A"/>
    <w:rsid w:val="00426C28"/>
    <w:rsid w:val="00427415"/>
    <w:rsid w:val="00427E8B"/>
    <w:rsid w:val="004303FF"/>
    <w:rsid w:val="00436819"/>
    <w:rsid w:val="00443792"/>
    <w:rsid w:val="00443991"/>
    <w:rsid w:val="00444A4C"/>
    <w:rsid w:val="00444DFF"/>
    <w:rsid w:val="004455C8"/>
    <w:rsid w:val="00450506"/>
    <w:rsid w:val="00452637"/>
    <w:rsid w:val="00452F2A"/>
    <w:rsid w:val="00454370"/>
    <w:rsid w:val="00456FCB"/>
    <w:rsid w:val="004632DF"/>
    <w:rsid w:val="00465568"/>
    <w:rsid w:val="00467407"/>
    <w:rsid w:val="00467434"/>
    <w:rsid w:val="00473A30"/>
    <w:rsid w:val="004853A6"/>
    <w:rsid w:val="00494CF8"/>
    <w:rsid w:val="004962E8"/>
    <w:rsid w:val="00496511"/>
    <w:rsid w:val="00496909"/>
    <w:rsid w:val="004A0490"/>
    <w:rsid w:val="004A2060"/>
    <w:rsid w:val="004A6E4D"/>
    <w:rsid w:val="004B1B45"/>
    <w:rsid w:val="004C09DA"/>
    <w:rsid w:val="004C3FFD"/>
    <w:rsid w:val="004D7B35"/>
    <w:rsid w:val="004E0A79"/>
    <w:rsid w:val="004E7954"/>
    <w:rsid w:val="004F2A29"/>
    <w:rsid w:val="004F3420"/>
    <w:rsid w:val="004F47FF"/>
    <w:rsid w:val="004F7CD9"/>
    <w:rsid w:val="004F7CE3"/>
    <w:rsid w:val="004F7FDD"/>
    <w:rsid w:val="00500956"/>
    <w:rsid w:val="00502F14"/>
    <w:rsid w:val="005039C1"/>
    <w:rsid w:val="00503FCB"/>
    <w:rsid w:val="00511BB6"/>
    <w:rsid w:val="00512670"/>
    <w:rsid w:val="00512708"/>
    <w:rsid w:val="00512861"/>
    <w:rsid w:val="00512D5F"/>
    <w:rsid w:val="00514CED"/>
    <w:rsid w:val="00515DFB"/>
    <w:rsid w:val="00517B27"/>
    <w:rsid w:val="00517E61"/>
    <w:rsid w:val="00521A5F"/>
    <w:rsid w:val="0052283C"/>
    <w:rsid w:val="00523412"/>
    <w:rsid w:val="00530CB7"/>
    <w:rsid w:val="0053660C"/>
    <w:rsid w:val="00536FCC"/>
    <w:rsid w:val="00541B82"/>
    <w:rsid w:val="00541CED"/>
    <w:rsid w:val="00542BAC"/>
    <w:rsid w:val="00543516"/>
    <w:rsid w:val="005436F0"/>
    <w:rsid w:val="0054481F"/>
    <w:rsid w:val="0056713B"/>
    <w:rsid w:val="00583961"/>
    <w:rsid w:val="00585AA7"/>
    <w:rsid w:val="00591825"/>
    <w:rsid w:val="00593411"/>
    <w:rsid w:val="00594677"/>
    <w:rsid w:val="005A1F79"/>
    <w:rsid w:val="005A2FDF"/>
    <w:rsid w:val="005A459A"/>
    <w:rsid w:val="005A4AB4"/>
    <w:rsid w:val="005A767B"/>
    <w:rsid w:val="005B284F"/>
    <w:rsid w:val="005B5FFE"/>
    <w:rsid w:val="005C09B8"/>
    <w:rsid w:val="005C5B2E"/>
    <w:rsid w:val="005C6E7E"/>
    <w:rsid w:val="005D705E"/>
    <w:rsid w:val="005E0276"/>
    <w:rsid w:val="005E0476"/>
    <w:rsid w:val="005E3DB9"/>
    <w:rsid w:val="005F06C3"/>
    <w:rsid w:val="00600A9E"/>
    <w:rsid w:val="006035AB"/>
    <w:rsid w:val="006110C9"/>
    <w:rsid w:val="00611611"/>
    <w:rsid w:val="006126B4"/>
    <w:rsid w:val="006213AF"/>
    <w:rsid w:val="00635288"/>
    <w:rsid w:val="00636DAF"/>
    <w:rsid w:val="00641E0E"/>
    <w:rsid w:val="006436B9"/>
    <w:rsid w:val="0064613D"/>
    <w:rsid w:val="00656DED"/>
    <w:rsid w:val="00662D0A"/>
    <w:rsid w:val="00662F76"/>
    <w:rsid w:val="00665479"/>
    <w:rsid w:val="00675A7A"/>
    <w:rsid w:val="00677326"/>
    <w:rsid w:val="00680CF6"/>
    <w:rsid w:val="00681758"/>
    <w:rsid w:val="00690EAE"/>
    <w:rsid w:val="00691A6F"/>
    <w:rsid w:val="006921A3"/>
    <w:rsid w:val="00693E54"/>
    <w:rsid w:val="0069483A"/>
    <w:rsid w:val="00696872"/>
    <w:rsid w:val="00696FD6"/>
    <w:rsid w:val="006A1350"/>
    <w:rsid w:val="006A1CDF"/>
    <w:rsid w:val="006A3788"/>
    <w:rsid w:val="006A76B7"/>
    <w:rsid w:val="006B05DA"/>
    <w:rsid w:val="006B109B"/>
    <w:rsid w:val="006B2C67"/>
    <w:rsid w:val="006B5E8E"/>
    <w:rsid w:val="006C1FB2"/>
    <w:rsid w:val="006C785A"/>
    <w:rsid w:val="006D3031"/>
    <w:rsid w:val="006D4A9C"/>
    <w:rsid w:val="006D79D0"/>
    <w:rsid w:val="006F092D"/>
    <w:rsid w:val="006F309D"/>
    <w:rsid w:val="006F7501"/>
    <w:rsid w:val="006F7F40"/>
    <w:rsid w:val="00702F04"/>
    <w:rsid w:val="007124EB"/>
    <w:rsid w:val="007142AC"/>
    <w:rsid w:val="00715035"/>
    <w:rsid w:val="00716D33"/>
    <w:rsid w:val="00722311"/>
    <w:rsid w:val="007243F7"/>
    <w:rsid w:val="00732764"/>
    <w:rsid w:val="00737582"/>
    <w:rsid w:val="007407C8"/>
    <w:rsid w:val="007446A4"/>
    <w:rsid w:val="00744D2A"/>
    <w:rsid w:val="0074608B"/>
    <w:rsid w:val="00747E2B"/>
    <w:rsid w:val="00752438"/>
    <w:rsid w:val="00763E0E"/>
    <w:rsid w:val="007674C5"/>
    <w:rsid w:val="00767ED8"/>
    <w:rsid w:val="007732FB"/>
    <w:rsid w:val="007803B8"/>
    <w:rsid w:val="007819B4"/>
    <w:rsid w:val="00783BC8"/>
    <w:rsid w:val="00787796"/>
    <w:rsid w:val="00790224"/>
    <w:rsid w:val="00793349"/>
    <w:rsid w:val="007A0E74"/>
    <w:rsid w:val="007A3E2C"/>
    <w:rsid w:val="007A3EC0"/>
    <w:rsid w:val="007A4A0F"/>
    <w:rsid w:val="007A5838"/>
    <w:rsid w:val="007A5BA7"/>
    <w:rsid w:val="007A6AD8"/>
    <w:rsid w:val="007C1D74"/>
    <w:rsid w:val="007C2521"/>
    <w:rsid w:val="007D6832"/>
    <w:rsid w:val="007E1446"/>
    <w:rsid w:val="007E260E"/>
    <w:rsid w:val="007E2E7F"/>
    <w:rsid w:val="007E39E5"/>
    <w:rsid w:val="007E60EA"/>
    <w:rsid w:val="007E78B2"/>
    <w:rsid w:val="007F3EAB"/>
    <w:rsid w:val="007F5F54"/>
    <w:rsid w:val="007F7FD9"/>
    <w:rsid w:val="008145B6"/>
    <w:rsid w:val="00814959"/>
    <w:rsid w:val="00815380"/>
    <w:rsid w:val="00821CB3"/>
    <w:rsid w:val="00832D09"/>
    <w:rsid w:val="00833FF3"/>
    <w:rsid w:val="00835333"/>
    <w:rsid w:val="008359A3"/>
    <w:rsid w:val="008448DC"/>
    <w:rsid w:val="00855C2B"/>
    <w:rsid w:val="00856A98"/>
    <w:rsid w:val="00860FD9"/>
    <w:rsid w:val="008739A6"/>
    <w:rsid w:val="00875144"/>
    <w:rsid w:val="00875B27"/>
    <w:rsid w:val="00876612"/>
    <w:rsid w:val="00876820"/>
    <w:rsid w:val="00880DB3"/>
    <w:rsid w:val="00887617"/>
    <w:rsid w:val="00891C10"/>
    <w:rsid w:val="00897EC5"/>
    <w:rsid w:val="008A1042"/>
    <w:rsid w:val="008A1E9C"/>
    <w:rsid w:val="008A1EC9"/>
    <w:rsid w:val="008A61C2"/>
    <w:rsid w:val="008A77E1"/>
    <w:rsid w:val="008B0C3C"/>
    <w:rsid w:val="008B0C3F"/>
    <w:rsid w:val="008B1BAD"/>
    <w:rsid w:val="008B1D55"/>
    <w:rsid w:val="008C1DA6"/>
    <w:rsid w:val="008C35C8"/>
    <w:rsid w:val="008C3D32"/>
    <w:rsid w:val="008C6119"/>
    <w:rsid w:val="008C63B0"/>
    <w:rsid w:val="008D09A1"/>
    <w:rsid w:val="008D2564"/>
    <w:rsid w:val="008F1D12"/>
    <w:rsid w:val="008F4750"/>
    <w:rsid w:val="008F4EA7"/>
    <w:rsid w:val="008F5B70"/>
    <w:rsid w:val="00904E0C"/>
    <w:rsid w:val="00907A07"/>
    <w:rsid w:val="00911BFE"/>
    <w:rsid w:val="00911F0C"/>
    <w:rsid w:val="0091257A"/>
    <w:rsid w:val="0091393D"/>
    <w:rsid w:val="00916D90"/>
    <w:rsid w:val="009227D5"/>
    <w:rsid w:val="00926838"/>
    <w:rsid w:val="009424A2"/>
    <w:rsid w:val="00945613"/>
    <w:rsid w:val="009502DD"/>
    <w:rsid w:val="00961BC3"/>
    <w:rsid w:val="00963E9E"/>
    <w:rsid w:val="00977AB3"/>
    <w:rsid w:val="00977B58"/>
    <w:rsid w:val="0098235E"/>
    <w:rsid w:val="0098337B"/>
    <w:rsid w:val="00983664"/>
    <w:rsid w:val="009846AE"/>
    <w:rsid w:val="00985847"/>
    <w:rsid w:val="00985F08"/>
    <w:rsid w:val="00986228"/>
    <w:rsid w:val="00987378"/>
    <w:rsid w:val="009A128A"/>
    <w:rsid w:val="009A3740"/>
    <w:rsid w:val="009A56AA"/>
    <w:rsid w:val="009A7D65"/>
    <w:rsid w:val="009B0D92"/>
    <w:rsid w:val="009B1A21"/>
    <w:rsid w:val="009B1E18"/>
    <w:rsid w:val="009B4882"/>
    <w:rsid w:val="009C2F4B"/>
    <w:rsid w:val="009C6434"/>
    <w:rsid w:val="009D2B3F"/>
    <w:rsid w:val="009D3902"/>
    <w:rsid w:val="009E07A9"/>
    <w:rsid w:val="009E0E43"/>
    <w:rsid w:val="009E546C"/>
    <w:rsid w:val="009F07D7"/>
    <w:rsid w:val="009F320D"/>
    <w:rsid w:val="00A06EBE"/>
    <w:rsid w:val="00A0710F"/>
    <w:rsid w:val="00A166DC"/>
    <w:rsid w:val="00A17AAE"/>
    <w:rsid w:val="00A2474A"/>
    <w:rsid w:val="00A26D3D"/>
    <w:rsid w:val="00A37D7F"/>
    <w:rsid w:val="00A4020F"/>
    <w:rsid w:val="00A47F2C"/>
    <w:rsid w:val="00A65A81"/>
    <w:rsid w:val="00A729DB"/>
    <w:rsid w:val="00A753B8"/>
    <w:rsid w:val="00A8609F"/>
    <w:rsid w:val="00A8723F"/>
    <w:rsid w:val="00A90DAF"/>
    <w:rsid w:val="00A95A11"/>
    <w:rsid w:val="00A96807"/>
    <w:rsid w:val="00AA3022"/>
    <w:rsid w:val="00AA4C9B"/>
    <w:rsid w:val="00AB29C9"/>
    <w:rsid w:val="00AB3A94"/>
    <w:rsid w:val="00AB506E"/>
    <w:rsid w:val="00AC0432"/>
    <w:rsid w:val="00AC1280"/>
    <w:rsid w:val="00AC5C41"/>
    <w:rsid w:val="00AE3472"/>
    <w:rsid w:val="00AE7640"/>
    <w:rsid w:val="00AF3EB2"/>
    <w:rsid w:val="00B00E4F"/>
    <w:rsid w:val="00B06532"/>
    <w:rsid w:val="00B10647"/>
    <w:rsid w:val="00B25E39"/>
    <w:rsid w:val="00B3463B"/>
    <w:rsid w:val="00B34FD5"/>
    <w:rsid w:val="00B421A6"/>
    <w:rsid w:val="00B4398C"/>
    <w:rsid w:val="00B52CA9"/>
    <w:rsid w:val="00B551A7"/>
    <w:rsid w:val="00B55E4B"/>
    <w:rsid w:val="00B65C26"/>
    <w:rsid w:val="00B65C29"/>
    <w:rsid w:val="00B65D43"/>
    <w:rsid w:val="00B701CB"/>
    <w:rsid w:val="00B748B9"/>
    <w:rsid w:val="00B76081"/>
    <w:rsid w:val="00B80944"/>
    <w:rsid w:val="00B8164C"/>
    <w:rsid w:val="00B8439E"/>
    <w:rsid w:val="00B8523A"/>
    <w:rsid w:val="00BA77B1"/>
    <w:rsid w:val="00BB5119"/>
    <w:rsid w:val="00BB79D3"/>
    <w:rsid w:val="00BC078D"/>
    <w:rsid w:val="00BC209C"/>
    <w:rsid w:val="00BC27C0"/>
    <w:rsid w:val="00BC6DDF"/>
    <w:rsid w:val="00BC79B9"/>
    <w:rsid w:val="00BD3A04"/>
    <w:rsid w:val="00BD5D51"/>
    <w:rsid w:val="00BE5F9A"/>
    <w:rsid w:val="00BF0699"/>
    <w:rsid w:val="00BF41B7"/>
    <w:rsid w:val="00C0616A"/>
    <w:rsid w:val="00C10C37"/>
    <w:rsid w:val="00C11342"/>
    <w:rsid w:val="00C14FAD"/>
    <w:rsid w:val="00C1574D"/>
    <w:rsid w:val="00C22344"/>
    <w:rsid w:val="00C22E15"/>
    <w:rsid w:val="00C24ED7"/>
    <w:rsid w:val="00C27DD2"/>
    <w:rsid w:val="00C3058F"/>
    <w:rsid w:val="00C37F86"/>
    <w:rsid w:val="00C47D99"/>
    <w:rsid w:val="00C529C0"/>
    <w:rsid w:val="00C53149"/>
    <w:rsid w:val="00C551B9"/>
    <w:rsid w:val="00C60085"/>
    <w:rsid w:val="00C6065C"/>
    <w:rsid w:val="00C63010"/>
    <w:rsid w:val="00C64991"/>
    <w:rsid w:val="00C667ED"/>
    <w:rsid w:val="00C7020C"/>
    <w:rsid w:val="00C72EA4"/>
    <w:rsid w:val="00C733ED"/>
    <w:rsid w:val="00C822A1"/>
    <w:rsid w:val="00C82FBF"/>
    <w:rsid w:val="00C8674E"/>
    <w:rsid w:val="00C91DD2"/>
    <w:rsid w:val="00C958D8"/>
    <w:rsid w:val="00C966DD"/>
    <w:rsid w:val="00CA01A7"/>
    <w:rsid w:val="00CA3FFB"/>
    <w:rsid w:val="00CB0702"/>
    <w:rsid w:val="00CB19C7"/>
    <w:rsid w:val="00CB2178"/>
    <w:rsid w:val="00CC0738"/>
    <w:rsid w:val="00CE0FB9"/>
    <w:rsid w:val="00CE7C7F"/>
    <w:rsid w:val="00D0018F"/>
    <w:rsid w:val="00D014F8"/>
    <w:rsid w:val="00D016F2"/>
    <w:rsid w:val="00D073A6"/>
    <w:rsid w:val="00D12882"/>
    <w:rsid w:val="00D13D11"/>
    <w:rsid w:val="00D14906"/>
    <w:rsid w:val="00D1621A"/>
    <w:rsid w:val="00D168C4"/>
    <w:rsid w:val="00D17D96"/>
    <w:rsid w:val="00D27FE6"/>
    <w:rsid w:val="00D30A87"/>
    <w:rsid w:val="00D32A48"/>
    <w:rsid w:val="00D37154"/>
    <w:rsid w:val="00D37827"/>
    <w:rsid w:val="00D4457C"/>
    <w:rsid w:val="00D524B4"/>
    <w:rsid w:val="00D52A27"/>
    <w:rsid w:val="00D52B00"/>
    <w:rsid w:val="00D5402F"/>
    <w:rsid w:val="00D56A9B"/>
    <w:rsid w:val="00D60D13"/>
    <w:rsid w:val="00D63269"/>
    <w:rsid w:val="00D63A27"/>
    <w:rsid w:val="00D65747"/>
    <w:rsid w:val="00D66205"/>
    <w:rsid w:val="00D743E0"/>
    <w:rsid w:val="00D7507A"/>
    <w:rsid w:val="00D758B9"/>
    <w:rsid w:val="00D801AA"/>
    <w:rsid w:val="00D817BB"/>
    <w:rsid w:val="00D83010"/>
    <w:rsid w:val="00D83F7C"/>
    <w:rsid w:val="00D87872"/>
    <w:rsid w:val="00D93458"/>
    <w:rsid w:val="00D95072"/>
    <w:rsid w:val="00DA091B"/>
    <w:rsid w:val="00DA2BC5"/>
    <w:rsid w:val="00DB2279"/>
    <w:rsid w:val="00DB275A"/>
    <w:rsid w:val="00DB40EA"/>
    <w:rsid w:val="00DC1F23"/>
    <w:rsid w:val="00DC68F3"/>
    <w:rsid w:val="00DD07BB"/>
    <w:rsid w:val="00DD263B"/>
    <w:rsid w:val="00DD351F"/>
    <w:rsid w:val="00DD42AA"/>
    <w:rsid w:val="00DD632E"/>
    <w:rsid w:val="00DD6533"/>
    <w:rsid w:val="00DD6FE0"/>
    <w:rsid w:val="00DE7282"/>
    <w:rsid w:val="00DF4C5E"/>
    <w:rsid w:val="00DF55D4"/>
    <w:rsid w:val="00DF6AF7"/>
    <w:rsid w:val="00E02423"/>
    <w:rsid w:val="00E15210"/>
    <w:rsid w:val="00E16735"/>
    <w:rsid w:val="00E20F96"/>
    <w:rsid w:val="00E23B90"/>
    <w:rsid w:val="00E37AA1"/>
    <w:rsid w:val="00E45540"/>
    <w:rsid w:val="00E50866"/>
    <w:rsid w:val="00E56DFB"/>
    <w:rsid w:val="00E74DBD"/>
    <w:rsid w:val="00E80E1A"/>
    <w:rsid w:val="00E81C79"/>
    <w:rsid w:val="00E82363"/>
    <w:rsid w:val="00E84515"/>
    <w:rsid w:val="00E93D44"/>
    <w:rsid w:val="00E942DF"/>
    <w:rsid w:val="00E96EB0"/>
    <w:rsid w:val="00EA059F"/>
    <w:rsid w:val="00EA340D"/>
    <w:rsid w:val="00EA4EFA"/>
    <w:rsid w:val="00EB1860"/>
    <w:rsid w:val="00EB5D17"/>
    <w:rsid w:val="00EC2816"/>
    <w:rsid w:val="00EC36A3"/>
    <w:rsid w:val="00EC43EB"/>
    <w:rsid w:val="00EC4683"/>
    <w:rsid w:val="00EC626E"/>
    <w:rsid w:val="00ED2C11"/>
    <w:rsid w:val="00ED45C4"/>
    <w:rsid w:val="00ED54BC"/>
    <w:rsid w:val="00EE32A4"/>
    <w:rsid w:val="00EE338F"/>
    <w:rsid w:val="00EE4AF6"/>
    <w:rsid w:val="00EE4B50"/>
    <w:rsid w:val="00EE7779"/>
    <w:rsid w:val="00EF0A30"/>
    <w:rsid w:val="00EF1101"/>
    <w:rsid w:val="00EF7422"/>
    <w:rsid w:val="00EF7925"/>
    <w:rsid w:val="00F00D04"/>
    <w:rsid w:val="00F00F05"/>
    <w:rsid w:val="00F22A31"/>
    <w:rsid w:val="00F24592"/>
    <w:rsid w:val="00F3276A"/>
    <w:rsid w:val="00F33F89"/>
    <w:rsid w:val="00F5342D"/>
    <w:rsid w:val="00F57C09"/>
    <w:rsid w:val="00F60900"/>
    <w:rsid w:val="00F83117"/>
    <w:rsid w:val="00F863A5"/>
    <w:rsid w:val="00F87543"/>
    <w:rsid w:val="00FA2D80"/>
    <w:rsid w:val="00FA3781"/>
    <w:rsid w:val="00FA39ED"/>
    <w:rsid w:val="00FB022D"/>
    <w:rsid w:val="00FB2EA4"/>
    <w:rsid w:val="00FC072D"/>
    <w:rsid w:val="00FC7F44"/>
    <w:rsid w:val="00FD53E1"/>
    <w:rsid w:val="00FE2411"/>
    <w:rsid w:val="00FE32CC"/>
    <w:rsid w:val="00FE4364"/>
    <w:rsid w:val="00FE6276"/>
    <w:rsid w:val="00FF2B9F"/>
    <w:rsid w:val="00FF3085"/>
    <w:rsid w:val="00FF64C0"/>
    <w:rsid w:val="0187251B"/>
    <w:rsid w:val="09D5FEFF"/>
    <w:rsid w:val="13361395"/>
    <w:rsid w:val="1B51ABB0"/>
    <w:rsid w:val="265C7A9E"/>
    <w:rsid w:val="2C3CD711"/>
    <w:rsid w:val="5FD047FC"/>
    <w:rsid w:val="63B7E3B2"/>
    <w:rsid w:val="7699A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E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C5E"/>
    <w:rPr>
      <w:rFonts w:ascii="Garamond" w:hAnsi="Garamond"/>
      <w:sz w:val="24"/>
    </w:rPr>
  </w:style>
  <w:style w:type="paragraph" w:styleId="Heading1">
    <w:name w:val="heading 1"/>
    <w:basedOn w:val="Normal"/>
    <w:next w:val="Normal"/>
    <w:qFormat/>
    <w:rsid w:val="001512C5"/>
    <w:pPr>
      <w:keepNext/>
      <w:numPr>
        <w:numId w:val="11"/>
      </w:numPr>
      <w:jc w:val="center"/>
      <w:outlineLvl w:val="0"/>
    </w:pPr>
    <w:rPr>
      <w:b/>
    </w:rPr>
  </w:style>
  <w:style w:type="paragraph" w:styleId="Heading2">
    <w:name w:val="heading 2"/>
    <w:basedOn w:val="Normal"/>
    <w:next w:val="Normal"/>
    <w:autoRedefine/>
    <w:qFormat/>
    <w:rsid w:val="00456FCB"/>
    <w:pPr>
      <w:keepNext/>
      <w:numPr>
        <w:numId w:val="16"/>
      </w:numPr>
      <w:outlineLvl w:val="1"/>
    </w:pPr>
    <w:rPr>
      <w:b/>
      <w:szCs w:val="24"/>
    </w:rPr>
  </w:style>
  <w:style w:type="paragraph" w:styleId="Heading3">
    <w:name w:val="heading 3"/>
    <w:basedOn w:val="Normal"/>
    <w:next w:val="Normal"/>
    <w:link w:val="Heading3Char"/>
    <w:uiPriority w:val="9"/>
    <w:qFormat/>
    <w:rsid w:val="001512C5"/>
    <w:pPr>
      <w:keepNext/>
      <w:outlineLvl w:val="2"/>
    </w:pPr>
    <w:rPr>
      <w:b/>
    </w:rPr>
  </w:style>
  <w:style w:type="paragraph" w:styleId="Heading4">
    <w:name w:val="heading 4"/>
    <w:basedOn w:val="Normal"/>
    <w:next w:val="Normal"/>
    <w:qFormat/>
    <w:rsid w:val="001512C5"/>
    <w:pPr>
      <w:keepNext/>
      <w:numPr>
        <w:numId w:val="12"/>
      </w:numPr>
      <w:outlineLvl w:val="3"/>
    </w:pPr>
    <w:rPr>
      <w:b/>
    </w:rPr>
  </w:style>
  <w:style w:type="paragraph" w:styleId="Heading5">
    <w:name w:val="heading 5"/>
    <w:basedOn w:val="Normal"/>
    <w:next w:val="Normal"/>
    <w:autoRedefine/>
    <w:qFormat/>
    <w:rsid w:val="00456FCB"/>
    <w:pPr>
      <w:keepNext/>
      <w:numPr>
        <w:numId w:val="19"/>
      </w:numPr>
      <w:outlineLvl w:val="4"/>
    </w:pPr>
    <w:rPr>
      <w:b/>
    </w:rPr>
  </w:style>
  <w:style w:type="paragraph" w:styleId="Heading6">
    <w:name w:val="heading 6"/>
    <w:basedOn w:val="Normal"/>
    <w:next w:val="Normal"/>
    <w:qFormat/>
    <w:rsid w:val="001512C5"/>
    <w:pPr>
      <w:keepNext/>
      <w:tabs>
        <w:tab w:val="left" w:pos="-1440"/>
        <w:tab w:val="left" w:pos="-720"/>
        <w:tab w:val="left" w:pos="600"/>
        <w:tab w:val="left" w:pos="1200"/>
        <w:tab w:val="left" w:pos="1800"/>
        <w:tab w:val="left" w:pos="2400"/>
        <w:tab w:val="left" w:pos="2988"/>
      </w:tabs>
      <w:outlineLvl w:val="5"/>
    </w:pPr>
    <w:rPr>
      <w:rFonts w:ascii="Times New Roman" w:hAnsi="Times New Roman"/>
      <w:b/>
      <w:sz w:val="21"/>
    </w:rPr>
  </w:style>
  <w:style w:type="paragraph" w:styleId="Heading7">
    <w:name w:val="heading 7"/>
    <w:basedOn w:val="Normal"/>
    <w:next w:val="Normal"/>
    <w:qFormat/>
    <w:rsid w:val="001512C5"/>
    <w:pPr>
      <w:keepNext/>
      <w:tabs>
        <w:tab w:val="left" w:pos="-1440"/>
        <w:tab w:val="left" w:pos="-720"/>
        <w:tab w:val="left" w:pos="540"/>
        <w:tab w:val="left" w:pos="1200"/>
        <w:tab w:val="left" w:pos="1800"/>
        <w:tab w:val="left" w:pos="2400"/>
        <w:tab w:val="left" w:pos="2988"/>
      </w:tabs>
      <w:ind w:left="540"/>
      <w:outlineLvl w:val="6"/>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512C5"/>
    <w:rPr>
      <w:vertAlign w:val="superscript"/>
    </w:rPr>
  </w:style>
  <w:style w:type="paragraph" w:styleId="Header">
    <w:name w:val="header"/>
    <w:basedOn w:val="Normal"/>
    <w:rsid w:val="001512C5"/>
    <w:pPr>
      <w:tabs>
        <w:tab w:val="center" w:pos="4320"/>
        <w:tab w:val="right" w:pos="8640"/>
      </w:tabs>
    </w:pPr>
  </w:style>
  <w:style w:type="paragraph" w:styleId="Footer">
    <w:name w:val="footer"/>
    <w:basedOn w:val="Normal"/>
    <w:rsid w:val="001512C5"/>
    <w:pPr>
      <w:tabs>
        <w:tab w:val="center" w:pos="4320"/>
        <w:tab w:val="right" w:pos="8640"/>
      </w:tabs>
    </w:pPr>
  </w:style>
  <w:style w:type="paragraph" w:styleId="Title">
    <w:name w:val="Title"/>
    <w:basedOn w:val="Normal"/>
    <w:qFormat/>
    <w:rsid w:val="001512C5"/>
    <w:pPr>
      <w:jc w:val="center"/>
    </w:pPr>
    <w:rPr>
      <w:b/>
    </w:rPr>
  </w:style>
  <w:style w:type="paragraph" w:styleId="TOC1">
    <w:name w:val="toc 1"/>
    <w:basedOn w:val="Normal"/>
    <w:next w:val="Normal"/>
    <w:autoRedefine/>
    <w:uiPriority w:val="39"/>
    <w:rsid w:val="001512C5"/>
    <w:pPr>
      <w:spacing w:before="120" w:after="120"/>
    </w:pPr>
    <w:rPr>
      <w:rFonts w:ascii="Times New Roman" w:hAnsi="Times New Roman"/>
      <w:b/>
      <w:caps/>
    </w:rPr>
  </w:style>
  <w:style w:type="paragraph" w:styleId="TOC2">
    <w:name w:val="toc 2"/>
    <w:basedOn w:val="Normal"/>
    <w:next w:val="Normal"/>
    <w:autoRedefine/>
    <w:uiPriority w:val="39"/>
    <w:rsid w:val="00E50866"/>
    <w:pPr>
      <w:tabs>
        <w:tab w:val="left" w:pos="600"/>
        <w:tab w:val="right" w:leader="dot" w:pos="9360"/>
      </w:tabs>
      <w:ind w:left="630" w:hanging="430"/>
    </w:pPr>
    <w:rPr>
      <w:rFonts w:ascii="Times New Roman" w:hAnsi="Times New Roman"/>
      <w:smallCaps/>
      <w:noProof/>
    </w:rPr>
  </w:style>
  <w:style w:type="paragraph" w:styleId="TOC3">
    <w:name w:val="toc 3"/>
    <w:basedOn w:val="Normal"/>
    <w:next w:val="Normal"/>
    <w:autoRedefine/>
    <w:semiHidden/>
    <w:rsid w:val="001512C5"/>
    <w:pPr>
      <w:ind w:left="400"/>
    </w:pPr>
    <w:rPr>
      <w:rFonts w:ascii="Times New Roman" w:hAnsi="Times New Roman"/>
      <w:i/>
    </w:rPr>
  </w:style>
  <w:style w:type="paragraph" w:styleId="TOC4">
    <w:name w:val="toc 4"/>
    <w:basedOn w:val="Normal"/>
    <w:next w:val="Normal"/>
    <w:autoRedefine/>
    <w:semiHidden/>
    <w:rsid w:val="001512C5"/>
    <w:pPr>
      <w:ind w:left="600"/>
    </w:pPr>
    <w:rPr>
      <w:rFonts w:ascii="Times New Roman" w:hAnsi="Times New Roman"/>
      <w:sz w:val="18"/>
    </w:rPr>
  </w:style>
  <w:style w:type="paragraph" w:styleId="TOC5">
    <w:name w:val="toc 5"/>
    <w:basedOn w:val="Normal"/>
    <w:next w:val="Normal"/>
    <w:autoRedefine/>
    <w:semiHidden/>
    <w:rsid w:val="001512C5"/>
    <w:pPr>
      <w:ind w:left="800"/>
    </w:pPr>
    <w:rPr>
      <w:rFonts w:ascii="Times New Roman" w:hAnsi="Times New Roman"/>
      <w:sz w:val="18"/>
    </w:rPr>
  </w:style>
  <w:style w:type="paragraph" w:styleId="TOC6">
    <w:name w:val="toc 6"/>
    <w:basedOn w:val="Normal"/>
    <w:next w:val="Normal"/>
    <w:autoRedefine/>
    <w:semiHidden/>
    <w:rsid w:val="001512C5"/>
    <w:pPr>
      <w:ind w:left="1000"/>
    </w:pPr>
    <w:rPr>
      <w:rFonts w:ascii="Times New Roman" w:hAnsi="Times New Roman"/>
      <w:sz w:val="18"/>
    </w:rPr>
  </w:style>
  <w:style w:type="paragraph" w:styleId="TOC7">
    <w:name w:val="toc 7"/>
    <w:basedOn w:val="Normal"/>
    <w:next w:val="Normal"/>
    <w:autoRedefine/>
    <w:semiHidden/>
    <w:rsid w:val="001512C5"/>
    <w:pPr>
      <w:ind w:left="1200"/>
    </w:pPr>
    <w:rPr>
      <w:rFonts w:ascii="Times New Roman" w:hAnsi="Times New Roman"/>
      <w:sz w:val="18"/>
    </w:rPr>
  </w:style>
  <w:style w:type="paragraph" w:styleId="TOC8">
    <w:name w:val="toc 8"/>
    <w:basedOn w:val="Normal"/>
    <w:next w:val="Normal"/>
    <w:autoRedefine/>
    <w:semiHidden/>
    <w:rsid w:val="001512C5"/>
    <w:pPr>
      <w:ind w:left="1400"/>
    </w:pPr>
    <w:rPr>
      <w:rFonts w:ascii="Times New Roman" w:hAnsi="Times New Roman"/>
      <w:sz w:val="18"/>
    </w:rPr>
  </w:style>
  <w:style w:type="paragraph" w:styleId="TOC9">
    <w:name w:val="toc 9"/>
    <w:basedOn w:val="Normal"/>
    <w:next w:val="Normal"/>
    <w:autoRedefine/>
    <w:semiHidden/>
    <w:rsid w:val="001512C5"/>
    <w:pPr>
      <w:ind w:left="1600"/>
    </w:pPr>
    <w:rPr>
      <w:rFonts w:ascii="Times New Roman" w:hAnsi="Times New Roman"/>
      <w:sz w:val="18"/>
    </w:rPr>
  </w:style>
  <w:style w:type="character" w:styleId="PageNumber">
    <w:name w:val="page number"/>
    <w:basedOn w:val="DefaultParagraphFont"/>
    <w:rsid w:val="001512C5"/>
  </w:style>
  <w:style w:type="paragraph" w:styleId="BodyTextIndent">
    <w:name w:val="Body Text Indent"/>
    <w:basedOn w:val="Normal"/>
    <w:rsid w:val="001512C5"/>
    <w:pPr>
      <w:ind w:left="504"/>
    </w:pPr>
  </w:style>
  <w:style w:type="paragraph" w:styleId="BodyText">
    <w:name w:val="Body Text"/>
    <w:basedOn w:val="Normal"/>
    <w:rsid w:val="001512C5"/>
    <w:rPr>
      <w:rFonts w:ascii="Times New Roman" w:hAnsi="Times New Roman"/>
      <w:sz w:val="21"/>
    </w:rPr>
  </w:style>
  <w:style w:type="paragraph" w:styleId="BodyTextIndent3">
    <w:name w:val="Body Text Indent 3"/>
    <w:basedOn w:val="Normal"/>
    <w:rsid w:val="001512C5"/>
    <w:pPr>
      <w:widowControl w:val="0"/>
      <w:tabs>
        <w:tab w:val="left" w:pos="0"/>
        <w:tab w:val="left" w:pos="720"/>
      </w:tabs>
      <w:suppressAutoHyphens/>
      <w:ind w:left="1440"/>
    </w:pPr>
    <w:rPr>
      <w:rFonts w:ascii="Times New Roman" w:hAnsi="Times New Roman"/>
      <w:snapToGrid w:val="0"/>
      <w:sz w:val="21"/>
    </w:rPr>
  </w:style>
  <w:style w:type="paragraph" w:styleId="BodyTextIndent2">
    <w:name w:val="Body Text Indent 2"/>
    <w:basedOn w:val="Normal"/>
    <w:rsid w:val="001512C5"/>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Pr>
      <w:rFonts w:ascii="Times New Roman" w:hAnsi="Times New Roman"/>
      <w:sz w:val="21"/>
    </w:rPr>
  </w:style>
  <w:style w:type="paragraph" w:styleId="BodyText2">
    <w:name w:val="Body Text 2"/>
    <w:basedOn w:val="Normal"/>
    <w:rsid w:val="001512C5"/>
    <w:pPr>
      <w:jc w:val="center"/>
    </w:pPr>
    <w:rPr>
      <w:rFonts w:ascii="Times New Roman" w:hAnsi="Times New Roman"/>
      <w:sz w:val="18"/>
    </w:rPr>
  </w:style>
  <w:style w:type="paragraph" w:styleId="BodyText3">
    <w:name w:val="Body Text 3"/>
    <w:basedOn w:val="Normal"/>
    <w:rsid w:val="001512C5"/>
    <w:rPr>
      <w:rFonts w:ascii="Times New Roman" w:hAnsi="Times New Roman"/>
      <w:sz w:val="22"/>
    </w:rPr>
  </w:style>
  <w:style w:type="paragraph" w:styleId="BalloonText">
    <w:name w:val="Balloon Text"/>
    <w:basedOn w:val="Normal"/>
    <w:semiHidden/>
    <w:rsid w:val="00DC68F3"/>
    <w:rPr>
      <w:rFonts w:ascii="Tahoma" w:hAnsi="Tahoma" w:cs="Tahoma"/>
      <w:sz w:val="16"/>
      <w:szCs w:val="16"/>
    </w:rPr>
  </w:style>
  <w:style w:type="character" w:styleId="CommentReference">
    <w:name w:val="annotation reference"/>
    <w:basedOn w:val="DefaultParagraphFont"/>
    <w:rsid w:val="00DC1F23"/>
    <w:rPr>
      <w:sz w:val="16"/>
      <w:szCs w:val="16"/>
    </w:rPr>
  </w:style>
  <w:style w:type="paragraph" w:styleId="CommentText">
    <w:name w:val="annotation text"/>
    <w:basedOn w:val="Normal"/>
    <w:link w:val="CommentTextChar"/>
    <w:rsid w:val="00DC1F23"/>
  </w:style>
  <w:style w:type="character" w:customStyle="1" w:styleId="CommentTextChar">
    <w:name w:val="Comment Text Char"/>
    <w:basedOn w:val="DefaultParagraphFont"/>
    <w:link w:val="CommentText"/>
    <w:rsid w:val="00DC1F23"/>
    <w:rPr>
      <w:rFonts w:ascii="Univers" w:hAnsi="Univers"/>
    </w:rPr>
  </w:style>
  <w:style w:type="paragraph" w:styleId="CommentSubject">
    <w:name w:val="annotation subject"/>
    <w:basedOn w:val="CommentText"/>
    <w:next w:val="CommentText"/>
    <w:link w:val="CommentSubjectChar"/>
    <w:rsid w:val="00DC1F23"/>
    <w:rPr>
      <w:b/>
      <w:bCs/>
    </w:rPr>
  </w:style>
  <w:style w:type="character" w:customStyle="1" w:styleId="CommentSubjectChar">
    <w:name w:val="Comment Subject Char"/>
    <w:basedOn w:val="CommentTextChar"/>
    <w:link w:val="CommentSubject"/>
    <w:rsid w:val="00DC1F23"/>
    <w:rPr>
      <w:rFonts w:ascii="Univers" w:hAnsi="Univers"/>
      <w:b/>
      <w:bCs/>
    </w:rPr>
  </w:style>
  <w:style w:type="paragraph" w:styleId="Revision">
    <w:name w:val="Revision"/>
    <w:hidden/>
    <w:uiPriority w:val="99"/>
    <w:semiHidden/>
    <w:rsid w:val="00702F04"/>
    <w:rPr>
      <w:rFonts w:ascii="Univers" w:hAnsi="Univers"/>
    </w:rPr>
  </w:style>
  <w:style w:type="paragraph" w:styleId="ListParagraph">
    <w:name w:val="List Paragraph"/>
    <w:basedOn w:val="Normal"/>
    <w:uiPriority w:val="34"/>
    <w:qFormat/>
    <w:rsid w:val="008B0C3C"/>
    <w:pPr>
      <w:ind w:left="720"/>
    </w:pPr>
    <w:rPr>
      <w:rFonts w:ascii="Times New Roman" w:hAnsi="Times New Roman"/>
    </w:rPr>
  </w:style>
  <w:style w:type="character" w:styleId="Hyperlink">
    <w:name w:val="Hyperlink"/>
    <w:basedOn w:val="DefaultParagraphFont"/>
    <w:rsid w:val="00EA059F"/>
    <w:rPr>
      <w:color w:val="0000FF"/>
      <w:u w:val="single"/>
    </w:rPr>
  </w:style>
  <w:style w:type="paragraph" w:customStyle="1" w:styleId="bold12">
    <w:name w:val="bold12"/>
    <w:basedOn w:val="Normal"/>
    <w:rsid w:val="009B0D92"/>
    <w:pPr>
      <w:spacing w:before="100" w:beforeAutospacing="1" w:after="100" w:afterAutospacing="1"/>
    </w:pPr>
    <w:rPr>
      <w:rFonts w:ascii="Verdana" w:hAnsi="Verdana"/>
      <w:b/>
      <w:bCs/>
      <w:color w:val="000000"/>
      <w:sz w:val="18"/>
      <w:szCs w:val="18"/>
    </w:rPr>
  </w:style>
  <w:style w:type="paragraph" w:customStyle="1" w:styleId="Default1">
    <w:name w:val="Default1"/>
    <w:basedOn w:val="Normal"/>
    <w:next w:val="Normal"/>
    <w:uiPriority w:val="99"/>
    <w:rsid w:val="009B0D92"/>
    <w:pPr>
      <w:autoSpaceDE w:val="0"/>
      <w:autoSpaceDN w:val="0"/>
      <w:adjustRightInd w:val="0"/>
    </w:pPr>
    <w:rPr>
      <w:rFonts w:ascii="Times New Roman" w:hAnsi="Times New Roman"/>
      <w:szCs w:val="24"/>
    </w:rPr>
  </w:style>
  <w:style w:type="paragraph" w:customStyle="1" w:styleId="Default">
    <w:name w:val="Default"/>
    <w:rsid w:val="005A4AB4"/>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rsid w:val="00134490"/>
    <w:rPr>
      <w:rFonts w:ascii="Univers" w:hAnsi="Univers"/>
      <w:b/>
    </w:rPr>
  </w:style>
  <w:style w:type="character" w:styleId="UnresolvedMention">
    <w:name w:val="Unresolved Mention"/>
    <w:basedOn w:val="DefaultParagraphFont"/>
    <w:uiPriority w:val="99"/>
    <w:semiHidden/>
    <w:unhideWhenUsed/>
    <w:rsid w:val="005D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4780">
      <w:bodyDiv w:val="1"/>
      <w:marLeft w:val="0"/>
      <w:marRight w:val="5"/>
      <w:marTop w:val="0"/>
      <w:marBottom w:val="600"/>
      <w:divBdr>
        <w:top w:val="none" w:sz="0" w:space="0" w:color="auto"/>
        <w:left w:val="none" w:sz="0" w:space="0" w:color="auto"/>
        <w:bottom w:val="none" w:sz="0" w:space="0" w:color="auto"/>
        <w:right w:val="none" w:sz="0" w:space="0" w:color="auto"/>
      </w:divBdr>
      <w:divsChild>
        <w:div w:id="548031794">
          <w:marLeft w:val="2265"/>
          <w:marRight w:val="0"/>
          <w:marTop w:val="450"/>
          <w:marBottom w:val="300"/>
          <w:divBdr>
            <w:top w:val="none" w:sz="0" w:space="0" w:color="auto"/>
            <w:left w:val="none" w:sz="0" w:space="0" w:color="auto"/>
            <w:bottom w:val="none" w:sz="0" w:space="0" w:color="auto"/>
            <w:right w:val="none" w:sz="0" w:space="0" w:color="auto"/>
          </w:divBdr>
        </w:div>
      </w:divsChild>
    </w:div>
    <w:div w:id="492111035">
      <w:bodyDiv w:val="1"/>
      <w:marLeft w:val="0"/>
      <w:marRight w:val="5"/>
      <w:marTop w:val="0"/>
      <w:marBottom w:val="600"/>
      <w:divBdr>
        <w:top w:val="none" w:sz="0" w:space="0" w:color="auto"/>
        <w:left w:val="none" w:sz="0" w:space="0" w:color="auto"/>
        <w:bottom w:val="none" w:sz="0" w:space="0" w:color="auto"/>
        <w:right w:val="none" w:sz="0" w:space="0" w:color="auto"/>
      </w:divBdr>
      <w:divsChild>
        <w:div w:id="1823541232">
          <w:marLeft w:val="2265"/>
          <w:marRight w:val="0"/>
          <w:marTop w:val="450"/>
          <w:marBottom w:val="300"/>
          <w:divBdr>
            <w:top w:val="none" w:sz="0" w:space="0" w:color="auto"/>
            <w:left w:val="none" w:sz="0" w:space="0" w:color="auto"/>
            <w:bottom w:val="none" w:sz="0" w:space="0" w:color="auto"/>
            <w:right w:val="none" w:sz="0" w:space="0" w:color="auto"/>
          </w:divBdr>
        </w:div>
      </w:divsChild>
    </w:div>
    <w:div w:id="743376699">
      <w:bodyDiv w:val="1"/>
      <w:marLeft w:val="0"/>
      <w:marRight w:val="0"/>
      <w:marTop w:val="0"/>
      <w:marBottom w:val="0"/>
      <w:divBdr>
        <w:top w:val="none" w:sz="0" w:space="0" w:color="auto"/>
        <w:left w:val="none" w:sz="0" w:space="0" w:color="auto"/>
        <w:bottom w:val="none" w:sz="0" w:space="0" w:color="auto"/>
        <w:right w:val="none" w:sz="0" w:space="0" w:color="auto"/>
      </w:divBdr>
    </w:div>
    <w:div w:id="1536383007">
      <w:bodyDiv w:val="1"/>
      <w:marLeft w:val="0"/>
      <w:marRight w:val="5"/>
      <w:marTop w:val="0"/>
      <w:marBottom w:val="600"/>
      <w:divBdr>
        <w:top w:val="none" w:sz="0" w:space="0" w:color="auto"/>
        <w:left w:val="none" w:sz="0" w:space="0" w:color="auto"/>
        <w:bottom w:val="none" w:sz="0" w:space="0" w:color="auto"/>
        <w:right w:val="none" w:sz="0" w:space="0" w:color="auto"/>
      </w:divBdr>
      <w:divsChild>
        <w:div w:id="185217450">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8210</Words>
  <Characters>46800</Characters>
  <Application>Microsoft Office Word</Application>
  <DocSecurity>8</DocSecurity>
  <Lines>390</Lines>
  <Paragraphs>109</Paragraphs>
  <ScaleCrop>false</ScaleCrop>
  <Company/>
  <LinksUpToDate>false</LinksUpToDate>
  <CharactersWithSpaces>54901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2026-04-22T17:36:00Z</dcterms:created>
  <dcterms:modified xsi:type="dcterms:W3CDTF">2026-04-22T17:36:00Z</dcterms:modified>
</cp:coreProperties>
</file>