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6793" w14:textId="77777777" w:rsidR="002F5D7E" w:rsidRPr="00C7419B" w:rsidRDefault="002F5D7E">
      <w:pPr>
        <w:pStyle w:val="Title"/>
        <w:rPr>
          <w:rFonts w:ascii="Garamond" w:hAnsi="Garamond"/>
          <w:szCs w:val="24"/>
        </w:rPr>
      </w:pPr>
      <w:r w:rsidRPr="00C7419B">
        <w:rPr>
          <w:rFonts w:ascii="Garamond" w:hAnsi="Garamond"/>
          <w:szCs w:val="24"/>
        </w:rPr>
        <w:t>MONTANA DEPARTMENT OF ENVIRONMENTAL QUALITY</w:t>
      </w:r>
    </w:p>
    <w:p w14:paraId="265F6592" w14:textId="77777777" w:rsidR="002F5D7E" w:rsidRPr="00C7419B" w:rsidRDefault="002F5D7E">
      <w:pPr>
        <w:jc w:val="center"/>
        <w:rPr>
          <w:b/>
          <w:szCs w:val="24"/>
        </w:rPr>
      </w:pPr>
      <w:r w:rsidRPr="00C7419B">
        <w:rPr>
          <w:b/>
          <w:szCs w:val="24"/>
        </w:rPr>
        <w:t>OPERATING PERMIT TECHNICAL REVIEW DOCUMENT</w:t>
      </w:r>
    </w:p>
    <w:p w14:paraId="34C84C8F" w14:textId="77777777" w:rsidR="002F5D7E" w:rsidRPr="00C7419B" w:rsidRDefault="002F5D7E">
      <w:pPr>
        <w:jc w:val="center"/>
        <w:rPr>
          <w:szCs w:val="24"/>
        </w:rPr>
      </w:pPr>
    </w:p>
    <w:p w14:paraId="032DDE79" w14:textId="77777777" w:rsidR="002F5D7E" w:rsidRPr="00C7419B" w:rsidRDefault="00686015">
      <w:pPr>
        <w:jc w:val="center"/>
        <w:rPr>
          <w:b/>
          <w:szCs w:val="24"/>
        </w:rPr>
      </w:pPr>
      <w:r w:rsidRPr="00C7419B">
        <w:rPr>
          <w:b/>
          <w:szCs w:val="24"/>
        </w:rPr>
        <w:t xml:space="preserve">Air, Energy </w:t>
      </w:r>
      <w:r w:rsidR="008D5181" w:rsidRPr="00C7419B">
        <w:rPr>
          <w:b/>
          <w:szCs w:val="24"/>
        </w:rPr>
        <w:t xml:space="preserve">&amp; </w:t>
      </w:r>
      <w:r w:rsidRPr="00C7419B">
        <w:rPr>
          <w:b/>
          <w:szCs w:val="24"/>
        </w:rPr>
        <w:t xml:space="preserve">Mining </w:t>
      </w:r>
      <w:r w:rsidR="002F5D7E" w:rsidRPr="00C7419B">
        <w:rPr>
          <w:b/>
          <w:szCs w:val="24"/>
        </w:rPr>
        <w:t>Division</w:t>
      </w:r>
    </w:p>
    <w:p w14:paraId="11BC773D" w14:textId="77777777" w:rsidR="002F5D7E" w:rsidRPr="00C7419B" w:rsidRDefault="002F5D7E">
      <w:pPr>
        <w:jc w:val="center"/>
        <w:rPr>
          <w:b/>
          <w:szCs w:val="24"/>
        </w:rPr>
      </w:pPr>
      <w:r w:rsidRPr="00C7419B">
        <w:rPr>
          <w:b/>
          <w:szCs w:val="24"/>
        </w:rPr>
        <w:t>1520 E. Sixth Avenue</w:t>
      </w:r>
    </w:p>
    <w:p w14:paraId="06372A3F" w14:textId="77777777" w:rsidR="002F5D7E" w:rsidRPr="00C7419B" w:rsidRDefault="002F5D7E">
      <w:pPr>
        <w:jc w:val="center"/>
        <w:rPr>
          <w:b/>
          <w:szCs w:val="24"/>
          <w:lang w:val="es-ES"/>
        </w:rPr>
      </w:pPr>
      <w:r w:rsidRPr="00C7419B">
        <w:rPr>
          <w:b/>
          <w:szCs w:val="24"/>
          <w:lang w:val="es-ES"/>
        </w:rPr>
        <w:t>P.O. Box 200901</w:t>
      </w:r>
    </w:p>
    <w:p w14:paraId="0D5C5728" w14:textId="77777777" w:rsidR="002F5D7E" w:rsidRPr="00C7419B" w:rsidRDefault="002F5D7E">
      <w:pPr>
        <w:jc w:val="center"/>
        <w:rPr>
          <w:szCs w:val="24"/>
          <w:lang w:val="es-ES"/>
        </w:rPr>
      </w:pPr>
      <w:r w:rsidRPr="00C7419B">
        <w:rPr>
          <w:b/>
          <w:szCs w:val="24"/>
          <w:lang w:val="es-ES"/>
        </w:rPr>
        <w:t>Helena, Montana 59620-0901</w:t>
      </w:r>
    </w:p>
    <w:p w14:paraId="2A8849B6" w14:textId="77777777" w:rsidR="002F5D7E" w:rsidRPr="00C7419B" w:rsidRDefault="002F5D7E">
      <w:pPr>
        <w:jc w:val="center"/>
        <w:rPr>
          <w:szCs w:val="24"/>
          <w:lang w:val="es-ES"/>
        </w:rPr>
      </w:pPr>
    </w:p>
    <w:p w14:paraId="49809D17" w14:textId="77777777" w:rsidR="002F5D7E" w:rsidRPr="00C7419B" w:rsidRDefault="0000272A" w:rsidP="00467333">
      <w:pPr>
        <w:jc w:val="center"/>
        <w:rPr>
          <w:szCs w:val="24"/>
        </w:rPr>
      </w:pPr>
      <w:r w:rsidRPr="00C7419B">
        <w:rPr>
          <w:szCs w:val="24"/>
        </w:rPr>
        <w:t>Phillips 66 Company</w:t>
      </w:r>
    </w:p>
    <w:p w14:paraId="66174A41" w14:textId="77777777" w:rsidR="002F5D7E" w:rsidRPr="00C7419B" w:rsidRDefault="0000272A">
      <w:pPr>
        <w:jc w:val="center"/>
        <w:rPr>
          <w:szCs w:val="24"/>
        </w:rPr>
      </w:pPr>
      <w:r w:rsidRPr="00C7419B">
        <w:rPr>
          <w:szCs w:val="24"/>
        </w:rPr>
        <w:t>Billings Refinery</w:t>
      </w:r>
    </w:p>
    <w:p w14:paraId="268883B8" w14:textId="77777777" w:rsidR="002F5D7E" w:rsidRPr="00C7419B" w:rsidRDefault="0000272A">
      <w:pPr>
        <w:jc w:val="center"/>
        <w:rPr>
          <w:szCs w:val="24"/>
        </w:rPr>
      </w:pPr>
      <w:r w:rsidRPr="00C7419B">
        <w:rPr>
          <w:szCs w:val="24"/>
        </w:rPr>
        <w:t>NW ¼ Section 2, Township 1 South, Range 26 East, Yellowstone County, MT</w:t>
      </w:r>
    </w:p>
    <w:p w14:paraId="5E31F718" w14:textId="77777777" w:rsidR="002F5D7E" w:rsidRPr="00C7419B" w:rsidRDefault="0000272A">
      <w:pPr>
        <w:jc w:val="center"/>
        <w:rPr>
          <w:szCs w:val="24"/>
        </w:rPr>
      </w:pPr>
      <w:r w:rsidRPr="00C7419B">
        <w:rPr>
          <w:szCs w:val="24"/>
        </w:rPr>
        <w:t>P.O. Box 30198</w:t>
      </w:r>
    </w:p>
    <w:p w14:paraId="3DE137F9" w14:textId="77777777" w:rsidR="0000272A" w:rsidRPr="00C7419B" w:rsidRDefault="0000272A">
      <w:pPr>
        <w:jc w:val="center"/>
        <w:rPr>
          <w:szCs w:val="24"/>
        </w:rPr>
      </w:pPr>
      <w:r w:rsidRPr="00C7419B">
        <w:rPr>
          <w:szCs w:val="24"/>
        </w:rPr>
        <w:t>401 South 23</w:t>
      </w:r>
      <w:r w:rsidRPr="00C7419B">
        <w:rPr>
          <w:szCs w:val="24"/>
          <w:vertAlign w:val="superscript"/>
        </w:rPr>
        <w:t>rd</w:t>
      </w:r>
      <w:r w:rsidRPr="00C7419B">
        <w:rPr>
          <w:szCs w:val="24"/>
        </w:rPr>
        <w:t xml:space="preserve"> Street</w:t>
      </w:r>
    </w:p>
    <w:p w14:paraId="042D26A6" w14:textId="77777777" w:rsidR="002F5D7E" w:rsidRPr="00C7419B" w:rsidRDefault="0000272A">
      <w:pPr>
        <w:jc w:val="center"/>
        <w:rPr>
          <w:szCs w:val="24"/>
        </w:rPr>
      </w:pPr>
      <w:r w:rsidRPr="00C7419B">
        <w:rPr>
          <w:szCs w:val="24"/>
        </w:rPr>
        <w:t>Billings, Montana 59107-0198</w:t>
      </w:r>
    </w:p>
    <w:p w14:paraId="533063F4" w14:textId="77777777" w:rsidR="002F5D7E" w:rsidRPr="00C7419B" w:rsidRDefault="002F5D7E">
      <w:pPr>
        <w:rPr>
          <w:szCs w:val="24"/>
        </w:rPr>
      </w:pPr>
    </w:p>
    <w:p w14:paraId="02776395" w14:textId="5AD687EB" w:rsidR="002F5D7E" w:rsidRPr="00C7419B" w:rsidRDefault="002F5D7E">
      <w:pPr>
        <w:rPr>
          <w:szCs w:val="24"/>
        </w:rPr>
      </w:pPr>
      <w:r w:rsidRPr="00C7419B">
        <w:rPr>
          <w:szCs w:val="24"/>
        </w:rPr>
        <w:t>The following table summarizes the air quality programs testing, monitoring, and reporting requirements applicable to this facility.</w:t>
      </w:r>
    </w:p>
    <w:p w14:paraId="3933F9BC" w14:textId="77777777" w:rsidR="002F5D7E" w:rsidRPr="00C7419B" w:rsidRDefault="002F5D7E">
      <w:pPr>
        <w:rPr>
          <w:szCs w:val="24"/>
        </w:rPr>
      </w:pPr>
    </w:p>
    <w:tbl>
      <w:tblPr>
        <w:tblW w:w="94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90"/>
        <w:gridCol w:w="720"/>
        <w:gridCol w:w="630"/>
        <w:gridCol w:w="2610"/>
      </w:tblGrid>
      <w:tr w:rsidR="002F5D7E" w:rsidRPr="00C7419B" w14:paraId="7C5FAFD4" w14:textId="77777777" w:rsidTr="00C70D07">
        <w:trPr>
          <w:cantSplit/>
          <w:trHeight w:val="400"/>
        </w:trPr>
        <w:tc>
          <w:tcPr>
            <w:tcW w:w="5490" w:type="dxa"/>
            <w:tcBorders>
              <w:top w:val="double" w:sz="4" w:space="0" w:color="auto"/>
              <w:left w:val="double" w:sz="4" w:space="0" w:color="auto"/>
              <w:bottom w:val="double" w:sz="4" w:space="0" w:color="auto"/>
            </w:tcBorders>
          </w:tcPr>
          <w:p w14:paraId="1A007A64" w14:textId="77777777" w:rsidR="002F5D7E" w:rsidRPr="00C7419B" w:rsidRDefault="002F5D7E" w:rsidP="009E51EB">
            <w:pPr>
              <w:pStyle w:val="Title"/>
              <w:rPr>
                <w:rFonts w:ascii="Garamond" w:hAnsi="Garamond"/>
                <w:szCs w:val="24"/>
              </w:rPr>
            </w:pPr>
            <w:r w:rsidRPr="00C7419B">
              <w:rPr>
                <w:rFonts w:ascii="Garamond" w:hAnsi="Garamond"/>
                <w:szCs w:val="24"/>
              </w:rPr>
              <w:t>Facility Compliance Requirements</w:t>
            </w:r>
          </w:p>
        </w:tc>
        <w:tc>
          <w:tcPr>
            <w:tcW w:w="720" w:type="dxa"/>
            <w:tcBorders>
              <w:top w:val="double" w:sz="4" w:space="0" w:color="auto"/>
              <w:bottom w:val="double" w:sz="4" w:space="0" w:color="auto"/>
            </w:tcBorders>
          </w:tcPr>
          <w:p w14:paraId="1F6417AF" w14:textId="77777777" w:rsidR="002F5D7E" w:rsidRPr="00C7419B" w:rsidRDefault="002F5D7E" w:rsidP="009E51EB">
            <w:pPr>
              <w:rPr>
                <w:szCs w:val="24"/>
              </w:rPr>
            </w:pPr>
            <w:r w:rsidRPr="00C7419B">
              <w:rPr>
                <w:szCs w:val="24"/>
              </w:rPr>
              <w:t>Yes</w:t>
            </w:r>
          </w:p>
        </w:tc>
        <w:tc>
          <w:tcPr>
            <w:tcW w:w="630" w:type="dxa"/>
            <w:tcBorders>
              <w:top w:val="double" w:sz="4" w:space="0" w:color="auto"/>
              <w:bottom w:val="double" w:sz="4" w:space="0" w:color="auto"/>
            </w:tcBorders>
          </w:tcPr>
          <w:p w14:paraId="5DED67BE" w14:textId="77777777" w:rsidR="002F5D7E" w:rsidRPr="00C7419B" w:rsidRDefault="002F5D7E" w:rsidP="009E51EB">
            <w:pPr>
              <w:rPr>
                <w:szCs w:val="24"/>
              </w:rPr>
            </w:pPr>
            <w:r w:rsidRPr="00C7419B">
              <w:rPr>
                <w:szCs w:val="24"/>
              </w:rPr>
              <w:t>No</w:t>
            </w:r>
          </w:p>
        </w:tc>
        <w:tc>
          <w:tcPr>
            <w:tcW w:w="2610" w:type="dxa"/>
            <w:tcBorders>
              <w:top w:val="double" w:sz="4" w:space="0" w:color="auto"/>
              <w:bottom w:val="double" w:sz="4" w:space="0" w:color="auto"/>
              <w:right w:val="double" w:sz="4" w:space="0" w:color="auto"/>
            </w:tcBorders>
          </w:tcPr>
          <w:p w14:paraId="77B1D5B0" w14:textId="77777777" w:rsidR="002F5D7E" w:rsidRPr="00C7419B" w:rsidRDefault="002F5D7E" w:rsidP="009E51EB">
            <w:pPr>
              <w:jc w:val="center"/>
              <w:rPr>
                <w:szCs w:val="24"/>
              </w:rPr>
            </w:pPr>
            <w:r w:rsidRPr="00C7419B">
              <w:rPr>
                <w:szCs w:val="24"/>
              </w:rPr>
              <w:t>Comments</w:t>
            </w:r>
          </w:p>
        </w:tc>
      </w:tr>
      <w:tr w:rsidR="002F5D7E" w:rsidRPr="00C7419B" w14:paraId="5B9F6DFC" w14:textId="77777777" w:rsidTr="00C70D07">
        <w:trPr>
          <w:cantSplit/>
          <w:trHeight w:val="400"/>
        </w:trPr>
        <w:tc>
          <w:tcPr>
            <w:tcW w:w="5490" w:type="dxa"/>
            <w:tcBorders>
              <w:top w:val="double" w:sz="4" w:space="0" w:color="auto"/>
              <w:left w:val="double" w:sz="4" w:space="0" w:color="auto"/>
            </w:tcBorders>
            <w:vAlign w:val="center"/>
          </w:tcPr>
          <w:p w14:paraId="7DE9519F" w14:textId="77777777" w:rsidR="002F5D7E" w:rsidRPr="00C7419B" w:rsidRDefault="002F5D7E" w:rsidP="009E51EB">
            <w:pPr>
              <w:rPr>
                <w:szCs w:val="24"/>
              </w:rPr>
            </w:pPr>
            <w:r w:rsidRPr="00C7419B">
              <w:rPr>
                <w:szCs w:val="24"/>
              </w:rPr>
              <w:t>Source Tests Required</w:t>
            </w:r>
          </w:p>
        </w:tc>
        <w:tc>
          <w:tcPr>
            <w:tcW w:w="720" w:type="dxa"/>
            <w:tcBorders>
              <w:top w:val="double" w:sz="4" w:space="0" w:color="auto"/>
            </w:tcBorders>
            <w:vAlign w:val="center"/>
          </w:tcPr>
          <w:p w14:paraId="7AED3978" w14:textId="77777777" w:rsidR="002F5D7E" w:rsidRPr="00C7419B" w:rsidRDefault="0000272A" w:rsidP="00212A91">
            <w:pPr>
              <w:jc w:val="center"/>
              <w:rPr>
                <w:szCs w:val="24"/>
              </w:rPr>
            </w:pPr>
            <w:r w:rsidRPr="00C7419B">
              <w:rPr>
                <w:szCs w:val="24"/>
              </w:rPr>
              <w:t>X</w:t>
            </w:r>
          </w:p>
        </w:tc>
        <w:tc>
          <w:tcPr>
            <w:tcW w:w="630" w:type="dxa"/>
            <w:tcBorders>
              <w:top w:val="double" w:sz="4" w:space="0" w:color="auto"/>
            </w:tcBorders>
            <w:vAlign w:val="center"/>
          </w:tcPr>
          <w:p w14:paraId="79C2A268" w14:textId="77777777" w:rsidR="002F5D7E" w:rsidRPr="00C7419B" w:rsidRDefault="002F5D7E" w:rsidP="00212A91">
            <w:pPr>
              <w:jc w:val="center"/>
              <w:rPr>
                <w:szCs w:val="24"/>
              </w:rPr>
            </w:pPr>
          </w:p>
        </w:tc>
        <w:tc>
          <w:tcPr>
            <w:tcW w:w="2610" w:type="dxa"/>
            <w:tcBorders>
              <w:top w:val="double" w:sz="4" w:space="0" w:color="auto"/>
              <w:right w:val="double" w:sz="4" w:space="0" w:color="auto"/>
            </w:tcBorders>
            <w:vAlign w:val="center"/>
          </w:tcPr>
          <w:p w14:paraId="3ADD6CB0" w14:textId="77777777" w:rsidR="002F5D7E" w:rsidRPr="00C7419B" w:rsidRDefault="002F5D7E" w:rsidP="009E51EB">
            <w:pPr>
              <w:rPr>
                <w:szCs w:val="24"/>
              </w:rPr>
            </w:pPr>
          </w:p>
        </w:tc>
      </w:tr>
      <w:tr w:rsidR="002F5D7E" w:rsidRPr="00C7419B" w14:paraId="7530F3F6" w14:textId="77777777" w:rsidTr="00C70D07">
        <w:trPr>
          <w:cantSplit/>
          <w:trHeight w:val="400"/>
        </w:trPr>
        <w:tc>
          <w:tcPr>
            <w:tcW w:w="5490" w:type="dxa"/>
            <w:tcBorders>
              <w:left w:val="double" w:sz="4" w:space="0" w:color="auto"/>
            </w:tcBorders>
            <w:vAlign w:val="center"/>
          </w:tcPr>
          <w:p w14:paraId="0E4B326B" w14:textId="77777777" w:rsidR="002F5D7E" w:rsidRPr="00C7419B" w:rsidRDefault="002F5D7E" w:rsidP="009E51EB">
            <w:pPr>
              <w:rPr>
                <w:szCs w:val="24"/>
              </w:rPr>
            </w:pPr>
            <w:r w:rsidRPr="00C7419B">
              <w:rPr>
                <w:szCs w:val="24"/>
              </w:rPr>
              <w:t>Ambient Monitoring Required</w:t>
            </w:r>
          </w:p>
        </w:tc>
        <w:tc>
          <w:tcPr>
            <w:tcW w:w="720" w:type="dxa"/>
            <w:vAlign w:val="center"/>
          </w:tcPr>
          <w:p w14:paraId="75D9EC7D" w14:textId="77777777" w:rsidR="002F5D7E" w:rsidRPr="00C7419B" w:rsidRDefault="004A4B07" w:rsidP="00212A91">
            <w:pPr>
              <w:jc w:val="center"/>
              <w:rPr>
                <w:szCs w:val="24"/>
              </w:rPr>
            </w:pPr>
            <w:r w:rsidRPr="00C7419B">
              <w:rPr>
                <w:szCs w:val="24"/>
              </w:rPr>
              <w:t>X</w:t>
            </w:r>
          </w:p>
        </w:tc>
        <w:tc>
          <w:tcPr>
            <w:tcW w:w="630" w:type="dxa"/>
            <w:vAlign w:val="center"/>
          </w:tcPr>
          <w:p w14:paraId="44526B66" w14:textId="77777777" w:rsidR="002F5D7E" w:rsidRPr="00C7419B" w:rsidRDefault="002F5D7E" w:rsidP="00212A91">
            <w:pPr>
              <w:jc w:val="center"/>
              <w:rPr>
                <w:szCs w:val="24"/>
              </w:rPr>
            </w:pPr>
          </w:p>
        </w:tc>
        <w:tc>
          <w:tcPr>
            <w:tcW w:w="2610" w:type="dxa"/>
            <w:tcBorders>
              <w:right w:val="double" w:sz="4" w:space="0" w:color="auto"/>
            </w:tcBorders>
            <w:vAlign w:val="center"/>
          </w:tcPr>
          <w:p w14:paraId="28EF08CA" w14:textId="77777777" w:rsidR="002F5D7E" w:rsidRPr="00C7419B" w:rsidRDefault="004A4B07">
            <w:pPr>
              <w:rPr>
                <w:szCs w:val="24"/>
              </w:rPr>
            </w:pPr>
            <w:r w:rsidRPr="00C7419B">
              <w:rPr>
                <w:szCs w:val="24"/>
              </w:rPr>
              <w:t>F</w:t>
            </w:r>
            <w:r w:rsidR="007A46D5" w:rsidRPr="00C7419B">
              <w:rPr>
                <w:szCs w:val="24"/>
              </w:rPr>
              <w:t xml:space="preserve">enceline monitoring required by MACT CC </w:t>
            </w:r>
          </w:p>
        </w:tc>
      </w:tr>
      <w:tr w:rsidR="002F5D7E" w:rsidRPr="00C7419B" w14:paraId="01B50FEB" w14:textId="77777777" w:rsidTr="00C70D07">
        <w:trPr>
          <w:cantSplit/>
          <w:trHeight w:val="400"/>
        </w:trPr>
        <w:tc>
          <w:tcPr>
            <w:tcW w:w="5490" w:type="dxa"/>
            <w:tcBorders>
              <w:left w:val="double" w:sz="4" w:space="0" w:color="auto"/>
            </w:tcBorders>
            <w:vAlign w:val="center"/>
          </w:tcPr>
          <w:p w14:paraId="720C289D" w14:textId="77777777" w:rsidR="002F5D7E" w:rsidRPr="00C7419B" w:rsidRDefault="002F5D7E" w:rsidP="009E51EB">
            <w:pPr>
              <w:rPr>
                <w:szCs w:val="24"/>
              </w:rPr>
            </w:pPr>
            <w:r w:rsidRPr="00C7419B">
              <w:rPr>
                <w:szCs w:val="24"/>
              </w:rPr>
              <w:t>COMS Required</w:t>
            </w:r>
          </w:p>
        </w:tc>
        <w:tc>
          <w:tcPr>
            <w:tcW w:w="720" w:type="dxa"/>
            <w:vAlign w:val="center"/>
          </w:tcPr>
          <w:p w14:paraId="577EFFCD" w14:textId="77777777" w:rsidR="002F5D7E" w:rsidRPr="00C7419B" w:rsidRDefault="0000272A" w:rsidP="00212A91">
            <w:pPr>
              <w:jc w:val="center"/>
              <w:rPr>
                <w:szCs w:val="24"/>
              </w:rPr>
            </w:pPr>
            <w:r w:rsidRPr="00C7419B">
              <w:rPr>
                <w:szCs w:val="24"/>
              </w:rPr>
              <w:t>X</w:t>
            </w:r>
          </w:p>
        </w:tc>
        <w:tc>
          <w:tcPr>
            <w:tcW w:w="630" w:type="dxa"/>
            <w:vAlign w:val="center"/>
          </w:tcPr>
          <w:p w14:paraId="3E28438C" w14:textId="77777777" w:rsidR="002F5D7E" w:rsidRPr="00C7419B" w:rsidRDefault="002F5D7E" w:rsidP="00212A91">
            <w:pPr>
              <w:jc w:val="center"/>
              <w:rPr>
                <w:szCs w:val="24"/>
              </w:rPr>
            </w:pPr>
          </w:p>
        </w:tc>
        <w:tc>
          <w:tcPr>
            <w:tcW w:w="2610" w:type="dxa"/>
            <w:tcBorders>
              <w:right w:val="double" w:sz="4" w:space="0" w:color="auto"/>
            </w:tcBorders>
            <w:vAlign w:val="center"/>
          </w:tcPr>
          <w:p w14:paraId="29B4372A" w14:textId="77777777" w:rsidR="002F5D7E" w:rsidRPr="00C7419B" w:rsidRDefault="0000272A" w:rsidP="009E51EB">
            <w:pPr>
              <w:rPr>
                <w:szCs w:val="24"/>
              </w:rPr>
            </w:pPr>
            <w:r w:rsidRPr="00C7419B">
              <w:rPr>
                <w:szCs w:val="24"/>
              </w:rPr>
              <w:t>40 CFR Part 51</w:t>
            </w:r>
          </w:p>
        </w:tc>
      </w:tr>
      <w:tr w:rsidR="002F5D7E" w:rsidRPr="00C7419B" w14:paraId="47C390CB" w14:textId="77777777" w:rsidTr="00C70D07">
        <w:trPr>
          <w:cantSplit/>
          <w:trHeight w:val="400"/>
        </w:trPr>
        <w:tc>
          <w:tcPr>
            <w:tcW w:w="5490" w:type="dxa"/>
            <w:tcBorders>
              <w:left w:val="double" w:sz="4" w:space="0" w:color="auto"/>
            </w:tcBorders>
            <w:vAlign w:val="center"/>
          </w:tcPr>
          <w:p w14:paraId="1A304CB1" w14:textId="77777777" w:rsidR="002F5D7E" w:rsidRPr="00C7419B" w:rsidRDefault="002F5D7E" w:rsidP="009E51EB">
            <w:pPr>
              <w:rPr>
                <w:szCs w:val="24"/>
              </w:rPr>
            </w:pPr>
            <w:r w:rsidRPr="00C7419B">
              <w:rPr>
                <w:szCs w:val="24"/>
              </w:rPr>
              <w:t>CEMS Required</w:t>
            </w:r>
          </w:p>
        </w:tc>
        <w:tc>
          <w:tcPr>
            <w:tcW w:w="720" w:type="dxa"/>
            <w:vAlign w:val="center"/>
          </w:tcPr>
          <w:p w14:paraId="49FADD1F" w14:textId="77777777" w:rsidR="002F5D7E" w:rsidRPr="00C7419B" w:rsidRDefault="0074420E" w:rsidP="00212A91">
            <w:pPr>
              <w:jc w:val="center"/>
              <w:rPr>
                <w:szCs w:val="24"/>
              </w:rPr>
            </w:pPr>
            <w:r w:rsidRPr="00C7419B">
              <w:rPr>
                <w:szCs w:val="24"/>
              </w:rPr>
              <w:t>X</w:t>
            </w:r>
          </w:p>
        </w:tc>
        <w:tc>
          <w:tcPr>
            <w:tcW w:w="630" w:type="dxa"/>
            <w:vAlign w:val="center"/>
          </w:tcPr>
          <w:p w14:paraId="3801CF4B" w14:textId="77777777" w:rsidR="002F5D7E" w:rsidRPr="00C7419B" w:rsidRDefault="002F5D7E" w:rsidP="00212A91">
            <w:pPr>
              <w:jc w:val="center"/>
              <w:rPr>
                <w:szCs w:val="24"/>
              </w:rPr>
            </w:pPr>
          </w:p>
        </w:tc>
        <w:tc>
          <w:tcPr>
            <w:tcW w:w="2610" w:type="dxa"/>
            <w:tcBorders>
              <w:right w:val="double" w:sz="4" w:space="0" w:color="auto"/>
            </w:tcBorders>
            <w:vAlign w:val="center"/>
          </w:tcPr>
          <w:p w14:paraId="387A52B4" w14:textId="77777777" w:rsidR="002F5D7E" w:rsidRPr="00C7419B" w:rsidRDefault="002F5D7E" w:rsidP="009E51EB">
            <w:pPr>
              <w:rPr>
                <w:szCs w:val="24"/>
              </w:rPr>
            </w:pPr>
          </w:p>
        </w:tc>
      </w:tr>
      <w:tr w:rsidR="002F5D7E" w:rsidRPr="00C7419B" w14:paraId="5BB67628" w14:textId="77777777" w:rsidTr="00C70D07">
        <w:trPr>
          <w:cantSplit/>
          <w:trHeight w:val="400"/>
        </w:trPr>
        <w:tc>
          <w:tcPr>
            <w:tcW w:w="5490" w:type="dxa"/>
            <w:tcBorders>
              <w:left w:val="double" w:sz="4" w:space="0" w:color="auto"/>
            </w:tcBorders>
            <w:vAlign w:val="center"/>
          </w:tcPr>
          <w:p w14:paraId="34968793" w14:textId="77777777" w:rsidR="002F5D7E" w:rsidRPr="00C7419B" w:rsidRDefault="002F5D7E" w:rsidP="009E51EB">
            <w:pPr>
              <w:rPr>
                <w:szCs w:val="24"/>
              </w:rPr>
            </w:pPr>
            <w:r w:rsidRPr="00C7419B">
              <w:rPr>
                <w:szCs w:val="24"/>
              </w:rPr>
              <w:t>Schedule of Compliance Required</w:t>
            </w:r>
          </w:p>
        </w:tc>
        <w:tc>
          <w:tcPr>
            <w:tcW w:w="720" w:type="dxa"/>
            <w:vAlign w:val="center"/>
          </w:tcPr>
          <w:p w14:paraId="0DDBE55A" w14:textId="45E0D974" w:rsidR="002F5D7E" w:rsidRPr="00C7419B" w:rsidRDefault="00491ECF" w:rsidP="00212A91">
            <w:pPr>
              <w:jc w:val="center"/>
              <w:rPr>
                <w:szCs w:val="24"/>
              </w:rPr>
            </w:pPr>
            <w:r w:rsidRPr="00C7419B">
              <w:rPr>
                <w:szCs w:val="24"/>
              </w:rPr>
              <w:t>X</w:t>
            </w:r>
          </w:p>
        </w:tc>
        <w:tc>
          <w:tcPr>
            <w:tcW w:w="630" w:type="dxa"/>
            <w:vAlign w:val="center"/>
          </w:tcPr>
          <w:p w14:paraId="47FA6418" w14:textId="77115BA5" w:rsidR="002F5D7E" w:rsidRPr="00C7419B" w:rsidRDefault="002F5D7E" w:rsidP="00212A91">
            <w:pPr>
              <w:jc w:val="center"/>
              <w:rPr>
                <w:szCs w:val="24"/>
              </w:rPr>
            </w:pPr>
          </w:p>
        </w:tc>
        <w:tc>
          <w:tcPr>
            <w:tcW w:w="2610" w:type="dxa"/>
            <w:tcBorders>
              <w:right w:val="double" w:sz="4" w:space="0" w:color="auto"/>
            </w:tcBorders>
            <w:vAlign w:val="center"/>
          </w:tcPr>
          <w:p w14:paraId="6BDEC19C" w14:textId="1A8B1B3E" w:rsidR="002F5D7E" w:rsidRPr="00C7419B" w:rsidRDefault="00491ECF" w:rsidP="009E51EB">
            <w:pPr>
              <w:rPr>
                <w:szCs w:val="24"/>
              </w:rPr>
            </w:pPr>
            <w:r w:rsidRPr="00C7419B">
              <w:rPr>
                <w:szCs w:val="24"/>
              </w:rPr>
              <w:t>A schedule of compliance as required by the consent decree was submitted in the underlying significant modification application.</w:t>
            </w:r>
            <w:r w:rsidR="00E63899" w:rsidRPr="00C7419B">
              <w:rPr>
                <w:szCs w:val="24"/>
              </w:rPr>
              <w:t xml:space="preserve">  The relevant portions </w:t>
            </w:r>
            <w:r w:rsidR="00953C84" w:rsidRPr="00C7419B">
              <w:rPr>
                <w:szCs w:val="24"/>
              </w:rPr>
              <w:t xml:space="preserve">of the schedule </w:t>
            </w:r>
            <w:r w:rsidR="00E63899" w:rsidRPr="00C7419B">
              <w:rPr>
                <w:szCs w:val="24"/>
              </w:rPr>
              <w:t>were</w:t>
            </w:r>
            <w:r w:rsidR="00953C84" w:rsidRPr="00C7419B">
              <w:rPr>
                <w:szCs w:val="24"/>
              </w:rPr>
              <w:t xml:space="preserve"> </w:t>
            </w:r>
            <w:r w:rsidR="00E63899" w:rsidRPr="00C7419B">
              <w:rPr>
                <w:szCs w:val="24"/>
              </w:rPr>
              <w:t xml:space="preserve">incorporated as conditions. </w:t>
            </w:r>
          </w:p>
        </w:tc>
      </w:tr>
      <w:tr w:rsidR="002F5D7E" w:rsidRPr="00C7419B" w14:paraId="1A4C8A51" w14:textId="77777777" w:rsidTr="00C70D07">
        <w:trPr>
          <w:cantSplit/>
          <w:trHeight w:val="400"/>
        </w:trPr>
        <w:tc>
          <w:tcPr>
            <w:tcW w:w="5490" w:type="dxa"/>
            <w:tcBorders>
              <w:left w:val="double" w:sz="4" w:space="0" w:color="auto"/>
            </w:tcBorders>
            <w:vAlign w:val="center"/>
          </w:tcPr>
          <w:p w14:paraId="01DFB95F" w14:textId="4294493A" w:rsidR="002F5D7E" w:rsidRPr="00C7419B" w:rsidRDefault="00491ECF" w:rsidP="009E51EB">
            <w:pPr>
              <w:rPr>
                <w:szCs w:val="24"/>
              </w:rPr>
            </w:pPr>
            <w:r w:rsidRPr="00C7419B">
              <w:rPr>
                <w:szCs w:val="24"/>
              </w:rPr>
              <w:t>Semi-a</w:t>
            </w:r>
            <w:r w:rsidR="002F5D7E" w:rsidRPr="00C7419B">
              <w:rPr>
                <w:szCs w:val="24"/>
              </w:rPr>
              <w:t>nnual Compliance Certification Required</w:t>
            </w:r>
          </w:p>
        </w:tc>
        <w:tc>
          <w:tcPr>
            <w:tcW w:w="720" w:type="dxa"/>
            <w:vAlign w:val="center"/>
          </w:tcPr>
          <w:p w14:paraId="7ED72702" w14:textId="77777777" w:rsidR="002F5D7E" w:rsidRPr="00C7419B" w:rsidRDefault="0074420E" w:rsidP="00212A91">
            <w:pPr>
              <w:jc w:val="center"/>
              <w:rPr>
                <w:szCs w:val="24"/>
              </w:rPr>
            </w:pPr>
            <w:r w:rsidRPr="00C7419B">
              <w:rPr>
                <w:szCs w:val="24"/>
              </w:rPr>
              <w:t>X</w:t>
            </w:r>
          </w:p>
        </w:tc>
        <w:tc>
          <w:tcPr>
            <w:tcW w:w="630" w:type="dxa"/>
            <w:vAlign w:val="center"/>
          </w:tcPr>
          <w:p w14:paraId="1F006C18" w14:textId="77777777" w:rsidR="002F5D7E" w:rsidRPr="00C7419B" w:rsidRDefault="002F5D7E" w:rsidP="00212A91">
            <w:pPr>
              <w:jc w:val="center"/>
              <w:rPr>
                <w:szCs w:val="24"/>
              </w:rPr>
            </w:pPr>
          </w:p>
        </w:tc>
        <w:tc>
          <w:tcPr>
            <w:tcW w:w="2610" w:type="dxa"/>
            <w:tcBorders>
              <w:right w:val="double" w:sz="4" w:space="0" w:color="auto"/>
            </w:tcBorders>
            <w:vAlign w:val="center"/>
          </w:tcPr>
          <w:p w14:paraId="6E3FA291" w14:textId="77777777" w:rsidR="002F5D7E" w:rsidRPr="00C7419B" w:rsidRDefault="002F5D7E" w:rsidP="009E51EB">
            <w:pPr>
              <w:rPr>
                <w:szCs w:val="24"/>
              </w:rPr>
            </w:pPr>
          </w:p>
        </w:tc>
      </w:tr>
      <w:tr w:rsidR="002F5D7E" w:rsidRPr="00C7419B" w14:paraId="7273DA3C" w14:textId="77777777" w:rsidTr="00C70D07">
        <w:trPr>
          <w:cantSplit/>
          <w:trHeight w:val="400"/>
        </w:trPr>
        <w:tc>
          <w:tcPr>
            <w:tcW w:w="5490" w:type="dxa"/>
            <w:tcBorders>
              <w:left w:val="double" w:sz="4" w:space="0" w:color="auto"/>
            </w:tcBorders>
            <w:vAlign w:val="center"/>
          </w:tcPr>
          <w:p w14:paraId="0562FFCC" w14:textId="77777777" w:rsidR="002F5D7E" w:rsidRPr="00C7419B" w:rsidRDefault="002F5D7E" w:rsidP="009E51EB">
            <w:pPr>
              <w:rPr>
                <w:szCs w:val="24"/>
              </w:rPr>
            </w:pPr>
            <w:r w:rsidRPr="00C7419B">
              <w:rPr>
                <w:szCs w:val="24"/>
              </w:rPr>
              <w:t>Monthly Reporting Required</w:t>
            </w:r>
          </w:p>
        </w:tc>
        <w:tc>
          <w:tcPr>
            <w:tcW w:w="720" w:type="dxa"/>
            <w:vAlign w:val="center"/>
          </w:tcPr>
          <w:p w14:paraId="41FBFBB1" w14:textId="77777777" w:rsidR="002F5D7E" w:rsidRPr="00C7419B" w:rsidRDefault="002F5D7E" w:rsidP="00212A91">
            <w:pPr>
              <w:jc w:val="center"/>
              <w:rPr>
                <w:szCs w:val="24"/>
              </w:rPr>
            </w:pPr>
          </w:p>
        </w:tc>
        <w:tc>
          <w:tcPr>
            <w:tcW w:w="630" w:type="dxa"/>
            <w:vAlign w:val="center"/>
          </w:tcPr>
          <w:p w14:paraId="7AF3932F" w14:textId="77777777" w:rsidR="002F5D7E" w:rsidRPr="00C7419B" w:rsidRDefault="0074420E" w:rsidP="00212A91">
            <w:pPr>
              <w:jc w:val="center"/>
              <w:rPr>
                <w:szCs w:val="24"/>
              </w:rPr>
            </w:pPr>
            <w:r w:rsidRPr="00C7419B">
              <w:rPr>
                <w:szCs w:val="24"/>
              </w:rPr>
              <w:t>X</w:t>
            </w:r>
          </w:p>
        </w:tc>
        <w:tc>
          <w:tcPr>
            <w:tcW w:w="2610" w:type="dxa"/>
            <w:tcBorders>
              <w:right w:val="double" w:sz="4" w:space="0" w:color="auto"/>
            </w:tcBorders>
            <w:vAlign w:val="center"/>
          </w:tcPr>
          <w:p w14:paraId="6D6262C4" w14:textId="77777777" w:rsidR="002F5D7E" w:rsidRPr="00C7419B" w:rsidRDefault="002F5D7E" w:rsidP="009E51EB">
            <w:pPr>
              <w:rPr>
                <w:szCs w:val="24"/>
              </w:rPr>
            </w:pPr>
          </w:p>
        </w:tc>
      </w:tr>
      <w:tr w:rsidR="002F5D7E" w:rsidRPr="00C7419B" w14:paraId="4E52A8C7" w14:textId="77777777" w:rsidTr="00C70D07">
        <w:trPr>
          <w:cantSplit/>
          <w:trHeight w:val="400"/>
        </w:trPr>
        <w:tc>
          <w:tcPr>
            <w:tcW w:w="5490" w:type="dxa"/>
            <w:tcBorders>
              <w:left w:val="double" w:sz="4" w:space="0" w:color="auto"/>
              <w:bottom w:val="double" w:sz="4" w:space="0" w:color="auto"/>
            </w:tcBorders>
            <w:vAlign w:val="center"/>
          </w:tcPr>
          <w:p w14:paraId="61881253" w14:textId="77777777" w:rsidR="002F5D7E" w:rsidRPr="00C7419B" w:rsidRDefault="002F5D7E" w:rsidP="009E51EB">
            <w:pPr>
              <w:rPr>
                <w:szCs w:val="24"/>
              </w:rPr>
            </w:pPr>
            <w:r w:rsidRPr="00C7419B">
              <w:rPr>
                <w:szCs w:val="24"/>
              </w:rPr>
              <w:t>Quarterly Reporting Required</w:t>
            </w:r>
          </w:p>
        </w:tc>
        <w:tc>
          <w:tcPr>
            <w:tcW w:w="720" w:type="dxa"/>
            <w:tcBorders>
              <w:bottom w:val="double" w:sz="4" w:space="0" w:color="auto"/>
            </w:tcBorders>
            <w:vAlign w:val="center"/>
          </w:tcPr>
          <w:p w14:paraId="3C33F4F6" w14:textId="4DCA0C03" w:rsidR="002F5D7E" w:rsidRPr="00C7419B" w:rsidRDefault="002F5D7E" w:rsidP="00212A91">
            <w:pPr>
              <w:jc w:val="center"/>
              <w:rPr>
                <w:szCs w:val="24"/>
              </w:rPr>
            </w:pPr>
          </w:p>
        </w:tc>
        <w:tc>
          <w:tcPr>
            <w:tcW w:w="630" w:type="dxa"/>
            <w:tcBorders>
              <w:bottom w:val="double" w:sz="4" w:space="0" w:color="auto"/>
            </w:tcBorders>
            <w:vAlign w:val="center"/>
          </w:tcPr>
          <w:p w14:paraId="3049500B" w14:textId="1EC85C6C" w:rsidR="002F5D7E" w:rsidRPr="00C7419B" w:rsidRDefault="00491ECF" w:rsidP="00212A91">
            <w:pPr>
              <w:jc w:val="center"/>
              <w:rPr>
                <w:szCs w:val="24"/>
              </w:rPr>
            </w:pPr>
            <w:r w:rsidRPr="00C7419B">
              <w:rPr>
                <w:szCs w:val="24"/>
              </w:rPr>
              <w:t>X</w:t>
            </w:r>
          </w:p>
        </w:tc>
        <w:tc>
          <w:tcPr>
            <w:tcW w:w="2610" w:type="dxa"/>
            <w:tcBorders>
              <w:bottom w:val="double" w:sz="4" w:space="0" w:color="auto"/>
              <w:right w:val="double" w:sz="4" w:space="0" w:color="auto"/>
            </w:tcBorders>
            <w:vAlign w:val="center"/>
          </w:tcPr>
          <w:p w14:paraId="4FBDD49A" w14:textId="77777777" w:rsidR="002F5D7E" w:rsidRPr="00C7419B" w:rsidRDefault="002F5D7E" w:rsidP="009E51EB">
            <w:pPr>
              <w:rPr>
                <w:szCs w:val="24"/>
              </w:rPr>
            </w:pPr>
          </w:p>
          <w:p w14:paraId="39FE1D4E" w14:textId="77777777" w:rsidR="00284EFD" w:rsidRPr="00C7419B" w:rsidRDefault="00284EFD" w:rsidP="00284EFD">
            <w:pPr>
              <w:rPr>
                <w:szCs w:val="24"/>
              </w:rPr>
            </w:pPr>
          </w:p>
          <w:p w14:paraId="5C7BED22" w14:textId="77777777" w:rsidR="00284EFD" w:rsidRPr="00C7419B" w:rsidRDefault="00284EFD" w:rsidP="00284EFD">
            <w:pPr>
              <w:rPr>
                <w:szCs w:val="24"/>
              </w:rPr>
            </w:pPr>
          </w:p>
          <w:p w14:paraId="063F3ED9" w14:textId="77777777" w:rsidR="00E11183" w:rsidRPr="00C7419B" w:rsidRDefault="00E11183" w:rsidP="00284EFD">
            <w:pPr>
              <w:rPr>
                <w:szCs w:val="24"/>
              </w:rPr>
            </w:pPr>
          </w:p>
          <w:p w14:paraId="0AE7B283" w14:textId="77777777" w:rsidR="00E11183" w:rsidRPr="00C7419B" w:rsidRDefault="00E11183" w:rsidP="00284EFD">
            <w:pPr>
              <w:rPr>
                <w:szCs w:val="24"/>
              </w:rPr>
            </w:pPr>
          </w:p>
          <w:p w14:paraId="3133A4A8" w14:textId="77777777" w:rsidR="00E11183" w:rsidRPr="00C7419B" w:rsidRDefault="00E11183" w:rsidP="00284EFD">
            <w:pPr>
              <w:rPr>
                <w:szCs w:val="24"/>
              </w:rPr>
            </w:pPr>
          </w:p>
          <w:p w14:paraId="3809CB23" w14:textId="77777777" w:rsidR="00E11183" w:rsidRPr="00C7419B" w:rsidRDefault="00E11183" w:rsidP="00284EFD">
            <w:pPr>
              <w:rPr>
                <w:szCs w:val="24"/>
              </w:rPr>
            </w:pPr>
          </w:p>
          <w:p w14:paraId="4DA68D59" w14:textId="77777777" w:rsidR="00E11183" w:rsidRPr="00C7419B" w:rsidRDefault="00E11183" w:rsidP="00284EFD">
            <w:pPr>
              <w:rPr>
                <w:szCs w:val="24"/>
              </w:rPr>
            </w:pPr>
          </w:p>
          <w:p w14:paraId="0AD930CF" w14:textId="77777777" w:rsidR="00284EFD" w:rsidRPr="00C7419B" w:rsidRDefault="00284EFD" w:rsidP="00284EFD">
            <w:pPr>
              <w:rPr>
                <w:szCs w:val="24"/>
              </w:rPr>
            </w:pPr>
          </w:p>
          <w:p w14:paraId="2171199D" w14:textId="77777777" w:rsidR="00284EFD" w:rsidRDefault="00284EFD" w:rsidP="00284EFD">
            <w:pPr>
              <w:rPr>
                <w:szCs w:val="24"/>
              </w:rPr>
            </w:pPr>
          </w:p>
          <w:p w14:paraId="07908533" w14:textId="77777777" w:rsidR="006244EF" w:rsidRPr="006244EF" w:rsidRDefault="006244EF" w:rsidP="006244EF">
            <w:pPr>
              <w:rPr>
                <w:szCs w:val="24"/>
              </w:rPr>
            </w:pPr>
          </w:p>
        </w:tc>
      </w:tr>
      <w:tr w:rsidR="00131596" w:rsidRPr="00C7419B" w14:paraId="2D6CBDFD" w14:textId="77777777" w:rsidTr="00C70D07">
        <w:trPr>
          <w:cantSplit/>
          <w:trHeight w:val="400"/>
        </w:trPr>
        <w:tc>
          <w:tcPr>
            <w:tcW w:w="9450" w:type="dxa"/>
            <w:gridSpan w:val="4"/>
            <w:tcBorders>
              <w:top w:val="double" w:sz="4" w:space="0" w:color="auto"/>
              <w:left w:val="double" w:sz="4" w:space="0" w:color="auto"/>
              <w:bottom w:val="double" w:sz="4" w:space="0" w:color="auto"/>
              <w:right w:val="double" w:sz="4" w:space="0" w:color="auto"/>
            </w:tcBorders>
          </w:tcPr>
          <w:p w14:paraId="50A39A21" w14:textId="77777777" w:rsidR="00131596" w:rsidRPr="00C7419B" w:rsidRDefault="00131596" w:rsidP="009E51EB">
            <w:pPr>
              <w:jc w:val="center"/>
              <w:rPr>
                <w:b/>
                <w:szCs w:val="24"/>
              </w:rPr>
            </w:pPr>
            <w:r w:rsidRPr="00C7419B">
              <w:rPr>
                <w:b/>
                <w:szCs w:val="24"/>
              </w:rPr>
              <w:lastRenderedPageBreak/>
              <w:t>Applicable Air Quality Programs</w:t>
            </w:r>
          </w:p>
          <w:p w14:paraId="1DA4F007" w14:textId="77777777" w:rsidR="00C61692" w:rsidRPr="00C7419B" w:rsidRDefault="00C61692" w:rsidP="00C61692">
            <w:pPr>
              <w:tabs>
                <w:tab w:val="left" w:pos="8211"/>
              </w:tabs>
              <w:rPr>
                <w:szCs w:val="24"/>
              </w:rPr>
            </w:pPr>
            <w:r w:rsidRPr="00C7419B">
              <w:rPr>
                <w:szCs w:val="24"/>
              </w:rPr>
              <w:tab/>
            </w:r>
          </w:p>
          <w:p w14:paraId="5421BD6C" w14:textId="2F5CCC37" w:rsidR="00284EFD" w:rsidRPr="00C7419B" w:rsidRDefault="00284EFD" w:rsidP="00446894">
            <w:pPr>
              <w:rPr>
                <w:szCs w:val="24"/>
              </w:rPr>
            </w:pPr>
          </w:p>
        </w:tc>
      </w:tr>
      <w:tr w:rsidR="002F5D7E" w:rsidRPr="00C7419B" w14:paraId="44C4D237" w14:textId="77777777" w:rsidTr="00C70D07">
        <w:trPr>
          <w:cantSplit/>
          <w:trHeight w:val="780"/>
        </w:trPr>
        <w:tc>
          <w:tcPr>
            <w:tcW w:w="5490" w:type="dxa"/>
            <w:tcBorders>
              <w:top w:val="double" w:sz="4" w:space="0" w:color="auto"/>
              <w:left w:val="double" w:sz="4" w:space="0" w:color="auto"/>
            </w:tcBorders>
            <w:vAlign w:val="center"/>
          </w:tcPr>
          <w:p w14:paraId="3FC16003" w14:textId="77777777" w:rsidR="00BC552A" w:rsidRPr="00C7419B" w:rsidRDefault="002F5D7E" w:rsidP="009E51EB">
            <w:pPr>
              <w:rPr>
                <w:szCs w:val="24"/>
              </w:rPr>
            </w:pPr>
            <w:r w:rsidRPr="00C7419B">
              <w:rPr>
                <w:szCs w:val="24"/>
              </w:rPr>
              <w:t>ARM Subchapter 7 – Montana Air Quality Permit (MAQP)</w:t>
            </w:r>
          </w:p>
          <w:p w14:paraId="788D2967" w14:textId="77777777" w:rsidR="00BC552A" w:rsidRPr="00C7419B" w:rsidRDefault="00BC552A" w:rsidP="00BC552A">
            <w:pPr>
              <w:rPr>
                <w:szCs w:val="24"/>
              </w:rPr>
            </w:pPr>
          </w:p>
          <w:p w14:paraId="5A7A5E36" w14:textId="77777777" w:rsidR="00BC552A" w:rsidRPr="00C7419B" w:rsidRDefault="00BC552A" w:rsidP="00BC552A">
            <w:pPr>
              <w:rPr>
                <w:szCs w:val="24"/>
              </w:rPr>
            </w:pPr>
          </w:p>
          <w:p w14:paraId="237D18F5" w14:textId="77777777" w:rsidR="00BC552A" w:rsidRPr="00C7419B" w:rsidRDefault="00BC552A" w:rsidP="00BC552A">
            <w:pPr>
              <w:rPr>
                <w:szCs w:val="24"/>
              </w:rPr>
            </w:pPr>
          </w:p>
          <w:p w14:paraId="11333298" w14:textId="77777777" w:rsidR="00BC552A" w:rsidRPr="00C7419B" w:rsidRDefault="00BC552A" w:rsidP="00BC552A">
            <w:pPr>
              <w:rPr>
                <w:szCs w:val="24"/>
              </w:rPr>
            </w:pPr>
          </w:p>
          <w:p w14:paraId="74289E8C" w14:textId="77777777" w:rsidR="00BC552A" w:rsidRPr="00C7419B" w:rsidRDefault="00BC552A" w:rsidP="00BC552A">
            <w:pPr>
              <w:rPr>
                <w:szCs w:val="24"/>
              </w:rPr>
            </w:pPr>
          </w:p>
          <w:p w14:paraId="55575CF1" w14:textId="77777777" w:rsidR="00BC552A" w:rsidRPr="00C7419B" w:rsidRDefault="00BC552A" w:rsidP="00BC552A">
            <w:pPr>
              <w:rPr>
                <w:szCs w:val="24"/>
              </w:rPr>
            </w:pPr>
          </w:p>
          <w:p w14:paraId="13955B9A" w14:textId="77777777" w:rsidR="00BC552A" w:rsidRPr="00C7419B" w:rsidRDefault="00BC552A" w:rsidP="00BC552A">
            <w:pPr>
              <w:rPr>
                <w:szCs w:val="24"/>
              </w:rPr>
            </w:pPr>
          </w:p>
          <w:p w14:paraId="63E7D273" w14:textId="77777777" w:rsidR="00BC552A" w:rsidRPr="00C7419B" w:rsidRDefault="00BC552A" w:rsidP="00BC552A">
            <w:pPr>
              <w:rPr>
                <w:szCs w:val="24"/>
              </w:rPr>
            </w:pPr>
          </w:p>
          <w:p w14:paraId="4F8165C3" w14:textId="77777777" w:rsidR="00BC552A" w:rsidRPr="00C7419B" w:rsidRDefault="00BC552A" w:rsidP="00BC552A">
            <w:pPr>
              <w:rPr>
                <w:szCs w:val="24"/>
              </w:rPr>
            </w:pPr>
          </w:p>
          <w:p w14:paraId="3229B777" w14:textId="77777777" w:rsidR="00BC552A" w:rsidRPr="00C7419B" w:rsidRDefault="00BC552A" w:rsidP="00BC552A">
            <w:pPr>
              <w:rPr>
                <w:szCs w:val="24"/>
              </w:rPr>
            </w:pPr>
          </w:p>
          <w:p w14:paraId="057030F7" w14:textId="77777777" w:rsidR="00BC552A" w:rsidRPr="00C7419B" w:rsidRDefault="00BC552A" w:rsidP="00BC552A">
            <w:pPr>
              <w:rPr>
                <w:szCs w:val="24"/>
              </w:rPr>
            </w:pPr>
          </w:p>
          <w:p w14:paraId="3C133A50" w14:textId="77777777" w:rsidR="00BC552A" w:rsidRPr="00C7419B" w:rsidRDefault="00BC552A" w:rsidP="00BC552A">
            <w:pPr>
              <w:rPr>
                <w:szCs w:val="24"/>
              </w:rPr>
            </w:pPr>
          </w:p>
          <w:p w14:paraId="48B0ECF3" w14:textId="77777777" w:rsidR="002F5D7E" w:rsidRPr="00C7419B" w:rsidRDefault="002F5D7E" w:rsidP="00BC552A">
            <w:pPr>
              <w:ind w:firstLine="720"/>
              <w:rPr>
                <w:szCs w:val="24"/>
              </w:rPr>
            </w:pPr>
          </w:p>
        </w:tc>
        <w:tc>
          <w:tcPr>
            <w:tcW w:w="720" w:type="dxa"/>
            <w:tcBorders>
              <w:top w:val="double" w:sz="4" w:space="0" w:color="auto"/>
            </w:tcBorders>
            <w:vAlign w:val="center"/>
          </w:tcPr>
          <w:p w14:paraId="467EF09B" w14:textId="77777777" w:rsidR="002F5D7E" w:rsidRPr="00C7419B" w:rsidRDefault="0074420E" w:rsidP="00212A91">
            <w:pPr>
              <w:jc w:val="center"/>
              <w:rPr>
                <w:szCs w:val="24"/>
              </w:rPr>
            </w:pPr>
            <w:r w:rsidRPr="00C7419B">
              <w:rPr>
                <w:szCs w:val="24"/>
              </w:rPr>
              <w:t>X</w:t>
            </w:r>
          </w:p>
        </w:tc>
        <w:tc>
          <w:tcPr>
            <w:tcW w:w="630" w:type="dxa"/>
            <w:tcBorders>
              <w:top w:val="double" w:sz="4" w:space="0" w:color="auto"/>
            </w:tcBorders>
            <w:vAlign w:val="center"/>
          </w:tcPr>
          <w:p w14:paraId="0EE14B58" w14:textId="77777777" w:rsidR="002F5D7E" w:rsidRPr="00C7419B" w:rsidRDefault="002F5D7E" w:rsidP="00212A91">
            <w:pPr>
              <w:jc w:val="center"/>
              <w:rPr>
                <w:szCs w:val="24"/>
              </w:rPr>
            </w:pPr>
          </w:p>
        </w:tc>
        <w:tc>
          <w:tcPr>
            <w:tcW w:w="2610" w:type="dxa"/>
            <w:tcBorders>
              <w:top w:val="double" w:sz="4" w:space="0" w:color="auto"/>
              <w:right w:val="double" w:sz="4" w:space="0" w:color="auto"/>
            </w:tcBorders>
            <w:vAlign w:val="center"/>
          </w:tcPr>
          <w:p w14:paraId="74142B0F" w14:textId="5F333301" w:rsidR="002F5D7E" w:rsidRPr="00C7419B" w:rsidRDefault="0074420E" w:rsidP="002A0CC5">
            <w:pPr>
              <w:rPr>
                <w:szCs w:val="24"/>
              </w:rPr>
            </w:pPr>
            <w:r w:rsidRPr="00C7419B">
              <w:rPr>
                <w:szCs w:val="24"/>
              </w:rPr>
              <w:t>MAQP#2</w:t>
            </w:r>
            <w:r w:rsidR="00284EFD" w:rsidRPr="00C7419B">
              <w:rPr>
                <w:szCs w:val="24"/>
              </w:rPr>
              <w:t>619</w:t>
            </w:r>
          </w:p>
        </w:tc>
      </w:tr>
      <w:tr w:rsidR="002F5D7E" w:rsidRPr="00C7419B" w14:paraId="08F1F048" w14:textId="77777777" w:rsidTr="00C70D07">
        <w:trPr>
          <w:cantSplit/>
          <w:trHeight w:val="400"/>
        </w:trPr>
        <w:tc>
          <w:tcPr>
            <w:tcW w:w="5490" w:type="dxa"/>
            <w:tcBorders>
              <w:left w:val="double" w:sz="4" w:space="0" w:color="auto"/>
            </w:tcBorders>
            <w:vAlign w:val="center"/>
          </w:tcPr>
          <w:p w14:paraId="4DC153E2" w14:textId="77777777" w:rsidR="002F5D7E" w:rsidRPr="00C7419B" w:rsidRDefault="002F5D7E" w:rsidP="009E51EB">
            <w:pPr>
              <w:rPr>
                <w:szCs w:val="24"/>
              </w:rPr>
            </w:pPr>
            <w:r w:rsidRPr="00C7419B">
              <w:rPr>
                <w:szCs w:val="24"/>
              </w:rPr>
              <w:t>New Source Performance Standards (NSPS)</w:t>
            </w:r>
          </w:p>
        </w:tc>
        <w:tc>
          <w:tcPr>
            <w:tcW w:w="720" w:type="dxa"/>
            <w:vAlign w:val="center"/>
          </w:tcPr>
          <w:p w14:paraId="0CBBDF05" w14:textId="77777777" w:rsidR="002F5D7E" w:rsidRPr="00C7419B" w:rsidRDefault="0074420E" w:rsidP="00212A91">
            <w:pPr>
              <w:jc w:val="center"/>
              <w:rPr>
                <w:szCs w:val="24"/>
              </w:rPr>
            </w:pPr>
            <w:r w:rsidRPr="00C7419B">
              <w:rPr>
                <w:szCs w:val="24"/>
              </w:rPr>
              <w:t>X</w:t>
            </w:r>
          </w:p>
        </w:tc>
        <w:tc>
          <w:tcPr>
            <w:tcW w:w="630" w:type="dxa"/>
            <w:vAlign w:val="center"/>
          </w:tcPr>
          <w:p w14:paraId="1E677518" w14:textId="77777777" w:rsidR="002F5D7E" w:rsidRPr="00C7419B" w:rsidRDefault="002F5D7E" w:rsidP="00212A91">
            <w:pPr>
              <w:jc w:val="center"/>
              <w:rPr>
                <w:szCs w:val="24"/>
              </w:rPr>
            </w:pPr>
          </w:p>
        </w:tc>
        <w:tc>
          <w:tcPr>
            <w:tcW w:w="2610" w:type="dxa"/>
            <w:tcBorders>
              <w:right w:val="double" w:sz="4" w:space="0" w:color="auto"/>
            </w:tcBorders>
            <w:vAlign w:val="center"/>
          </w:tcPr>
          <w:p w14:paraId="0203EEFE" w14:textId="77777777" w:rsidR="00E42C54" w:rsidRPr="00C7419B" w:rsidRDefault="0074420E" w:rsidP="009E51EB">
            <w:pPr>
              <w:rPr>
                <w:szCs w:val="24"/>
              </w:rPr>
            </w:pPr>
            <w:r w:rsidRPr="00C7419B">
              <w:rPr>
                <w:szCs w:val="24"/>
              </w:rPr>
              <w:t xml:space="preserve">Subpart A, </w:t>
            </w:r>
          </w:p>
          <w:p w14:paraId="6BF42E82" w14:textId="77777777" w:rsidR="00E42C54" w:rsidRPr="00C7419B" w:rsidRDefault="0074420E" w:rsidP="009E51EB">
            <w:pPr>
              <w:rPr>
                <w:szCs w:val="24"/>
              </w:rPr>
            </w:pPr>
            <w:r w:rsidRPr="00C7419B">
              <w:rPr>
                <w:szCs w:val="24"/>
              </w:rPr>
              <w:t xml:space="preserve">Subpart Db, Subpart Dc, </w:t>
            </w:r>
          </w:p>
          <w:p w14:paraId="11A91FD4" w14:textId="77777777" w:rsidR="00E42C54" w:rsidRPr="00C7419B" w:rsidRDefault="0074420E" w:rsidP="009E51EB">
            <w:pPr>
              <w:rPr>
                <w:szCs w:val="24"/>
              </w:rPr>
            </w:pPr>
            <w:r w:rsidRPr="00C7419B">
              <w:rPr>
                <w:szCs w:val="24"/>
              </w:rPr>
              <w:t>Subpart IIII, Subpart J,</w:t>
            </w:r>
          </w:p>
          <w:p w14:paraId="2036B01B" w14:textId="77777777" w:rsidR="00E42C54" w:rsidRPr="00C7419B" w:rsidRDefault="00E42C54" w:rsidP="009E51EB">
            <w:pPr>
              <w:rPr>
                <w:szCs w:val="24"/>
              </w:rPr>
            </w:pPr>
            <w:r w:rsidRPr="00C7419B">
              <w:rPr>
                <w:szCs w:val="24"/>
              </w:rPr>
              <w:t>Subpart Ja,</w:t>
            </w:r>
            <w:r w:rsidR="0074420E" w:rsidRPr="00C7419B">
              <w:rPr>
                <w:szCs w:val="24"/>
              </w:rPr>
              <w:t xml:space="preserve"> </w:t>
            </w:r>
          </w:p>
          <w:p w14:paraId="6D0EB61A" w14:textId="77777777" w:rsidR="00E42C54" w:rsidRPr="00C7419B" w:rsidRDefault="00E42C54" w:rsidP="009E51EB">
            <w:pPr>
              <w:rPr>
                <w:szCs w:val="24"/>
              </w:rPr>
            </w:pPr>
            <w:r w:rsidRPr="00C7419B">
              <w:rPr>
                <w:szCs w:val="24"/>
              </w:rPr>
              <w:t>Subpart K,</w:t>
            </w:r>
          </w:p>
          <w:p w14:paraId="686CE96C" w14:textId="77777777" w:rsidR="0074420E" w:rsidRPr="00C7419B" w:rsidRDefault="0074420E" w:rsidP="009E51EB">
            <w:pPr>
              <w:rPr>
                <w:szCs w:val="24"/>
              </w:rPr>
            </w:pPr>
            <w:r w:rsidRPr="00C7419B">
              <w:rPr>
                <w:szCs w:val="24"/>
              </w:rPr>
              <w:t>Subpart Ka,</w:t>
            </w:r>
          </w:p>
          <w:p w14:paraId="3543B651" w14:textId="77777777" w:rsidR="0074420E" w:rsidRPr="00C7419B" w:rsidRDefault="0074420E" w:rsidP="009E51EB">
            <w:pPr>
              <w:rPr>
                <w:szCs w:val="24"/>
              </w:rPr>
            </w:pPr>
            <w:r w:rsidRPr="00C7419B">
              <w:rPr>
                <w:szCs w:val="24"/>
              </w:rPr>
              <w:t xml:space="preserve">Subpart </w:t>
            </w:r>
            <w:proofErr w:type="spellStart"/>
            <w:r w:rsidRPr="00C7419B">
              <w:rPr>
                <w:szCs w:val="24"/>
              </w:rPr>
              <w:t>Kb</w:t>
            </w:r>
            <w:proofErr w:type="spellEnd"/>
            <w:r w:rsidRPr="00C7419B">
              <w:rPr>
                <w:szCs w:val="24"/>
              </w:rPr>
              <w:t xml:space="preserve">, </w:t>
            </w:r>
            <w:r w:rsidRPr="00C7419B">
              <w:rPr>
                <w:szCs w:val="24"/>
              </w:rPr>
              <w:br/>
              <w:t>Subpart UU,</w:t>
            </w:r>
          </w:p>
          <w:p w14:paraId="01B6125A" w14:textId="77777777" w:rsidR="00E42C54" w:rsidRPr="00C7419B" w:rsidRDefault="0074420E" w:rsidP="009E51EB">
            <w:pPr>
              <w:rPr>
                <w:szCs w:val="24"/>
              </w:rPr>
            </w:pPr>
            <w:r w:rsidRPr="00C7419B">
              <w:rPr>
                <w:szCs w:val="24"/>
              </w:rPr>
              <w:t>Subpart GGG,</w:t>
            </w:r>
          </w:p>
          <w:p w14:paraId="40EAC0C4" w14:textId="77777777" w:rsidR="002F5D7E" w:rsidRPr="00C7419B" w:rsidRDefault="00E42C54" w:rsidP="009E51EB">
            <w:pPr>
              <w:rPr>
                <w:szCs w:val="24"/>
              </w:rPr>
            </w:pPr>
            <w:r w:rsidRPr="00C7419B">
              <w:rPr>
                <w:szCs w:val="24"/>
              </w:rPr>
              <w:t xml:space="preserve">Subpart </w:t>
            </w:r>
            <w:proofErr w:type="spellStart"/>
            <w:r w:rsidRPr="00C7419B">
              <w:rPr>
                <w:szCs w:val="24"/>
              </w:rPr>
              <w:t>GGGa</w:t>
            </w:r>
            <w:proofErr w:type="spellEnd"/>
            <w:r w:rsidR="0074420E" w:rsidRPr="00C7419B">
              <w:rPr>
                <w:szCs w:val="24"/>
              </w:rPr>
              <w:t xml:space="preserve"> </w:t>
            </w:r>
            <w:r w:rsidR="0074420E" w:rsidRPr="00C7419B">
              <w:rPr>
                <w:szCs w:val="24"/>
              </w:rPr>
              <w:br/>
              <w:t>Subpart QQQ</w:t>
            </w:r>
          </w:p>
        </w:tc>
      </w:tr>
      <w:tr w:rsidR="002F5D7E" w:rsidRPr="00C7419B" w14:paraId="44E34A6B" w14:textId="77777777" w:rsidTr="00C70D07">
        <w:trPr>
          <w:cantSplit/>
          <w:trHeight w:val="400"/>
        </w:trPr>
        <w:tc>
          <w:tcPr>
            <w:tcW w:w="5490" w:type="dxa"/>
            <w:tcBorders>
              <w:left w:val="double" w:sz="4" w:space="0" w:color="auto"/>
            </w:tcBorders>
            <w:vAlign w:val="center"/>
          </w:tcPr>
          <w:p w14:paraId="449BB2CD" w14:textId="77777777" w:rsidR="002F5D7E" w:rsidRPr="00C7419B" w:rsidRDefault="002F5D7E" w:rsidP="009E51EB">
            <w:pPr>
              <w:rPr>
                <w:szCs w:val="24"/>
              </w:rPr>
            </w:pPr>
            <w:r w:rsidRPr="00C7419B">
              <w:rPr>
                <w:szCs w:val="24"/>
              </w:rPr>
              <w:t>National Emission Standards for Hazardous Air Pollutants (NESHAPS)</w:t>
            </w:r>
          </w:p>
        </w:tc>
        <w:tc>
          <w:tcPr>
            <w:tcW w:w="720" w:type="dxa"/>
            <w:vAlign w:val="center"/>
          </w:tcPr>
          <w:p w14:paraId="2427489A" w14:textId="77777777" w:rsidR="002F5D7E" w:rsidRPr="00C7419B" w:rsidRDefault="0074420E" w:rsidP="00212A91">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12190587" w14:textId="77777777" w:rsidR="002F5D7E" w:rsidRPr="00C7419B" w:rsidRDefault="002F5D7E" w:rsidP="00212A91">
            <w:pPr>
              <w:jc w:val="center"/>
              <w:rPr>
                <w:szCs w:val="24"/>
              </w:rPr>
            </w:pPr>
          </w:p>
        </w:tc>
        <w:tc>
          <w:tcPr>
            <w:tcW w:w="2610" w:type="dxa"/>
            <w:tcBorders>
              <w:right w:val="double" w:sz="4" w:space="0" w:color="auto"/>
            </w:tcBorders>
            <w:vAlign w:val="center"/>
          </w:tcPr>
          <w:p w14:paraId="64F5CDC1" w14:textId="77777777" w:rsidR="002F5D7E" w:rsidRPr="00C7419B" w:rsidRDefault="0074420E" w:rsidP="009E51EB">
            <w:pPr>
              <w:rPr>
                <w:szCs w:val="24"/>
              </w:rPr>
            </w:pPr>
            <w:r w:rsidRPr="00C7419B">
              <w:rPr>
                <w:szCs w:val="24"/>
              </w:rPr>
              <w:t>Subpart FF, Subpart M</w:t>
            </w:r>
          </w:p>
        </w:tc>
      </w:tr>
      <w:tr w:rsidR="00E42C54" w:rsidRPr="00C7419B" w14:paraId="13CAC23A" w14:textId="77777777" w:rsidTr="00C70D07">
        <w:trPr>
          <w:cantSplit/>
          <w:trHeight w:val="400"/>
        </w:trPr>
        <w:tc>
          <w:tcPr>
            <w:tcW w:w="5490" w:type="dxa"/>
            <w:tcBorders>
              <w:left w:val="double" w:sz="4" w:space="0" w:color="auto"/>
            </w:tcBorders>
            <w:vAlign w:val="center"/>
          </w:tcPr>
          <w:p w14:paraId="5EAAB486" w14:textId="77777777" w:rsidR="00E42C54" w:rsidRPr="00C7419B" w:rsidRDefault="00E42C54" w:rsidP="009E51EB">
            <w:pPr>
              <w:rPr>
                <w:szCs w:val="24"/>
              </w:rPr>
            </w:pPr>
            <w:r w:rsidRPr="00C7419B">
              <w:rPr>
                <w:szCs w:val="24"/>
              </w:rPr>
              <w:t>Maximum Achievable Control Technology</w:t>
            </w:r>
            <w:r w:rsidR="00921E5D" w:rsidRPr="00C7419B">
              <w:rPr>
                <w:szCs w:val="24"/>
              </w:rPr>
              <w:t xml:space="preserve"> (MACT)</w:t>
            </w:r>
          </w:p>
        </w:tc>
        <w:tc>
          <w:tcPr>
            <w:tcW w:w="720" w:type="dxa"/>
            <w:vAlign w:val="center"/>
          </w:tcPr>
          <w:p w14:paraId="55DC67B9" w14:textId="77777777" w:rsidR="00E42C54" w:rsidRPr="00C7419B" w:rsidRDefault="00E42C54" w:rsidP="00212A91">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03840565" w14:textId="77777777" w:rsidR="00E42C54" w:rsidRPr="00C7419B" w:rsidRDefault="00E42C54" w:rsidP="00212A91">
            <w:pPr>
              <w:jc w:val="center"/>
              <w:rPr>
                <w:szCs w:val="24"/>
              </w:rPr>
            </w:pPr>
          </w:p>
        </w:tc>
        <w:tc>
          <w:tcPr>
            <w:tcW w:w="2610" w:type="dxa"/>
            <w:tcBorders>
              <w:right w:val="double" w:sz="4" w:space="0" w:color="auto"/>
            </w:tcBorders>
            <w:vAlign w:val="center"/>
          </w:tcPr>
          <w:p w14:paraId="7ACF975B" w14:textId="77777777" w:rsidR="00E42C54" w:rsidRPr="00C7419B" w:rsidRDefault="00E42C54" w:rsidP="009E51EB">
            <w:pPr>
              <w:rPr>
                <w:szCs w:val="24"/>
              </w:rPr>
            </w:pPr>
            <w:r w:rsidRPr="00C7419B">
              <w:rPr>
                <w:szCs w:val="24"/>
              </w:rPr>
              <w:t xml:space="preserve">Subpart DDDDD, </w:t>
            </w:r>
          </w:p>
          <w:p w14:paraId="08EE6996" w14:textId="77777777" w:rsidR="00E42C54" w:rsidRPr="00C7419B" w:rsidRDefault="00E42C54" w:rsidP="009E51EB">
            <w:pPr>
              <w:rPr>
                <w:szCs w:val="24"/>
              </w:rPr>
            </w:pPr>
            <w:r w:rsidRPr="00C7419B">
              <w:rPr>
                <w:szCs w:val="24"/>
              </w:rPr>
              <w:t>Subpart UUU,</w:t>
            </w:r>
          </w:p>
          <w:p w14:paraId="3D5545C8" w14:textId="4701E959" w:rsidR="00E42C54" w:rsidRPr="00C7419B" w:rsidRDefault="00E42C54" w:rsidP="009E51EB">
            <w:pPr>
              <w:rPr>
                <w:szCs w:val="24"/>
              </w:rPr>
            </w:pPr>
            <w:r w:rsidRPr="00C7419B">
              <w:rPr>
                <w:szCs w:val="24"/>
              </w:rPr>
              <w:t>Subpart CC,</w:t>
            </w:r>
          </w:p>
          <w:p w14:paraId="2F61C942" w14:textId="5B4486D2" w:rsidR="00491ECF" w:rsidRPr="00C7419B" w:rsidRDefault="00491ECF" w:rsidP="009E51EB">
            <w:pPr>
              <w:rPr>
                <w:szCs w:val="24"/>
              </w:rPr>
            </w:pPr>
            <w:r w:rsidRPr="00C7419B">
              <w:rPr>
                <w:szCs w:val="24"/>
              </w:rPr>
              <w:t>Subpart WW,</w:t>
            </w:r>
          </w:p>
          <w:p w14:paraId="0B62DC88" w14:textId="77777777" w:rsidR="00E42C54" w:rsidRPr="00C7419B" w:rsidRDefault="00E42C54" w:rsidP="009E51EB">
            <w:pPr>
              <w:rPr>
                <w:szCs w:val="24"/>
              </w:rPr>
            </w:pPr>
            <w:r w:rsidRPr="00C7419B">
              <w:rPr>
                <w:szCs w:val="24"/>
              </w:rPr>
              <w:t>Subpart EEEE,</w:t>
            </w:r>
          </w:p>
          <w:p w14:paraId="6AB2FCD5" w14:textId="77777777" w:rsidR="00963AE7" w:rsidRPr="00C7419B" w:rsidRDefault="00963AE7" w:rsidP="009E51EB">
            <w:pPr>
              <w:rPr>
                <w:szCs w:val="24"/>
              </w:rPr>
            </w:pPr>
            <w:r w:rsidRPr="00C7419B">
              <w:rPr>
                <w:szCs w:val="24"/>
              </w:rPr>
              <w:t>Subpart ZZZZ</w:t>
            </w:r>
          </w:p>
          <w:p w14:paraId="6F9A76C1" w14:textId="77777777" w:rsidR="00E42C54" w:rsidRPr="00C7419B" w:rsidRDefault="00E42C54" w:rsidP="009E51EB">
            <w:pPr>
              <w:rPr>
                <w:szCs w:val="24"/>
              </w:rPr>
            </w:pPr>
          </w:p>
        </w:tc>
      </w:tr>
      <w:tr w:rsidR="00054416" w:rsidRPr="00C7419B" w14:paraId="2C375B78" w14:textId="77777777" w:rsidTr="00C70D07">
        <w:trPr>
          <w:cantSplit/>
          <w:trHeight w:val="400"/>
        </w:trPr>
        <w:tc>
          <w:tcPr>
            <w:tcW w:w="5490" w:type="dxa"/>
            <w:tcBorders>
              <w:left w:val="double" w:sz="4" w:space="0" w:color="auto"/>
            </w:tcBorders>
            <w:vAlign w:val="center"/>
          </w:tcPr>
          <w:p w14:paraId="6489E523" w14:textId="6A85E2E6" w:rsidR="00054416" w:rsidRPr="00C7419B" w:rsidRDefault="00054416" w:rsidP="00054416">
            <w:pPr>
              <w:rPr>
                <w:szCs w:val="24"/>
              </w:rPr>
            </w:pPr>
            <w:r w:rsidRPr="00C7419B">
              <w:rPr>
                <w:szCs w:val="24"/>
              </w:rPr>
              <w:t>Major New Source Review (NSR) – includes Prevention of Significant Deterioration (PSD) and/or Non-</w:t>
            </w:r>
            <w:r w:rsidR="00F542F4" w:rsidRPr="00C7419B">
              <w:rPr>
                <w:szCs w:val="24"/>
              </w:rPr>
              <w:t>Attainment</w:t>
            </w:r>
            <w:r w:rsidRPr="00C7419B">
              <w:rPr>
                <w:szCs w:val="24"/>
              </w:rPr>
              <w:t xml:space="preserve"> Area (NAA) NSR</w:t>
            </w:r>
          </w:p>
        </w:tc>
        <w:tc>
          <w:tcPr>
            <w:tcW w:w="720" w:type="dxa"/>
            <w:vAlign w:val="center"/>
          </w:tcPr>
          <w:p w14:paraId="19286727" w14:textId="77777777" w:rsidR="00054416" w:rsidRPr="00C7419B" w:rsidRDefault="00054416" w:rsidP="00212A91">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3E0A0B2D" w14:textId="77777777" w:rsidR="00054416" w:rsidRPr="00C7419B" w:rsidRDefault="00054416" w:rsidP="00212A91">
            <w:pPr>
              <w:jc w:val="center"/>
              <w:rPr>
                <w:szCs w:val="24"/>
              </w:rPr>
            </w:pPr>
          </w:p>
        </w:tc>
        <w:tc>
          <w:tcPr>
            <w:tcW w:w="2610" w:type="dxa"/>
            <w:tcBorders>
              <w:right w:val="double" w:sz="4" w:space="0" w:color="auto"/>
            </w:tcBorders>
            <w:vAlign w:val="center"/>
          </w:tcPr>
          <w:p w14:paraId="225B862E" w14:textId="77777777" w:rsidR="00054416" w:rsidRPr="00C7419B" w:rsidRDefault="00054416" w:rsidP="00054416">
            <w:pPr>
              <w:rPr>
                <w:szCs w:val="24"/>
              </w:rPr>
            </w:pPr>
          </w:p>
        </w:tc>
      </w:tr>
      <w:tr w:rsidR="00054416" w:rsidRPr="00C7419B" w14:paraId="1A2568E0" w14:textId="77777777" w:rsidTr="00C70D07">
        <w:trPr>
          <w:cantSplit/>
          <w:trHeight w:val="400"/>
        </w:trPr>
        <w:tc>
          <w:tcPr>
            <w:tcW w:w="5490" w:type="dxa"/>
            <w:tcBorders>
              <w:left w:val="double" w:sz="4" w:space="0" w:color="auto"/>
            </w:tcBorders>
            <w:vAlign w:val="center"/>
          </w:tcPr>
          <w:p w14:paraId="62BCCC61" w14:textId="77777777" w:rsidR="00054416" w:rsidRPr="00C7419B" w:rsidRDefault="00054416" w:rsidP="00054416">
            <w:pPr>
              <w:rPr>
                <w:szCs w:val="24"/>
              </w:rPr>
            </w:pPr>
            <w:r w:rsidRPr="00C7419B">
              <w:rPr>
                <w:szCs w:val="24"/>
              </w:rPr>
              <w:t>Risk Management Plan Required (RMP)</w:t>
            </w:r>
          </w:p>
        </w:tc>
        <w:tc>
          <w:tcPr>
            <w:tcW w:w="720" w:type="dxa"/>
            <w:vAlign w:val="center"/>
          </w:tcPr>
          <w:p w14:paraId="7FF99182" w14:textId="77777777" w:rsidR="00054416" w:rsidRPr="00C7419B" w:rsidRDefault="00054416" w:rsidP="00212A91">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24501420" w14:textId="77777777" w:rsidR="00054416" w:rsidRPr="00C7419B" w:rsidRDefault="00054416" w:rsidP="00212A91">
            <w:pPr>
              <w:jc w:val="center"/>
              <w:rPr>
                <w:szCs w:val="24"/>
              </w:rPr>
            </w:pPr>
          </w:p>
        </w:tc>
        <w:tc>
          <w:tcPr>
            <w:tcW w:w="2610" w:type="dxa"/>
            <w:tcBorders>
              <w:right w:val="double" w:sz="4" w:space="0" w:color="auto"/>
            </w:tcBorders>
            <w:vAlign w:val="center"/>
          </w:tcPr>
          <w:p w14:paraId="2F20D8AE" w14:textId="77777777" w:rsidR="00054416" w:rsidRPr="00C7419B" w:rsidRDefault="00054416" w:rsidP="00054416">
            <w:pPr>
              <w:rPr>
                <w:szCs w:val="24"/>
              </w:rPr>
            </w:pPr>
          </w:p>
        </w:tc>
      </w:tr>
      <w:tr w:rsidR="00054416" w:rsidRPr="00C7419B" w14:paraId="70656244" w14:textId="77777777" w:rsidTr="00C70D07">
        <w:trPr>
          <w:cantSplit/>
          <w:trHeight w:val="400"/>
        </w:trPr>
        <w:tc>
          <w:tcPr>
            <w:tcW w:w="5490" w:type="dxa"/>
            <w:tcBorders>
              <w:left w:val="double" w:sz="4" w:space="0" w:color="auto"/>
            </w:tcBorders>
            <w:vAlign w:val="center"/>
          </w:tcPr>
          <w:p w14:paraId="28350ECD" w14:textId="77777777" w:rsidR="00054416" w:rsidRPr="00C7419B" w:rsidRDefault="00054416" w:rsidP="00054416">
            <w:pPr>
              <w:rPr>
                <w:szCs w:val="24"/>
              </w:rPr>
            </w:pPr>
            <w:r w:rsidRPr="00C7419B">
              <w:rPr>
                <w:szCs w:val="24"/>
              </w:rPr>
              <w:t>Acid Rain Title IV</w:t>
            </w:r>
          </w:p>
        </w:tc>
        <w:tc>
          <w:tcPr>
            <w:tcW w:w="720" w:type="dxa"/>
            <w:vAlign w:val="center"/>
          </w:tcPr>
          <w:p w14:paraId="16859582" w14:textId="77777777" w:rsidR="00054416" w:rsidRPr="00C7419B" w:rsidRDefault="00054416" w:rsidP="00212A91">
            <w:pPr>
              <w:pStyle w:val="Header"/>
              <w:tabs>
                <w:tab w:val="clear" w:pos="4320"/>
                <w:tab w:val="clear" w:pos="8640"/>
              </w:tabs>
              <w:jc w:val="center"/>
              <w:rPr>
                <w:rFonts w:ascii="Garamond" w:hAnsi="Garamond"/>
                <w:szCs w:val="24"/>
              </w:rPr>
            </w:pPr>
          </w:p>
        </w:tc>
        <w:tc>
          <w:tcPr>
            <w:tcW w:w="630" w:type="dxa"/>
            <w:vAlign w:val="center"/>
          </w:tcPr>
          <w:p w14:paraId="1DC55733" w14:textId="77777777" w:rsidR="00054416" w:rsidRPr="00C7419B" w:rsidRDefault="00054416" w:rsidP="00212A91">
            <w:pPr>
              <w:jc w:val="center"/>
              <w:rPr>
                <w:szCs w:val="24"/>
              </w:rPr>
            </w:pPr>
            <w:r w:rsidRPr="00C7419B">
              <w:rPr>
                <w:szCs w:val="24"/>
              </w:rPr>
              <w:t>X</w:t>
            </w:r>
          </w:p>
        </w:tc>
        <w:tc>
          <w:tcPr>
            <w:tcW w:w="2610" w:type="dxa"/>
            <w:tcBorders>
              <w:right w:val="double" w:sz="4" w:space="0" w:color="auto"/>
            </w:tcBorders>
            <w:vAlign w:val="center"/>
          </w:tcPr>
          <w:p w14:paraId="36AEF121" w14:textId="77777777" w:rsidR="00054416" w:rsidRPr="00C7419B" w:rsidRDefault="00054416" w:rsidP="00054416">
            <w:pPr>
              <w:rPr>
                <w:szCs w:val="24"/>
              </w:rPr>
            </w:pPr>
          </w:p>
        </w:tc>
      </w:tr>
      <w:tr w:rsidR="00054416" w:rsidRPr="00C7419B" w14:paraId="1D1E3986" w14:textId="77777777" w:rsidTr="00C70D07">
        <w:trPr>
          <w:cantSplit/>
          <w:trHeight w:val="400"/>
        </w:trPr>
        <w:tc>
          <w:tcPr>
            <w:tcW w:w="5490" w:type="dxa"/>
            <w:tcBorders>
              <w:left w:val="double" w:sz="4" w:space="0" w:color="auto"/>
            </w:tcBorders>
            <w:vAlign w:val="center"/>
          </w:tcPr>
          <w:p w14:paraId="7C77BE64" w14:textId="77777777" w:rsidR="00054416" w:rsidRPr="00C7419B" w:rsidRDefault="00054416" w:rsidP="00054416">
            <w:pPr>
              <w:rPr>
                <w:szCs w:val="24"/>
              </w:rPr>
            </w:pPr>
            <w:r w:rsidRPr="00C7419B">
              <w:rPr>
                <w:szCs w:val="24"/>
              </w:rPr>
              <w:t>Compliance Assurance Monitoring (CAM)</w:t>
            </w:r>
          </w:p>
        </w:tc>
        <w:tc>
          <w:tcPr>
            <w:tcW w:w="720" w:type="dxa"/>
            <w:vAlign w:val="center"/>
          </w:tcPr>
          <w:p w14:paraId="18CFED8E" w14:textId="77777777" w:rsidR="00054416" w:rsidRPr="00C7419B" w:rsidRDefault="00054416" w:rsidP="00212A91">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7BD9115C" w14:textId="77777777" w:rsidR="00054416" w:rsidRPr="00C7419B" w:rsidRDefault="00054416" w:rsidP="00212A91">
            <w:pPr>
              <w:jc w:val="center"/>
              <w:rPr>
                <w:szCs w:val="24"/>
              </w:rPr>
            </w:pPr>
          </w:p>
        </w:tc>
        <w:tc>
          <w:tcPr>
            <w:tcW w:w="2610" w:type="dxa"/>
            <w:tcBorders>
              <w:right w:val="double" w:sz="4" w:space="0" w:color="auto"/>
            </w:tcBorders>
            <w:vAlign w:val="center"/>
          </w:tcPr>
          <w:p w14:paraId="517C0024" w14:textId="5B3BB60A" w:rsidR="00054416" w:rsidRPr="00C7419B" w:rsidRDefault="00054416" w:rsidP="00054416">
            <w:pPr>
              <w:rPr>
                <w:szCs w:val="24"/>
              </w:rPr>
            </w:pPr>
            <w:r w:rsidRPr="00C7419B">
              <w:rPr>
                <w:szCs w:val="24"/>
              </w:rPr>
              <w:t>Jupiter SRU/ATS Stack(s) PM/PM</w:t>
            </w:r>
            <w:r w:rsidRPr="00C7419B">
              <w:rPr>
                <w:szCs w:val="24"/>
                <w:vertAlign w:val="subscript"/>
              </w:rPr>
              <w:t>10</w:t>
            </w:r>
            <w:r w:rsidRPr="00C7419B">
              <w:rPr>
                <w:szCs w:val="24"/>
              </w:rPr>
              <w:t>, Appendix F of #OP2619</w:t>
            </w:r>
          </w:p>
        </w:tc>
      </w:tr>
      <w:tr w:rsidR="00054416" w:rsidRPr="00C7419B" w14:paraId="1A87F761" w14:textId="77777777" w:rsidTr="00C70D07">
        <w:trPr>
          <w:cantSplit/>
          <w:trHeight w:val="400"/>
        </w:trPr>
        <w:tc>
          <w:tcPr>
            <w:tcW w:w="5490" w:type="dxa"/>
            <w:tcBorders>
              <w:left w:val="double" w:sz="4" w:space="0" w:color="auto"/>
            </w:tcBorders>
            <w:vAlign w:val="center"/>
          </w:tcPr>
          <w:p w14:paraId="2B91985B" w14:textId="77777777" w:rsidR="00054416" w:rsidRPr="00C7419B" w:rsidRDefault="00054416" w:rsidP="00054416">
            <w:pPr>
              <w:rPr>
                <w:szCs w:val="24"/>
              </w:rPr>
            </w:pPr>
            <w:r w:rsidRPr="00C7419B">
              <w:rPr>
                <w:szCs w:val="24"/>
              </w:rPr>
              <w:t>State Implementation Plan (SIP)</w:t>
            </w:r>
          </w:p>
        </w:tc>
        <w:tc>
          <w:tcPr>
            <w:tcW w:w="720" w:type="dxa"/>
            <w:vAlign w:val="center"/>
          </w:tcPr>
          <w:p w14:paraId="0B8EAA43" w14:textId="77777777" w:rsidR="00054416" w:rsidRPr="00C7419B" w:rsidRDefault="00054416" w:rsidP="00212A91">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7B267F96" w14:textId="77777777" w:rsidR="00054416" w:rsidRPr="00C7419B" w:rsidRDefault="00054416" w:rsidP="00212A91">
            <w:pPr>
              <w:jc w:val="center"/>
              <w:rPr>
                <w:szCs w:val="24"/>
              </w:rPr>
            </w:pPr>
          </w:p>
        </w:tc>
        <w:tc>
          <w:tcPr>
            <w:tcW w:w="2610" w:type="dxa"/>
            <w:tcBorders>
              <w:right w:val="double" w:sz="4" w:space="0" w:color="auto"/>
            </w:tcBorders>
            <w:vAlign w:val="center"/>
          </w:tcPr>
          <w:p w14:paraId="0EF9A6FD" w14:textId="77777777" w:rsidR="00054416" w:rsidRPr="00C7419B" w:rsidRDefault="00054416" w:rsidP="00054416">
            <w:pPr>
              <w:rPr>
                <w:szCs w:val="24"/>
              </w:rPr>
            </w:pPr>
            <w:r w:rsidRPr="00C7419B">
              <w:rPr>
                <w:szCs w:val="24"/>
              </w:rPr>
              <w:t>Billings/Laurel SIP</w:t>
            </w:r>
          </w:p>
        </w:tc>
      </w:tr>
    </w:tbl>
    <w:p w14:paraId="7D33A31B" w14:textId="77777777" w:rsidR="002F5D7E" w:rsidRPr="00C7419B" w:rsidRDefault="002F5D7E">
      <w:pPr>
        <w:jc w:val="center"/>
        <w:rPr>
          <w:szCs w:val="24"/>
        </w:rPr>
      </w:pPr>
      <w:r w:rsidRPr="00C7419B">
        <w:br w:type="page"/>
      </w:r>
      <w:r w:rsidRPr="00C7419B">
        <w:rPr>
          <w:szCs w:val="24"/>
          <w:u w:val="single"/>
        </w:rPr>
        <w:lastRenderedPageBreak/>
        <w:t>TABLE OF CONTENTS</w:t>
      </w:r>
    </w:p>
    <w:p w14:paraId="41054D0D" w14:textId="77777777" w:rsidR="002F5D7E" w:rsidRPr="00C7419B" w:rsidRDefault="002F5D7E">
      <w:pPr>
        <w:rPr>
          <w:szCs w:val="24"/>
        </w:rPr>
      </w:pPr>
    </w:p>
    <w:p w14:paraId="5D34D388" w14:textId="7BA1E5DC" w:rsidR="00B64821" w:rsidRDefault="002F5D7E">
      <w:pPr>
        <w:pStyle w:val="TOC1"/>
        <w:rPr>
          <w:rFonts w:asciiTheme="minorHAnsi" w:eastAsiaTheme="minorEastAsia" w:hAnsiTheme="minorHAnsi" w:cstheme="minorBidi"/>
          <w:b w:val="0"/>
          <w:caps w:val="0"/>
          <w:noProof/>
          <w:kern w:val="2"/>
          <w:szCs w:val="24"/>
          <w14:ligatures w14:val="standardContextual"/>
        </w:rPr>
      </w:pPr>
      <w:r w:rsidRPr="00C7419B">
        <w:rPr>
          <w:szCs w:val="24"/>
        </w:rPr>
        <w:fldChar w:fldCharType="begin"/>
      </w:r>
      <w:r w:rsidRPr="00C7419B">
        <w:rPr>
          <w:szCs w:val="24"/>
        </w:rPr>
        <w:instrText xml:space="preserve"> TOC \o "1-2" </w:instrText>
      </w:r>
      <w:r w:rsidRPr="00C7419B">
        <w:rPr>
          <w:szCs w:val="24"/>
        </w:rPr>
        <w:fldChar w:fldCharType="separate"/>
      </w:r>
      <w:r w:rsidR="00B64821" w:rsidRPr="00BA141C">
        <w:rPr>
          <w:noProof/>
        </w:rPr>
        <w:t>SECTION I. GENERAL INFORMATION</w:t>
      </w:r>
      <w:r w:rsidR="00B64821">
        <w:rPr>
          <w:noProof/>
        </w:rPr>
        <w:tab/>
      </w:r>
      <w:r w:rsidR="00B64821">
        <w:rPr>
          <w:noProof/>
        </w:rPr>
        <w:fldChar w:fldCharType="begin"/>
      </w:r>
      <w:r w:rsidR="00B64821">
        <w:rPr>
          <w:noProof/>
        </w:rPr>
        <w:instrText xml:space="preserve"> PAGEREF _Toc216098192 \h </w:instrText>
      </w:r>
      <w:r w:rsidR="00B64821">
        <w:rPr>
          <w:noProof/>
        </w:rPr>
      </w:r>
      <w:r w:rsidR="00B64821">
        <w:rPr>
          <w:noProof/>
        </w:rPr>
        <w:fldChar w:fldCharType="separate"/>
      </w:r>
      <w:r w:rsidR="00B64821">
        <w:rPr>
          <w:noProof/>
        </w:rPr>
        <w:t>4</w:t>
      </w:r>
      <w:r w:rsidR="00B64821">
        <w:rPr>
          <w:noProof/>
        </w:rPr>
        <w:fldChar w:fldCharType="end"/>
      </w:r>
    </w:p>
    <w:p w14:paraId="4EA3FA99" w14:textId="40CE01DB"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Purpose</w:t>
      </w:r>
      <w:r>
        <w:tab/>
      </w:r>
      <w:r>
        <w:fldChar w:fldCharType="begin"/>
      </w:r>
      <w:r>
        <w:instrText xml:space="preserve"> PAGEREF _Toc216098193 \h </w:instrText>
      </w:r>
      <w:r>
        <w:fldChar w:fldCharType="separate"/>
      </w:r>
      <w:r>
        <w:t>4</w:t>
      </w:r>
      <w:r>
        <w:fldChar w:fldCharType="end"/>
      </w:r>
    </w:p>
    <w:p w14:paraId="03D19288" w14:textId="7812B3EC"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Facility Location</w:t>
      </w:r>
      <w:r>
        <w:tab/>
      </w:r>
      <w:r>
        <w:fldChar w:fldCharType="begin"/>
      </w:r>
      <w:r>
        <w:instrText xml:space="preserve"> PAGEREF _Toc216098194 \h </w:instrText>
      </w:r>
      <w:r>
        <w:fldChar w:fldCharType="separate"/>
      </w:r>
      <w:r>
        <w:t>4</w:t>
      </w:r>
      <w:r>
        <w:fldChar w:fldCharType="end"/>
      </w:r>
    </w:p>
    <w:p w14:paraId="19EF21CF" w14:textId="4CFB6AA0"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Facility Background Information</w:t>
      </w:r>
      <w:r>
        <w:tab/>
      </w:r>
      <w:r>
        <w:fldChar w:fldCharType="begin"/>
      </w:r>
      <w:r>
        <w:instrText xml:space="preserve"> PAGEREF _Toc216098195 \h </w:instrText>
      </w:r>
      <w:r>
        <w:fldChar w:fldCharType="separate"/>
      </w:r>
      <w:r>
        <w:t>4</w:t>
      </w:r>
      <w:r>
        <w:fldChar w:fldCharType="end"/>
      </w:r>
    </w:p>
    <w:p w14:paraId="05F0B0BC" w14:textId="12A3EC58"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Current Permit Action</w:t>
      </w:r>
      <w:r>
        <w:tab/>
      </w:r>
      <w:r>
        <w:fldChar w:fldCharType="begin"/>
      </w:r>
      <w:r>
        <w:instrText xml:space="preserve"> PAGEREF _Toc216098196 \h </w:instrText>
      </w:r>
      <w:r>
        <w:fldChar w:fldCharType="separate"/>
      </w:r>
      <w:r>
        <w:t>25</w:t>
      </w:r>
      <w:r>
        <w:fldChar w:fldCharType="end"/>
      </w:r>
    </w:p>
    <w:p w14:paraId="7DB8C80D" w14:textId="09EACA46"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Taking and Damaging Analysis</w:t>
      </w:r>
      <w:r>
        <w:tab/>
      </w:r>
      <w:r>
        <w:fldChar w:fldCharType="begin"/>
      </w:r>
      <w:r>
        <w:instrText xml:space="preserve"> PAGEREF _Toc216098197 \h </w:instrText>
      </w:r>
      <w:r>
        <w:fldChar w:fldCharType="separate"/>
      </w:r>
      <w:r>
        <w:t>26</w:t>
      </w:r>
      <w:r>
        <w:fldChar w:fldCharType="end"/>
      </w:r>
    </w:p>
    <w:p w14:paraId="34DF9DEC" w14:textId="3D727AB5"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Compliance Designation</w:t>
      </w:r>
      <w:r>
        <w:tab/>
      </w:r>
      <w:r>
        <w:fldChar w:fldCharType="begin"/>
      </w:r>
      <w:r>
        <w:instrText xml:space="preserve"> PAGEREF _Toc216098198 \h </w:instrText>
      </w:r>
      <w:r>
        <w:fldChar w:fldCharType="separate"/>
      </w:r>
      <w:r>
        <w:t>26</w:t>
      </w:r>
      <w:r>
        <w:fldChar w:fldCharType="end"/>
      </w:r>
    </w:p>
    <w:p w14:paraId="01BA42AD" w14:textId="30DD9488"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II. SUMMARY OF EMISSIONS UNITS</w:t>
      </w:r>
      <w:r>
        <w:rPr>
          <w:noProof/>
        </w:rPr>
        <w:tab/>
      </w:r>
      <w:r>
        <w:rPr>
          <w:noProof/>
        </w:rPr>
        <w:fldChar w:fldCharType="begin"/>
      </w:r>
      <w:r>
        <w:rPr>
          <w:noProof/>
        </w:rPr>
        <w:instrText xml:space="preserve"> PAGEREF _Toc216098199 \h </w:instrText>
      </w:r>
      <w:r>
        <w:rPr>
          <w:noProof/>
        </w:rPr>
      </w:r>
      <w:r>
        <w:rPr>
          <w:noProof/>
        </w:rPr>
        <w:fldChar w:fldCharType="separate"/>
      </w:r>
      <w:r>
        <w:rPr>
          <w:noProof/>
        </w:rPr>
        <w:t>28</w:t>
      </w:r>
      <w:r>
        <w:rPr>
          <w:noProof/>
        </w:rPr>
        <w:fldChar w:fldCharType="end"/>
      </w:r>
    </w:p>
    <w:p w14:paraId="619C9574" w14:textId="40879AD7"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Facility Process Description</w:t>
      </w:r>
      <w:r>
        <w:tab/>
      </w:r>
      <w:r>
        <w:fldChar w:fldCharType="begin"/>
      </w:r>
      <w:r>
        <w:instrText xml:space="preserve"> PAGEREF _Toc216098200 \h </w:instrText>
      </w:r>
      <w:r>
        <w:fldChar w:fldCharType="separate"/>
      </w:r>
      <w:r>
        <w:t>28</w:t>
      </w:r>
      <w:r>
        <w:fldChar w:fldCharType="end"/>
      </w:r>
    </w:p>
    <w:p w14:paraId="4F1E5C3B" w14:textId="59AA5C4A"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Emissions Units and Pollution Control Device Identification</w:t>
      </w:r>
      <w:r>
        <w:tab/>
      </w:r>
      <w:r>
        <w:fldChar w:fldCharType="begin"/>
      </w:r>
      <w:r>
        <w:instrText xml:space="preserve"> PAGEREF _Toc216098201 \h </w:instrText>
      </w:r>
      <w:r>
        <w:fldChar w:fldCharType="separate"/>
      </w:r>
      <w:r>
        <w:t>28</w:t>
      </w:r>
      <w:r>
        <w:fldChar w:fldCharType="end"/>
      </w:r>
    </w:p>
    <w:p w14:paraId="5AC53326" w14:textId="53C3D8E0"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III. PERMIT CONDITIONS</w:t>
      </w:r>
      <w:r>
        <w:rPr>
          <w:noProof/>
        </w:rPr>
        <w:tab/>
      </w:r>
      <w:r>
        <w:rPr>
          <w:noProof/>
        </w:rPr>
        <w:fldChar w:fldCharType="begin"/>
      </w:r>
      <w:r>
        <w:rPr>
          <w:noProof/>
        </w:rPr>
        <w:instrText xml:space="preserve"> PAGEREF _Toc216098202 \h </w:instrText>
      </w:r>
      <w:r>
        <w:rPr>
          <w:noProof/>
        </w:rPr>
      </w:r>
      <w:r>
        <w:rPr>
          <w:noProof/>
        </w:rPr>
        <w:fldChar w:fldCharType="separate"/>
      </w:r>
      <w:r>
        <w:rPr>
          <w:noProof/>
        </w:rPr>
        <w:t>30</w:t>
      </w:r>
      <w:r>
        <w:rPr>
          <w:noProof/>
        </w:rPr>
        <w:fldChar w:fldCharType="end"/>
      </w:r>
    </w:p>
    <w:p w14:paraId="5A483256" w14:textId="627801FF"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Emission Limits and Standards</w:t>
      </w:r>
      <w:r>
        <w:tab/>
      </w:r>
      <w:r>
        <w:fldChar w:fldCharType="begin"/>
      </w:r>
      <w:r>
        <w:instrText xml:space="preserve"> PAGEREF _Toc216098203 \h </w:instrText>
      </w:r>
      <w:r>
        <w:fldChar w:fldCharType="separate"/>
      </w:r>
      <w:r>
        <w:t>30</w:t>
      </w:r>
      <w:r>
        <w:fldChar w:fldCharType="end"/>
      </w:r>
    </w:p>
    <w:p w14:paraId="1EBFFEE9" w14:textId="39B3EAFA"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Monitoring Requirements</w:t>
      </w:r>
      <w:r>
        <w:tab/>
      </w:r>
      <w:r>
        <w:fldChar w:fldCharType="begin"/>
      </w:r>
      <w:r>
        <w:instrText xml:space="preserve"> PAGEREF _Toc216098204 \h </w:instrText>
      </w:r>
      <w:r>
        <w:fldChar w:fldCharType="separate"/>
      </w:r>
      <w:r>
        <w:t>30</w:t>
      </w:r>
      <w:r>
        <w:fldChar w:fldCharType="end"/>
      </w:r>
    </w:p>
    <w:p w14:paraId="46A2F92D" w14:textId="28751B8E"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Test Methods and Procedures</w:t>
      </w:r>
      <w:r>
        <w:tab/>
      </w:r>
      <w:r>
        <w:fldChar w:fldCharType="begin"/>
      </w:r>
      <w:r>
        <w:instrText xml:space="preserve"> PAGEREF _Toc216098205 \h </w:instrText>
      </w:r>
      <w:r>
        <w:fldChar w:fldCharType="separate"/>
      </w:r>
      <w:r>
        <w:t>30</w:t>
      </w:r>
      <w:r>
        <w:fldChar w:fldCharType="end"/>
      </w:r>
    </w:p>
    <w:p w14:paraId="753E0697" w14:textId="64F41B26"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Recordkeeping Requirements</w:t>
      </w:r>
      <w:r>
        <w:tab/>
      </w:r>
      <w:r>
        <w:fldChar w:fldCharType="begin"/>
      </w:r>
      <w:r>
        <w:instrText xml:space="preserve"> PAGEREF _Toc216098206 \h </w:instrText>
      </w:r>
      <w:r>
        <w:fldChar w:fldCharType="separate"/>
      </w:r>
      <w:r>
        <w:t>30</w:t>
      </w:r>
      <w:r>
        <w:fldChar w:fldCharType="end"/>
      </w:r>
    </w:p>
    <w:p w14:paraId="678FC77D" w14:textId="5352AFA5"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Reporting Requirements</w:t>
      </w:r>
      <w:r>
        <w:tab/>
      </w:r>
      <w:r>
        <w:fldChar w:fldCharType="begin"/>
      </w:r>
      <w:r>
        <w:instrText xml:space="preserve"> PAGEREF _Toc216098207 \h </w:instrText>
      </w:r>
      <w:r>
        <w:fldChar w:fldCharType="separate"/>
      </w:r>
      <w:r>
        <w:t>31</w:t>
      </w:r>
      <w:r>
        <w:fldChar w:fldCharType="end"/>
      </w:r>
    </w:p>
    <w:p w14:paraId="11E4F156" w14:textId="15FABEB9"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Public Notice</w:t>
      </w:r>
      <w:r>
        <w:tab/>
      </w:r>
      <w:r>
        <w:fldChar w:fldCharType="begin"/>
      </w:r>
      <w:r>
        <w:instrText xml:space="preserve"> PAGEREF _Toc216098208 \h </w:instrText>
      </w:r>
      <w:r>
        <w:fldChar w:fldCharType="separate"/>
      </w:r>
      <w:r>
        <w:t>31</w:t>
      </w:r>
      <w:r>
        <w:fldChar w:fldCharType="end"/>
      </w:r>
    </w:p>
    <w:p w14:paraId="170B2B70" w14:textId="1F2545A8"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IV. NON-APPLICABLE REQUIREMENT ANALYSIS</w:t>
      </w:r>
      <w:r>
        <w:rPr>
          <w:noProof/>
        </w:rPr>
        <w:tab/>
      </w:r>
      <w:r>
        <w:rPr>
          <w:noProof/>
        </w:rPr>
        <w:fldChar w:fldCharType="begin"/>
      </w:r>
      <w:r>
        <w:rPr>
          <w:noProof/>
        </w:rPr>
        <w:instrText xml:space="preserve"> PAGEREF _Toc216098209 \h </w:instrText>
      </w:r>
      <w:r>
        <w:rPr>
          <w:noProof/>
        </w:rPr>
      </w:r>
      <w:r>
        <w:rPr>
          <w:noProof/>
        </w:rPr>
        <w:fldChar w:fldCharType="separate"/>
      </w:r>
      <w:r>
        <w:rPr>
          <w:noProof/>
        </w:rPr>
        <w:t>33</w:t>
      </w:r>
      <w:r>
        <w:rPr>
          <w:noProof/>
        </w:rPr>
        <w:fldChar w:fldCharType="end"/>
      </w:r>
    </w:p>
    <w:p w14:paraId="228E2E32" w14:textId="0CF77BA4"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V. FUTURE PERMIT CONSIDERATIONS</w:t>
      </w:r>
      <w:r>
        <w:rPr>
          <w:noProof/>
        </w:rPr>
        <w:tab/>
      </w:r>
      <w:r>
        <w:rPr>
          <w:noProof/>
        </w:rPr>
        <w:fldChar w:fldCharType="begin"/>
      </w:r>
      <w:r>
        <w:rPr>
          <w:noProof/>
        </w:rPr>
        <w:instrText xml:space="preserve"> PAGEREF _Toc216098210 \h </w:instrText>
      </w:r>
      <w:r>
        <w:rPr>
          <w:noProof/>
        </w:rPr>
      </w:r>
      <w:r>
        <w:rPr>
          <w:noProof/>
        </w:rPr>
        <w:fldChar w:fldCharType="separate"/>
      </w:r>
      <w:r>
        <w:rPr>
          <w:noProof/>
        </w:rPr>
        <w:t>34</w:t>
      </w:r>
      <w:r>
        <w:rPr>
          <w:noProof/>
        </w:rPr>
        <w:fldChar w:fldCharType="end"/>
      </w:r>
    </w:p>
    <w:p w14:paraId="438F0B15" w14:textId="2867D297"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MACT Standards (40 CFR Part 63)</w:t>
      </w:r>
      <w:r>
        <w:tab/>
      </w:r>
      <w:r>
        <w:fldChar w:fldCharType="begin"/>
      </w:r>
      <w:r>
        <w:instrText xml:space="preserve"> PAGEREF _Toc216098211 \h </w:instrText>
      </w:r>
      <w:r>
        <w:fldChar w:fldCharType="separate"/>
      </w:r>
      <w:r>
        <w:t>34</w:t>
      </w:r>
      <w:r>
        <w:fldChar w:fldCharType="end"/>
      </w:r>
    </w:p>
    <w:p w14:paraId="61A8F314" w14:textId="43D52A77"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NESHAP Standards (40 CFR Part 61)</w:t>
      </w:r>
      <w:r>
        <w:tab/>
      </w:r>
      <w:r>
        <w:fldChar w:fldCharType="begin"/>
      </w:r>
      <w:r>
        <w:instrText xml:space="preserve"> PAGEREF _Toc216098212 \h </w:instrText>
      </w:r>
      <w:r>
        <w:fldChar w:fldCharType="separate"/>
      </w:r>
      <w:r>
        <w:t>34</w:t>
      </w:r>
      <w:r>
        <w:fldChar w:fldCharType="end"/>
      </w:r>
    </w:p>
    <w:p w14:paraId="298226ED" w14:textId="79502B13"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NSPS Standards (40 CFR Part 60)</w:t>
      </w:r>
      <w:r>
        <w:tab/>
      </w:r>
      <w:r>
        <w:fldChar w:fldCharType="begin"/>
      </w:r>
      <w:r>
        <w:instrText xml:space="preserve"> PAGEREF _Toc216098213 \h </w:instrText>
      </w:r>
      <w:r>
        <w:fldChar w:fldCharType="separate"/>
      </w:r>
      <w:r>
        <w:t>34</w:t>
      </w:r>
      <w:r>
        <w:fldChar w:fldCharType="end"/>
      </w:r>
    </w:p>
    <w:p w14:paraId="011C11B7" w14:textId="4BB15879"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Risk Management Plan (40 CFR Part 68)</w:t>
      </w:r>
      <w:r>
        <w:tab/>
      </w:r>
      <w:r>
        <w:fldChar w:fldCharType="begin"/>
      </w:r>
      <w:r>
        <w:instrText xml:space="preserve"> PAGEREF _Toc216098214 \h </w:instrText>
      </w:r>
      <w:r>
        <w:fldChar w:fldCharType="separate"/>
      </w:r>
      <w:r>
        <w:t>34</w:t>
      </w:r>
      <w:r>
        <w:fldChar w:fldCharType="end"/>
      </w:r>
    </w:p>
    <w:p w14:paraId="2CE05520" w14:textId="13E47F46"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CAM Applicability</w:t>
      </w:r>
      <w:r>
        <w:tab/>
      </w:r>
      <w:r>
        <w:fldChar w:fldCharType="begin"/>
      </w:r>
      <w:r>
        <w:instrText xml:space="preserve"> PAGEREF _Toc216098215 \h </w:instrText>
      </w:r>
      <w:r>
        <w:fldChar w:fldCharType="separate"/>
      </w:r>
      <w:r>
        <w:t>34</w:t>
      </w:r>
      <w:r>
        <w:fldChar w:fldCharType="end"/>
      </w:r>
    </w:p>
    <w:p w14:paraId="352E7695" w14:textId="775F2080"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Alternate Operating Scenario</w:t>
      </w:r>
      <w:r>
        <w:tab/>
      </w:r>
      <w:r>
        <w:fldChar w:fldCharType="begin"/>
      </w:r>
      <w:r>
        <w:instrText xml:space="preserve"> PAGEREF _Toc216098216 \h </w:instrText>
      </w:r>
      <w:r>
        <w:fldChar w:fldCharType="separate"/>
      </w:r>
      <w:r>
        <w:t>34</w:t>
      </w:r>
      <w:r>
        <w:fldChar w:fldCharType="end"/>
      </w:r>
    </w:p>
    <w:p w14:paraId="5287FBD2" w14:textId="0D480BD1" w:rsidR="00B64821" w:rsidRDefault="00B64821">
      <w:pPr>
        <w:pStyle w:val="TOC2"/>
        <w:rPr>
          <w:rFonts w:asciiTheme="minorHAnsi" w:eastAsiaTheme="minorEastAsia" w:hAnsiTheme="minorHAnsi" w:cstheme="minorBidi"/>
          <w:smallCaps w:val="0"/>
          <w:kern w:val="2"/>
          <w:szCs w:val="24"/>
          <w14:ligatures w14:val="standardContextual"/>
        </w:rPr>
      </w:pPr>
      <w:r w:rsidRPr="00BA141C">
        <w:t>G.</w:t>
      </w:r>
      <w:r>
        <w:rPr>
          <w:rFonts w:asciiTheme="minorHAnsi" w:eastAsiaTheme="minorEastAsia" w:hAnsiTheme="minorHAnsi" w:cstheme="minorBidi"/>
          <w:smallCaps w:val="0"/>
          <w:kern w:val="2"/>
          <w:szCs w:val="24"/>
          <w14:ligatures w14:val="standardContextual"/>
        </w:rPr>
        <w:tab/>
      </w:r>
      <w:r w:rsidRPr="00BA141C">
        <w:t>PSD and Title V Greenhouse Gas Tailoring Rule</w:t>
      </w:r>
      <w:r>
        <w:tab/>
      </w:r>
      <w:r>
        <w:fldChar w:fldCharType="begin"/>
      </w:r>
      <w:r>
        <w:instrText xml:space="preserve"> PAGEREF _Toc216098217 \h </w:instrText>
      </w:r>
      <w:r>
        <w:fldChar w:fldCharType="separate"/>
      </w:r>
      <w:r>
        <w:t>35</w:t>
      </w:r>
      <w:r>
        <w:fldChar w:fldCharType="end"/>
      </w:r>
    </w:p>
    <w:p w14:paraId="45D486A3" w14:textId="5916EC18" w:rsidR="00B64821" w:rsidRDefault="00B64821">
      <w:pPr>
        <w:pStyle w:val="TOC2"/>
        <w:rPr>
          <w:rFonts w:asciiTheme="minorHAnsi" w:eastAsiaTheme="minorEastAsia" w:hAnsiTheme="minorHAnsi" w:cstheme="minorBidi"/>
          <w:smallCaps w:val="0"/>
          <w:kern w:val="2"/>
          <w:szCs w:val="24"/>
          <w14:ligatures w14:val="standardContextual"/>
        </w:rPr>
      </w:pPr>
      <w:r w:rsidRPr="00BA141C">
        <w:t>H.</w:t>
      </w:r>
      <w:r>
        <w:rPr>
          <w:rFonts w:asciiTheme="minorHAnsi" w:eastAsiaTheme="minorEastAsia" w:hAnsiTheme="minorHAnsi" w:cstheme="minorBidi"/>
          <w:smallCaps w:val="0"/>
          <w:kern w:val="2"/>
          <w:szCs w:val="24"/>
          <w14:ligatures w14:val="standardContextual"/>
        </w:rPr>
        <w:tab/>
      </w:r>
      <w:r w:rsidRPr="00BA141C">
        <w:t>Consent Decrees</w:t>
      </w:r>
      <w:r>
        <w:tab/>
      </w:r>
      <w:r>
        <w:fldChar w:fldCharType="begin"/>
      </w:r>
      <w:r>
        <w:instrText xml:space="preserve"> PAGEREF _Toc216098218 \h </w:instrText>
      </w:r>
      <w:r>
        <w:fldChar w:fldCharType="separate"/>
      </w:r>
      <w:r>
        <w:t>36</w:t>
      </w:r>
      <w:r>
        <w:fldChar w:fldCharType="end"/>
      </w:r>
    </w:p>
    <w:p w14:paraId="053DE732" w14:textId="53E419E3" w:rsidR="00B64821" w:rsidRDefault="00B64821">
      <w:pPr>
        <w:pStyle w:val="TOC2"/>
        <w:rPr>
          <w:rFonts w:asciiTheme="minorHAnsi" w:eastAsiaTheme="minorEastAsia" w:hAnsiTheme="minorHAnsi" w:cstheme="minorBidi"/>
          <w:smallCaps w:val="0"/>
          <w:kern w:val="2"/>
          <w:szCs w:val="24"/>
          <w14:ligatures w14:val="standardContextual"/>
        </w:rPr>
      </w:pPr>
      <w:r w:rsidRPr="00BA141C">
        <w:t>I.</w:t>
      </w:r>
      <w:r>
        <w:rPr>
          <w:rFonts w:asciiTheme="minorHAnsi" w:eastAsiaTheme="minorEastAsia" w:hAnsiTheme="minorHAnsi" w:cstheme="minorBidi"/>
          <w:smallCaps w:val="0"/>
          <w:kern w:val="2"/>
          <w:szCs w:val="24"/>
          <w14:ligatures w14:val="standardContextual"/>
        </w:rPr>
        <w:tab/>
      </w:r>
      <w:r w:rsidRPr="00BA141C">
        <w:t>Other Considerations</w:t>
      </w:r>
      <w:r>
        <w:tab/>
      </w:r>
      <w:r>
        <w:fldChar w:fldCharType="begin"/>
      </w:r>
      <w:r>
        <w:instrText xml:space="preserve"> PAGEREF _Toc216098219 \h </w:instrText>
      </w:r>
      <w:r>
        <w:fldChar w:fldCharType="separate"/>
      </w:r>
      <w:r>
        <w:t>36</w:t>
      </w:r>
      <w:r>
        <w:fldChar w:fldCharType="end"/>
      </w:r>
    </w:p>
    <w:p w14:paraId="154D4AD6" w14:textId="32DB23AF" w:rsidR="002F5D7E" w:rsidRPr="00C7419B" w:rsidRDefault="002F5D7E">
      <w:pPr>
        <w:pStyle w:val="Header"/>
        <w:tabs>
          <w:tab w:val="clear" w:pos="4320"/>
          <w:tab w:val="clear" w:pos="8640"/>
        </w:tabs>
        <w:rPr>
          <w:rFonts w:ascii="Garamond" w:hAnsi="Garamond"/>
        </w:rPr>
      </w:pPr>
      <w:r w:rsidRPr="00C7419B">
        <w:rPr>
          <w:rFonts w:ascii="Garamond" w:hAnsi="Garamond"/>
          <w:szCs w:val="24"/>
        </w:rPr>
        <w:fldChar w:fldCharType="end"/>
      </w:r>
    </w:p>
    <w:p w14:paraId="26A05AD7" w14:textId="77777777" w:rsidR="002F5D7E" w:rsidRPr="00C7419B" w:rsidRDefault="002F5D7E"/>
    <w:p w14:paraId="70C9A1C6" w14:textId="77777777" w:rsidR="002F5D7E" w:rsidRPr="00C7419B" w:rsidRDefault="002F5D7E">
      <w:pPr>
        <w:pStyle w:val="Heading1"/>
        <w:rPr>
          <w:rFonts w:ascii="Garamond" w:hAnsi="Garamond"/>
          <w:sz w:val="24"/>
          <w:szCs w:val="24"/>
        </w:rPr>
      </w:pPr>
      <w:r w:rsidRPr="00C7419B">
        <w:rPr>
          <w:rFonts w:ascii="Garamond" w:hAnsi="Garamond"/>
        </w:rPr>
        <w:br w:type="page"/>
      </w:r>
      <w:bookmarkStart w:id="0" w:name="_Toc216098192"/>
      <w:r w:rsidRPr="00C7419B">
        <w:rPr>
          <w:rFonts w:ascii="Garamond" w:hAnsi="Garamond"/>
          <w:sz w:val="24"/>
          <w:szCs w:val="24"/>
        </w:rPr>
        <w:lastRenderedPageBreak/>
        <w:t>GENERAL INFORMATION</w:t>
      </w:r>
      <w:bookmarkEnd w:id="0"/>
    </w:p>
    <w:p w14:paraId="02502790" w14:textId="77777777" w:rsidR="002F5D7E" w:rsidRPr="00C7419B" w:rsidRDefault="002F5D7E">
      <w:pPr>
        <w:rPr>
          <w:szCs w:val="24"/>
        </w:rPr>
      </w:pPr>
    </w:p>
    <w:p w14:paraId="580A71E3" w14:textId="77777777" w:rsidR="002F5D7E" w:rsidRPr="00C7419B" w:rsidRDefault="002F5D7E" w:rsidP="00CA5584">
      <w:pPr>
        <w:pStyle w:val="Heading2"/>
        <w:spacing w:before="0" w:beforeAutospacing="0" w:after="0" w:afterAutospacing="0"/>
        <w:rPr>
          <w:rFonts w:ascii="Garamond" w:hAnsi="Garamond"/>
          <w:sz w:val="24"/>
          <w:szCs w:val="24"/>
        </w:rPr>
      </w:pPr>
      <w:bookmarkStart w:id="1" w:name="_Toc216098193"/>
      <w:r w:rsidRPr="00C7419B">
        <w:rPr>
          <w:rFonts w:ascii="Garamond" w:hAnsi="Garamond"/>
          <w:sz w:val="24"/>
          <w:szCs w:val="24"/>
        </w:rPr>
        <w:t>Purpose</w:t>
      </w:r>
      <w:bookmarkEnd w:id="1"/>
    </w:p>
    <w:p w14:paraId="23C0029C" w14:textId="77777777" w:rsidR="002F5D7E" w:rsidRPr="00C7419B" w:rsidRDefault="002F5D7E">
      <w:pPr>
        <w:rPr>
          <w:szCs w:val="24"/>
        </w:rPr>
      </w:pPr>
    </w:p>
    <w:p w14:paraId="1830EFCB" w14:textId="5F7F4F3C" w:rsidR="0074420E" w:rsidRPr="00C7419B" w:rsidRDefault="0074420E" w:rsidP="0074420E">
      <w:pPr>
        <w:rPr>
          <w:szCs w:val="24"/>
        </w:rPr>
      </w:pPr>
      <w:r w:rsidRPr="00C7419B">
        <w:rPr>
          <w:szCs w:val="24"/>
        </w:rPr>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w:t>
      </w:r>
      <w:r w:rsidR="000711C7" w:rsidRPr="00C7419B">
        <w:rPr>
          <w:szCs w:val="24"/>
        </w:rPr>
        <w:t>as described in the permit history section</w:t>
      </w:r>
      <w:r w:rsidR="00595B3F" w:rsidRPr="00C7419B">
        <w:rPr>
          <w:szCs w:val="24"/>
        </w:rPr>
        <w:t>.</w:t>
      </w:r>
      <w:r w:rsidR="000711C7" w:rsidRPr="00C7419B">
        <w:rPr>
          <w:szCs w:val="24"/>
        </w:rPr>
        <w:t xml:space="preserve">  </w:t>
      </w:r>
    </w:p>
    <w:p w14:paraId="286BFF69" w14:textId="77777777" w:rsidR="00904947" w:rsidRPr="00C7419B" w:rsidRDefault="00904947" w:rsidP="0074420E">
      <w:pPr>
        <w:rPr>
          <w:szCs w:val="24"/>
        </w:rPr>
      </w:pPr>
    </w:p>
    <w:p w14:paraId="52322F9E" w14:textId="77777777" w:rsidR="002F5D7E" w:rsidRPr="00C7419B" w:rsidRDefault="002F5D7E" w:rsidP="00904947">
      <w:pPr>
        <w:pStyle w:val="Heading2"/>
        <w:spacing w:before="0" w:beforeAutospacing="0" w:after="0" w:afterAutospacing="0"/>
        <w:rPr>
          <w:rFonts w:ascii="Garamond" w:hAnsi="Garamond"/>
          <w:sz w:val="24"/>
          <w:szCs w:val="24"/>
        </w:rPr>
      </w:pPr>
      <w:bookmarkStart w:id="2" w:name="_Toc216098194"/>
      <w:r w:rsidRPr="00C7419B">
        <w:rPr>
          <w:rFonts w:ascii="Garamond" w:hAnsi="Garamond"/>
          <w:sz w:val="24"/>
          <w:szCs w:val="24"/>
        </w:rPr>
        <w:t>Facility Location</w:t>
      </w:r>
      <w:bookmarkEnd w:id="2"/>
    </w:p>
    <w:p w14:paraId="6A599D62" w14:textId="77777777" w:rsidR="00DC3F25" w:rsidRPr="00C7419B" w:rsidRDefault="00DC3F25" w:rsidP="00DC3F25">
      <w:pPr>
        <w:rPr>
          <w:szCs w:val="24"/>
        </w:rPr>
      </w:pPr>
    </w:p>
    <w:p w14:paraId="0AF7A267" w14:textId="0D74206C" w:rsidR="002F5D7E" w:rsidRPr="00C7419B" w:rsidRDefault="0074420E" w:rsidP="00E133F9">
      <w:pPr>
        <w:rPr>
          <w:szCs w:val="24"/>
        </w:rPr>
      </w:pPr>
      <w:r w:rsidRPr="00C7419B">
        <w:rPr>
          <w:szCs w:val="24"/>
        </w:rPr>
        <w:t xml:space="preserve">The Phillips 66 Billings Refinery </w:t>
      </w:r>
      <w:proofErr w:type="gramStart"/>
      <w:r w:rsidRPr="00C7419B">
        <w:rPr>
          <w:szCs w:val="24"/>
        </w:rPr>
        <w:t xml:space="preserve">is located </w:t>
      </w:r>
      <w:r w:rsidR="007B6749">
        <w:rPr>
          <w:szCs w:val="24"/>
        </w:rPr>
        <w:t>in</w:t>
      </w:r>
      <w:proofErr w:type="gramEnd"/>
      <w:r w:rsidR="007B6749" w:rsidRPr="00C7419B">
        <w:rPr>
          <w:szCs w:val="24"/>
        </w:rPr>
        <w:t xml:space="preserve"> </w:t>
      </w:r>
      <w:r w:rsidR="007B6749">
        <w:rPr>
          <w:szCs w:val="24"/>
        </w:rPr>
        <w:t xml:space="preserve">the </w:t>
      </w:r>
      <w:r w:rsidRPr="00C7419B">
        <w:rPr>
          <w:szCs w:val="24"/>
        </w:rPr>
        <w:t xml:space="preserve">NW¼, </w:t>
      </w:r>
      <w:r w:rsidR="007B6749">
        <w:rPr>
          <w:szCs w:val="24"/>
        </w:rPr>
        <w:t xml:space="preserve">of </w:t>
      </w:r>
      <w:r w:rsidRPr="00C7419B">
        <w:rPr>
          <w:szCs w:val="24"/>
        </w:rPr>
        <w:t xml:space="preserve">Section 2, Township 1 South, Range 26 East, Yellowstone County.  This legal description refers to </w:t>
      </w:r>
      <w:r w:rsidR="00054416" w:rsidRPr="00C7419B">
        <w:rPr>
          <w:szCs w:val="24"/>
        </w:rPr>
        <w:t xml:space="preserve">the </w:t>
      </w:r>
      <w:r w:rsidRPr="00C7419B">
        <w:rPr>
          <w:szCs w:val="24"/>
        </w:rPr>
        <w:t>physical address of 401 South 23</w:t>
      </w:r>
      <w:r w:rsidRPr="00C7419B">
        <w:rPr>
          <w:szCs w:val="24"/>
          <w:vertAlign w:val="superscript"/>
        </w:rPr>
        <w:t>rd</w:t>
      </w:r>
      <w:r w:rsidRPr="00C7419B">
        <w:rPr>
          <w:szCs w:val="24"/>
        </w:rPr>
        <w:t xml:space="preserve"> Street, Billings, Montana.</w:t>
      </w:r>
    </w:p>
    <w:p w14:paraId="591E0F2D" w14:textId="77777777" w:rsidR="0074420E" w:rsidRPr="00C7419B" w:rsidRDefault="0074420E" w:rsidP="00E133F9">
      <w:pPr>
        <w:rPr>
          <w:szCs w:val="24"/>
        </w:rPr>
      </w:pPr>
    </w:p>
    <w:p w14:paraId="71390F4E" w14:textId="77777777" w:rsidR="002F5D7E" w:rsidRPr="00C7419B" w:rsidRDefault="002F5D7E" w:rsidP="00E133F9">
      <w:pPr>
        <w:pStyle w:val="Heading2"/>
        <w:spacing w:before="0" w:beforeAutospacing="0" w:after="0" w:afterAutospacing="0"/>
        <w:ind w:left="720" w:hanging="720"/>
        <w:rPr>
          <w:rFonts w:ascii="Garamond" w:hAnsi="Garamond"/>
          <w:b w:val="0"/>
          <w:sz w:val="24"/>
          <w:szCs w:val="24"/>
        </w:rPr>
      </w:pPr>
      <w:bookmarkStart w:id="3" w:name="_Toc216098195"/>
      <w:r w:rsidRPr="00C7419B">
        <w:rPr>
          <w:rFonts w:ascii="Garamond" w:hAnsi="Garamond"/>
          <w:sz w:val="24"/>
          <w:szCs w:val="24"/>
        </w:rPr>
        <w:t>Facility Background Information</w:t>
      </w:r>
      <w:bookmarkEnd w:id="3"/>
    </w:p>
    <w:p w14:paraId="350D1AFF" w14:textId="77777777" w:rsidR="00DD060F" w:rsidRPr="00C7419B" w:rsidRDefault="00DD060F" w:rsidP="00E133F9">
      <w:pPr>
        <w:rPr>
          <w:szCs w:val="24"/>
          <w:u w:val="single"/>
        </w:rPr>
      </w:pPr>
    </w:p>
    <w:p w14:paraId="52D1859F" w14:textId="77777777" w:rsidR="0074420E" w:rsidRPr="00C7419B" w:rsidRDefault="0074420E" w:rsidP="00E133F9">
      <w:pPr>
        <w:rPr>
          <w:szCs w:val="24"/>
          <w:u w:val="single"/>
        </w:rPr>
      </w:pPr>
      <w:r w:rsidRPr="00C7419B">
        <w:rPr>
          <w:szCs w:val="24"/>
          <w:u w:val="single"/>
        </w:rPr>
        <w:t>Montana Air Quality Permit</w:t>
      </w:r>
    </w:p>
    <w:p w14:paraId="4B000E8F" w14:textId="77777777" w:rsidR="0074420E" w:rsidRPr="00C7419B" w:rsidRDefault="0074420E" w:rsidP="00E133F9">
      <w:pPr>
        <w:rPr>
          <w:szCs w:val="24"/>
        </w:rPr>
      </w:pPr>
    </w:p>
    <w:p w14:paraId="5C3B7012" w14:textId="77777777" w:rsidR="0074420E" w:rsidRPr="00C7419B" w:rsidRDefault="0074420E" w:rsidP="0074420E">
      <w:pPr>
        <w:rPr>
          <w:szCs w:val="24"/>
        </w:rPr>
      </w:pPr>
      <w:r w:rsidRPr="00C7419B">
        <w:rPr>
          <w:szCs w:val="24"/>
        </w:rPr>
        <w:t xml:space="preserve">The refinery processes over 58,000 barrels per day of crude oil and produces a wide range of petroleum products, including propane, gasoline, kerosene/jet fuel, diesel, and petroleum coke.  ConocoPhillips has received several air quality permits throughout the past years for various pieces of equipment and operations.  All previously permitted equipment, limitations, conditions, and reporting requirements stated in </w:t>
      </w:r>
      <w:r w:rsidRPr="00C7419B">
        <w:rPr>
          <w:b/>
          <w:szCs w:val="24"/>
        </w:rPr>
        <w:t>Permits #1719, #2565, #2669, #2619</w:t>
      </w:r>
      <w:r w:rsidRPr="00C7419B">
        <w:rPr>
          <w:szCs w:val="24"/>
        </w:rPr>
        <w:t xml:space="preserve">, and </w:t>
      </w:r>
      <w:r w:rsidRPr="00C7419B">
        <w:rPr>
          <w:b/>
          <w:szCs w:val="24"/>
        </w:rPr>
        <w:t>#2619A</w:t>
      </w:r>
      <w:r w:rsidRPr="00C7419B">
        <w:rPr>
          <w:szCs w:val="24"/>
        </w:rPr>
        <w:t xml:space="preserve"> were included in </w:t>
      </w:r>
      <w:r w:rsidRPr="00C7419B">
        <w:rPr>
          <w:b/>
          <w:szCs w:val="24"/>
        </w:rPr>
        <w:t>Permit #2619-02</w:t>
      </w:r>
      <w:r w:rsidRPr="00C7419B">
        <w:rPr>
          <w:szCs w:val="24"/>
        </w:rPr>
        <w:t>.</w:t>
      </w:r>
    </w:p>
    <w:p w14:paraId="6F47407F" w14:textId="77777777" w:rsidR="0074420E" w:rsidRPr="00C7419B" w:rsidRDefault="0074420E" w:rsidP="0074420E">
      <w:pPr>
        <w:rPr>
          <w:szCs w:val="24"/>
        </w:rPr>
      </w:pPr>
    </w:p>
    <w:p w14:paraId="1B823FCD" w14:textId="77777777" w:rsidR="0074420E" w:rsidRPr="00C7419B" w:rsidRDefault="0074420E" w:rsidP="0074420E">
      <w:pPr>
        <w:rPr>
          <w:szCs w:val="24"/>
        </w:rPr>
      </w:pPr>
      <w:r w:rsidRPr="00C7419B">
        <w:rPr>
          <w:szCs w:val="24"/>
        </w:rPr>
        <w:t>On October 29, 1982, Conoco received an air quality permit for an emergency flare stack to be equipped and operated with steam injection.  This application was given Permit #1719.</w:t>
      </w:r>
    </w:p>
    <w:p w14:paraId="6ED65218" w14:textId="77777777" w:rsidR="0074420E" w:rsidRPr="00C7419B" w:rsidRDefault="0074420E" w:rsidP="0074420E">
      <w:pPr>
        <w:rPr>
          <w:szCs w:val="24"/>
        </w:rPr>
      </w:pPr>
    </w:p>
    <w:p w14:paraId="2F184C85" w14:textId="77777777" w:rsidR="0074420E" w:rsidRPr="00C7419B" w:rsidRDefault="0074420E" w:rsidP="0074420E">
      <w:pPr>
        <w:rPr>
          <w:szCs w:val="24"/>
        </w:rPr>
      </w:pPr>
      <w:r w:rsidRPr="00C7419B">
        <w:rPr>
          <w:szCs w:val="24"/>
        </w:rPr>
        <w:t xml:space="preserve">On June 2, 1989, Conoco received an air quality permit to convert an existing 5000-barrel cone roof tank (#49) to an internal floating roof with double seals.  This conversion was necessary </w:t>
      </w:r>
      <w:proofErr w:type="gramStart"/>
      <w:r w:rsidRPr="00C7419B">
        <w:rPr>
          <w:szCs w:val="24"/>
        </w:rPr>
        <w:t>in order to</w:t>
      </w:r>
      <w:proofErr w:type="gramEnd"/>
      <w:r w:rsidRPr="00C7419B">
        <w:rPr>
          <w:szCs w:val="24"/>
        </w:rPr>
        <w:t xml:space="preserve"> switch service from diesel to aviation gasoline storage.  The application was given Permit #2565.</w:t>
      </w:r>
    </w:p>
    <w:p w14:paraId="523C5013" w14:textId="77777777" w:rsidR="0074420E" w:rsidRPr="00C7419B" w:rsidRDefault="0074420E" w:rsidP="0074420E">
      <w:pPr>
        <w:rPr>
          <w:szCs w:val="24"/>
        </w:rPr>
      </w:pPr>
    </w:p>
    <w:p w14:paraId="6ED8C6DC" w14:textId="77777777" w:rsidR="0074420E" w:rsidRPr="00C7419B" w:rsidRDefault="0074420E" w:rsidP="0074420E">
      <w:pPr>
        <w:rPr>
          <w:szCs w:val="24"/>
        </w:rPr>
      </w:pPr>
      <w:r w:rsidRPr="00C7419B">
        <w:rPr>
          <w:szCs w:val="24"/>
        </w:rPr>
        <w:t>On January 29, 1991, Conoco received an air quality permit to construct and operate two (2) 2000-barrel desalter wastewater break tanks equipped with external floating roofs and double rim seals.  The new tanks are to augment the refinery's ability to control fugitive volatile organic compound (VOC) emissions and enhance recovery of oily water from the existing wastewater treatment system.  The application was given Permit #2669.</w:t>
      </w:r>
    </w:p>
    <w:p w14:paraId="0D51DD96" w14:textId="77777777" w:rsidR="00DC3F25" w:rsidRPr="00C7419B" w:rsidRDefault="00DC3F25" w:rsidP="0074420E">
      <w:pPr>
        <w:rPr>
          <w:sz w:val="22"/>
          <w:szCs w:val="22"/>
        </w:rPr>
      </w:pPr>
    </w:p>
    <w:p w14:paraId="0BDB7E13" w14:textId="77777777" w:rsidR="00EA6034" w:rsidRDefault="0074420E" w:rsidP="0074420E">
      <w:pPr>
        <w:rPr>
          <w:szCs w:val="24"/>
        </w:rPr>
      </w:pPr>
      <w:r w:rsidRPr="00C7419B">
        <w:rPr>
          <w:szCs w:val="24"/>
        </w:rPr>
        <w:t xml:space="preserve">On April 19, 1990, Conoco received an air quality permit to construct new equipment and modify existing equipment at the refinery and construct a sulfur recovery facility, operated by Kerley Enterprises under the control of Conoco, as part of the overall Conoco project.  The application was given Permit #2619.  </w:t>
      </w:r>
    </w:p>
    <w:p w14:paraId="1BDF652C" w14:textId="77777777" w:rsidR="00EA6034" w:rsidRDefault="00EA6034" w:rsidP="0074420E">
      <w:pPr>
        <w:rPr>
          <w:szCs w:val="24"/>
        </w:rPr>
      </w:pPr>
    </w:p>
    <w:p w14:paraId="18AE7A1E" w14:textId="0F9AE828" w:rsidR="0074420E" w:rsidRPr="00C7419B" w:rsidRDefault="0074420E" w:rsidP="0074420E">
      <w:pPr>
        <w:rPr>
          <w:szCs w:val="24"/>
        </w:rPr>
      </w:pPr>
      <w:r w:rsidRPr="00C7419B">
        <w:rPr>
          <w:szCs w:val="24"/>
        </w:rPr>
        <w:t xml:space="preserve">Conoco was permitted to construct a new 13,000-barrels-per-stream-day delayed-petroleum coker unit, cryogenic gas plan, gasoline treating unit, and hydrogen system additions.  Also, modifications to the existing crude and vacuum distillation units, hydrodesulfurization units, amine treating units </w:t>
      </w:r>
      <w:r w:rsidRPr="00C7419B">
        <w:rPr>
          <w:szCs w:val="24"/>
        </w:rPr>
        <w:lastRenderedPageBreak/>
        <w:t>and wastewater treatment system were permitted.  The sulfur recover facility (Sulfur Recovery Unit/ Ammonium Thiosulfate unit (SRU/ATS)) is to be operated in conjunction with the new installations and modifications at the Conoco Refinery.  This SRU/ATS was permitted with the capability of utilizing 109.9 long tons per day of equivalent sulfur obtained from the Conoco Refinery for the manufacture of elemental sulfur and sulfur-containing fertilizer solutions (i.e., ammonium thiosulfate).</w:t>
      </w:r>
    </w:p>
    <w:p w14:paraId="788F9455" w14:textId="77777777" w:rsidR="0074420E" w:rsidRPr="00C7419B" w:rsidRDefault="0074420E" w:rsidP="0074420E">
      <w:pPr>
        <w:rPr>
          <w:sz w:val="22"/>
          <w:szCs w:val="22"/>
        </w:rPr>
      </w:pPr>
    </w:p>
    <w:p w14:paraId="373A6D00" w14:textId="1E3240C4" w:rsidR="0074420E" w:rsidRPr="00C7419B" w:rsidRDefault="0074420E" w:rsidP="0074420E">
      <w:pPr>
        <w:rPr>
          <w:szCs w:val="24"/>
        </w:rPr>
      </w:pPr>
      <w:r w:rsidRPr="00C7419B">
        <w:rPr>
          <w:szCs w:val="24"/>
        </w:rPr>
        <w:t xml:space="preserve">On December 4, 1991, Conoco was issued </w:t>
      </w:r>
      <w:r w:rsidR="00EA6034">
        <w:rPr>
          <w:szCs w:val="24"/>
        </w:rPr>
        <w:t>MAQP</w:t>
      </w:r>
      <w:r w:rsidRPr="00C7419B">
        <w:rPr>
          <w:szCs w:val="24"/>
        </w:rPr>
        <w:t xml:space="preserve"> #2619A for the construction of one 1000-barrel hydrocarbon storage tank (T162).  This tank will store recovered hydrocarbon product from the contaminated groundwater aquifer beneath the Conoco Refinery.  Over the years, surface discharges at the refinery have contaminated the groundwater with oily hydrocarbon products.  The purpose of this project is to recover hydrocarbon product (oil) from the groundwater aquifer beneath the refinery.  The hydrocarbon product (oil) is pumped out of a cone of depression within the contaminated groundwater aquifer.  Groundwater, less the recovered hydrocarbon product, is returned to the aquifer.  The application addressed the increase in volatile VOC emissions from the storage of recovered hydrocarbon product.</w:t>
      </w:r>
    </w:p>
    <w:p w14:paraId="57747709" w14:textId="77777777" w:rsidR="0074420E" w:rsidRPr="00C7419B" w:rsidRDefault="0074420E" w:rsidP="0074420E">
      <w:pPr>
        <w:rPr>
          <w:sz w:val="22"/>
          <w:szCs w:val="22"/>
        </w:rPr>
      </w:pPr>
    </w:p>
    <w:p w14:paraId="2A076C89" w14:textId="473A0A19" w:rsidR="0074420E" w:rsidRPr="00C7419B" w:rsidRDefault="0074420E" w:rsidP="0074420E">
      <w:pPr>
        <w:rPr>
          <w:szCs w:val="24"/>
        </w:rPr>
      </w:pPr>
      <w:r w:rsidRPr="00C7419B">
        <w:rPr>
          <w:szCs w:val="24"/>
        </w:rPr>
        <w:t xml:space="preserve">On March 5, 1993, Conoco was issued </w:t>
      </w:r>
      <w:r w:rsidR="00EA6034">
        <w:rPr>
          <w:szCs w:val="24"/>
        </w:rPr>
        <w:t>MAQP</w:t>
      </w:r>
      <w:r w:rsidRPr="00C7419B">
        <w:rPr>
          <w:szCs w:val="24"/>
        </w:rPr>
        <w:t xml:space="preserve"> #2619-02 for the construction and operation of a 5.0-million standard cubic feet (</w:t>
      </w:r>
      <w:proofErr w:type="spellStart"/>
      <w:r w:rsidRPr="00C7419B">
        <w:rPr>
          <w:szCs w:val="24"/>
        </w:rPr>
        <w:t>MMscf</w:t>
      </w:r>
      <w:proofErr w:type="spellEnd"/>
      <w:r w:rsidRPr="00C7419B">
        <w:rPr>
          <w:szCs w:val="24"/>
        </w:rPr>
        <w:t xml:space="preserve">)-per-day hydrogen plant and to replace their existing American Petroleum Institute (API) separator system with a corrugated plate interceptor (CPI) separator system.  The natural gas feedstock to the new hydrogen plant will produce 99.9% pure hydrogen.  This hydrogen and hydrogen from the existing catalytic reformers will be routed to the refinery hydrotreaters to reduce fuel product sulfur content.  The hydrogen sulfide produced is, and will continue to be, routed to the SRU/ATS.  The two (2) new CPI separator tanks with carbon canister total VOC controls were constructed to comply with 40 CFR 60, Subpart QQQ and 40 CFR 61, Subpart FF regulations.  The CPI separators vent to two (2) carbon canisters in series.  Each carbon canister shall be designed and operated to reduce VOC emissions by 95%, or greater, with no detectable emissions.  </w:t>
      </w:r>
    </w:p>
    <w:p w14:paraId="79DB9C8E" w14:textId="77777777" w:rsidR="0074420E" w:rsidRPr="00C7419B" w:rsidRDefault="0074420E" w:rsidP="0074420E">
      <w:pPr>
        <w:rPr>
          <w:sz w:val="22"/>
          <w:szCs w:val="22"/>
        </w:rPr>
      </w:pPr>
    </w:p>
    <w:p w14:paraId="7911FD27" w14:textId="77777777" w:rsidR="0074420E" w:rsidRPr="00C7419B" w:rsidRDefault="0074420E" w:rsidP="0074420E">
      <w:pPr>
        <w:rPr>
          <w:szCs w:val="24"/>
        </w:rPr>
      </w:pPr>
      <w:r w:rsidRPr="00C7419B">
        <w:rPr>
          <w:szCs w:val="24"/>
        </w:rPr>
        <w:t>Correspondence received by the Montana Department of Environmental Quality (Department) on December 22, 1992, transferred ownership of the Kerley Enterprises facility to Jupiter Sulphur, Inc. as of December 31, 1992.</w:t>
      </w:r>
    </w:p>
    <w:p w14:paraId="4229ADE4" w14:textId="77777777" w:rsidR="0074420E" w:rsidRPr="00C7419B" w:rsidRDefault="0074420E" w:rsidP="0074420E">
      <w:pPr>
        <w:rPr>
          <w:sz w:val="22"/>
          <w:szCs w:val="22"/>
        </w:rPr>
      </w:pPr>
    </w:p>
    <w:p w14:paraId="5400CCE2" w14:textId="22CF6081" w:rsidR="0074420E" w:rsidRDefault="0074420E" w:rsidP="0074420E">
      <w:pPr>
        <w:rPr>
          <w:szCs w:val="24"/>
        </w:rPr>
      </w:pPr>
      <w:r w:rsidRPr="00C7419B">
        <w:rPr>
          <w:szCs w:val="24"/>
        </w:rPr>
        <w:t xml:space="preserve">On September 14, 1993, Conoco was issued </w:t>
      </w:r>
      <w:r w:rsidR="00EA6034">
        <w:rPr>
          <w:b/>
          <w:szCs w:val="24"/>
        </w:rPr>
        <w:t>MAQP</w:t>
      </w:r>
      <w:r w:rsidRPr="00C7419B">
        <w:rPr>
          <w:b/>
          <w:szCs w:val="24"/>
        </w:rPr>
        <w:t xml:space="preserve"> #2619-03</w:t>
      </w:r>
      <w:r w:rsidRPr="00C7419B">
        <w:rPr>
          <w:szCs w:val="24"/>
        </w:rPr>
        <w:t xml:space="preserve"> for the construction and operation of a gas oil hydrotreater and associated hydrogen plant at the Billings refinery.  The new hydrotreater desulfurizes a mixture of Fluid Catalytic Cracker (FCC) feed gas oils, which allow the FCC to produce low sulfur gasoline.  This low sulfur gasoline is required by January 1, </w:t>
      </w:r>
      <w:r w:rsidR="002602C2" w:rsidRPr="00C7419B">
        <w:rPr>
          <w:szCs w:val="24"/>
        </w:rPr>
        <w:t>1995,</w:t>
      </w:r>
      <w:r w:rsidRPr="00C7419B">
        <w:rPr>
          <w:szCs w:val="24"/>
        </w:rPr>
        <w:t xml:space="preserve"> to satisfy EPA's gasoline sulfur provisions of the Federal 1990 Clean Air Act Amendments.  Hydrogen requirements will be met by the installation of a new hydrogen plant.  Installing additional elemental liquid sulfur production facilities at the SRU/ATS plant adjacent to the refinery will provide sulfur recovery capacity.  The following is a discussion of the project to accomplish this end.</w:t>
      </w:r>
    </w:p>
    <w:p w14:paraId="3B427F6D" w14:textId="77777777" w:rsidR="001C55BA" w:rsidRPr="00C7419B" w:rsidRDefault="001C55BA" w:rsidP="0074420E">
      <w:pPr>
        <w:rPr>
          <w:szCs w:val="24"/>
        </w:rPr>
      </w:pPr>
    </w:p>
    <w:p w14:paraId="43ADCE64" w14:textId="2721DCE7" w:rsidR="001C55BA" w:rsidRDefault="0074420E" w:rsidP="001C55BA">
      <w:pPr>
        <w:keepLines/>
        <w:rPr>
          <w:szCs w:val="24"/>
        </w:rPr>
      </w:pPr>
      <w:r w:rsidRPr="00C7419B">
        <w:rPr>
          <w:szCs w:val="24"/>
        </w:rPr>
        <w:t xml:space="preserve">The Gas Oil </w:t>
      </w:r>
      <w:proofErr w:type="spellStart"/>
      <w:r w:rsidRPr="00C7419B">
        <w:rPr>
          <w:szCs w:val="24"/>
        </w:rPr>
        <w:t>Hydrodesulfurizer</w:t>
      </w:r>
      <w:proofErr w:type="spellEnd"/>
      <w:r w:rsidRPr="00C7419B">
        <w:rPr>
          <w:szCs w:val="24"/>
        </w:rPr>
        <w:t xml:space="preserve"> (GOHDS) is designed to meet the primary objective of removing sulfur from the FCC feedstock.  A combination of gas oils feed the Gas Oil Hydrotreater.  The gas oils are mixed with hydrogen, heated, and passed over a catalyst bed where desulfurization occurs.  The gas oil is then fractionated into several products, cooled, and sent to storage.  A steam-methane reforming hydrogen plant produces makeup hydrogen for the unit.  Any unconsumed hydrogen is amine treated for hydrogen sulfide (H</w:t>
      </w:r>
      <w:r w:rsidRPr="00C7419B">
        <w:rPr>
          <w:szCs w:val="24"/>
          <w:vertAlign w:val="subscript"/>
        </w:rPr>
        <w:t>2</w:t>
      </w:r>
      <w:r w:rsidRPr="00C7419B">
        <w:rPr>
          <w:szCs w:val="24"/>
        </w:rPr>
        <w:t>S) removal and recycled.</w:t>
      </w:r>
    </w:p>
    <w:p w14:paraId="6416BB04" w14:textId="77777777" w:rsidR="001C55BA" w:rsidRPr="00C7419B" w:rsidRDefault="001C55BA" w:rsidP="001C55BA">
      <w:pPr>
        <w:keepLines/>
        <w:rPr>
          <w:szCs w:val="24"/>
        </w:rPr>
      </w:pPr>
    </w:p>
    <w:p w14:paraId="7C89FA84" w14:textId="77777777" w:rsidR="0074420E" w:rsidRPr="00C7419B" w:rsidRDefault="0074420E" w:rsidP="001C55BA">
      <w:pPr>
        <w:keepLines/>
        <w:widowControl w:val="0"/>
        <w:rPr>
          <w:szCs w:val="24"/>
        </w:rPr>
      </w:pPr>
      <w:r w:rsidRPr="00C7419B">
        <w:rPr>
          <w:szCs w:val="24"/>
        </w:rPr>
        <w:lastRenderedPageBreak/>
        <w:t>The project did not increase the refinery's capacity.  The project did not constitute a major modification for purposes of the Prevention of Significant Deterioration (PSD) program since net emissions did not increase above significant amounts as defined by the ARM 18.8.801(20)(a).</w:t>
      </w:r>
    </w:p>
    <w:p w14:paraId="545CA1A6" w14:textId="77777777" w:rsidR="0074420E" w:rsidRPr="00C7419B" w:rsidRDefault="0074420E" w:rsidP="0074420E">
      <w:pPr>
        <w:rPr>
          <w:szCs w:val="24"/>
        </w:rPr>
      </w:pPr>
    </w:p>
    <w:p w14:paraId="00B2355A" w14:textId="77777777" w:rsidR="0074420E" w:rsidRPr="00C7419B" w:rsidRDefault="0074420E" w:rsidP="0074420E">
      <w:pPr>
        <w:rPr>
          <w:szCs w:val="24"/>
        </w:rPr>
      </w:pPr>
      <w:r w:rsidRPr="00C7419B">
        <w:rPr>
          <w:szCs w:val="24"/>
        </w:rPr>
        <w:t>The additional fugitive VOC emissions from this project were calculated by totaling the fugitive sources on the process units.  These sources include flanges, valves, relief valves, process drains, compressor seal degassing vents and accumulator vents, and open-ended lines.  The fugitive source tabulations were then used with actual refinery emission factors obtained from the Conoco Refinery in Ponca City, Oklahoma.  Furthermore, it is intended that each non-control valve in VOC service will be repacked with graphite packing to Conoco standards before installation.  All control valves for the GOHDS project will be Enviro-Seal valves or equivalent.  The Enviro-Seal valves have a performance specification that exceeds the Subpart GGG standards.  The VOC emissions will be validated by 40 CFR 60, Subpart GGG emission monitoring.</w:t>
      </w:r>
    </w:p>
    <w:p w14:paraId="4FB55B37" w14:textId="77777777" w:rsidR="0074420E" w:rsidRPr="00C7419B" w:rsidRDefault="0074420E" w:rsidP="0074420E">
      <w:pPr>
        <w:rPr>
          <w:szCs w:val="24"/>
        </w:rPr>
      </w:pPr>
    </w:p>
    <w:p w14:paraId="7B793C8C" w14:textId="77777777" w:rsidR="0074420E" w:rsidRPr="00C7419B" w:rsidRDefault="0074420E" w:rsidP="0074420E">
      <w:pPr>
        <w:rPr>
          <w:szCs w:val="24"/>
        </w:rPr>
      </w:pPr>
      <w:r w:rsidRPr="00C7419B">
        <w:rPr>
          <w:szCs w:val="24"/>
        </w:rPr>
        <w:t xml:space="preserve">As a result of the project, the SRU/ATS facility will consist of three primary units.  They are the existing ammonium </w:t>
      </w:r>
      <w:proofErr w:type="spellStart"/>
      <w:r w:rsidRPr="00C7419B">
        <w:rPr>
          <w:szCs w:val="24"/>
        </w:rPr>
        <w:t>thiosulfide</w:t>
      </w:r>
      <w:proofErr w:type="spellEnd"/>
      <w:r w:rsidRPr="00C7419B">
        <w:rPr>
          <w:szCs w:val="24"/>
        </w:rPr>
        <w:t xml:space="preserve"> ATS Plant, the existing Ammonium Sulfide Unit and the addition of the Claus Sulfur and Tail Gas Treating Units (TGTU).  The addition of the new units did increase the total sulfur recovery capacity of the facility from 110 to 170 long tons per day (LT/D) of sulfur.</w:t>
      </w:r>
    </w:p>
    <w:p w14:paraId="7514BDEB" w14:textId="77777777" w:rsidR="0074420E" w:rsidRPr="00C7419B" w:rsidRDefault="0074420E" w:rsidP="0074420E">
      <w:pPr>
        <w:rPr>
          <w:szCs w:val="24"/>
        </w:rPr>
      </w:pPr>
    </w:p>
    <w:p w14:paraId="37C6D256" w14:textId="77777777" w:rsidR="0074420E" w:rsidRPr="00C7419B" w:rsidRDefault="0074420E" w:rsidP="0074420E">
      <w:pPr>
        <w:rPr>
          <w:szCs w:val="24"/>
        </w:rPr>
      </w:pPr>
      <w:r w:rsidRPr="00C7419B">
        <w:rPr>
          <w:szCs w:val="24"/>
        </w:rPr>
        <w:t>The existing ATS plant consisted of a thermal Claus reaction type boiler.  The exit gas from the Claus boiler is incinerated in the ATS Unit.  The sulfur dioxide from the incinerator is absorbed and converted to ammonium bisulfite (ABS).  The ABS is then used to absorb and react with hydrogen sulfide to produce the ATS product.  Up to 110 LT/D of sulfur can be processed by the ATS plant to produce sulfur and ATS.</w:t>
      </w:r>
    </w:p>
    <w:p w14:paraId="618011B8" w14:textId="77777777" w:rsidR="0074420E" w:rsidRPr="00C7419B" w:rsidRDefault="0074420E" w:rsidP="0074420E">
      <w:pPr>
        <w:rPr>
          <w:szCs w:val="24"/>
        </w:rPr>
      </w:pPr>
    </w:p>
    <w:p w14:paraId="0934AFF1" w14:textId="77777777" w:rsidR="0074420E" w:rsidRPr="00C7419B" w:rsidRDefault="0074420E" w:rsidP="0074420E">
      <w:pPr>
        <w:rPr>
          <w:szCs w:val="24"/>
        </w:rPr>
      </w:pPr>
      <w:r w:rsidRPr="00C7419B">
        <w:rPr>
          <w:szCs w:val="24"/>
        </w:rPr>
        <w:t xml:space="preserve">The ammonium sulfide unit consists of an absorption column, which absorbs the sulfur as hydrogen sulfide in the acid gas feed and reacts with ammonia and water.  When the new Claus sulfur unit is added, the SRU/ATS facility will be modified to incinerate any </w:t>
      </w:r>
      <w:proofErr w:type="gramStart"/>
      <w:r w:rsidRPr="00C7419B">
        <w:rPr>
          <w:szCs w:val="24"/>
        </w:rPr>
        <w:t>off-gas</w:t>
      </w:r>
      <w:proofErr w:type="gramEnd"/>
      <w:r w:rsidRPr="00C7419B">
        <w:rPr>
          <w:szCs w:val="24"/>
        </w:rPr>
        <w:t xml:space="preserve"> from this unit in the TGTU and ATS plant.  This will eliminate off-gas flow to and emissions from the flare.  Up to 110 LT/D of sulfur can be processed by the ammonium sulfide unit to produce ammonium sulfide solution.</w:t>
      </w:r>
    </w:p>
    <w:p w14:paraId="454E59D6" w14:textId="77777777" w:rsidR="0074420E" w:rsidRPr="00C7419B" w:rsidRDefault="0074420E" w:rsidP="0074420E">
      <w:pPr>
        <w:rPr>
          <w:szCs w:val="24"/>
        </w:rPr>
      </w:pPr>
    </w:p>
    <w:p w14:paraId="4F0B003D" w14:textId="3C96C77E" w:rsidR="00C42481" w:rsidRPr="00C7419B" w:rsidRDefault="0074420E">
      <w:pPr>
        <w:rPr>
          <w:szCs w:val="24"/>
        </w:rPr>
      </w:pPr>
      <w:r w:rsidRPr="00C7419B">
        <w:rPr>
          <w:szCs w:val="24"/>
        </w:rPr>
        <w:t>The new Claus sulfur unit consists of a thermal Claus reaction furnace followed by a waste heat boiler and three catalytic Claus reaction beds.  The Claus tail gas is then incinerated before entering the TGTU.  In this new unit, the sulfur dioxide from the incinerator is absorbed and converted to ABS.  This ABS is then transferred to the ATS unit for conversion.  Up to 110 LT/D of sulfur can be processed by the Claus sulfur unit to produce sulfur and ABS.  The ABS from the TGTU is dilute, containing a significant amount of water that was generated from the Claus reaction.  To prevent making a dilute ATS from this "weak" ABS, a new ATS reactor was added to the ATS unit.  This ATS reactor will combine "weak" ABS, additional ABS, and sulfur to make a full strength ATS solution.</w:t>
      </w:r>
    </w:p>
    <w:p w14:paraId="0EB8F4F7" w14:textId="77777777" w:rsidR="001C6D19" w:rsidRPr="00C7419B" w:rsidRDefault="001C6D19">
      <w:pPr>
        <w:rPr>
          <w:szCs w:val="24"/>
        </w:rPr>
      </w:pPr>
    </w:p>
    <w:p w14:paraId="74150C28" w14:textId="77777777" w:rsidR="0074420E" w:rsidRPr="00C7419B" w:rsidRDefault="0074420E" w:rsidP="0074420E">
      <w:pPr>
        <w:rPr>
          <w:szCs w:val="24"/>
        </w:rPr>
      </w:pPr>
      <w:r w:rsidRPr="00C7419B">
        <w:rPr>
          <w:szCs w:val="24"/>
        </w:rPr>
        <w:t xml:space="preserve">An important feature of the Jupiter Sulphur, Inc. facility is its </w:t>
      </w:r>
      <w:proofErr w:type="gramStart"/>
      <w:r w:rsidRPr="00C7419B">
        <w:rPr>
          <w:szCs w:val="24"/>
        </w:rPr>
        <w:t>capability</w:t>
      </w:r>
      <w:proofErr w:type="gramEnd"/>
      <w:r w:rsidRPr="00C7419B">
        <w:rPr>
          <w:szCs w:val="24"/>
        </w:rPr>
        <w:t xml:space="preserve"> to </w:t>
      </w:r>
      <w:proofErr w:type="gramStart"/>
      <w:r w:rsidRPr="00C7419B">
        <w:rPr>
          <w:szCs w:val="24"/>
        </w:rPr>
        <w:t>process Conoco's sour gases at all times</w:t>
      </w:r>
      <w:proofErr w:type="gramEnd"/>
      <w:r w:rsidRPr="00C7419B">
        <w:rPr>
          <w:szCs w:val="24"/>
        </w:rPr>
        <w:t>.  A maximum of 170 LT/D of sulfur is planned to be recovered and each of the three units have a capacity of 110 LT/D.  If any of the three is out of service, then the other two can easily handle the load.  While the process has 100% redundancy, any two of the three units must be running to handle the design load.  The process uses high efficiency gas filters, which employ a water-flush coalescer cartridge to reduce particulate, as well as sulfur compounds.</w:t>
      </w:r>
    </w:p>
    <w:p w14:paraId="66805F3A" w14:textId="77777777" w:rsidR="0074420E" w:rsidRDefault="0074420E" w:rsidP="0074420E">
      <w:pPr>
        <w:rPr>
          <w:szCs w:val="24"/>
        </w:rPr>
      </w:pPr>
    </w:p>
    <w:p w14:paraId="65D22848" w14:textId="46FAF3A1" w:rsidR="0074420E" w:rsidRPr="00C7419B" w:rsidRDefault="0074420E" w:rsidP="0074420E">
      <w:pPr>
        <w:rPr>
          <w:szCs w:val="24"/>
        </w:rPr>
      </w:pPr>
      <w:r w:rsidRPr="00C7419B">
        <w:rPr>
          <w:szCs w:val="24"/>
        </w:rPr>
        <w:t xml:space="preserve">On November 11, 1993, Conoco was issued </w:t>
      </w:r>
      <w:r w:rsidR="00EA6034">
        <w:rPr>
          <w:b/>
          <w:szCs w:val="24"/>
        </w:rPr>
        <w:t>MAQP</w:t>
      </w:r>
      <w:r w:rsidRPr="00C7419B">
        <w:rPr>
          <w:b/>
          <w:szCs w:val="24"/>
        </w:rPr>
        <w:t xml:space="preserve"> #2619-04</w:t>
      </w:r>
      <w:r w:rsidRPr="00C7419B">
        <w:rPr>
          <w:szCs w:val="24"/>
        </w:rPr>
        <w:t xml:space="preserve"> to construct and operate a new compressor station and associated equipment at the Billings Refinery.  The C-23 compressor station </w:t>
      </w:r>
      <w:r w:rsidRPr="00C7419B">
        <w:rPr>
          <w:szCs w:val="24"/>
        </w:rPr>
        <w:lastRenderedPageBreak/>
        <w:t xml:space="preserve">project will involve the recommissioning of an out-of-service compressor and associated equipment components having fugitive VOC emissions.  The project will also involve the installation of new equipment components having fugitive VOC emissions.  The recommissioned compressor was originally installed in 1948.  The compressor will undergo some minor </w:t>
      </w:r>
      <w:r w:rsidR="000E470C" w:rsidRPr="00C7419B">
        <w:rPr>
          <w:szCs w:val="24"/>
        </w:rPr>
        <w:t>refurbishing but</w:t>
      </w:r>
      <w:r w:rsidRPr="00C7419B">
        <w:rPr>
          <w:szCs w:val="24"/>
        </w:rPr>
        <w:t xml:space="preserve"> will not trigger "reconstruction" as defined in 40 CFR 60.15.  The purpose of the C-23 compressor station project is to improve the economics of the refinery's wet gas (gas streams containing recoverable liquid products) processing through increased yields and more efficient operation in the refinery's large and small Crude Topping</w:t>
      </w:r>
      <w:r w:rsidR="00D20846" w:rsidRPr="00C7419B">
        <w:rPr>
          <w:szCs w:val="24"/>
        </w:rPr>
        <w:t xml:space="preserve"> </w:t>
      </w:r>
      <w:r w:rsidRPr="00C7419B">
        <w:rPr>
          <w:szCs w:val="24"/>
        </w:rPr>
        <w:t>Units (CTUs) and the Alkylation unit.  The project also improved safety in the operations of the two CTUs, Alkylation unit, and Gas Recovery Plant (GRP).  As a result of this project, the vapor pressure of the alkylate product (produced by the Alkylation unit) will be lower.</w:t>
      </w:r>
    </w:p>
    <w:p w14:paraId="4A6047CB" w14:textId="77777777" w:rsidR="0074420E" w:rsidRPr="00C7419B" w:rsidRDefault="0074420E" w:rsidP="0074420E">
      <w:pPr>
        <w:rPr>
          <w:szCs w:val="24"/>
        </w:rPr>
      </w:pPr>
    </w:p>
    <w:p w14:paraId="6AAF1754" w14:textId="4205A5D6" w:rsidR="0074420E" w:rsidRPr="00C7419B" w:rsidRDefault="0074420E" w:rsidP="0074420E">
      <w:pPr>
        <w:rPr>
          <w:szCs w:val="24"/>
        </w:rPr>
      </w:pPr>
      <w:r w:rsidRPr="00C7419B">
        <w:rPr>
          <w:szCs w:val="24"/>
        </w:rPr>
        <w:t xml:space="preserve">On February 2, 1994, Conoco was issued </w:t>
      </w:r>
      <w:r w:rsidR="00EA6034">
        <w:rPr>
          <w:b/>
          <w:szCs w:val="24"/>
        </w:rPr>
        <w:t>MAQP</w:t>
      </w:r>
      <w:r w:rsidRPr="00C7419B">
        <w:rPr>
          <w:b/>
          <w:szCs w:val="24"/>
        </w:rPr>
        <w:t xml:space="preserve"> #2619-05</w:t>
      </w:r>
      <w:r w:rsidRPr="00C7419B">
        <w:rPr>
          <w:szCs w:val="24"/>
        </w:rPr>
        <w:t xml:space="preserve"> to construct and operate a new butane </w:t>
      </w:r>
      <w:proofErr w:type="spellStart"/>
      <w:r w:rsidRPr="00C7419B">
        <w:rPr>
          <w:szCs w:val="24"/>
        </w:rPr>
        <w:t>defluorinator</w:t>
      </w:r>
      <w:proofErr w:type="spellEnd"/>
      <w:r w:rsidRPr="00C7419B">
        <w:rPr>
          <w:szCs w:val="24"/>
        </w:rPr>
        <w:t xml:space="preserve"> within the alkylation unit at the refinery.  Installation of an alumina (AL</w:t>
      </w:r>
      <w:r w:rsidRPr="00C7419B">
        <w:rPr>
          <w:szCs w:val="24"/>
          <w:vertAlign w:val="subscript"/>
        </w:rPr>
        <w:t>2</w:t>
      </w:r>
      <w:r w:rsidRPr="00C7419B">
        <w:rPr>
          <w:szCs w:val="24"/>
        </w:rPr>
        <w:t>O</w:t>
      </w:r>
      <w:r w:rsidRPr="00C7419B">
        <w:rPr>
          <w:szCs w:val="24"/>
          <w:vertAlign w:val="subscript"/>
        </w:rPr>
        <w:t>3</w:t>
      </w:r>
      <w:r w:rsidRPr="00C7419B">
        <w:rPr>
          <w:szCs w:val="24"/>
        </w:rPr>
        <w:t xml:space="preserve">) bed </w:t>
      </w:r>
      <w:proofErr w:type="spellStart"/>
      <w:r w:rsidRPr="00C7419B">
        <w:rPr>
          <w:szCs w:val="24"/>
        </w:rPr>
        <w:t>defluorinator</w:t>
      </w:r>
      <w:proofErr w:type="spellEnd"/>
      <w:r w:rsidRPr="00C7419B">
        <w:rPr>
          <w:szCs w:val="24"/>
        </w:rPr>
        <w:t xml:space="preserve"> system is to remove residual hydrofluoric acid (HF) and organic fluorides from the butane stream produced by the alkylation unit.  This will reduce the fluorine level of the butane from ~ 500 parts per million, weight (</w:t>
      </w:r>
      <w:proofErr w:type="spellStart"/>
      <w:r w:rsidRPr="00C7419B">
        <w:rPr>
          <w:szCs w:val="24"/>
        </w:rPr>
        <w:t>ppmw</w:t>
      </w:r>
      <w:proofErr w:type="spellEnd"/>
      <w:r w:rsidRPr="00C7419B">
        <w:rPr>
          <w:szCs w:val="24"/>
        </w:rPr>
        <w:t xml:space="preserve">) to ~ 1 </w:t>
      </w:r>
      <w:proofErr w:type="spellStart"/>
      <w:r w:rsidRPr="00C7419B">
        <w:rPr>
          <w:szCs w:val="24"/>
        </w:rPr>
        <w:t>ppmw</w:t>
      </w:r>
      <w:proofErr w:type="spellEnd"/>
      <w:r w:rsidRPr="00C7419B">
        <w:rPr>
          <w:szCs w:val="24"/>
        </w:rPr>
        <w:t xml:space="preserve">, which will allow the butane to be recycled back to the refinery's </w:t>
      </w:r>
      <w:proofErr w:type="spellStart"/>
      <w:r w:rsidRPr="00C7419B">
        <w:rPr>
          <w:szCs w:val="24"/>
        </w:rPr>
        <w:t>butamer</w:t>
      </w:r>
      <w:proofErr w:type="spellEnd"/>
      <w:r w:rsidRPr="00C7419B">
        <w:rPr>
          <w:szCs w:val="24"/>
        </w:rPr>
        <w:t xml:space="preserve"> unit for conversion into isobutane.  The alkylation unit butane </w:t>
      </w:r>
      <w:proofErr w:type="spellStart"/>
      <w:r w:rsidRPr="00C7419B">
        <w:rPr>
          <w:szCs w:val="24"/>
        </w:rPr>
        <w:t>defluorinator</w:t>
      </w:r>
      <w:proofErr w:type="spellEnd"/>
      <w:r w:rsidRPr="00C7419B">
        <w:rPr>
          <w:szCs w:val="24"/>
        </w:rPr>
        <w:t xml:space="preserve"> project resulted in: (1) changes in operation of the alkylate stabilization train of the alkylation unit to yield defluorinated butane instead of fluorinated and lower vapor pressure alkylate products; (2) changes in operations of the refinery's gasoline blending to restructure butane blending and lower the vapor pressure of the gasoline pool; (3) minimize butane sales; (4) minimize butane burning as refinery fuel gas; and (5) economize gasoline blending of butane. </w:t>
      </w:r>
    </w:p>
    <w:p w14:paraId="5A1ED086" w14:textId="77777777" w:rsidR="0074420E" w:rsidRPr="00C7419B" w:rsidRDefault="0074420E" w:rsidP="0074420E">
      <w:pPr>
        <w:rPr>
          <w:szCs w:val="24"/>
        </w:rPr>
      </w:pPr>
    </w:p>
    <w:p w14:paraId="0D03F0C8" w14:textId="3EDB913A" w:rsidR="00C525BB" w:rsidRPr="00C7419B" w:rsidRDefault="0074420E" w:rsidP="001C6D19">
      <w:pPr>
        <w:pStyle w:val="BodyText"/>
        <w:rPr>
          <w:szCs w:val="24"/>
        </w:rPr>
      </w:pPr>
      <w:r w:rsidRPr="00C7419B">
        <w:rPr>
          <w:sz w:val="24"/>
          <w:szCs w:val="24"/>
        </w:rPr>
        <w:t xml:space="preserve">On March 28, 1994, Conoco was issued </w:t>
      </w:r>
      <w:r w:rsidR="00EA6034">
        <w:rPr>
          <w:b/>
          <w:sz w:val="24"/>
          <w:szCs w:val="24"/>
        </w:rPr>
        <w:t>MAQP</w:t>
      </w:r>
      <w:r w:rsidRPr="00C7419B">
        <w:rPr>
          <w:b/>
          <w:sz w:val="24"/>
          <w:szCs w:val="24"/>
        </w:rPr>
        <w:t xml:space="preserve"> #2619-06</w:t>
      </w:r>
      <w:r w:rsidRPr="00C7419B">
        <w:rPr>
          <w:sz w:val="24"/>
          <w:szCs w:val="24"/>
        </w:rPr>
        <w:t xml:space="preserve"> to construct and operate equipment to support a new polymer modified asphalt (PMA) unit at the refinery.  The PMA project allowed Conoco to produce asphalt that meets the new federal specifications and become a supplier of PMA for the region.  A 9.5-million British thermal unit per hour (MMBtu/</w:t>
      </w:r>
      <w:proofErr w:type="spellStart"/>
      <w:r w:rsidRPr="00C7419B">
        <w:rPr>
          <w:sz w:val="24"/>
          <w:szCs w:val="24"/>
        </w:rPr>
        <w:t>hr</w:t>
      </w:r>
      <w:proofErr w:type="spellEnd"/>
      <w:r w:rsidRPr="00C7419B">
        <w:rPr>
          <w:sz w:val="24"/>
          <w:szCs w:val="24"/>
        </w:rPr>
        <w:t xml:space="preserve">) natural gas-fired process heater, to heat an oil heat transfer fluid, was installed to bring the asphalt base to 400 ºF.  This allows a polymer material to be mixed with it to produce PMA.  A new hot oil transfer pump was installed to circulate hot oil through the system.  A heat exchanger (X-364) from the shutdown PDA unit was moved and installed to aid in the heating of the asphalt base.  Two existing 5000-bbl asphalt storage tanks were converted to PMA mixing and curing tanks.  This required the installation of additional agitators, a polymer pellet loading (blower) system and conversion of the tank </w:t>
      </w:r>
      <w:proofErr w:type="spellStart"/>
      <w:r w:rsidRPr="00C7419B">
        <w:rPr>
          <w:sz w:val="24"/>
          <w:szCs w:val="24"/>
        </w:rPr>
        <w:t>steamcoil</w:t>
      </w:r>
      <w:proofErr w:type="spellEnd"/>
      <w:r w:rsidRPr="00C7419B">
        <w:rPr>
          <w:sz w:val="24"/>
          <w:szCs w:val="24"/>
        </w:rPr>
        <w:t xml:space="preserve"> heating system to hot oil heated by the new process heater.  New asphalt transfer line, a new asphalt transfer pump and a new 5000 </w:t>
      </w:r>
      <w:proofErr w:type="spellStart"/>
      <w:r w:rsidRPr="00C7419B">
        <w:rPr>
          <w:sz w:val="24"/>
          <w:szCs w:val="24"/>
        </w:rPr>
        <w:t>bbl</w:t>
      </w:r>
      <w:proofErr w:type="spellEnd"/>
      <w:r w:rsidRPr="00C7419B">
        <w:rPr>
          <w:sz w:val="24"/>
          <w:szCs w:val="24"/>
        </w:rPr>
        <w:t xml:space="preserve"> PMA storage tank (replacing the demolished T-50) was installed to keep the PMA separated from other asphalt products.</w:t>
      </w:r>
      <w:r w:rsidR="001C6D19" w:rsidRPr="00C7419B">
        <w:rPr>
          <w:sz w:val="24"/>
          <w:szCs w:val="24"/>
        </w:rPr>
        <w:t xml:space="preserve"> </w:t>
      </w:r>
    </w:p>
    <w:p w14:paraId="167E142F" w14:textId="77777777" w:rsidR="001C6D19" w:rsidRPr="00C7419B" w:rsidRDefault="001C6D19" w:rsidP="00595B3F">
      <w:pPr>
        <w:pStyle w:val="BodyText"/>
        <w:rPr>
          <w:szCs w:val="24"/>
        </w:rPr>
      </w:pPr>
    </w:p>
    <w:p w14:paraId="4E874454" w14:textId="487AB11C" w:rsidR="00EA6034" w:rsidRDefault="0074420E" w:rsidP="0074420E">
      <w:pPr>
        <w:rPr>
          <w:szCs w:val="24"/>
        </w:rPr>
      </w:pPr>
      <w:r w:rsidRPr="00C7419B">
        <w:rPr>
          <w:szCs w:val="24"/>
        </w:rPr>
        <w:t xml:space="preserve">On July 28, 1995, Conoco was issued </w:t>
      </w:r>
      <w:r w:rsidR="00EA6034">
        <w:rPr>
          <w:b/>
          <w:szCs w:val="24"/>
        </w:rPr>
        <w:t>MAQP</w:t>
      </w:r>
      <w:r w:rsidRPr="00C7419B">
        <w:rPr>
          <w:b/>
          <w:szCs w:val="24"/>
        </w:rPr>
        <w:t xml:space="preserve"> #2619-07</w:t>
      </w:r>
      <w:r w:rsidRPr="00C7419B">
        <w:rPr>
          <w:szCs w:val="24"/>
        </w:rPr>
        <w:t xml:space="preserve"> for the construction and operation of new equipment within the refinery's alkylation (alky) and gas recovery plant/No.1 Amine units.  This project was referred to as the Alkylation Unit </w:t>
      </w:r>
      <w:proofErr w:type="spellStart"/>
      <w:r w:rsidRPr="00C7419B">
        <w:rPr>
          <w:szCs w:val="24"/>
        </w:rPr>
        <w:t>Depropanizer</w:t>
      </w:r>
      <w:proofErr w:type="spellEnd"/>
      <w:r w:rsidRPr="00C7419B">
        <w:rPr>
          <w:szCs w:val="24"/>
        </w:rPr>
        <w:t xml:space="preserve"> Project.  The existing Alkylation unit was replaced with a new tower.  The new </w:t>
      </w:r>
      <w:proofErr w:type="spellStart"/>
      <w:r w:rsidRPr="00C7419B">
        <w:rPr>
          <w:szCs w:val="24"/>
        </w:rPr>
        <w:t>depropanizer</w:t>
      </w:r>
      <w:proofErr w:type="spellEnd"/>
      <w:r w:rsidRPr="00C7419B">
        <w:rPr>
          <w:szCs w:val="24"/>
        </w:rPr>
        <w:t xml:space="preserve"> is located where the No.1 Bio-pond was located.  Piping and valves were added and the new </w:t>
      </w:r>
      <w:proofErr w:type="spellStart"/>
      <w:r w:rsidRPr="00C7419B">
        <w:rPr>
          <w:szCs w:val="24"/>
        </w:rPr>
        <w:t>depropanizer</w:t>
      </w:r>
      <w:proofErr w:type="spellEnd"/>
      <w:r w:rsidRPr="00C7419B">
        <w:rPr>
          <w:szCs w:val="24"/>
        </w:rPr>
        <w:t xml:space="preserve"> was located next to existing equipment.  The old </w:t>
      </w:r>
      <w:proofErr w:type="spellStart"/>
      <w:r w:rsidRPr="00C7419B">
        <w:rPr>
          <w:szCs w:val="24"/>
        </w:rPr>
        <w:t>depropanizer</w:t>
      </w:r>
      <w:proofErr w:type="spellEnd"/>
      <w:r w:rsidRPr="00C7419B">
        <w:rPr>
          <w:szCs w:val="24"/>
        </w:rPr>
        <w:t xml:space="preserve"> was retained in place and may be used in the future in a non-Hydrogen Fluoride (HF) service.  The decommissioned propane </w:t>
      </w:r>
      <w:proofErr w:type="spellStart"/>
      <w:r w:rsidRPr="00C7419B">
        <w:rPr>
          <w:szCs w:val="24"/>
        </w:rPr>
        <w:t>deasphalting</w:t>
      </w:r>
      <w:proofErr w:type="spellEnd"/>
      <w:r w:rsidRPr="00C7419B">
        <w:rPr>
          <w:szCs w:val="24"/>
        </w:rPr>
        <w:t xml:space="preserve"> (PDA) unit evaporator tower (W-3) was converted to a water wash tower to remove entrained amine from the Alky PB (Propene/Butene) olefins upstream of the PB </w:t>
      </w:r>
      <w:proofErr w:type="spellStart"/>
      <w:r w:rsidRPr="00C7419B">
        <w:rPr>
          <w:szCs w:val="24"/>
        </w:rPr>
        <w:t>merox</w:t>
      </w:r>
      <w:proofErr w:type="spellEnd"/>
      <w:r w:rsidRPr="00C7419B">
        <w:rPr>
          <w:szCs w:val="24"/>
        </w:rPr>
        <w:t xml:space="preserve"> prewash.  </w:t>
      </w:r>
    </w:p>
    <w:p w14:paraId="56050E97" w14:textId="77777777" w:rsidR="001C55BA" w:rsidRDefault="001C55BA" w:rsidP="0074420E">
      <w:pPr>
        <w:rPr>
          <w:szCs w:val="24"/>
        </w:rPr>
      </w:pPr>
    </w:p>
    <w:p w14:paraId="6B38EA84" w14:textId="778BF01B" w:rsidR="0074420E" w:rsidRPr="00C7419B" w:rsidRDefault="0074420E" w:rsidP="0074420E">
      <w:pPr>
        <w:rPr>
          <w:szCs w:val="24"/>
        </w:rPr>
      </w:pPr>
      <w:r w:rsidRPr="00C7419B">
        <w:rPr>
          <w:szCs w:val="24"/>
        </w:rPr>
        <w:t xml:space="preserve">New piping, valves, and instrumentation were added around W-3.  The change in air emissions associated with this project were increases in fugitive VOC emissions, as well as additional emissions </w:t>
      </w:r>
      <w:r w:rsidRPr="00C7419B">
        <w:rPr>
          <w:szCs w:val="24"/>
        </w:rPr>
        <w:lastRenderedPageBreak/>
        <w:t xml:space="preserve">of fluorides due to the installation of the new </w:t>
      </w:r>
      <w:proofErr w:type="spellStart"/>
      <w:r w:rsidRPr="00C7419B">
        <w:rPr>
          <w:szCs w:val="24"/>
        </w:rPr>
        <w:t>depropanizer</w:t>
      </w:r>
      <w:proofErr w:type="spellEnd"/>
      <w:r w:rsidRPr="00C7419B">
        <w:rPr>
          <w:szCs w:val="24"/>
        </w:rPr>
        <w:t xml:space="preserve"> piping and valves.  The changes associated with this project did not trigger PSD review because the sum of the emission rate increases is below PSD significant emission rates for applicable pollutants.  The drains installed or reused tie into parts of the refinery's wastewater sewer system that are already subject to NSPS Subpart QQQ (Wastewater Treatment System VOC Emissions in Petroleum Refineries) and NESHAP Subpart FF (Benzene Waste Operations).  These drains will be equipped with tight fitting caps and have hard pipe connections to meet the required control specifications.</w:t>
      </w:r>
    </w:p>
    <w:p w14:paraId="0189BD32" w14:textId="77777777" w:rsidR="0074420E" w:rsidRPr="00C7419B" w:rsidRDefault="0074420E" w:rsidP="0074420E">
      <w:pPr>
        <w:rPr>
          <w:szCs w:val="24"/>
        </w:rPr>
      </w:pPr>
    </w:p>
    <w:p w14:paraId="1C2BE8BB" w14:textId="031164E3" w:rsidR="0074420E" w:rsidRPr="00C7419B" w:rsidRDefault="0074420E" w:rsidP="0074420E">
      <w:pPr>
        <w:rPr>
          <w:szCs w:val="24"/>
        </w:rPr>
      </w:pPr>
      <w:r w:rsidRPr="00C7419B">
        <w:rPr>
          <w:szCs w:val="24"/>
        </w:rPr>
        <w:t xml:space="preserve">On July 24, 1996, Conoco was issued </w:t>
      </w:r>
      <w:r w:rsidR="00EA6034">
        <w:rPr>
          <w:b/>
          <w:szCs w:val="24"/>
        </w:rPr>
        <w:t>MAQP</w:t>
      </w:r>
      <w:r w:rsidRPr="00C7419B">
        <w:rPr>
          <w:b/>
          <w:szCs w:val="24"/>
        </w:rPr>
        <w:t xml:space="preserve"> #2619-08</w:t>
      </w:r>
      <w:r w:rsidRPr="00C7419B">
        <w:rPr>
          <w:szCs w:val="24"/>
        </w:rPr>
        <w:t xml:space="preserve"> to change the daily sulfur dioxide (SO</w:t>
      </w:r>
      <w:r w:rsidRPr="00C7419B">
        <w:rPr>
          <w:szCs w:val="24"/>
          <w:vertAlign w:val="subscript"/>
        </w:rPr>
        <w:t>2</w:t>
      </w:r>
      <w:r w:rsidRPr="00C7419B">
        <w:rPr>
          <w:szCs w:val="24"/>
        </w:rPr>
        <w:t>) emission limit of the 19 existing process heaters, as well as combining the 19 heaters, the Coker heater (H-3901), and the GOHDS heaters (H-8401 and H8402) into one SO</w:t>
      </w:r>
      <w:r w:rsidRPr="00C7419B">
        <w:rPr>
          <w:szCs w:val="24"/>
          <w:vertAlign w:val="subscript"/>
        </w:rPr>
        <w:t>2</w:t>
      </w:r>
      <w:r w:rsidRPr="00C7419B">
        <w:rPr>
          <w:szCs w:val="24"/>
        </w:rPr>
        <w:t xml:space="preserve"> point source within the Refinery.  The project was referred to as the Existing Heater Optimization Project.</w:t>
      </w:r>
    </w:p>
    <w:p w14:paraId="5B8BFEF0" w14:textId="77777777" w:rsidR="0074420E" w:rsidRPr="00C7419B" w:rsidRDefault="0074420E" w:rsidP="0074420E">
      <w:pPr>
        <w:rPr>
          <w:szCs w:val="24"/>
        </w:rPr>
      </w:pPr>
    </w:p>
    <w:p w14:paraId="24C01A96" w14:textId="77777777" w:rsidR="0074420E" w:rsidRPr="00C7419B" w:rsidRDefault="0074420E" w:rsidP="002A69F1">
      <w:pPr>
        <w:pStyle w:val="BodyTextIndent"/>
        <w:widowControl w:val="0"/>
        <w:spacing w:after="0"/>
        <w:ind w:left="0"/>
        <w:rPr>
          <w:szCs w:val="24"/>
        </w:rPr>
      </w:pPr>
      <w:r w:rsidRPr="00C7419B">
        <w:rPr>
          <w:szCs w:val="24"/>
        </w:rPr>
        <w:t xml:space="preserve">The 19 process heaters being discussed in this project are the process heaters (excluding H-3 and </w:t>
      </w:r>
      <w:r w:rsidR="00131596" w:rsidRPr="00C7419B">
        <w:rPr>
          <w:szCs w:val="24"/>
        </w:rPr>
        <w:br/>
      </w:r>
      <w:r w:rsidRPr="00C7419B">
        <w:rPr>
          <w:szCs w:val="24"/>
        </w:rPr>
        <w:t xml:space="preserve">H-7) that were in operation prior to the construction of the Delayed Coker/Sulfur Reduction Project, which became fully operational in May of 1992.  The 19 heaters are: </w:t>
      </w:r>
      <w:r w:rsidR="00D20846" w:rsidRPr="00C7419B">
        <w:rPr>
          <w:szCs w:val="24"/>
        </w:rPr>
        <w:t xml:space="preserve"> </w:t>
      </w:r>
      <w:r w:rsidRPr="00C7419B">
        <w:rPr>
          <w:szCs w:val="24"/>
        </w:rPr>
        <w:t xml:space="preserve">H-1, H-2, H-4, H-5, H-10, H-11, H-12, H-13, H-14, H-15, H-16, H-17, H-18, H-19, H-20, H-21, H-22, H-23, and H-24.  These 19 heaters are pooled together and regulated as one source, referred to as the "19 Heaters" source.  Also included in this discussion are the Coker heater (H-3901) and the GOHDS heaters </w:t>
      </w:r>
      <w:r w:rsidR="005E449A" w:rsidRPr="00C7419B">
        <w:rPr>
          <w:szCs w:val="24"/>
        </w:rPr>
        <w:br/>
      </w:r>
      <w:r w:rsidRPr="00C7419B">
        <w:rPr>
          <w:szCs w:val="24"/>
        </w:rPr>
        <w:t>(H-8401 and H-8402).</w:t>
      </w:r>
    </w:p>
    <w:p w14:paraId="78C8C31B" w14:textId="77777777" w:rsidR="0074420E" w:rsidRPr="00C7419B" w:rsidRDefault="0074420E" w:rsidP="002A69F1">
      <w:pPr>
        <w:pStyle w:val="BodyTextIndent"/>
        <w:spacing w:after="0"/>
        <w:ind w:left="0"/>
        <w:rPr>
          <w:szCs w:val="24"/>
        </w:rPr>
      </w:pPr>
    </w:p>
    <w:p w14:paraId="48F1E21D" w14:textId="77777777" w:rsidR="0074420E" w:rsidRPr="00C7419B" w:rsidRDefault="0074420E" w:rsidP="002A69F1">
      <w:pPr>
        <w:pStyle w:val="BodyTextIndent"/>
        <w:spacing w:after="0"/>
        <w:ind w:left="0"/>
        <w:rPr>
          <w:szCs w:val="24"/>
        </w:rPr>
      </w:pPr>
      <w:r w:rsidRPr="00C7419B">
        <w:rPr>
          <w:szCs w:val="24"/>
        </w:rPr>
        <w:t>The 19 heaters had a "bubbled" SO</w:t>
      </w:r>
      <w:r w:rsidRPr="00C7419B">
        <w:rPr>
          <w:szCs w:val="24"/>
          <w:vertAlign w:val="subscript"/>
        </w:rPr>
        <w:t>2</w:t>
      </w:r>
      <w:r w:rsidRPr="00C7419B">
        <w:rPr>
          <w:szCs w:val="24"/>
        </w:rPr>
        <w:t xml:space="preserve"> emissions limit of 30.0 tons per year (</w:t>
      </w:r>
      <w:proofErr w:type="spellStart"/>
      <w:r w:rsidRPr="00C7419B">
        <w:rPr>
          <w:szCs w:val="24"/>
        </w:rPr>
        <w:t>tpy</w:t>
      </w:r>
      <w:proofErr w:type="spellEnd"/>
      <w:r w:rsidRPr="00C7419B">
        <w:rPr>
          <w:szCs w:val="24"/>
        </w:rPr>
        <w:t>) (164 pounds per day (</w:t>
      </w:r>
      <w:proofErr w:type="spellStart"/>
      <w:r w:rsidRPr="00C7419B">
        <w:rPr>
          <w:szCs w:val="24"/>
        </w:rPr>
        <w:t>lb</w:t>
      </w:r>
      <w:proofErr w:type="spellEnd"/>
      <w:r w:rsidRPr="00C7419B">
        <w:rPr>
          <w:szCs w:val="24"/>
        </w:rPr>
        <w:t>/day)) and a limitation of fuel gas H</w:t>
      </w:r>
      <w:r w:rsidRPr="00C7419B">
        <w:rPr>
          <w:szCs w:val="24"/>
          <w:vertAlign w:val="subscript"/>
        </w:rPr>
        <w:t>2</w:t>
      </w:r>
      <w:r w:rsidRPr="00C7419B">
        <w:rPr>
          <w:szCs w:val="24"/>
        </w:rPr>
        <w:t>S content of 160 parts per million, volume (</w:t>
      </w:r>
      <w:proofErr w:type="spellStart"/>
      <w:r w:rsidRPr="00C7419B">
        <w:rPr>
          <w:szCs w:val="24"/>
        </w:rPr>
        <w:t>ppmv</w:t>
      </w:r>
      <w:proofErr w:type="spellEnd"/>
      <w:r w:rsidRPr="00C7419B">
        <w:rPr>
          <w:szCs w:val="24"/>
        </w:rPr>
        <w:t>, 0.1 grain/dry standard cubic foot (</w:t>
      </w:r>
      <w:proofErr w:type="spellStart"/>
      <w:r w:rsidRPr="00C7419B">
        <w:rPr>
          <w:szCs w:val="24"/>
        </w:rPr>
        <w:t>dscf</w:t>
      </w:r>
      <w:proofErr w:type="spellEnd"/>
      <w:r w:rsidRPr="00C7419B">
        <w:rPr>
          <w:szCs w:val="24"/>
        </w:rPr>
        <w:t>)).  With both these limitations intact, all these heaters could not simultaneously operate at their maximum-design firing rates.  This could cause un-optimized operation of the refinery during unfavorable climatical conditions or during peak heater demand periods.  To allow all 19 of the heaters to simultaneously operate at their maximum firing rates, the allowable short-term SO</w:t>
      </w:r>
      <w:r w:rsidRPr="00C7419B">
        <w:rPr>
          <w:szCs w:val="24"/>
          <w:vertAlign w:val="subscript"/>
        </w:rPr>
        <w:t>2</w:t>
      </w:r>
      <w:r w:rsidRPr="00C7419B">
        <w:rPr>
          <w:szCs w:val="24"/>
        </w:rPr>
        <w:t xml:space="preserve"> emissions limit for the "bubbled" 19 heaters needed to be increased.  The 19 refinery fuel gas heaters/furnaces </w:t>
      </w:r>
      <w:proofErr w:type="spellStart"/>
      <w:r w:rsidRPr="00C7419B">
        <w:rPr>
          <w:szCs w:val="24"/>
        </w:rPr>
        <w:t>lbs</w:t>
      </w:r>
      <w:proofErr w:type="spellEnd"/>
      <w:r w:rsidRPr="00C7419B">
        <w:rPr>
          <w:szCs w:val="24"/>
        </w:rPr>
        <w:t>/day SO</w:t>
      </w:r>
      <w:r w:rsidRPr="00C7419B">
        <w:rPr>
          <w:szCs w:val="24"/>
          <w:vertAlign w:val="subscript"/>
        </w:rPr>
        <w:t>2</w:t>
      </w:r>
      <w:r w:rsidRPr="00C7419B">
        <w:rPr>
          <w:szCs w:val="24"/>
        </w:rPr>
        <w:t xml:space="preserve"> emission limitations were based on NSPS fuel gas (160 ppm H</w:t>
      </w:r>
      <w:r w:rsidRPr="00C7419B">
        <w:rPr>
          <w:szCs w:val="24"/>
          <w:vertAlign w:val="subscript"/>
        </w:rPr>
        <w:t>2</w:t>
      </w:r>
      <w:r w:rsidRPr="00C7419B">
        <w:rPr>
          <w:szCs w:val="24"/>
        </w:rPr>
        <w:t>S), maximum heat input (MMBtu/</w:t>
      </w:r>
      <w:proofErr w:type="spellStart"/>
      <w:r w:rsidRPr="00C7419B">
        <w:rPr>
          <w:szCs w:val="24"/>
        </w:rPr>
        <w:t>hr</w:t>
      </w:r>
      <w:proofErr w:type="spellEnd"/>
      <w:r w:rsidRPr="00C7419B">
        <w:rPr>
          <w:szCs w:val="24"/>
        </w:rPr>
        <w:t>) from the emission inventory database (AFS), and higher fuel heat value (1015 Btu/</w:t>
      </w:r>
      <w:proofErr w:type="spellStart"/>
      <w:r w:rsidRPr="00C7419B">
        <w:rPr>
          <w:szCs w:val="24"/>
        </w:rPr>
        <w:t>scf</w:t>
      </w:r>
      <w:proofErr w:type="spellEnd"/>
      <w:r w:rsidRPr="00C7419B">
        <w:rPr>
          <w:szCs w:val="24"/>
        </w:rPr>
        <w:t>) from the 1990 Base Year Carbon Monoxide Emission Inventory.  By using these parameters, the daily "bubble" SO</w:t>
      </w:r>
      <w:r w:rsidRPr="00C7419B">
        <w:rPr>
          <w:szCs w:val="24"/>
          <w:vertAlign w:val="subscript"/>
        </w:rPr>
        <w:t>2</w:t>
      </w:r>
      <w:r w:rsidRPr="00C7419B">
        <w:rPr>
          <w:szCs w:val="24"/>
        </w:rPr>
        <w:t xml:space="preserve"> permit limit could be raised to 386 </w:t>
      </w:r>
      <w:proofErr w:type="spellStart"/>
      <w:r w:rsidRPr="00C7419B">
        <w:rPr>
          <w:szCs w:val="24"/>
        </w:rPr>
        <w:t>lb</w:t>
      </w:r>
      <w:proofErr w:type="spellEnd"/>
      <w:r w:rsidRPr="00C7419B">
        <w:rPr>
          <w:szCs w:val="24"/>
        </w:rPr>
        <w:t xml:space="preserve">/day, as was indicated in the Preliminary Determination (PD).  </w:t>
      </w:r>
    </w:p>
    <w:p w14:paraId="027C3D65" w14:textId="77777777" w:rsidR="0074420E" w:rsidRPr="00C7419B" w:rsidRDefault="0074420E" w:rsidP="002A69F1">
      <w:pPr>
        <w:pStyle w:val="BodyTextIndent"/>
        <w:spacing w:after="0"/>
        <w:ind w:left="0"/>
        <w:rPr>
          <w:szCs w:val="24"/>
        </w:rPr>
      </w:pPr>
    </w:p>
    <w:p w14:paraId="734BEA69" w14:textId="536F870D" w:rsidR="0074420E" w:rsidRPr="00C7419B" w:rsidRDefault="0074420E" w:rsidP="002A69F1">
      <w:pPr>
        <w:pStyle w:val="BodyTextIndent"/>
        <w:spacing w:after="0"/>
        <w:ind w:left="0"/>
        <w:rPr>
          <w:szCs w:val="24"/>
        </w:rPr>
      </w:pPr>
      <w:r w:rsidRPr="00C7419B">
        <w:rPr>
          <w:szCs w:val="24"/>
        </w:rPr>
        <w:t xml:space="preserve">Conoco requested that the daily limit be increased to 612 </w:t>
      </w:r>
      <w:proofErr w:type="spellStart"/>
      <w:r w:rsidRPr="00C7419B">
        <w:rPr>
          <w:szCs w:val="24"/>
        </w:rPr>
        <w:t>lb</w:t>
      </w:r>
      <w:proofErr w:type="spellEnd"/>
      <w:r w:rsidRPr="00C7419B">
        <w:rPr>
          <w:szCs w:val="24"/>
        </w:rPr>
        <w:t>/day, which is equivalent to the rate used in the Billings SO</w:t>
      </w:r>
      <w:r w:rsidRPr="00C7419B">
        <w:rPr>
          <w:szCs w:val="24"/>
          <w:vertAlign w:val="subscript"/>
        </w:rPr>
        <w:t>2</w:t>
      </w:r>
      <w:r w:rsidRPr="00C7419B">
        <w:rPr>
          <w:szCs w:val="24"/>
        </w:rPr>
        <w:t xml:space="preserve"> SIP modeling (111.7 </w:t>
      </w:r>
      <w:proofErr w:type="spellStart"/>
      <w:r w:rsidRPr="00C7419B">
        <w:rPr>
          <w:szCs w:val="24"/>
        </w:rPr>
        <w:t>tpy</w:t>
      </w:r>
      <w:proofErr w:type="spellEnd"/>
      <w:r w:rsidRPr="00C7419B">
        <w:rPr>
          <w:szCs w:val="24"/>
        </w:rPr>
        <w:t>).  The annual "bubble" SO</w:t>
      </w:r>
      <w:r w:rsidRPr="00C7419B">
        <w:rPr>
          <w:szCs w:val="24"/>
          <w:vertAlign w:val="subscript"/>
        </w:rPr>
        <w:t>2</w:t>
      </w:r>
      <w:r w:rsidRPr="00C7419B">
        <w:rPr>
          <w:szCs w:val="24"/>
        </w:rPr>
        <w:t xml:space="preserve"> limit of 30 </w:t>
      </w:r>
      <w:proofErr w:type="spellStart"/>
      <w:r w:rsidRPr="00C7419B">
        <w:rPr>
          <w:szCs w:val="24"/>
        </w:rPr>
        <w:t>tpy</w:t>
      </w:r>
      <w:proofErr w:type="spellEnd"/>
      <w:r w:rsidRPr="00C7419B">
        <w:rPr>
          <w:szCs w:val="24"/>
        </w:rPr>
        <w:t xml:space="preserve"> was maintained.  </w:t>
      </w:r>
      <w:r w:rsidR="00F54677" w:rsidRPr="00C7419B">
        <w:rPr>
          <w:szCs w:val="24"/>
        </w:rPr>
        <w:t>DEQ</w:t>
      </w:r>
      <w:r w:rsidRPr="00C7419B">
        <w:rPr>
          <w:szCs w:val="24"/>
        </w:rPr>
        <w:t xml:space="preserve"> received comments from Conoco in which Conoco contended that the maximum heat input (MMBtu/</w:t>
      </w:r>
      <w:proofErr w:type="spellStart"/>
      <w:r w:rsidRPr="00C7419B">
        <w:rPr>
          <w:szCs w:val="24"/>
        </w:rPr>
        <w:t>hr</w:t>
      </w:r>
      <w:proofErr w:type="spellEnd"/>
      <w:r w:rsidRPr="00C7419B">
        <w:rPr>
          <w:szCs w:val="24"/>
        </w:rPr>
        <w:t xml:space="preserve">) from AFS did not accurately reflect the real maximum firing rates of the heaters.  After further review of the files, </w:t>
      </w:r>
      <w:r w:rsidR="00F54677" w:rsidRPr="00C7419B">
        <w:rPr>
          <w:szCs w:val="24"/>
        </w:rPr>
        <w:t>DEQ</w:t>
      </w:r>
      <w:r w:rsidRPr="00C7419B">
        <w:rPr>
          <w:szCs w:val="24"/>
        </w:rPr>
        <w:t xml:space="preserve"> established the total maximum firing rate for the 19 refinery fuel gas heaters/furnaces to be 785.5 MMBtu/hr.  ConocoPhillips identified the total maximum firing rate during the permit review of the Coker permit (Permit #2619).  The maximum heat input of 785.5 MMBtu/</w:t>
      </w:r>
      <w:proofErr w:type="spellStart"/>
      <w:r w:rsidRPr="00C7419B">
        <w:rPr>
          <w:szCs w:val="24"/>
        </w:rPr>
        <w:t>hr</w:t>
      </w:r>
      <w:proofErr w:type="spellEnd"/>
      <w:r w:rsidRPr="00C7419B">
        <w:rPr>
          <w:szCs w:val="24"/>
        </w:rPr>
        <w:t xml:space="preserve"> and the fuel heat value of 958 Btu/</w:t>
      </w:r>
      <w:proofErr w:type="spellStart"/>
      <w:r w:rsidRPr="00C7419B">
        <w:rPr>
          <w:szCs w:val="24"/>
        </w:rPr>
        <w:t>scf</w:t>
      </w:r>
      <w:proofErr w:type="spellEnd"/>
      <w:r w:rsidRPr="00C7419B">
        <w:rPr>
          <w:szCs w:val="24"/>
        </w:rPr>
        <w:t xml:space="preserve"> were used to calculate the new daily "bubble" SO</w:t>
      </w:r>
      <w:r w:rsidRPr="00C7419B">
        <w:rPr>
          <w:szCs w:val="24"/>
          <w:vertAlign w:val="subscript"/>
        </w:rPr>
        <w:t>2</w:t>
      </w:r>
      <w:r w:rsidRPr="00C7419B">
        <w:rPr>
          <w:szCs w:val="24"/>
        </w:rPr>
        <w:t xml:space="preserve"> permit limit of 529.17 </w:t>
      </w:r>
      <w:proofErr w:type="spellStart"/>
      <w:r w:rsidRPr="00C7419B">
        <w:rPr>
          <w:szCs w:val="24"/>
        </w:rPr>
        <w:t>lb</w:t>
      </w:r>
      <w:proofErr w:type="spellEnd"/>
      <w:r w:rsidRPr="00C7419B">
        <w:rPr>
          <w:szCs w:val="24"/>
        </w:rPr>
        <w:t xml:space="preserve">/day. </w:t>
      </w:r>
    </w:p>
    <w:p w14:paraId="426CAA1E" w14:textId="77777777" w:rsidR="0074420E" w:rsidRPr="00C7419B" w:rsidRDefault="0074420E" w:rsidP="002A69F1">
      <w:pPr>
        <w:pStyle w:val="BodyTextIndent"/>
        <w:spacing w:after="0"/>
        <w:ind w:left="0"/>
      </w:pPr>
    </w:p>
    <w:p w14:paraId="5DC727EC" w14:textId="77777777" w:rsidR="0074420E" w:rsidRPr="00C7419B" w:rsidRDefault="0074420E" w:rsidP="002A69F1">
      <w:pPr>
        <w:pStyle w:val="BodyTextIndent"/>
        <w:spacing w:after="0"/>
        <w:ind w:left="0"/>
        <w:rPr>
          <w:szCs w:val="24"/>
        </w:rPr>
      </w:pPr>
      <w:r w:rsidRPr="00C7419B">
        <w:rPr>
          <w:szCs w:val="24"/>
        </w:rPr>
        <w:t>The change in air emissions of other criteria pollutants (carbon monoxide (CO), oxides of nitrogen (NO</w:t>
      </w:r>
      <w:r w:rsidRPr="00C7419B">
        <w:rPr>
          <w:szCs w:val="24"/>
          <w:vertAlign w:val="subscript"/>
        </w:rPr>
        <w:t>x</w:t>
      </w:r>
      <w:r w:rsidRPr="00C7419B">
        <w:rPr>
          <w:szCs w:val="24"/>
        </w:rPr>
        <w:t>), particulate matter (PM), and VOC) associated with this project was zero, since the potential to emit for these pollutants did not change.  With the 164-lb/day SO</w:t>
      </w:r>
      <w:r w:rsidRPr="00C7419B">
        <w:rPr>
          <w:szCs w:val="24"/>
          <w:vertAlign w:val="subscript"/>
        </w:rPr>
        <w:t>2</w:t>
      </w:r>
      <w:r w:rsidRPr="00C7419B">
        <w:rPr>
          <w:szCs w:val="24"/>
        </w:rPr>
        <w:t xml:space="preserve"> limit, simultaneous maximum firing of these heaters could be accomplished if the fuel gas H</w:t>
      </w:r>
      <w:r w:rsidRPr="00C7419B">
        <w:rPr>
          <w:szCs w:val="24"/>
          <w:vertAlign w:val="subscript"/>
        </w:rPr>
        <w:t>2</w:t>
      </w:r>
      <w:r w:rsidRPr="00C7419B">
        <w:rPr>
          <w:szCs w:val="24"/>
        </w:rPr>
        <w:t xml:space="preserve">S content stayed below 49.75 </w:t>
      </w:r>
      <w:proofErr w:type="spellStart"/>
      <w:r w:rsidRPr="00C7419B">
        <w:rPr>
          <w:szCs w:val="24"/>
        </w:rPr>
        <w:t>ppmv</w:t>
      </w:r>
      <w:proofErr w:type="spellEnd"/>
      <w:r w:rsidRPr="00C7419B">
        <w:rPr>
          <w:szCs w:val="24"/>
        </w:rPr>
        <w:t>.  Conoco's amine systems produced fuel gas averaging (on an annual basis) about 25-ppmv H</w:t>
      </w:r>
      <w:r w:rsidRPr="00C7419B">
        <w:rPr>
          <w:szCs w:val="24"/>
          <w:vertAlign w:val="subscript"/>
        </w:rPr>
        <w:t>2</w:t>
      </w:r>
      <w:r w:rsidRPr="00C7419B">
        <w:rPr>
          <w:szCs w:val="24"/>
        </w:rPr>
        <w:t>S content or less (see the 1993 and 1994 refinery EIS's).  Since the emissions of CO, NO</w:t>
      </w:r>
      <w:r w:rsidRPr="00C7419B">
        <w:rPr>
          <w:szCs w:val="24"/>
          <w:vertAlign w:val="subscript"/>
        </w:rPr>
        <w:t>x</w:t>
      </w:r>
      <w:r w:rsidRPr="00C7419B">
        <w:rPr>
          <w:szCs w:val="24"/>
        </w:rPr>
        <w:t xml:space="preserve">, and VOC </w:t>
      </w:r>
      <w:r w:rsidRPr="00C7419B">
        <w:rPr>
          <w:szCs w:val="24"/>
        </w:rPr>
        <w:lastRenderedPageBreak/>
        <w:t>produced are not a function of H</w:t>
      </w:r>
      <w:r w:rsidRPr="00C7419B">
        <w:rPr>
          <w:szCs w:val="24"/>
          <w:vertAlign w:val="subscript"/>
        </w:rPr>
        <w:t>2</w:t>
      </w:r>
      <w:r w:rsidRPr="00C7419B">
        <w:rPr>
          <w:szCs w:val="24"/>
        </w:rPr>
        <w:t>S content and Conoco's amine system could generate appropriate fuel gas to stay at or below the 164-lb/day SO</w:t>
      </w:r>
      <w:r w:rsidRPr="00C7419B">
        <w:rPr>
          <w:szCs w:val="24"/>
          <w:vertAlign w:val="subscript"/>
        </w:rPr>
        <w:t>2</w:t>
      </w:r>
      <w:r w:rsidRPr="00C7419B">
        <w:rPr>
          <w:szCs w:val="24"/>
        </w:rPr>
        <w:t xml:space="preserve"> limit, the maximum potentials of these pollutants are obtainable and not affected by this project.  The PM limits for these heaters are 80 times higher than the amount generated by fuel gas combustion devices (see ARM 17.8.340); therefore, the PM emissions potential is not affected as well.</w:t>
      </w:r>
    </w:p>
    <w:p w14:paraId="3C537F92" w14:textId="77777777" w:rsidR="0074420E" w:rsidRPr="00C7419B" w:rsidRDefault="0074420E" w:rsidP="002A69F1">
      <w:pPr>
        <w:pStyle w:val="BodyTextIndent"/>
        <w:spacing w:after="0"/>
        <w:ind w:left="0"/>
      </w:pPr>
    </w:p>
    <w:p w14:paraId="6A51E106" w14:textId="77777777" w:rsidR="0074420E" w:rsidRPr="00C7419B" w:rsidRDefault="0074420E" w:rsidP="002A69F1">
      <w:pPr>
        <w:pStyle w:val="BodyTextIndent"/>
        <w:spacing w:after="0"/>
        <w:ind w:left="0"/>
        <w:rPr>
          <w:szCs w:val="24"/>
        </w:rPr>
      </w:pPr>
      <w:r w:rsidRPr="00C7419B">
        <w:rPr>
          <w:szCs w:val="24"/>
        </w:rPr>
        <w:t>Even though Conoco's past annual average fuel gas H</w:t>
      </w:r>
      <w:r w:rsidRPr="00C7419B">
        <w:rPr>
          <w:szCs w:val="24"/>
          <w:vertAlign w:val="subscript"/>
        </w:rPr>
        <w:t>2</w:t>
      </w:r>
      <w:r w:rsidRPr="00C7419B">
        <w:rPr>
          <w:szCs w:val="24"/>
        </w:rPr>
        <w:t xml:space="preserve">S content had been below 37.8 </w:t>
      </w:r>
      <w:proofErr w:type="spellStart"/>
      <w:r w:rsidRPr="00C7419B">
        <w:rPr>
          <w:szCs w:val="24"/>
        </w:rPr>
        <w:t>ppmv</w:t>
      </w:r>
      <w:proofErr w:type="spellEnd"/>
      <w:r w:rsidRPr="00C7419B">
        <w:rPr>
          <w:szCs w:val="24"/>
        </w:rPr>
        <w:t>, there would still be potential to run into operational limitations in peak fuel gas demand periods.  The amine systems may not have been able to keep the fuel gas H</w:t>
      </w:r>
      <w:r w:rsidRPr="00C7419B">
        <w:rPr>
          <w:szCs w:val="24"/>
          <w:vertAlign w:val="subscript"/>
        </w:rPr>
        <w:t>2</w:t>
      </w:r>
      <w:r w:rsidRPr="00C7419B">
        <w:rPr>
          <w:szCs w:val="24"/>
        </w:rPr>
        <w:t xml:space="preserve">S under 49.75 </w:t>
      </w:r>
      <w:proofErr w:type="spellStart"/>
      <w:r w:rsidRPr="00C7419B">
        <w:rPr>
          <w:szCs w:val="24"/>
        </w:rPr>
        <w:t>ppmv</w:t>
      </w:r>
      <w:proofErr w:type="spellEnd"/>
      <w:r w:rsidRPr="00C7419B">
        <w:rPr>
          <w:szCs w:val="24"/>
        </w:rPr>
        <w:t>, rendering the refinery to operate at un-optimal rates.  This was the reason for the request to raise the daily SO</w:t>
      </w:r>
      <w:r w:rsidRPr="00C7419B">
        <w:rPr>
          <w:szCs w:val="24"/>
          <w:vertAlign w:val="subscript"/>
        </w:rPr>
        <w:t>2</w:t>
      </w:r>
      <w:r w:rsidRPr="00C7419B">
        <w:rPr>
          <w:szCs w:val="24"/>
        </w:rPr>
        <w:t xml:space="preserve"> emissions limit for the 19-heater source.</w:t>
      </w:r>
    </w:p>
    <w:p w14:paraId="62328CFA" w14:textId="77777777" w:rsidR="0074420E" w:rsidRPr="00C7419B" w:rsidRDefault="0074420E" w:rsidP="002A69F1">
      <w:pPr>
        <w:pStyle w:val="BodyTextIndent"/>
        <w:spacing w:after="0"/>
        <w:ind w:left="0"/>
      </w:pPr>
    </w:p>
    <w:p w14:paraId="48573EF1" w14:textId="77777777" w:rsidR="0074420E" w:rsidRPr="00C7419B" w:rsidRDefault="0074420E" w:rsidP="002A69F1">
      <w:pPr>
        <w:pStyle w:val="BodyTextIndent"/>
        <w:spacing w:after="0"/>
        <w:ind w:left="0"/>
        <w:rPr>
          <w:szCs w:val="24"/>
        </w:rPr>
      </w:pPr>
      <w:r w:rsidRPr="00C7419B">
        <w:rPr>
          <w:szCs w:val="24"/>
        </w:rPr>
        <w:t>Since the proposed change to the heaters' SO</w:t>
      </w:r>
      <w:r w:rsidRPr="00C7419B">
        <w:rPr>
          <w:szCs w:val="24"/>
          <w:vertAlign w:val="subscript"/>
        </w:rPr>
        <w:t>2</w:t>
      </w:r>
      <w:r w:rsidRPr="00C7419B">
        <w:rPr>
          <w:szCs w:val="24"/>
        </w:rPr>
        <w:t xml:space="preserve"> emissions limit does not reflect an annual increase in potential to emit, the project did not trigger PSD permitting review (threshold for SO</w:t>
      </w:r>
      <w:r w:rsidRPr="00C7419B">
        <w:rPr>
          <w:szCs w:val="24"/>
          <w:vertAlign w:val="subscript"/>
        </w:rPr>
        <w:t>2</w:t>
      </w:r>
      <w:r w:rsidRPr="00C7419B">
        <w:rPr>
          <w:szCs w:val="24"/>
        </w:rPr>
        <w:t xml:space="preserve"> is 40 </w:t>
      </w:r>
      <w:proofErr w:type="spellStart"/>
      <w:r w:rsidRPr="00C7419B">
        <w:rPr>
          <w:szCs w:val="24"/>
        </w:rPr>
        <w:t>tpy</w:t>
      </w:r>
      <w:proofErr w:type="spellEnd"/>
      <w:r w:rsidRPr="00C7419B">
        <w:rPr>
          <w:szCs w:val="24"/>
        </w:rPr>
        <w:t>).</w:t>
      </w:r>
    </w:p>
    <w:p w14:paraId="56168183" w14:textId="77777777" w:rsidR="0074420E" w:rsidRPr="00C7419B" w:rsidRDefault="0074420E" w:rsidP="002A69F1">
      <w:pPr>
        <w:pStyle w:val="BodyTextIndent"/>
        <w:spacing w:after="0"/>
        <w:ind w:left="0"/>
      </w:pPr>
    </w:p>
    <w:p w14:paraId="38734FE3" w14:textId="34541D7E" w:rsidR="0074420E" w:rsidRPr="00C7419B" w:rsidRDefault="0074420E" w:rsidP="002A69F1">
      <w:pPr>
        <w:pStyle w:val="BodyTextIndent"/>
        <w:spacing w:after="0"/>
        <w:ind w:left="0"/>
        <w:rPr>
          <w:szCs w:val="24"/>
        </w:rPr>
      </w:pPr>
      <w:proofErr w:type="gramStart"/>
      <w:r w:rsidRPr="00C7419B">
        <w:rPr>
          <w:szCs w:val="24"/>
        </w:rPr>
        <w:t>In light of</w:t>
      </w:r>
      <w:proofErr w:type="gramEnd"/>
      <w:r w:rsidRPr="00C7419B">
        <w:rPr>
          <w:szCs w:val="24"/>
        </w:rPr>
        <w:t xml:space="preserve"> the SO</w:t>
      </w:r>
      <w:r w:rsidRPr="00C7419B">
        <w:rPr>
          <w:szCs w:val="24"/>
          <w:vertAlign w:val="subscript"/>
        </w:rPr>
        <w:t>2</w:t>
      </w:r>
      <w:r w:rsidRPr="00C7419B">
        <w:rPr>
          <w:szCs w:val="24"/>
        </w:rPr>
        <w:t xml:space="preserve"> problem in the Billings-Laurel air shed, any change resulting in an increase </w:t>
      </w:r>
      <w:proofErr w:type="gramStart"/>
      <w:r w:rsidRPr="00C7419B">
        <w:rPr>
          <w:szCs w:val="24"/>
        </w:rPr>
        <w:t>of</w:t>
      </w:r>
      <w:proofErr w:type="gramEnd"/>
      <w:r w:rsidRPr="00C7419B">
        <w:rPr>
          <w:szCs w:val="24"/>
        </w:rPr>
        <w:t xml:space="preserve"> SO</w:t>
      </w:r>
      <w:r w:rsidRPr="00C7419B">
        <w:rPr>
          <w:szCs w:val="24"/>
          <w:vertAlign w:val="subscript"/>
        </w:rPr>
        <w:t>2</w:t>
      </w:r>
      <w:r w:rsidRPr="00C7419B">
        <w:rPr>
          <w:szCs w:val="24"/>
        </w:rPr>
        <w:t xml:space="preserve"> emissions must have its impact determined to see if any National Ambient Air Quality Standards (NAAQS) will be violated </w:t>
      </w:r>
      <w:proofErr w:type="gramStart"/>
      <w:r w:rsidRPr="00C7419B">
        <w:rPr>
          <w:szCs w:val="24"/>
        </w:rPr>
        <w:t>as a result of</w:t>
      </w:r>
      <w:proofErr w:type="gramEnd"/>
      <w:r w:rsidRPr="00C7419B">
        <w:rPr>
          <w:szCs w:val="24"/>
        </w:rPr>
        <w:t xml:space="preserve"> the project.  SO</w:t>
      </w:r>
      <w:r w:rsidRPr="00C7419B">
        <w:rPr>
          <w:szCs w:val="24"/>
          <w:vertAlign w:val="subscript"/>
        </w:rPr>
        <w:t>2</w:t>
      </w:r>
      <w:r w:rsidRPr="00C7419B">
        <w:rPr>
          <w:szCs w:val="24"/>
        </w:rPr>
        <w:t xml:space="preserve"> modeling was completed by </w:t>
      </w:r>
      <w:r w:rsidR="00F54677" w:rsidRPr="00C7419B">
        <w:rPr>
          <w:szCs w:val="24"/>
        </w:rPr>
        <w:t>DEQ</w:t>
      </w:r>
      <w:r w:rsidRPr="00C7419B">
        <w:rPr>
          <w:szCs w:val="24"/>
        </w:rPr>
        <w:t xml:space="preserve"> to develop a revised SO</w:t>
      </w:r>
      <w:r w:rsidRPr="00C7419B">
        <w:rPr>
          <w:szCs w:val="24"/>
          <w:vertAlign w:val="subscript"/>
        </w:rPr>
        <w:t>2</w:t>
      </w:r>
      <w:r w:rsidRPr="00C7419B">
        <w:rPr>
          <w:szCs w:val="24"/>
        </w:rPr>
        <w:t xml:space="preserve"> State Implementation Plan (SIP) for the Billings-Laurel area.  The "19-heater source" was modeled using an SO</w:t>
      </w:r>
      <w:r w:rsidRPr="00C7419B">
        <w:rPr>
          <w:szCs w:val="24"/>
          <w:vertAlign w:val="subscript"/>
        </w:rPr>
        <w:t xml:space="preserve">2 </w:t>
      </w:r>
      <w:r w:rsidRPr="00C7419B">
        <w:rPr>
          <w:szCs w:val="24"/>
        </w:rPr>
        <w:t xml:space="preserve">emission rate equivalent to 111.7 </w:t>
      </w:r>
      <w:proofErr w:type="spellStart"/>
      <w:r w:rsidRPr="00C7419B">
        <w:rPr>
          <w:szCs w:val="24"/>
        </w:rPr>
        <w:t>tpy</w:t>
      </w:r>
      <w:proofErr w:type="spellEnd"/>
      <w:r w:rsidRPr="00C7419B">
        <w:rPr>
          <w:szCs w:val="24"/>
        </w:rPr>
        <w:t xml:space="preserve"> to determine its existing SO</w:t>
      </w:r>
      <w:r w:rsidRPr="00C7419B">
        <w:rPr>
          <w:szCs w:val="24"/>
          <w:vertAlign w:val="subscript"/>
        </w:rPr>
        <w:t>2</w:t>
      </w:r>
      <w:r w:rsidRPr="00C7419B">
        <w:rPr>
          <w:szCs w:val="24"/>
        </w:rPr>
        <w:t xml:space="preserve"> impact on the Billings-Laurel air shed.  The results of this modeling showed there were no exceedances of the SO</w:t>
      </w:r>
      <w:r w:rsidRPr="00C7419B">
        <w:rPr>
          <w:szCs w:val="24"/>
          <w:vertAlign w:val="subscript"/>
        </w:rPr>
        <w:t>2</w:t>
      </w:r>
      <w:r w:rsidRPr="00C7419B">
        <w:rPr>
          <w:szCs w:val="24"/>
        </w:rPr>
        <w:t xml:space="preserve"> NAAQS or the Montana standards resulting from </w:t>
      </w:r>
      <w:proofErr w:type="gramStart"/>
      <w:r w:rsidRPr="00C7419B">
        <w:rPr>
          <w:szCs w:val="24"/>
        </w:rPr>
        <w:t>it</w:t>
      </w:r>
      <w:proofErr w:type="gramEnd"/>
      <w:r w:rsidRPr="00C7419B">
        <w:rPr>
          <w:szCs w:val="24"/>
        </w:rPr>
        <w:t xml:space="preserve"> operation.  Therefore, an increase in the permit limit from 164 </w:t>
      </w:r>
      <w:proofErr w:type="spellStart"/>
      <w:r w:rsidRPr="00C7419B">
        <w:rPr>
          <w:szCs w:val="24"/>
        </w:rPr>
        <w:t>lb</w:t>
      </w:r>
      <w:proofErr w:type="spellEnd"/>
      <w:r w:rsidRPr="00C7419B">
        <w:rPr>
          <w:szCs w:val="24"/>
        </w:rPr>
        <w:t xml:space="preserve">/day to 612 </w:t>
      </w:r>
      <w:proofErr w:type="spellStart"/>
      <w:r w:rsidRPr="00C7419B">
        <w:rPr>
          <w:szCs w:val="24"/>
        </w:rPr>
        <w:t>lb</w:t>
      </w:r>
      <w:proofErr w:type="spellEnd"/>
      <w:r w:rsidRPr="00C7419B">
        <w:rPr>
          <w:szCs w:val="24"/>
        </w:rPr>
        <w:t>/day of SO</w:t>
      </w:r>
      <w:r w:rsidRPr="00C7419B">
        <w:rPr>
          <w:szCs w:val="24"/>
          <w:vertAlign w:val="subscript"/>
        </w:rPr>
        <w:t>2</w:t>
      </w:r>
      <w:r w:rsidRPr="00C7419B">
        <w:rPr>
          <w:szCs w:val="24"/>
        </w:rPr>
        <w:t xml:space="preserve"> will not result in any violations of SO</w:t>
      </w:r>
      <w:r w:rsidRPr="00C7419B">
        <w:rPr>
          <w:szCs w:val="24"/>
          <w:vertAlign w:val="subscript"/>
        </w:rPr>
        <w:t>2</w:t>
      </w:r>
      <w:r w:rsidRPr="00C7419B">
        <w:rPr>
          <w:szCs w:val="24"/>
        </w:rPr>
        <w:t xml:space="preserve"> NAAQS or the Montana standards.  However, the daily emission limits set based on the NSPS limit of 0.1 grain/</w:t>
      </w:r>
      <w:proofErr w:type="spellStart"/>
      <w:r w:rsidRPr="00C7419B">
        <w:rPr>
          <w:szCs w:val="24"/>
        </w:rPr>
        <w:t>dscf</w:t>
      </w:r>
      <w:proofErr w:type="spellEnd"/>
      <w:r w:rsidRPr="00C7419B">
        <w:rPr>
          <w:szCs w:val="24"/>
        </w:rPr>
        <w:t xml:space="preserve"> (160 </w:t>
      </w:r>
      <w:proofErr w:type="spellStart"/>
      <w:r w:rsidRPr="00C7419B">
        <w:rPr>
          <w:szCs w:val="24"/>
        </w:rPr>
        <w:t>ppmv</w:t>
      </w:r>
      <w:proofErr w:type="spellEnd"/>
      <w:r w:rsidRPr="00C7419B">
        <w:rPr>
          <w:szCs w:val="24"/>
        </w:rPr>
        <w:t xml:space="preserve"> H</w:t>
      </w:r>
      <w:r w:rsidRPr="00C7419B">
        <w:rPr>
          <w:szCs w:val="24"/>
          <w:vertAlign w:val="subscript"/>
        </w:rPr>
        <w:t>2</w:t>
      </w:r>
      <w:r w:rsidRPr="00C7419B">
        <w:rPr>
          <w:szCs w:val="24"/>
        </w:rPr>
        <w:t>S) are more restrictive tha</w:t>
      </w:r>
      <w:r w:rsidR="008B193E" w:rsidRPr="00C7419B">
        <w:rPr>
          <w:szCs w:val="24"/>
        </w:rPr>
        <w:t>n</w:t>
      </w:r>
      <w:r w:rsidRPr="00C7419B">
        <w:rPr>
          <w:szCs w:val="24"/>
        </w:rPr>
        <w:t xml:space="preserve"> the SIP limit.  The daily emission limits set based on NSPS is 529.17 </w:t>
      </w:r>
      <w:proofErr w:type="spellStart"/>
      <w:r w:rsidRPr="00C7419B">
        <w:rPr>
          <w:szCs w:val="24"/>
        </w:rPr>
        <w:t>lb</w:t>
      </w:r>
      <w:proofErr w:type="spellEnd"/>
      <w:r w:rsidRPr="00C7419B">
        <w:rPr>
          <w:szCs w:val="24"/>
        </w:rPr>
        <w:t>/day for the</w:t>
      </w:r>
      <w:r w:rsidR="002A69F1" w:rsidRPr="00C7419B">
        <w:rPr>
          <w:szCs w:val="24"/>
        </w:rPr>
        <w:t xml:space="preserve"> existing 19 heaters/furnaces.</w:t>
      </w:r>
    </w:p>
    <w:p w14:paraId="3ACC9460" w14:textId="77777777" w:rsidR="0074420E" w:rsidRPr="00C7419B" w:rsidRDefault="0074420E" w:rsidP="002A69F1">
      <w:pPr>
        <w:pStyle w:val="BodyTextIndent"/>
        <w:spacing w:after="0"/>
        <w:ind w:left="0"/>
      </w:pPr>
    </w:p>
    <w:p w14:paraId="556509B4" w14:textId="77777777" w:rsidR="0074420E" w:rsidRPr="00C7419B" w:rsidRDefault="0074420E" w:rsidP="002A69F1">
      <w:pPr>
        <w:pStyle w:val="BodyTextIndent"/>
        <w:spacing w:after="0"/>
        <w:ind w:left="0"/>
        <w:rPr>
          <w:szCs w:val="24"/>
        </w:rPr>
      </w:pPr>
      <w:r w:rsidRPr="00C7419B">
        <w:rPr>
          <w:szCs w:val="24"/>
        </w:rPr>
        <w:t>In addition to changing the daily SO</w:t>
      </w:r>
      <w:r w:rsidRPr="00C7419B">
        <w:rPr>
          <w:szCs w:val="24"/>
          <w:vertAlign w:val="subscript"/>
        </w:rPr>
        <w:t>2</w:t>
      </w:r>
      <w:r w:rsidRPr="00C7419B">
        <w:rPr>
          <w:szCs w:val="24"/>
        </w:rPr>
        <w:t xml:space="preserve"> permit limit for the "19-heater source", Conoco requested that the "19 heater source", the Coker Heater (H-3901), and the GOHDS heaters (H-8401 and H-8402) be combined into one permitted source called the "Fuel Gas Heater" source.  Using the existing daily SO</w:t>
      </w:r>
      <w:r w:rsidRPr="00C7419B">
        <w:rPr>
          <w:szCs w:val="24"/>
          <w:vertAlign w:val="subscript"/>
        </w:rPr>
        <w:t>2</w:t>
      </w:r>
      <w:r w:rsidRPr="00C7419B">
        <w:rPr>
          <w:szCs w:val="24"/>
        </w:rPr>
        <w:t xml:space="preserve"> permit limits for the Coker heater and GOHDS heaters, an overall SO</w:t>
      </w:r>
      <w:r w:rsidRPr="00C7419B">
        <w:rPr>
          <w:szCs w:val="24"/>
          <w:vertAlign w:val="subscript"/>
        </w:rPr>
        <w:t>2</w:t>
      </w:r>
      <w:r w:rsidRPr="00C7419B">
        <w:rPr>
          <w:szCs w:val="24"/>
        </w:rPr>
        <w:t xml:space="preserve"> emissions limit "bubble" of 614 </w:t>
      </w:r>
      <w:proofErr w:type="spellStart"/>
      <w:r w:rsidRPr="00C7419B">
        <w:rPr>
          <w:szCs w:val="24"/>
        </w:rPr>
        <w:t>lb</w:t>
      </w:r>
      <w:proofErr w:type="spellEnd"/>
      <w:r w:rsidRPr="00C7419B">
        <w:rPr>
          <w:szCs w:val="24"/>
        </w:rPr>
        <w:t xml:space="preserve">/day would apply to the "22-Fuel Gas Heaters" source.  The annual limit for the "22-Fuel Gas Heaters" source has not changed and is 45.50 </w:t>
      </w:r>
      <w:proofErr w:type="spellStart"/>
      <w:r w:rsidRPr="00C7419B">
        <w:rPr>
          <w:szCs w:val="24"/>
        </w:rPr>
        <w:t>tpy</w:t>
      </w:r>
      <w:proofErr w:type="spellEnd"/>
      <w:r w:rsidRPr="00C7419B">
        <w:rPr>
          <w:szCs w:val="24"/>
        </w:rPr>
        <w:t xml:space="preserve"> (30.00 + 9.60 + 2.90 + 3.00).</w:t>
      </w:r>
    </w:p>
    <w:p w14:paraId="20322EA3" w14:textId="77777777" w:rsidR="0074420E" w:rsidRPr="00C7419B" w:rsidRDefault="0074420E" w:rsidP="009C7DA1">
      <w:pPr>
        <w:rPr>
          <w:szCs w:val="24"/>
        </w:rPr>
      </w:pPr>
    </w:p>
    <w:p w14:paraId="4033DA70" w14:textId="4517FE67" w:rsidR="0074420E" w:rsidRPr="00C7419B" w:rsidRDefault="0074420E" w:rsidP="002A69F1">
      <w:pPr>
        <w:pStyle w:val="BodyTextIndent"/>
        <w:spacing w:after="0"/>
        <w:ind w:left="0"/>
        <w:rPr>
          <w:szCs w:val="24"/>
        </w:rPr>
      </w:pPr>
      <w:r w:rsidRPr="00C7419B">
        <w:rPr>
          <w:szCs w:val="24"/>
        </w:rPr>
        <w:t xml:space="preserve">On April 19, 1997, Conoco was issued </w:t>
      </w:r>
      <w:r w:rsidR="00EA6034">
        <w:rPr>
          <w:b/>
          <w:szCs w:val="24"/>
        </w:rPr>
        <w:t>MAQP</w:t>
      </w:r>
      <w:r w:rsidRPr="00C7419B">
        <w:rPr>
          <w:b/>
          <w:szCs w:val="24"/>
        </w:rPr>
        <w:t xml:space="preserve"> #2619-09</w:t>
      </w:r>
      <w:r w:rsidRPr="00C7419B">
        <w:rPr>
          <w:szCs w:val="24"/>
        </w:rPr>
        <w:t xml:space="preserve"> to "bubble" or combine the allowable hourly and annual NO</w:t>
      </w:r>
      <w:r w:rsidRPr="00C7419B">
        <w:rPr>
          <w:szCs w:val="24"/>
          <w:vertAlign w:val="subscript"/>
        </w:rPr>
        <w:t>x</w:t>
      </w:r>
      <w:r w:rsidRPr="00C7419B">
        <w:rPr>
          <w:szCs w:val="24"/>
        </w:rPr>
        <w:t xml:space="preserve"> emission limits for the Coker Heater, Recycle Hydrogen Heater, Fractionator Feed Heater, and Hydrogen Plant Heaters.  The NO</w:t>
      </w:r>
      <w:r w:rsidRPr="00C7419B">
        <w:rPr>
          <w:szCs w:val="24"/>
          <w:vertAlign w:val="subscript"/>
        </w:rPr>
        <w:t>x</w:t>
      </w:r>
      <w:r w:rsidRPr="00C7419B">
        <w:rPr>
          <w:szCs w:val="24"/>
        </w:rPr>
        <w:t xml:space="preserve"> emission limits for these heaters were established on a pounds-per-million-Btu basis and will be maintained.  By "bubbling" or combining the allowable hourly and annual NO</w:t>
      </w:r>
      <w:r w:rsidRPr="00C7419B">
        <w:rPr>
          <w:szCs w:val="24"/>
          <w:vertAlign w:val="subscript"/>
        </w:rPr>
        <w:t>x</w:t>
      </w:r>
      <w:r w:rsidRPr="00C7419B">
        <w:rPr>
          <w:szCs w:val="24"/>
        </w:rPr>
        <w:t xml:space="preserve"> emission limits for the Coker Heater, Recycle Hydrogen Heater, Fractionator Feed Heater, and Hydrogen Plant Heaters would allow Conoco more operational flexibility </w:t>
      </w:r>
      <w:proofErr w:type="gramStart"/>
      <w:r w:rsidRPr="00C7419B">
        <w:rPr>
          <w:szCs w:val="24"/>
        </w:rPr>
        <w:t>with regard to</w:t>
      </w:r>
      <w:proofErr w:type="gramEnd"/>
      <w:r w:rsidRPr="00C7419B">
        <w:rPr>
          <w:szCs w:val="24"/>
        </w:rPr>
        <w:t xml:space="preserve"> heater firing rates and heater optimization.  The Coker heater will still have an hourly NO</w:t>
      </w:r>
      <w:r w:rsidRPr="00C7419B">
        <w:rPr>
          <w:szCs w:val="24"/>
          <w:vertAlign w:val="subscript"/>
        </w:rPr>
        <w:t>x</w:t>
      </w:r>
      <w:r w:rsidRPr="00C7419B">
        <w:rPr>
          <w:szCs w:val="24"/>
        </w:rPr>
        <w:t xml:space="preserve"> emission limit to prevent any significant impacts.  The permitting action did not allow an increase in the annual NO</w:t>
      </w:r>
      <w:r w:rsidRPr="00C7419B">
        <w:rPr>
          <w:szCs w:val="24"/>
          <w:vertAlign w:val="subscript"/>
        </w:rPr>
        <w:t xml:space="preserve">x </w:t>
      </w:r>
      <w:r w:rsidRPr="00C7419B">
        <w:rPr>
          <w:szCs w:val="24"/>
        </w:rPr>
        <w:t>emissions.</w:t>
      </w:r>
    </w:p>
    <w:p w14:paraId="204FCF82" w14:textId="77777777" w:rsidR="0074420E" w:rsidRPr="00C7419B" w:rsidRDefault="0074420E" w:rsidP="002A69F1">
      <w:pPr>
        <w:pStyle w:val="BodyTextIndent"/>
        <w:spacing w:after="0"/>
        <w:ind w:left="0"/>
        <w:rPr>
          <w:szCs w:val="24"/>
        </w:rPr>
      </w:pPr>
    </w:p>
    <w:p w14:paraId="7B1B8BD5" w14:textId="20FF9819" w:rsidR="00EA6034" w:rsidRDefault="0074420E" w:rsidP="002A69F1">
      <w:pPr>
        <w:pStyle w:val="BodyTextIndent"/>
        <w:spacing w:after="0"/>
        <w:ind w:left="0"/>
        <w:rPr>
          <w:szCs w:val="24"/>
        </w:rPr>
      </w:pPr>
      <w:r w:rsidRPr="00C7419B">
        <w:rPr>
          <w:szCs w:val="24"/>
        </w:rPr>
        <w:t xml:space="preserve">On July 30, 1997, </w:t>
      </w:r>
      <w:r w:rsidR="00EA6034">
        <w:rPr>
          <w:b/>
          <w:szCs w:val="24"/>
        </w:rPr>
        <w:t>MAQP</w:t>
      </w:r>
      <w:r w:rsidRPr="00C7419B">
        <w:rPr>
          <w:b/>
          <w:szCs w:val="24"/>
        </w:rPr>
        <w:t xml:space="preserve"> #2619-10</w:t>
      </w:r>
      <w:r w:rsidRPr="00C7419B">
        <w:rPr>
          <w:szCs w:val="24"/>
        </w:rPr>
        <w:t xml:space="preserve"> was issued to Conoco </w:t>
      </w:r>
      <w:proofErr w:type="gramStart"/>
      <w:r w:rsidRPr="00C7419B">
        <w:rPr>
          <w:szCs w:val="24"/>
        </w:rPr>
        <w:t>in order to</w:t>
      </w:r>
      <w:proofErr w:type="gramEnd"/>
      <w:r w:rsidRPr="00C7419B">
        <w:rPr>
          <w:szCs w:val="24"/>
        </w:rPr>
        <w:t xml:space="preserve"> comply with 40 CFR 63, Subpart R- National Emission Standards for Gasoline Distribution Facilities.  Conoco proposed to install a gasoline vapor collection system and enclosed flare for the reduction of Hazardous Air Pollutants (HAPs) resulting from the loading of gasoline.  </w:t>
      </w:r>
    </w:p>
    <w:p w14:paraId="3EFD2CFA" w14:textId="77777777" w:rsidR="00AB7E07" w:rsidRDefault="00AB7E07" w:rsidP="002A69F1">
      <w:pPr>
        <w:pStyle w:val="BodyTextIndent"/>
        <w:spacing w:after="0"/>
        <w:ind w:left="0"/>
        <w:rPr>
          <w:szCs w:val="24"/>
        </w:rPr>
      </w:pPr>
    </w:p>
    <w:p w14:paraId="30D87962" w14:textId="3655228F" w:rsidR="0074420E" w:rsidRPr="00C7419B" w:rsidRDefault="0074420E" w:rsidP="002A69F1">
      <w:pPr>
        <w:pStyle w:val="BodyTextIndent"/>
        <w:spacing w:after="0"/>
        <w:ind w:left="0"/>
        <w:rPr>
          <w:szCs w:val="24"/>
        </w:rPr>
      </w:pPr>
      <w:r w:rsidRPr="00C7419B">
        <w:rPr>
          <w:szCs w:val="24"/>
        </w:rPr>
        <w:lastRenderedPageBreak/>
        <w:t xml:space="preserve">The vapor combustion unit (VCU) was added to the bulk gasoline and distillate loading rack.  The gasoline vapors are collected from the trucks during loading, then routed to an enclosed flare where combustion occurs.  This project resulted in an overall reduction in the </w:t>
      </w:r>
      <w:proofErr w:type="gramStart"/>
      <w:r w:rsidRPr="00C7419B">
        <w:rPr>
          <w:szCs w:val="24"/>
        </w:rPr>
        <w:t>amount</w:t>
      </w:r>
      <w:proofErr w:type="gramEnd"/>
      <w:r w:rsidRPr="00C7419B">
        <w:rPr>
          <w:szCs w:val="24"/>
        </w:rPr>
        <w:t xml:space="preserve"> of actual emissions of VOCs (94.8 </w:t>
      </w:r>
      <w:proofErr w:type="spellStart"/>
      <w:r w:rsidRPr="00C7419B">
        <w:rPr>
          <w:szCs w:val="24"/>
        </w:rPr>
        <w:t>tpy</w:t>
      </w:r>
      <w:proofErr w:type="spellEnd"/>
      <w:r w:rsidRPr="00C7419B">
        <w:rPr>
          <w:szCs w:val="24"/>
        </w:rPr>
        <w:t xml:space="preserve">).  The reduction in potential emissions of VOCs is 899.5 </w:t>
      </w:r>
      <w:proofErr w:type="spellStart"/>
      <w:r w:rsidRPr="00C7419B">
        <w:rPr>
          <w:szCs w:val="24"/>
        </w:rPr>
        <w:t>tpy</w:t>
      </w:r>
      <w:proofErr w:type="spellEnd"/>
      <w:r w:rsidRPr="00C7419B">
        <w:rPr>
          <w:szCs w:val="24"/>
        </w:rPr>
        <w:t xml:space="preserve">, while CO increases to 19.7 </w:t>
      </w:r>
      <w:proofErr w:type="spellStart"/>
      <w:r w:rsidRPr="00C7419B">
        <w:rPr>
          <w:szCs w:val="24"/>
        </w:rPr>
        <w:t>tpy</w:t>
      </w:r>
      <w:proofErr w:type="spellEnd"/>
      <w:r w:rsidRPr="00C7419B">
        <w:rPr>
          <w:szCs w:val="24"/>
        </w:rPr>
        <w:t xml:space="preserve"> and NO</w:t>
      </w:r>
      <w:r w:rsidRPr="00C7419B">
        <w:rPr>
          <w:szCs w:val="24"/>
          <w:vertAlign w:val="subscript"/>
        </w:rPr>
        <w:t>x</w:t>
      </w:r>
      <w:r w:rsidRPr="00C7419B">
        <w:rPr>
          <w:szCs w:val="24"/>
        </w:rPr>
        <w:t xml:space="preserve"> increases to 7.9 </w:t>
      </w:r>
      <w:proofErr w:type="spellStart"/>
      <w:r w:rsidRPr="00C7419B">
        <w:rPr>
          <w:szCs w:val="24"/>
        </w:rPr>
        <w:t>tpy</w:t>
      </w:r>
      <w:proofErr w:type="spellEnd"/>
      <w:r w:rsidRPr="00C7419B">
        <w:rPr>
          <w:szCs w:val="24"/>
        </w:rPr>
        <w:t xml:space="preserve"> emissions.  </w:t>
      </w:r>
    </w:p>
    <w:p w14:paraId="7BB55F31" w14:textId="77777777" w:rsidR="0074420E" w:rsidRPr="00C7419B" w:rsidRDefault="0074420E" w:rsidP="002A69F1">
      <w:pPr>
        <w:pStyle w:val="BodyTextIndent"/>
        <w:spacing w:after="0"/>
        <w:ind w:left="0"/>
        <w:rPr>
          <w:szCs w:val="24"/>
        </w:rPr>
      </w:pPr>
    </w:p>
    <w:p w14:paraId="7811DCA6" w14:textId="77777777" w:rsidR="0074420E" w:rsidRPr="00C7419B" w:rsidRDefault="0074420E" w:rsidP="002A69F1">
      <w:pPr>
        <w:pStyle w:val="BodyTextIndent"/>
        <w:spacing w:after="0"/>
        <w:ind w:left="0"/>
        <w:rPr>
          <w:szCs w:val="24"/>
        </w:rPr>
      </w:pPr>
      <w:r w:rsidRPr="00C7419B">
        <w:rPr>
          <w:szCs w:val="24"/>
        </w:rPr>
        <w:t>Conoco also requested an administrative change be made to Section II.F.5, that would bring the permit requirements in alignment with the monitoring requirements specified by 40 CFR 60, Subpart QQQ and 40 CFR 61, Subpart FF.</w:t>
      </w:r>
    </w:p>
    <w:p w14:paraId="604AC443" w14:textId="77777777" w:rsidR="0074420E" w:rsidRPr="00C7419B" w:rsidRDefault="0074420E" w:rsidP="002A69F1">
      <w:pPr>
        <w:pStyle w:val="BodyTextIndent"/>
        <w:spacing w:after="0"/>
        <w:ind w:left="0"/>
        <w:rPr>
          <w:szCs w:val="24"/>
        </w:rPr>
      </w:pPr>
    </w:p>
    <w:p w14:paraId="2F583733" w14:textId="7E6546C1" w:rsidR="0074420E" w:rsidRPr="00C7419B" w:rsidRDefault="0074420E" w:rsidP="002A69F1">
      <w:pPr>
        <w:pStyle w:val="BodyTextIndent"/>
        <w:spacing w:after="0"/>
        <w:ind w:left="0"/>
        <w:rPr>
          <w:szCs w:val="24"/>
        </w:rPr>
      </w:pPr>
      <w:r w:rsidRPr="00C7419B">
        <w:rPr>
          <w:szCs w:val="24"/>
        </w:rPr>
        <w:t xml:space="preserve">Because Conoco's bulk gasoline and distillate loading rack VCU is defined as an incinerator under MCA 75-2-215, a determination that the emissions from the VCU will constitute a negligible risk to public health was required prior to the issuance of the permit.  Conoco and </w:t>
      </w:r>
      <w:r w:rsidR="00F54677" w:rsidRPr="00C7419B">
        <w:rPr>
          <w:szCs w:val="24"/>
        </w:rPr>
        <w:t>DEQ</w:t>
      </w:r>
      <w:r w:rsidRPr="00C7419B">
        <w:rPr>
          <w:szCs w:val="24"/>
        </w:rPr>
        <w:t xml:space="preserve"> identified the following hazardous air pollutants from the flare, which were used in the health risk assessment.  These constituents are typical components of gasoline.</w:t>
      </w:r>
    </w:p>
    <w:p w14:paraId="664A78D7" w14:textId="77777777" w:rsidR="0074420E" w:rsidRPr="00C7419B" w:rsidRDefault="0074420E" w:rsidP="002A69F1">
      <w:pPr>
        <w:pStyle w:val="BodyTextIndent"/>
        <w:spacing w:after="0"/>
        <w:ind w:left="0"/>
        <w:rPr>
          <w:szCs w:val="24"/>
        </w:rPr>
      </w:pPr>
    </w:p>
    <w:p w14:paraId="65211061" w14:textId="77777777" w:rsidR="005F45C7" w:rsidRDefault="0074420E" w:rsidP="005F45C7">
      <w:pPr>
        <w:pStyle w:val="BodyTextIndent"/>
        <w:numPr>
          <w:ilvl w:val="0"/>
          <w:numId w:val="36"/>
        </w:numPr>
        <w:spacing w:after="0"/>
        <w:rPr>
          <w:szCs w:val="24"/>
        </w:rPr>
      </w:pPr>
      <w:r w:rsidRPr="00C7419B">
        <w:rPr>
          <w:szCs w:val="24"/>
        </w:rPr>
        <w:t>Benzene</w:t>
      </w:r>
    </w:p>
    <w:p w14:paraId="14B75E42" w14:textId="77777777" w:rsidR="005F45C7" w:rsidRDefault="0074420E" w:rsidP="005F45C7">
      <w:pPr>
        <w:pStyle w:val="BodyTextIndent"/>
        <w:numPr>
          <w:ilvl w:val="0"/>
          <w:numId w:val="36"/>
        </w:numPr>
        <w:spacing w:after="0"/>
        <w:rPr>
          <w:szCs w:val="24"/>
        </w:rPr>
      </w:pPr>
      <w:r w:rsidRPr="005F45C7">
        <w:rPr>
          <w:szCs w:val="24"/>
        </w:rPr>
        <w:t>Ethyl Benzene</w:t>
      </w:r>
    </w:p>
    <w:p w14:paraId="7AAEDBAE" w14:textId="77777777" w:rsidR="005F45C7" w:rsidRDefault="0074420E" w:rsidP="005F45C7">
      <w:pPr>
        <w:pStyle w:val="BodyTextIndent"/>
        <w:numPr>
          <w:ilvl w:val="0"/>
          <w:numId w:val="36"/>
        </w:numPr>
        <w:spacing w:after="0"/>
        <w:rPr>
          <w:szCs w:val="24"/>
        </w:rPr>
      </w:pPr>
      <w:r w:rsidRPr="005F45C7">
        <w:rPr>
          <w:szCs w:val="24"/>
        </w:rPr>
        <w:t>Hexane</w:t>
      </w:r>
    </w:p>
    <w:p w14:paraId="15CFFE6C" w14:textId="77777777" w:rsidR="005F45C7" w:rsidRDefault="0074420E" w:rsidP="005F45C7">
      <w:pPr>
        <w:pStyle w:val="BodyTextIndent"/>
        <w:numPr>
          <w:ilvl w:val="0"/>
          <w:numId w:val="36"/>
        </w:numPr>
        <w:spacing w:after="0"/>
        <w:rPr>
          <w:szCs w:val="24"/>
        </w:rPr>
      </w:pPr>
      <w:r w:rsidRPr="005F45C7">
        <w:rPr>
          <w:szCs w:val="24"/>
        </w:rPr>
        <w:t xml:space="preserve">Methyl </w:t>
      </w:r>
      <w:proofErr w:type="spellStart"/>
      <w:r w:rsidRPr="005F45C7">
        <w:rPr>
          <w:szCs w:val="24"/>
        </w:rPr>
        <w:t>Tert</w:t>
      </w:r>
      <w:proofErr w:type="spellEnd"/>
      <w:r w:rsidRPr="005F45C7">
        <w:rPr>
          <w:szCs w:val="24"/>
        </w:rPr>
        <w:t xml:space="preserve"> Butyl Ether</w:t>
      </w:r>
    </w:p>
    <w:p w14:paraId="2A3E2996" w14:textId="77777777" w:rsidR="005F45C7" w:rsidRDefault="0074420E" w:rsidP="005F45C7">
      <w:pPr>
        <w:pStyle w:val="BodyTextIndent"/>
        <w:numPr>
          <w:ilvl w:val="0"/>
          <w:numId w:val="36"/>
        </w:numPr>
        <w:spacing w:after="0"/>
        <w:rPr>
          <w:szCs w:val="24"/>
        </w:rPr>
      </w:pPr>
      <w:r w:rsidRPr="005F45C7">
        <w:rPr>
          <w:szCs w:val="24"/>
        </w:rPr>
        <w:t>Toluene</w:t>
      </w:r>
    </w:p>
    <w:p w14:paraId="45B1CD8F" w14:textId="3EE9CBD9" w:rsidR="0074420E" w:rsidRPr="005F45C7" w:rsidRDefault="0074420E" w:rsidP="005F45C7">
      <w:pPr>
        <w:pStyle w:val="BodyTextIndent"/>
        <w:numPr>
          <w:ilvl w:val="0"/>
          <w:numId w:val="36"/>
        </w:numPr>
        <w:spacing w:after="0"/>
        <w:rPr>
          <w:szCs w:val="24"/>
        </w:rPr>
      </w:pPr>
      <w:r w:rsidRPr="005F45C7">
        <w:rPr>
          <w:szCs w:val="24"/>
        </w:rPr>
        <w:t>Xylenes</w:t>
      </w:r>
    </w:p>
    <w:p w14:paraId="5127B2ED" w14:textId="77777777" w:rsidR="0074420E" w:rsidRPr="00C7419B" w:rsidRDefault="0074420E" w:rsidP="002A69F1">
      <w:pPr>
        <w:pStyle w:val="BodyTextIndent"/>
        <w:spacing w:after="0"/>
        <w:ind w:left="0"/>
        <w:rPr>
          <w:szCs w:val="24"/>
        </w:rPr>
      </w:pPr>
    </w:p>
    <w:p w14:paraId="7B080EFA" w14:textId="77777777" w:rsidR="0074420E" w:rsidRPr="00C7419B" w:rsidRDefault="0074420E" w:rsidP="002A69F1">
      <w:pPr>
        <w:pStyle w:val="BodyTextIndent"/>
        <w:spacing w:after="0"/>
        <w:ind w:left="0"/>
        <w:rPr>
          <w:szCs w:val="24"/>
        </w:rPr>
      </w:pPr>
      <w:r w:rsidRPr="00C7419B">
        <w:rPr>
          <w:szCs w:val="24"/>
        </w:rPr>
        <w:t xml:space="preserve">The reference concentrations for Ethyl Benzene, Hexane, and Methyl </w:t>
      </w:r>
      <w:proofErr w:type="spellStart"/>
      <w:r w:rsidRPr="00C7419B">
        <w:rPr>
          <w:szCs w:val="24"/>
        </w:rPr>
        <w:t>Tert</w:t>
      </w:r>
      <w:proofErr w:type="spellEnd"/>
      <w:r w:rsidRPr="00C7419B">
        <w:rPr>
          <w:szCs w:val="24"/>
        </w:rPr>
        <w:t xml:space="preserve"> Butyl Ether were obtained from EPA's IRIS database.  The risk information for the remaining hazardous air pollutants is contained in the January 1992 CAPCOA Risk Assessment Guidelines.  The model performed by Conoco for the hazardous air pollutants, identified above, monitored compliance with the negligible risk requirement.</w:t>
      </w:r>
    </w:p>
    <w:p w14:paraId="7F3387B3" w14:textId="77777777" w:rsidR="0074420E" w:rsidRPr="00C7419B" w:rsidRDefault="0074420E" w:rsidP="002A69F1">
      <w:pPr>
        <w:pStyle w:val="BodyTextIndent"/>
        <w:spacing w:after="0"/>
        <w:ind w:left="0"/>
        <w:rPr>
          <w:szCs w:val="24"/>
        </w:rPr>
      </w:pPr>
    </w:p>
    <w:p w14:paraId="76E9DA08" w14:textId="664CB1D7" w:rsidR="0074420E" w:rsidRPr="00C7419B" w:rsidRDefault="0074420E" w:rsidP="002A69F1">
      <w:pPr>
        <w:pStyle w:val="BodyTextIndent"/>
        <w:spacing w:after="0"/>
        <w:ind w:left="0"/>
        <w:rPr>
          <w:szCs w:val="24"/>
        </w:rPr>
      </w:pPr>
      <w:r w:rsidRPr="00C7419B">
        <w:rPr>
          <w:szCs w:val="24"/>
        </w:rPr>
        <w:t xml:space="preserve">On December 10, 1997, Conoco requested a modification to allow the continuous incineration of a PB Merox Unit off gas stream in the firebox of Heater #16.  </w:t>
      </w:r>
      <w:r w:rsidR="00EA6034">
        <w:rPr>
          <w:b/>
          <w:szCs w:val="24"/>
        </w:rPr>
        <w:t>MAQP</w:t>
      </w:r>
      <w:r w:rsidRPr="00C7419B">
        <w:rPr>
          <w:b/>
          <w:szCs w:val="24"/>
        </w:rPr>
        <w:t xml:space="preserve"> #2619-11</w:t>
      </w:r>
      <w:r w:rsidRPr="00C7419B">
        <w:rPr>
          <w:szCs w:val="24"/>
        </w:rPr>
        <w:t xml:space="preserve"> requires the production of sulfur dioxide from the sulfur-containing compounds in the PB Merox Unit off gas stream to be calculated and counted against the current sulfur dioxide limitations applicable to the (22) Refinery Fuel Gas Heaters/Furnaces group.  During a review of process piping and instrumentation diagrams, Conoco identified a PB Merox Unit off-gas stream that is currently incinerated in the firebox of Heater #16.  A subsequent analysis of this off-gas stream revealed the presence of sulfur-containing compounds in low concentrations.  The bulk of this low-pressure off-gas stream is nitrogen with some oxygen, hydrocarbons, and sulfur-containing compounds (disulfides, mercaptans).  Sulfur dioxide produced from the continuous incineration of this stream has been calculated at approximately 1 ton per year.  This off-gas stream is piped from the top of the disulfide separator through a small knock out drum and directly into the firebox of Heater #16.</w:t>
      </w:r>
    </w:p>
    <w:p w14:paraId="045E566D" w14:textId="77777777" w:rsidR="0074420E" w:rsidRPr="00C7419B" w:rsidRDefault="0074420E" w:rsidP="002A69F1">
      <w:pPr>
        <w:pStyle w:val="BodyTextIndent"/>
        <w:spacing w:after="0"/>
        <w:ind w:left="0"/>
        <w:rPr>
          <w:szCs w:val="24"/>
        </w:rPr>
      </w:pPr>
    </w:p>
    <w:p w14:paraId="32264E45" w14:textId="6ED2A411" w:rsidR="0074420E" w:rsidRPr="00C7419B" w:rsidRDefault="0074420E" w:rsidP="002A69F1">
      <w:pPr>
        <w:pStyle w:val="BodyTextIndent"/>
        <w:spacing w:after="0"/>
        <w:ind w:left="0"/>
        <w:rPr>
          <w:szCs w:val="24"/>
        </w:rPr>
      </w:pPr>
      <w:r w:rsidRPr="00C7419B">
        <w:rPr>
          <w:szCs w:val="24"/>
        </w:rPr>
        <w:t xml:space="preserve">Conoco proposes to sample the PB Merox Unit disulfide separator gas stream </w:t>
      </w:r>
      <w:proofErr w:type="gramStart"/>
      <w:r w:rsidRPr="00C7419B">
        <w:rPr>
          <w:szCs w:val="24"/>
        </w:rPr>
        <w:t>on a monthly basis</w:t>
      </w:r>
      <w:proofErr w:type="gramEnd"/>
      <w:r w:rsidRPr="00C7419B">
        <w:rPr>
          <w:szCs w:val="24"/>
        </w:rPr>
        <w:t xml:space="preserve"> to determine the total sulfur (</w:t>
      </w:r>
      <w:proofErr w:type="spellStart"/>
      <w:r w:rsidRPr="00C7419B">
        <w:rPr>
          <w:szCs w:val="24"/>
        </w:rPr>
        <w:t>ppmw</w:t>
      </w:r>
      <w:proofErr w:type="spellEnd"/>
      <w:r w:rsidRPr="00C7419B">
        <w:rPr>
          <w:szCs w:val="24"/>
        </w:rPr>
        <w:t xml:space="preserve">) present.  This analysis, combined with the off-gas stream flow rate, will be used to calculate the production of sulfur dioxide.  After a year of sampling time, and with the approval of </w:t>
      </w:r>
      <w:r w:rsidR="00F54677" w:rsidRPr="00C7419B">
        <w:rPr>
          <w:szCs w:val="24"/>
        </w:rPr>
        <w:t>DEQ</w:t>
      </w:r>
      <w:r w:rsidRPr="00C7419B">
        <w:rPr>
          <w:szCs w:val="24"/>
        </w:rPr>
        <w:t xml:space="preserve">, Conoco proposes to reduce the sampling frequency of the PB Merox disulfide separator off-gas stream to once per quarter if the variability in the sulfur content is small (±250 </w:t>
      </w:r>
      <w:proofErr w:type="spellStart"/>
      <w:r w:rsidRPr="00C7419B">
        <w:rPr>
          <w:szCs w:val="24"/>
        </w:rPr>
        <w:t>ppmw</w:t>
      </w:r>
      <w:proofErr w:type="spellEnd"/>
      <w:r w:rsidRPr="00C7419B">
        <w:rPr>
          <w:szCs w:val="24"/>
        </w:rPr>
        <w:t xml:space="preserve">).  </w:t>
      </w:r>
    </w:p>
    <w:p w14:paraId="0295692A" w14:textId="77777777" w:rsidR="0074420E" w:rsidRPr="00C7419B" w:rsidRDefault="0074420E" w:rsidP="002A69F1">
      <w:pPr>
        <w:pStyle w:val="BodyTextIndent"/>
        <w:spacing w:after="0"/>
        <w:ind w:left="0"/>
        <w:rPr>
          <w:szCs w:val="24"/>
        </w:rPr>
      </w:pPr>
    </w:p>
    <w:p w14:paraId="38F0174C" w14:textId="3E889EE5" w:rsidR="0074420E" w:rsidRPr="00C7419B" w:rsidRDefault="0074420E" w:rsidP="002A69F1">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szCs w:val="24"/>
        </w:rPr>
      </w:pPr>
      <w:r w:rsidRPr="00C7419B">
        <w:rPr>
          <w:szCs w:val="24"/>
        </w:rPr>
        <w:lastRenderedPageBreak/>
        <w:t xml:space="preserve">In addition, to be consistent with the wording as specified by 40 CFR 63, Subpart R, </w:t>
      </w:r>
      <w:r w:rsidR="00F54677" w:rsidRPr="00C7419B">
        <w:rPr>
          <w:szCs w:val="24"/>
        </w:rPr>
        <w:t>DEQ</w:t>
      </w:r>
      <w:r w:rsidRPr="00C7419B">
        <w:rPr>
          <w:szCs w:val="24"/>
        </w:rPr>
        <w:t xml:space="preserve"> replaced all references to "tank trucks" with "cargo tank" and all references to "truck-loading rack" with "loading rack".  Also, the first sentence in Section II.F.5 of the preconstruction permit was deleted from the permit.  Conoco had requested an administrative change be made to Section II.F.5, during the permitting action of #2619-10, which would bring the permit requirements in alignment with the monitoring requirements specified by 40 CFR 60, Subpart QQQ, and 40 CFR 61, Subpart FF.  </w:t>
      </w:r>
      <w:r w:rsidR="00F54677" w:rsidRPr="00C7419B">
        <w:rPr>
          <w:szCs w:val="24"/>
        </w:rPr>
        <w:t>DEQ</w:t>
      </w:r>
      <w:r w:rsidRPr="00C7419B">
        <w:rPr>
          <w:szCs w:val="24"/>
        </w:rPr>
        <w:t xml:space="preserve"> had approved the </w:t>
      </w:r>
      <w:r w:rsidR="001057C7" w:rsidRPr="00C7419B">
        <w:rPr>
          <w:szCs w:val="24"/>
        </w:rPr>
        <w:t>request,</w:t>
      </w:r>
      <w:r w:rsidRPr="00C7419B">
        <w:rPr>
          <w:szCs w:val="24"/>
        </w:rPr>
        <w:t xml:space="preserve"> and the correction was made; however, the first sentence was inadvertently left in the permit.  </w:t>
      </w:r>
      <w:r w:rsidR="00EA6034" w:rsidRPr="00EA6034">
        <w:rPr>
          <w:b/>
          <w:szCs w:val="24"/>
        </w:rPr>
        <w:t>MAQP</w:t>
      </w:r>
      <w:r w:rsidRPr="00EA6034">
        <w:rPr>
          <w:b/>
          <w:szCs w:val="24"/>
        </w:rPr>
        <w:t xml:space="preserve"> #2619-11</w:t>
      </w:r>
      <w:r w:rsidRPr="00C7419B">
        <w:rPr>
          <w:szCs w:val="24"/>
        </w:rPr>
        <w:t xml:space="preserve"> replaced </w:t>
      </w:r>
      <w:r w:rsidR="00EA6034">
        <w:rPr>
          <w:szCs w:val="24"/>
        </w:rPr>
        <w:t>MAQP</w:t>
      </w:r>
      <w:r w:rsidRPr="00C7419B">
        <w:rPr>
          <w:szCs w:val="24"/>
        </w:rPr>
        <w:t xml:space="preserve"> #2619-10.</w:t>
      </w:r>
    </w:p>
    <w:p w14:paraId="6DBA8A70" w14:textId="77777777" w:rsidR="0074420E" w:rsidRPr="00C7419B" w:rsidRDefault="0074420E" w:rsidP="002A69F1">
      <w:pPr>
        <w:pStyle w:val="BodyTextIndent"/>
        <w:spacing w:after="0"/>
        <w:ind w:left="0"/>
        <w:rPr>
          <w:szCs w:val="24"/>
        </w:rPr>
      </w:pPr>
    </w:p>
    <w:p w14:paraId="285DD4A3" w14:textId="7C3A67B9"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rPr>
          <w:szCs w:val="24"/>
        </w:rPr>
      </w:pPr>
      <w:r w:rsidRPr="00C7419B">
        <w:rPr>
          <w:szCs w:val="24"/>
        </w:rPr>
        <w:t xml:space="preserve">On June 6, 2000, </w:t>
      </w:r>
      <w:r w:rsidR="00F54677" w:rsidRPr="00C7419B">
        <w:rPr>
          <w:szCs w:val="24"/>
        </w:rPr>
        <w:t>DEQ</w:t>
      </w:r>
      <w:r w:rsidRPr="00C7419B">
        <w:rPr>
          <w:szCs w:val="24"/>
        </w:rPr>
        <w:t xml:space="preserve"> issued </w:t>
      </w:r>
      <w:r w:rsidR="00EA6034">
        <w:rPr>
          <w:b/>
          <w:szCs w:val="24"/>
        </w:rPr>
        <w:t>MAQP</w:t>
      </w:r>
      <w:r w:rsidRPr="00C7419B">
        <w:rPr>
          <w:b/>
          <w:szCs w:val="24"/>
        </w:rPr>
        <w:t xml:space="preserve"> #2619-12</w:t>
      </w:r>
      <w:r w:rsidRPr="00C7419B">
        <w:rPr>
          <w:szCs w:val="24"/>
        </w:rPr>
        <w:t xml:space="preserve"> for replacement of the B-101 thermal reactor at the Jupiter Sulphur facility.  The existing B-101 thermal reactor had come to the end of its useful life and had to be replaced.  The replacement B-101 thermal reactor was physically located approximately 50 feet to the north of the existing thermal reactor, due to the excessive complications that would be encountered to dismantle the old equipment and construct the new equipment in the same space.  Once the piping was rerouted to the new equipment the old equipment was incapable of use and will be demolished.  Given this construction scenario, </w:t>
      </w:r>
      <w:r w:rsidR="00F54677" w:rsidRPr="00C7419B">
        <w:rPr>
          <w:szCs w:val="24"/>
        </w:rPr>
        <w:t>DEQ</w:t>
      </w:r>
      <w:r w:rsidRPr="00C7419B">
        <w:rPr>
          <w:szCs w:val="24"/>
        </w:rPr>
        <w:t xml:space="preserve"> determined that a permit condition limiting the operation to only one thermal reactor at a time was necessary.  There was no increase in emissions due to this action.  </w:t>
      </w:r>
      <w:r w:rsidR="00EA6034" w:rsidRPr="00EA6034">
        <w:rPr>
          <w:b/>
          <w:bCs/>
          <w:szCs w:val="24"/>
        </w:rPr>
        <w:t>MAQP</w:t>
      </w:r>
      <w:r w:rsidRPr="00EA6034">
        <w:rPr>
          <w:b/>
          <w:bCs/>
          <w:szCs w:val="24"/>
        </w:rPr>
        <w:t xml:space="preserve"> #2619-12</w:t>
      </w:r>
      <w:r w:rsidRPr="00C7419B">
        <w:rPr>
          <w:szCs w:val="24"/>
        </w:rPr>
        <w:t xml:space="preserve"> replaced </w:t>
      </w:r>
      <w:r w:rsidR="00EA6034">
        <w:rPr>
          <w:szCs w:val="24"/>
        </w:rPr>
        <w:t>MAQP</w:t>
      </w:r>
      <w:r w:rsidRPr="00C7419B">
        <w:rPr>
          <w:szCs w:val="24"/>
        </w:rPr>
        <w:t xml:space="preserve"> #2619-11.</w:t>
      </w:r>
    </w:p>
    <w:p w14:paraId="32B34510" w14:textId="77777777"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p>
    <w:p w14:paraId="226D341B" w14:textId="038EB58E"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r w:rsidRPr="00C7419B">
        <w:rPr>
          <w:szCs w:val="24"/>
        </w:rPr>
        <w:t xml:space="preserve">Conoco submitted comments on the Preliminary Determination (PD) of </w:t>
      </w:r>
      <w:r w:rsidR="00EA6034">
        <w:rPr>
          <w:szCs w:val="24"/>
        </w:rPr>
        <w:t>MAQP</w:t>
      </w:r>
      <w:r w:rsidRPr="00C7419B">
        <w:rPr>
          <w:szCs w:val="24"/>
        </w:rPr>
        <w:t xml:space="preserve"> #2619-12.  The following is the result of these comments:</w:t>
      </w:r>
    </w:p>
    <w:p w14:paraId="5274B99D" w14:textId="77777777"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p>
    <w:p w14:paraId="630192A7" w14:textId="4689C1B1" w:rsidR="0074420E" w:rsidRPr="00C7419B" w:rsidRDefault="0074420E" w:rsidP="002A69F1">
      <w:pPr>
        <w:numPr>
          <w:ilvl w:val="0"/>
          <w:numId w:val="28"/>
        </w:numPr>
        <w:tabs>
          <w:tab w:val="clear" w:pos="1152"/>
        </w:tabs>
        <w:ind w:left="720" w:hanging="360"/>
        <w:rPr>
          <w:szCs w:val="24"/>
        </w:rPr>
      </w:pPr>
      <w:r w:rsidRPr="00C7419B">
        <w:rPr>
          <w:szCs w:val="24"/>
        </w:rPr>
        <w:t xml:space="preserve">In previously issued permits, Section II.A.4 listed storage tanks #4510 and #4511 as having external floating roofs with primary seal, which were liquid mounted </w:t>
      </w:r>
      <w:r w:rsidR="00F542F4" w:rsidRPr="00C7419B">
        <w:rPr>
          <w:szCs w:val="24"/>
        </w:rPr>
        <w:t>stainless-steel</w:t>
      </w:r>
      <w:r w:rsidRPr="00C7419B">
        <w:rPr>
          <w:szCs w:val="24"/>
        </w:rPr>
        <w:t xml:space="preserve"> shoes and secondary seal equipped with a Teflon curtain or equivalent.  Conoco stated that these two tanks were </w:t>
      </w:r>
      <w:proofErr w:type="gramStart"/>
      <w:r w:rsidRPr="00C7419B">
        <w:rPr>
          <w:szCs w:val="24"/>
        </w:rPr>
        <w:t>actually equipped</w:t>
      </w:r>
      <w:proofErr w:type="gramEnd"/>
      <w:r w:rsidRPr="00C7419B">
        <w:rPr>
          <w:szCs w:val="24"/>
        </w:rPr>
        <w:t xml:space="preserve"> with internal floating roofs with double-rim seals or a liquid-mounted seal system for VOC loss control.</w:t>
      </w:r>
    </w:p>
    <w:p w14:paraId="4E63E99B"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A05D073" w14:textId="77777777" w:rsidR="0074420E" w:rsidRPr="00C7419B" w:rsidRDefault="0074420E" w:rsidP="002A69F1">
      <w:pPr>
        <w:numPr>
          <w:ilvl w:val="0"/>
          <w:numId w:val="28"/>
        </w:numPr>
        <w:tabs>
          <w:tab w:val="clear" w:pos="1152"/>
        </w:tabs>
        <w:ind w:left="720" w:hanging="360"/>
        <w:rPr>
          <w:szCs w:val="24"/>
        </w:rPr>
      </w:pPr>
      <w:r w:rsidRPr="00C7419B">
        <w:rPr>
          <w:szCs w:val="24"/>
        </w:rPr>
        <w:t xml:space="preserve">Section II.A.7.g.ii always listed the CPI separators as primary separators, when in fact they are secondary.  </w:t>
      </w:r>
    </w:p>
    <w:p w14:paraId="7C1AB041" w14:textId="77777777" w:rsidR="0074420E" w:rsidRPr="00C7419B" w:rsidRDefault="0074420E" w:rsidP="009C7DA1">
      <w:pPr>
        <w:rPr>
          <w:szCs w:val="24"/>
        </w:rPr>
      </w:pPr>
    </w:p>
    <w:p w14:paraId="26E89DB5" w14:textId="4D87A8F5" w:rsidR="0074420E" w:rsidRPr="00C7419B" w:rsidRDefault="00F54677"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DEQ</w:t>
      </w:r>
      <w:r w:rsidR="0074420E" w:rsidRPr="00C7419B">
        <w:rPr>
          <w:szCs w:val="24"/>
        </w:rPr>
        <w:t xml:space="preserve"> accepted the comments and made the changes accordingly</w:t>
      </w:r>
      <w:r w:rsidR="0085697B">
        <w:rPr>
          <w:szCs w:val="24"/>
        </w:rPr>
        <w:t>.</w:t>
      </w:r>
    </w:p>
    <w:p w14:paraId="44F6F867"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51A4647A" w14:textId="3073C4B9" w:rsidR="0074420E" w:rsidRPr="00C7419B" w:rsidRDefault="0074420E" w:rsidP="00744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pacing w:val="-2"/>
          <w:szCs w:val="24"/>
        </w:rPr>
      </w:pPr>
      <w:r w:rsidRPr="00C7419B">
        <w:rPr>
          <w:spacing w:val="-2"/>
          <w:szCs w:val="24"/>
        </w:rPr>
        <w:t xml:space="preserve">On March 1, 2001, </w:t>
      </w:r>
      <w:r w:rsidR="00F54677" w:rsidRPr="00C7419B">
        <w:rPr>
          <w:spacing w:val="-2"/>
          <w:szCs w:val="24"/>
        </w:rPr>
        <w:t>DEQ</w:t>
      </w:r>
      <w:r w:rsidRPr="00C7419B">
        <w:rPr>
          <w:spacing w:val="-2"/>
          <w:szCs w:val="24"/>
        </w:rPr>
        <w:t xml:space="preserve"> issued </w:t>
      </w:r>
      <w:r w:rsidR="00EA6034">
        <w:rPr>
          <w:b/>
          <w:spacing w:val="-2"/>
          <w:szCs w:val="24"/>
        </w:rPr>
        <w:t>MAQP</w:t>
      </w:r>
      <w:r w:rsidRPr="00C7419B">
        <w:rPr>
          <w:b/>
          <w:spacing w:val="-2"/>
          <w:szCs w:val="24"/>
        </w:rPr>
        <w:t xml:space="preserve"> #2619-13</w:t>
      </w:r>
      <w:r w:rsidRPr="00C7419B">
        <w:rPr>
          <w:spacing w:val="-2"/>
          <w:szCs w:val="24"/>
        </w:rPr>
        <w:t xml:space="preserve"> for the installation and operation of 19 diesel-powered, temporary generators.  These generators are necessary because of the high cost of electricity and supplement 18 megawatts (MW) of the refinery’s electrical load, and 1 MW of Jupiter’s electrical load.  The generators are located south of the coke loading facility along with two new above ground 20,000-gallon diesel storage tanks.  The operation of the generators will not occur </w:t>
      </w:r>
      <w:proofErr w:type="gramStart"/>
      <w:r w:rsidRPr="00C7419B">
        <w:rPr>
          <w:spacing w:val="-2"/>
          <w:szCs w:val="24"/>
        </w:rPr>
        <w:t>beyond</w:t>
      </w:r>
      <w:proofErr w:type="gramEnd"/>
      <w:r w:rsidRPr="00C7419B">
        <w:rPr>
          <w:spacing w:val="-2"/>
          <w:szCs w:val="24"/>
        </w:rPr>
        <w:t xml:space="preserve"> 2 years and is not expected to last for an extended </w:t>
      </w:r>
      <w:proofErr w:type="gramStart"/>
      <w:r w:rsidRPr="00C7419B">
        <w:rPr>
          <w:spacing w:val="-2"/>
          <w:szCs w:val="24"/>
        </w:rPr>
        <w:t>period of time</w:t>
      </w:r>
      <w:proofErr w:type="gramEnd"/>
      <w:r w:rsidRPr="00C7419B">
        <w:rPr>
          <w:spacing w:val="-2"/>
          <w:szCs w:val="24"/>
        </w:rPr>
        <w:t>, but rather only for the length of time necessary for Conoco to acquire a permanent, more economical supply of power.</w:t>
      </w:r>
    </w:p>
    <w:p w14:paraId="2AAF8D17"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56178496" w14:textId="38C2A97E" w:rsidR="00EA6034"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Because these generators are only to be used when commercial power is too expensive to obtain, the </w:t>
      </w:r>
      <w:proofErr w:type="gramStart"/>
      <w:r w:rsidRPr="00C7419B">
        <w:rPr>
          <w:szCs w:val="24"/>
        </w:rPr>
        <w:t>amount</w:t>
      </w:r>
      <w:proofErr w:type="gramEnd"/>
      <w:r w:rsidRPr="00C7419B">
        <w:rPr>
          <w:szCs w:val="24"/>
        </w:rPr>
        <w:t xml:space="preserve"> of emissions expected during the actual operation of these generators is minor.  In addition, the installation of these generators qualified as a "temporary source" under the PSD permitting program because the permit limited the operation of these generators to </w:t>
      </w:r>
      <w:r w:rsidR="0085697B" w:rsidRPr="00C7419B">
        <w:rPr>
          <w:szCs w:val="24"/>
        </w:rPr>
        <w:t>a period</w:t>
      </w:r>
      <w:r w:rsidRPr="00C7419B">
        <w:rPr>
          <w:szCs w:val="24"/>
        </w:rPr>
        <w:t xml:space="preserve"> of less than 2 years.  Therefore, Conoco was not required to comply with ARM 17.8.804, 17.8 820, 17.8.822, and 17.8.824.  </w:t>
      </w:r>
    </w:p>
    <w:p w14:paraId="075437E1" w14:textId="77777777" w:rsidR="0085697B" w:rsidRDefault="0085697B"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BC46CFF" w14:textId="4B67A4DD"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lastRenderedPageBreak/>
        <w:t xml:space="preserve">Even though the portable generators were considered temporary, </w:t>
      </w:r>
      <w:r w:rsidR="00F54677" w:rsidRPr="00C7419B">
        <w:rPr>
          <w:szCs w:val="24"/>
        </w:rPr>
        <w:t>DEQ</w:t>
      </w:r>
      <w:r w:rsidRPr="00C7419B">
        <w:rPr>
          <w:szCs w:val="24"/>
        </w:rPr>
        <w:t xml:space="preserve"> required compliance with Best Available Control Technology (BACT) and public notice requirements; therefore, compliance with ARM 17.8.819 and 17.8.826 was ensured.  In addition, Conoco is responsible for complying with all applicable ambient air quality standards.  </w:t>
      </w:r>
      <w:r w:rsidR="00EA6034" w:rsidRPr="00EA6034">
        <w:rPr>
          <w:b/>
          <w:bCs/>
          <w:szCs w:val="24"/>
        </w:rPr>
        <w:t>MAQP</w:t>
      </w:r>
      <w:r w:rsidRPr="00EA6034">
        <w:rPr>
          <w:b/>
          <w:bCs/>
          <w:szCs w:val="24"/>
        </w:rPr>
        <w:t xml:space="preserve"> #2619-13</w:t>
      </w:r>
      <w:r w:rsidRPr="00C7419B">
        <w:rPr>
          <w:szCs w:val="24"/>
        </w:rPr>
        <w:t xml:space="preserve"> replaced </w:t>
      </w:r>
      <w:r w:rsidR="00EA6034">
        <w:rPr>
          <w:szCs w:val="24"/>
        </w:rPr>
        <w:t>MAQP</w:t>
      </w:r>
      <w:r w:rsidRPr="00C7419B">
        <w:rPr>
          <w:szCs w:val="24"/>
        </w:rPr>
        <w:t xml:space="preserve"> #2619-12.</w:t>
      </w:r>
    </w:p>
    <w:p w14:paraId="29962A9C" w14:textId="77777777" w:rsidR="0074420E" w:rsidRPr="00C7419B" w:rsidRDefault="0074420E" w:rsidP="0074420E">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00ED7074" w14:textId="1BBAEC6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pacing w:val="-2"/>
          <w:szCs w:val="24"/>
        </w:rPr>
        <w:t xml:space="preserve">On April 13, 2001, </w:t>
      </w:r>
      <w:r w:rsidR="00F54677" w:rsidRPr="00C7419B">
        <w:rPr>
          <w:spacing w:val="-2"/>
          <w:szCs w:val="24"/>
        </w:rPr>
        <w:t>DEQ</w:t>
      </w:r>
      <w:r w:rsidRPr="00C7419B">
        <w:rPr>
          <w:spacing w:val="-2"/>
          <w:szCs w:val="24"/>
        </w:rPr>
        <w:t xml:space="preserve"> issued </w:t>
      </w:r>
      <w:r w:rsidR="00EA6034">
        <w:rPr>
          <w:b/>
          <w:spacing w:val="-2"/>
          <w:szCs w:val="24"/>
        </w:rPr>
        <w:t>MAQP</w:t>
      </w:r>
      <w:r w:rsidRPr="00C7419B">
        <w:rPr>
          <w:b/>
          <w:spacing w:val="-2"/>
          <w:szCs w:val="24"/>
        </w:rPr>
        <w:t xml:space="preserve"> #2619-14</w:t>
      </w:r>
      <w:r w:rsidRPr="00C7419B">
        <w:rPr>
          <w:spacing w:val="-2"/>
          <w:szCs w:val="24"/>
        </w:rPr>
        <w:t xml:space="preserve"> for the 1982 Saturate Gas Plant Project, submitted by Conoco as a retroactive permit application.  During an independent compliance awareness review that was performed in 2000, Conoco discovered that the Saturate Gas Plant should have gone through the permitting process prior to it being constructed.  At the time of construction, the project likely would have required a PSD permit.  However, the current potential to emit for the project facility is well below the PSD VOC significance threshold.  In addition, the Saturate Gas Plant currently participates in a </w:t>
      </w:r>
      <w:r w:rsidR="00B9181C" w:rsidRPr="00C7419B">
        <w:rPr>
          <w:spacing w:val="-2"/>
          <w:szCs w:val="24"/>
        </w:rPr>
        <w:t>federally required</w:t>
      </w:r>
      <w:r w:rsidRPr="00C7419B">
        <w:rPr>
          <w:spacing w:val="-2"/>
          <w:szCs w:val="24"/>
        </w:rPr>
        <w:t xml:space="preserve"> leak detection and repair (LDAR) program, which would meet any BACT requirements, if PSD applied.  </w:t>
      </w:r>
      <w:r w:rsidR="00F54677" w:rsidRPr="00C7419B">
        <w:rPr>
          <w:spacing w:val="-2"/>
          <w:szCs w:val="24"/>
        </w:rPr>
        <w:t>DEQ</w:t>
      </w:r>
      <w:r w:rsidRPr="00C7419B">
        <w:rPr>
          <w:spacing w:val="-2"/>
          <w:szCs w:val="24"/>
        </w:rPr>
        <w:t xml:space="preserve"> agreed that a permitting action in the form of a preconstruction permit application for the Saturate Gas Plant Project was necessary and sufficient to address the discrepancy.  </w:t>
      </w:r>
      <w:r w:rsidR="00EA6034" w:rsidRPr="00EA6034">
        <w:rPr>
          <w:b/>
          <w:bCs/>
          <w:spacing w:val="-2"/>
          <w:szCs w:val="24"/>
        </w:rPr>
        <w:t>MAQP</w:t>
      </w:r>
      <w:r w:rsidRPr="00EA6034">
        <w:rPr>
          <w:b/>
          <w:bCs/>
          <w:spacing w:val="-2"/>
          <w:szCs w:val="24"/>
        </w:rPr>
        <w:t xml:space="preserve"> #2619-14</w:t>
      </w:r>
      <w:r w:rsidRPr="00C7419B">
        <w:rPr>
          <w:b/>
          <w:bCs/>
          <w:spacing w:val="-2"/>
          <w:szCs w:val="24"/>
        </w:rPr>
        <w:t xml:space="preserve"> </w:t>
      </w:r>
      <w:r w:rsidRPr="00C7419B">
        <w:rPr>
          <w:spacing w:val="-2"/>
          <w:szCs w:val="24"/>
        </w:rPr>
        <w:t xml:space="preserve">replaced </w:t>
      </w:r>
      <w:r w:rsidR="00EA6034">
        <w:rPr>
          <w:spacing w:val="-2"/>
          <w:szCs w:val="24"/>
        </w:rPr>
        <w:t>MAQP</w:t>
      </w:r>
      <w:r w:rsidRPr="00C7419B">
        <w:rPr>
          <w:spacing w:val="-2"/>
          <w:szCs w:val="24"/>
        </w:rPr>
        <w:t xml:space="preserve"> #2619-13</w:t>
      </w:r>
      <w:r w:rsidRPr="00C7419B">
        <w:rPr>
          <w:szCs w:val="24"/>
        </w:rPr>
        <w:t xml:space="preserve">. </w:t>
      </w:r>
    </w:p>
    <w:p w14:paraId="2FFFB416"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7FAC6E55" w14:textId="5FA6D1F0" w:rsidR="0074420E" w:rsidRPr="00C7419B" w:rsidRDefault="0074420E" w:rsidP="0074420E">
      <w:pPr>
        <w:pStyle w:val="FootnoteText"/>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rPr>
          <w:rFonts w:ascii="Garamond" w:hAnsi="Garamond"/>
          <w:szCs w:val="24"/>
        </w:rPr>
      </w:pPr>
      <w:r w:rsidRPr="00C7419B">
        <w:rPr>
          <w:rFonts w:ascii="Garamond" w:hAnsi="Garamond"/>
          <w:szCs w:val="24"/>
        </w:rPr>
        <w:t xml:space="preserve">On June 29, 2002, </w:t>
      </w:r>
      <w:r w:rsidR="00F54677" w:rsidRPr="00C7419B">
        <w:rPr>
          <w:rFonts w:ascii="Garamond" w:hAnsi="Garamond"/>
          <w:szCs w:val="24"/>
        </w:rPr>
        <w:t>DEQ</w:t>
      </w:r>
      <w:r w:rsidRPr="00C7419B">
        <w:rPr>
          <w:rFonts w:ascii="Garamond" w:hAnsi="Garamond"/>
          <w:szCs w:val="24"/>
        </w:rPr>
        <w:t xml:space="preserve"> issued </w:t>
      </w:r>
      <w:r w:rsidR="00EA6034">
        <w:rPr>
          <w:rFonts w:ascii="Garamond" w:hAnsi="Garamond"/>
          <w:b/>
          <w:szCs w:val="24"/>
        </w:rPr>
        <w:t>MAQP</w:t>
      </w:r>
      <w:r w:rsidRPr="00C7419B">
        <w:rPr>
          <w:rFonts w:ascii="Garamond" w:hAnsi="Garamond"/>
          <w:b/>
          <w:szCs w:val="24"/>
        </w:rPr>
        <w:t xml:space="preserve"> #2619-15</w:t>
      </w:r>
      <w:r w:rsidRPr="00C7419B">
        <w:rPr>
          <w:rFonts w:ascii="Garamond" w:hAnsi="Garamond"/>
          <w:szCs w:val="24"/>
        </w:rPr>
        <w:t xml:space="preserve"> to clarify language regarding the Appendix F Quality Assurance requirements for the fuel gas H</w:t>
      </w:r>
      <w:r w:rsidRPr="00C7419B">
        <w:rPr>
          <w:rFonts w:ascii="Garamond" w:hAnsi="Garamond"/>
          <w:szCs w:val="24"/>
          <w:vertAlign w:val="subscript"/>
        </w:rPr>
        <w:t>2</w:t>
      </w:r>
      <w:r w:rsidRPr="00C7419B">
        <w:rPr>
          <w:rFonts w:ascii="Garamond" w:hAnsi="Garamond"/>
          <w:szCs w:val="24"/>
        </w:rPr>
        <w:t xml:space="preserve">S measurement system and to include certain limits and standards associated with the Consent Decree lodged on December 20, 2001, respectively.  In addition, </w:t>
      </w:r>
      <w:r w:rsidR="00F54677" w:rsidRPr="00C7419B">
        <w:rPr>
          <w:rFonts w:ascii="Garamond" w:hAnsi="Garamond"/>
          <w:szCs w:val="24"/>
        </w:rPr>
        <w:t>DEQ</w:t>
      </w:r>
      <w:r w:rsidRPr="00C7419B">
        <w:rPr>
          <w:rFonts w:ascii="Garamond" w:hAnsi="Garamond"/>
          <w:szCs w:val="24"/>
        </w:rPr>
        <w:t xml:space="preserve"> modified the permit to eliminate references to the now repealed odor rule (ARM 17.8.315), to correct the reference on conditions improperly referencing the incinerator rule (ARM 17.8.316), and to eliminate the limits on the main boiler that were less stringent than the current limit established by the Consent Decree.  </w:t>
      </w:r>
      <w:r w:rsidR="00EA6034" w:rsidRPr="00EA6034">
        <w:rPr>
          <w:rFonts w:ascii="Garamond" w:hAnsi="Garamond"/>
          <w:b/>
          <w:bCs/>
          <w:szCs w:val="24"/>
        </w:rPr>
        <w:t>MAQP</w:t>
      </w:r>
      <w:r w:rsidRPr="00EA6034">
        <w:rPr>
          <w:rFonts w:ascii="Garamond" w:hAnsi="Garamond"/>
          <w:b/>
          <w:bCs/>
          <w:szCs w:val="24"/>
        </w:rPr>
        <w:t xml:space="preserve"> #2619-15</w:t>
      </w:r>
      <w:r w:rsidRPr="00C7419B">
        <w:rPr>
          <w:rFonts w:ascii="Garamond" w:hAnsi="Garamond"/>
          <w:szCs w:val="24"/>
        </w:rPr>
        <w:t xml:space="preserve"> replaced </w:t>
      </w:r>
      <w:r w:rsidR="00EA6034">
        <w:rPr>
          <w:rFonts w:ascii="Garamond" w:hAnsi="Garamond"/>
          <w:szCs w:val="24"/>
        </w:rPr>
        <w:t>MAQP</w:t>
      </w:r>
      <w:r w:rsidRPr="00C7419B">
        <w:rPr>
          <w:rFonts w:ascii="Garamond" w:hAnsi="Garamond"/>
          <w:szCs w:val="24"/>
        </w:rPr>
        <w:t xml:space="preserve"> #2619-14.</w:t>
      </w:r>
    </w:p>
    <w:p w14:paraId="15119D05"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5FC1747F" w14:textId="5E11DAF0" w:rsidR="0074420E" w:rsidRPr="00C7419B" w:rsidRDefault="00F54677"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DEQ</w:t>
      </w:r>
      <w:r w:rsidR="0074420E" w:rsidRPr="00C7419B">
        <w:rPr>
          <w:szCs w:val="24"/>
        </w:rPr>
        <w:t xml:space="preserve"> received a request from Conoco on August 27, 2002, for the alteration of air quality </w:t>
      </w:r>
      <w:r w:rsidR="00EA6034">
        <w:rPr>
          <w:szCs w:val="24"/>
        </w:rPr>
        <w:t>MAQP</w:t>
      </w:r>
      <w:r w:rsidR="0074420E" w:rsidRPr="00C7419B">
        <w:rPr>
          <w:szCs w:val="24"/>
        </w:rPr>
        <w:t xml:space="preserve"> #2619-15 to incorporate the Low Sulfur Gasoline (LSG) Project into the refinery’s equipment and operations.  The LSG Project was being proposed to assist in complying with EPA’s Tier 2 regulations.  The project included the installation of a new storage vessel and minor modifications to the No.2 hydrodesulfurization (HDS) unit, GOHDS unit, and hydrogen (H</w:t>
      </w:r>
      <w:r w:rsidR="0074420E" w:rsidRPr="00C7419B">
        <w:rPr>
          <w:szCs w:val="24"/>
          <w:vertAlign w:val="subscript"/>
        </w:rPr>
        <w:t>2</w:t>
      </w:r>
      <w:r w:rsidR="0074420E" w:rsidRPr="00C7419B">
        <w:rPr>
          <w:szCs w:val="24"/>
        </w:rPr>
        <w:t xml:space="preserve">) unit </w:t>
      </w:r>
      <w:proofErr w:type="gramStart"/>
      <w:r w:rsidR="0074420E" w:rsidRPr="00C7419B">
        <w:rPr>
          <w:szCs w:val="24"/>
        </w:rPr>
        <w:t>in order to</w:t>
      </w:r>
      <w:proofErr w:type="gramEnd"/>
      <w:r w:rsidR="0074420E" w:rsidRPr="00C7419B">
        <w:rPr>
          <w:szCs w:val="24"/>
        </w:rPr>
        <w:t xml:space="preserve"> accommodate hydrotreating additional gasoline and gas oil streams that were currently not hydrotreated prior to being blended or processed in the FCC unit.  The new storage vessel was designed to store </w:t>
      </w:r>
      <w:r w:rsidR="00800859" w:rsidRPr="00C7419B">
        <w:rPr>
          <w:szCs w:val="24"/>
        </w:rPr>
        <w:t>off spec</w:t>
      </w:r>
      <w:r w:rsidR="0074420E" w:rsidRPr="00C7419B">
        <w:rPr>
          <w:szCs w:val="24"/>
        </w:rPr>
        <w:t xml:space="preserve"> gasoline during occasions when the GOHDS unit was offline.  </w:t>
      </w:r>
    </w:p>
    <w:p w14:paraId="1B9F285F"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43DC7E22" w14:textId="74337E13"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In addition, on August 28, 2002, Conoco requested to eliminate the footnote contained in Section II.B.1.b of </w:t>
      </w:r>
      <w:r w:rsidR="00EA6034">
        <w:rPr>
          <w:szCs w:val="24"/>
        </w:rPr>
        <w:t>MAQP</w:t>
      </w:r>
      <w:r w:rsidRPr="00C7419B">
        <w:rPr>
          <w:szCs w:val="24"/>
        </w:rPr>
        <w:t xml:space="preserve"> #2619-15 stating, “Emissions [of the SRU Flare] occur only during times that the ATS unit is not operating.”  Further, Conoco requested to change the SO</w:t>
      </w:r>
      <w:r w:rsidRPr="00C7419B">
        <w:rPr>
          <w:szCs w:val="24"/>
          <w:vertAlign w:val="subscript"/>
        </w:rPr>
        <w:t>2</w:t>
      </w:r>
      <w:r w:rsidRPr="00C7419B">
        <w:rPr>
          <w:szCs w:val="24"/>
        </w:rPr>
        <w:t xml:space="preserve"> emission limitations of 25 pounds per hour (</w:t>
      </w:r>
      <w:proofErr w:type="spellStart"/>
      <w:r w:rsidRPr="00C7419B">
        <w:rPr>
          <w:szCs w:val="24"/>
        </w:rPr>
        <w:t>lb</w:t>
      </w:r>
      <w:proofErr w:type="spellEnd"/>
      <w:r w:rsidRPr="00C7419B">
        <w:rPr>
          <w:szCs w:val="24"/>
        </w:rPr>
        <w:t>/</w:t>
      </w:r>
      <w:proofErr w:type="spellStart"/>
      <w:r w:rsidRPr="00C7419B">
        <w:rPr>
          <w:szCs w:val="24"/>
        </w:rPr>
        <w:t>hr</w:t>
      </w:r>
      <w:proofErr w:type="spellEnd"/>
      <w:r w:rsidRPr="00C7419B">
        <w:rPr>
          <w:szCs w:val="24"/>
        </w:rPr>
        <w:t>) for each of the SRU Flare and SRU/ATS Main Stack to a 25-lb/</w:t>
      </w:r>
      <w:proofErr w:type="spellStart"/>
      <w:r w:rsidRPr="00C7419B">
        <w:rPr>
          <w:szCs w:val="24"/>
        </w:rPr>
        <w:t>hr</w:t>
      </w:r>
      <w:proofErr w:type="spellEnd"/>
      <w:r w:rsidRPr="00C7419B">
        <w:rPr>
          <w:szCs w:val="24"/>
        </w:rPr>
        <w:t xml:space="preserve"> limit on the combination of the SRU Flare and SRU/ATS Main Stack.  Following discussion between Conoco and </w:t>
      </w:r>
      <w:r w:rsidR="00F54677" w:rsidRPr="00C7419B">
        <w:rPr>
          <w:szCs w:val="24"/>
        </w:rPr>
        <w:t>DEQ</w:t>
      </w:r>
      <w:r w:rsidRPr="00C7419B">
        <w:rPr>
          <w:szCs w:val="24"/>
        </w:rPr>
        <w:t xml:space="preserve"> regarding comments received within </w:t>
      </w:r>
      <w:r w:rsidR="00F54677" w:rsidRPr="00C7419B">
        <w:rPr>
          <w:szCs w:val="24"/>
        </w:rPr>
        <w:t>DEQ</w:t>
      </w:r>
      <w:r w:rsidRPr="00C7419B">
        <w:rPr>
          <w:szCs w:val="24"/>
        </w:rPr>
        <w:t xml:space="preserve"> and from EPA, Conoco requested an extension to delay issuance of </w:t>
      </w:r>
      <w:r w:rsidR="00F54677" w:rsidRPr="00C7419B">
        <w:rPr>
          <w:szCs w:val="24"/>
        </w:rPr>
        <w:t>DEQ</w:t>
      </w:r>
      <w:r w:rsidRPr="00C7419B">
        <w:rPr>
          <w:szCs w:val="24"/>
        </w:rPr>
        <w:t xml:space="preserve"> Decision to December 9, 2002.  Following additional discussion, Conoco and </w:t>
      </w:r>
      <w:r w:rsidR="00F54677" w:rsidRPr="00C7419B">
        <w:rPr>
          <w:szCs w:val="24"/>
        </w:rPr>
        <w:t>DEQ</w:t>
      </w:r>
      <w:r w:rsidRPr="00C7419B">
        <w:rPr>
          <w:szCs w:val="24"/>
        </w:rPr>
        <w:t xml:space="preserve"> agreed to leave the footnote in the permit for the issuance of </w:t>
      </w:r>
      <w:r w:rsidR="00EA6034">
        <w:rPr>
          <w:b/>
          <w:bCs/>
          <w:szCs w:val="24"/>
        </w:rPr>
        <w:t>MAQP</w:t>
      </w:r>
      <w:r w:rsidRPr="00C7419B">
        <w:rPr>
          <w:b/>
          <w:bCs/>
          <w:szCs w:val="24"/>
        </w:rPr>
        <w:t xml:space="preserve"> #2619-16</w:t>
      </w:r>
      <w:r w:rsidRPr="00C7419B">
        <w:rPr>
          <w:szCs w:val="24"/>
        </w:rPr>
        <w:t xml:space="preserve"> and to revisit the issue at another time.  </w:t>
      </w:r>
      <w:r w:rsidR="00EA6034" w:rsidRPr="00EA6034">
        <w:rPr>
          <w:b/>
          <w:szCs w:val="24"/>
        </w:rPr>
        <w:t>MAQP</w:t>
      </w:r>
      <w:r w:rsidRPr="00EA6034">
        <w:rPr>
          <w:b/>
          <w:szCs w:val="24"/>
        </w:rPr>
        <w:t xml:space="preserve"> #2619-16</w:t>
      </w:r>
      <w:r w:rsidRPr="00C7419B">
        <w:rPr>
          <w:b/>
          <w:szCs w:val="24"/>
        </w:rPr>
        <w:t xml:space="preserve"> </w:t>
      </w:r>
      <w:r w:rsidRPr="00C7419B">
        <w:rPr>
          <w:szCs w:val="24"/>
        </w:rPr>
        <w:t xml:space="preserve">replaced </w:t>
      </w:r>
      <w:r w:rsidR="00EA6034">
        <w:rPr>
          <w:szCs w:val="24"/>
        </w:rPr>
        <w:t>MAQP</w:t>
      </w:r>
      <w:r w:rsidRPr="00C7419B">
        <w:rPr>
          <w:szCs w:val="24"/>
        </w:rPr>
        <w:t xml:space="preserve"> #2619-15. </w:t>
      </w:r>
    </w:p>
    <w:p w14:paraId="7CDFABF9"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66E7542" w14:textId="77777777" w:rsidR="00EA6034"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r w:rsidRPr="00C7419B">
        <w:rPr>
          <w:szCs w:val="24"/>
        </w:rPr>
        <w:t xml:space="preserve">A letter from ConocoPhillips dated December 9, 2002, and received by </w:t>
      </w:r>
      <w:r w:rsidR="00F54677" w:rsidRPr="00C7419B">
        <w:rPr>
          <w:szCs w:val="24"/>
        </w:rPr>
        <w:t>DEQ</w:t>
      </w:r>
      <w:r w:rsidRPr="00C7419B">
        <w:rPr>
          <w:szCs w:val="24"/>
        </w:rPr>
        <w:t xml:space="preserve"> on December 10, 2002, notified </w:t>
      </w:r>
      <w:r w:rsidR="00F54677" w:rsidRPr="00C7419B">
        <w:rPr>
          <w:szCs w:val="24"/>
        </w:rPr>
        <w:t>DEQ</w:t>
      </w:r>
      <w:r w:rsidRPr="00C7419B">
        <w:rPr>
          <w:szCs w:val="24"/>
        </w:rPr>
        <w:t xml:space="preserve"> that Conoco had changed its name to ConocoPhillips.  In a letter dated February 3, 2003, ConocoPhillips also requested the removal of the conditions regarding the temporary power generators because the permit terms for the temporary generators were “not to exceed 2 years” and the generators had been removed from the facility.  </w:t>
      </w:r>
    </w:p>
    <w:p w14:paraId="75910A82" w14:textId="77777777" w:rsidR="001C55BA" w:rsidRDefault="001C55BA"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p>
    <w:p w14:paraId="2BD5768E" w14:textId="07C4A859"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r w:rsidRPr="00C7419B">
        <w:rPr>
          <w:szCs w:val="24"/>
        </w:rPr>
        <w:lastRenderedPageBreak/>
        <w:t xml:space="preserve">The permit action changed the name on this permit from Conoco to ConocoPhillips and removed permit terms regarding temporary generators.  </w:t>
      </w:r>
      <w:r w:rsidR="00EA6034">
        <w:rPr>
          <w:szCs w:val="24"/>
        </w:rPr>
        <w:t>MAQP</w:t>
      </w:r>
      <w:r w:rsidRPr="00EA6034">
        <w:rPr>
          <w:szCs w:val="24"/>
        </w:rPr>
        <w:t xml:space="preserve"> #2619-17</w:t>
      </w:r>
      <w:r w:rsidRPr="00C7419B">
        <w:rPr>
          <w:szCs w:val="24"/>
        </w:rPr>
        <w:t xml:space="preserve"> was also updated to reflect current permit language and rule references used by </w:t>
      </w:r>
      <w:r w:rsidR="00F54677" w:rsidRPr="00C7419B">
        <w:rPr>
          <w:szCs w:val="24"/>
        </w:rPr>
        <w:t>DEQ</w:t>
      </w:r>
      <w:r w:rsidRPr="00C7419B">
        <w:rPr>
          <w:szCs w:val="24"/>
        </w:rPr>
        <w:t xml:space="preserve">.  </w:t>
      </w:r>
      <w:r w:rsidR="00EA6034">
        <w:rPr>
          <w:b/>
          <w:szCs w:val="24"/>
        </w:rPr>
        <w:t>MAQP</w:t>
      </w:r>
      <w:r w:rsidRPr="00EA6034">
        <w:rPr>
          <w:b/>
          <w:szCs w:val="24"/>
        </w:rPr>
        <w:t xml:space="preserve"> #2619-17</w:t>
      </w:r>
      <w:r w:rsidRPr="00C7419B">
        <w:rPr>
          <w:b/>
          <w:szCs w:val="24"/>
        </w:rPr>
        <w:t xml:space="preserve"> </w:t>
      </w:r>
      <w:r w:rsidRPr="00C7419B">
        <w:rPr>
          <w:szCs w:val="24"/>
        </w:rPr>
        <w:t xml:space="preserve">replaced </w:t>
      </w:r>
      <w:r w:rsidR="00EA6034">
        <w:rPr>
          <w:szCs w:val="24"/>
        </w:rPr>
        <w:t>MAQP</w:t>
      </w:r>
      <w:r w:rsidRPr="00C7419B">
        <w:rPr>
          <w:szCs w:val="24"/>
        </w:rPr>
        <w:t xml:space="preserve"> #2619-16.</w:t>
      </w:r>
    </w:p>
    <w:p w14:paraId="3731EC3F"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1140EB61" w14:textId="6657EBF2"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December 11, 2003, </w:t>
      </w:r>
      <w:r w:rsidR="00F54677" w:rsidRPr="00C7419B">
        <w:rPr>
          <w:szCs w:val="24"/>
        </w:rPr>
        <w:t>DEQ</w:t>
      </w:r>
      <w:r w:rsidRPr="00C7419B">
        <w:rPr>
          <w:szCs w:val="24"/>
        </w:rPr>
        <w:t xml:space="preserve"> received a Montana Air Quality Permit (MAQP) Application from ConocoPhillips to modify </w:t>
      </w:r>
      <w:r w:rsidR="00EA6034">
        <w:rPr>
          <w:szCs w:val="24"/>
        </w:rPr>
        <w:t>MAQP</w:t>
      </w:r>
      <w:r w:rsidRPr="00C7419B">
        <w:rPr>
          <w:szCs w:val="24"/>
        </w:rPr>
        <w:t xml:space="preserve"> #2619-17 to replace the existing 143.8-</w:t>
      </w:r>
      <w:r w:rsidRPr="00C7419B" w:rsidDel="003D65E6">
        <w:rPr>
          <w:szCs w:val="24"/>
        </w:rPr>
        <w:t xml:space="preserve"> </w:t>
      </w:r>
      <w:r w:rsidRPr="00C7419B">
        <w:rPr>
          <w:szCs w:val="24"/>
        </w:rPr>
        <w:t>MMBtu/</w:t>
      </w:r>
      <w:proofErr w:type="spellStart"/>
      <w:r w:rsidRPr="00C7419B">
        <w:rPr>
          <w:szCs w:val="24"/>
        </w:rPr>
        <w:t>hr</w:t>
      </w:r>
      <w:proofErr w:type="spellEnd"/>
      <w:r w:rsidRPr="00C7419B">
        <w:rPr>
          <w:szCs w:val="24"/>
        </w:rPr>
        <w:t xml:space="preserve"> boilers, B-5 and B-6, with new 183-MMBtu/</w:t>
      </w:r>
      <w:proofErr w:type="spellStart"/>
      <w:r w:rsidRPr="00C7419B">
        <w:rPr>
          <w:szCs w:val="24"/>
        </w:rPr>
        <w:t>hr</w:t>
      </w:r>
      <w:proofErr w:type="spellEnd"/>
      <w:r w:rsidRPr="00C7419B">
        <w:rPr>
          <w:szCs w:val="24"/>
        </w:rPr>
        <w:t xml:space="preserve"> boilers equipped with low NO</w:t>
      </w:r>
      <w:r w:rsidRPr="00C7419B">
        <w:rPr>
          <w:szCs w:val="24"/>
          <w:vertAlign w:val="subscript"/>
        </w:rPr>
        <w:t>X</w:t>
      </w:r>
      <w:r w:rsidRPr="00C7419B">
        <w:rPr>
          <w:szCs w:val="24"/>
        </w:rPr>
        <w:t xml:space="preserve"> burners (LNB) and flue gas recirculation (FGR) commonly referred to as ultra-low NO</w:t>
      </w:r>
      <w:r w:rsidRPr="00C7419B">
        <w:rPr>
          <w:szCs w:val="24"/>
          <w:vertAlign w:val="subscript"/>
        </w:rPr>
        <w:t>X</w:t>
      </w:r>
      <w:r w:rsidRPr="00C7419B">
        <w:rPr>
          <w:szCs w:val="24"/>
        </w:rPr>
        <w:t xml:space="preserve"> burners (ULNB), new B-5 and new B-6 (previously referred to as B-7 and B-8), to meet the NO</w:t>
      </w:r>
      <w:r w:rsidRPr="00C7419B">
        <w:rPr>
          <w:szCs w:val="24"/>
          <w:vertAlign w:val="subscript"/>
        </w:rPr>
        <w:t>X</w:t>
      </w:r>
      <w:r w:rsidRPr="00C7419B">
        <w:rPr>
          <w:szCs w:val="24"/>
        </w:rPr>
        <w:t xml:space="preserve"> emission reduction requirements stipulated in the EPA Consent Decree.  On December 23, 2003, </w:t>
      </w:r>
      <w:r w:rsidR="00F54677" w:rsidRPr="00C7419B">
        <w:rPr>
          <w:szCs w:val="24"/>
        </w:rPr>
        <w:t>DEQ</w:t>
      </w:r>
      <w:r w:rsidRPr="00C7419B">
        <w:rPr>
          <w:szCs w:val="24"/>
        </w:rPr>
        <w:t xml:space="preserve"> deemed the application complete.  This permitting action contained NO</w:t>
      </w:r>
      <w:r w:rsidRPr="00C7419B">
        <w:rPr>
          <w:szCs w:val="24"/>
          <w:vertAlign w:val="subscript"/>
        </w:rPr>
        <w:t>X</w:t>
      </w:r>
      <w:r w:rsidRPr="00C7419B">
        <w:rPr>
          <w:szCs w:val="24"/>
        </w:rPr>
        <w:t xml:space="preserve"> emissions that exceeded PSD significance levels.  The replacement of the boilers resulted in an actual NO</w:t>
      </w:r>
      <w:r w:rsidRPr="00C7419B">
        <w:rPr>
          <w:szCs w:val="24"/>
          <w:vertAlign w:val="subscript"/>
        </w:rPr>
        <w:t>X</w:t>
      </w:r>
      <w:r w:rsidRPr="00C7419B">
        <w:rPr>
          <w:szCs w:val="24"/>
        </w:rPr>
        <w:t xml:space="preserve"> reduction of approximately 89 tons per year.  However, the EPA Consent Decree stipulated that reductions were not creditable for PSD purposes.  </w:t>
      </w:r>
      <w:r w:rsidR="00EA6034">
        <w:rPr>
          <w:szCs w:val="24"/>
        </w:rPr>
        <w:t>MAQP</w:t>
      </w:r>
      <w:r w:rsidRPr="00C7419B">
        <w:rPr>
          <w:szCs w:val="24"/>
        </w:rPr>
        <w:t xml:space="preserve"> #2619 was also updated to reflect current permit language and rule references used by </w:t>
      </w:r>
      <w:r w:rsidR="00F54677" w:rsidRPr="00C7419B">
        <w:rPr>
          <w:szCs w:val="24"/>
        </w:rPr>
        <w:t>DEQ</w:t>
      </w:r>
      <w:r w:rsidRPr="00C7419B">
        <w:rPr>
          <w:szCs w:val="24"/>
        </w:rPr>
        <w:t xml:space="preserve">.  </w:t>
      </w:r>
      <w:r w:rsidR="00EA6034">
        <w:rPr>
          <w:b/>
          <w:szCs w:val="24"/>
        </w:rPr>
        <w:t>MAQP</w:t>
      </w:r>
      <w:r w:rsidRPr="00C7419B">
        <w:rPr>
          <w:b/>
          <w:szCs w:val="24"/>
        </w:rPr>
        <w:t xml:space="preserve"> #2619-18 </w:t>
      </w:r>
      <w:r w:rsidRPr="00C7419B">
        <w:rPr>
          <w:szCs w:val="24"/>
        </w:rPr>
        <w:t xml:space="preserve">replaced </w:t>
      </w:r>
      <w:r w:rsidR="00EA6034">
        <w:rPr>
          <w:szCs w:val="24"/>
        </w:rPr>
        <w:t>MAQP</w:t>
      </w:r>
      <w:r w:rsidRPr="00C7419B">
        <w:rPr>
          <w:szCs w:val="24"/>
        </w:rPr>
        <w:t xml:space="preserve"> #2619-17.</w:t>
      </w:r>
    </w:p>
    <w:p w14:paraId="0292AE73"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0933533B" w14:textId="24C059F3" w:rsidR="0046727B" w:rsidRPr="00C7419B" w:rsidRDefault="0074420E" w:rsidP="001C6D1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February 3, 2004, </w:t>
      </w:r>
      <w:r w:rsidR="00F54677" w:rsidRPr="00C7419B">
        <w:rPr>
          <w:szCs w:val="24"/>
        </w:rPr>
        <w:t>DEQ</w:t>
      </w:r>
      <w:r w:rsidRPr="00C7419B">
        <w:rPr>
          <w:szCs w:val="24"/>
        </w:rPr>
        <w:t xml:space="preserve"> received a MAQP Application from ConocoPhillips to modify </w:t>
      </w:r>
      <w:r w:rsidR="00EA6034">
        <w:rPr>
          <w:szCs w:val="24"/>
        </w:rPr>
        <w:t>MAQP</w:t>
      </w:r>
      <w:r w:rsidRPr="00C7419B">
        <w:rPr>
          <w:szCs w:val="24"/>
        </w:rPr>
        <w:t xml:space="preserve"> #2619-18 to add a new HDS Unit (No.5), a new sour water stripper (No.3 SWS), and a new H</w:t>
      </w:r>
      <w:r w:rsidRPr="00C7419B">
        <w:rPr>
          <w:szCs w:val="24"/>
          <w:vertAlign w:val="subscript"/>
        </w:rPr>
        <w:t>2</w:t>
      </w:r>
      <w:r w:rsidRPr="00C7419B">
        <w:rPr>
          <w:szCs w:val="24"/>
        </w:rPr>
        <w:t xml:space="preserve"> Unit.  On March 1, 2004, </w:t>
      </w:r>
      <w:r w:rsidR="00F54677" w:rsidRPr="00C7419B">
        <w:rPr>
          <w:szCs w:val="24"/>
        </w:rPr>
        <w:t>DEQ</w:t>
      </w:r>
      <w:r w:rsidRPr="00C7419B">
        <w:rPr>
          <w:szCs w:val="24"/>
        </w:rPr>
        <w:t xml:space="preserve"> deemed the application complete upon submittal of additional information.  The addition of these new units added three new heaters, 41, 42, and 43, each equipped with low LNB FGR commonly referred to as ULNB.  Additionally, ConocoPhillips proposed to retrofit existing external floating roof tank T-110 with a cover to allow nitrogen blanketing of the tank, to install a new storage vessel (No.5 HDS Feed storage tank) under emission point 24 above, to store feed and off-specification material for the No.5 HDS Unit, and to provide the No.1 H</w:t>
      </w:r>
      <w:r w:rsidRPr="00C7419B">
        <w:rPr>
          <w:szCs w:val="24"/>
          <w:vertAlign w:val="subscript"/>
        </w:rPr>
        <w:t>2</w:t>
      </w:r>
      <w:r w:rsidRPr="00C7419B">
        <w:rPr>
          <w:szCs w:val="24"/>
        </w:rPr>
        <w:t xml:space="preserve"> Unit with the flexibility to burn refinery fuel gas (RFG).  The new equipment was added to meet the new EPA-required highway Ultra Low Sulfur Diesel (ULSD) fuel sulfur standard of 100% of highway diesel that meets the 15 parts per million (ppm) highway diesel fuel maximum sulfur specification by June 1, 2006.  By meeting the June 1, 2006, deadline, ConocoPhillips may claim a 2-year extension for the phase-in of the requirements of the Tier Two Gasoline/Sulfur Rulemaking.  This permitting action resulted in NO</w:t>
      </w:r>
      <w:r w:rsidRPr="00C7419B">
        <w:rPr>
          <w:szCs w:val="24"/>
          <w:vertAlign w:val="subscript"/>
        </w:rPr>
        <w:t>X</w:t>
      </w:r>
      <w:r w:rsidRPr="00C7419B">
        <w:rPr>
          <w:szCs w:val="24"/>
        </w:rPr>
        <w:t xml:space="preserve"> and VOC emissions that exceed PSD significance levels.  Other changes were also contained in this permit.  Previously in permit condition II.A.1 it was stated that the emergency flare tip must be based at 148-feet elevation.  After a physical survey of the emergency </w:t>
      </w:r>
      <w:r w:rsidR="0085697B" w:rsidRPr="00C7419B">
        <w:rPr>
          <w:szCs w:val="24"/>
        </w:rPr>
        <w:t>flare,</w:t>
      </w:r>
      <w:r w:rsidRPr="00C7419B">
        <w:rPr>
          <w:szCs w:val="24"/>
        </w:rPr>
        <w:t xml:space="preserve"> it was determined that the actual height of the flare tip is 141.5-feet elevation.  After verifying that the impacts of the height discrepancy were negligible, </w:t>
      </w:r>
      <w:r w:rsidR="00F54677" w:rsidRPr="00C7419B">
        <w:rPr>
          <w:szCs w:val="24"/>
        </w:rPr>
        <w:t>DEQ</w:t>
      </w:r>
      <w:r w:rsidRPr="00C7419B">
        <w:rPr>
          <w:szCs w:val="24"/>
        </w:rPr>
        <w:t xml:space="preserve"> changed permit condition II.A.1 from 148-feet of elevation to 142-feet plus or minus 2 feet of elevation and changed the reference from ARM 17.8.752 to ARM 17.8.749.  </w:t>
      </w:r>
      <w:r w:rsidR="00EA6034" w:rsidRPr="007B6749">
        <w:rPr>
          <w:szCs w:val="24"/>
        </w:rPr>
        <w:t>MAQP</w:t>
      </w:r>
      <w:r w:rsidRPr="007B6749">
        <w:rPr>
          <w:szCs w:val="24"/>
        </w:rPr>
        <w:t xml:space="preserve"> #2619-19</w:t>
      </w:r>
      <w:r w:rsidRPr="00C7419B">
        <w:rPr>
          <w:szCs w:val="24"/>
        </w:rPr>
        <w:t xml:space="preserve"> was updated to reflect current permit language and rule references used by </w:t>
      </w:r>
      <w:r w:rsidR="00F54677" w:rsidRPr="00C7419B">
        <w:rPr>
          <w:szCs w:val="24"/>
        </w:rPr>
        <w:t>DEQ</w:t>
      </w:r>
      <w:r w:rsidRPr="00C7419B">
        <w:rPr>
          <w:szCs w:val="24"/>
        </w:rPr>
        <w:t xml:space="preserve">.  </w:t>
      </w:r>
      <w:r w:rsidR="00EA6034" w:rsidRPr="00EA6034">
        <w:rPr>
          <w:b/>
          <w:szCs w:val="24"/>
        </w:rPr>
        <w:t>MAQP</w:t>
      </w:r>
      <w:r w:rsidRPr="00EA6034">
        <w:rPr>
          <w:b/>
          <w:szCs w:val="24"/>
        </w:rPr>
        <w:t xml:space="preserve"> #2619-19</w:t>
      </w:r>
      <w:r w:rsidRPr="00C7419B">
        <w:rPr>
          <w:b/>
          <w:szCs w:val="24"/>
        </w:rPr>
        <w:t xml:space="preserve"> </w:t>
      </w:r>
      <w:r w:rsidRPr="00C7419B">
        <w:rPr>
          <w:szCs w:val="24"/>
        </w:rPr>
        <w:t xml:space="preserve">replaced </w:t>
      </w:r>
      <w:r w:rsidR="00EA6034">
        <w:rPr>
          <w:szCs w:val="24"/>
        </w:rPr>
        <w:t>MAQP</w:t>
      </w:r>
      <w:r w:rsidRPr="00C7419B">
        <w:rPr>
          <w:szCs w:val="24"/>
        </w:rPr>
        <w:t xml:space="preserve"> #2619-18.</w:t>
      </w:r>
      <w:r w:rsidR="001C6D19" w:rsidRPr="00C7419B">
        <w:rPr>
          <w:szCs w:val="24"/>
        </w:rPr>
        <w:t xml:space="preserve">  </w:t>
      </w:r>
    </w:p>
    <w:p w14:paraId="18C22D0F" w14:textId="77777777" w:rsidR="001C6D19" w:rsidRPr="00C7419B" w:rsidRDefault="001C6D19" w:rsidP="00595B3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110CA7DF" w14:textId="0F9FF718" w:rsidR="0074420E" w:rsidRPr="00C7419B" w:rsidRDefault="0074420E" w:rsidP="00B302C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June 15, 2004, </w:t>
      </w:r>
      <w:r w:rsidR="00F54677" w:rsidRPr="00C7419B">
        <w:rPr>
          <w:szCs w:val="24"/>
        </w:rPr>
        <w:t>DEQ</w:t>
      </w:r>
      <w:r w:rsidRPr="00C7419B">
        <w:rPr>
          <w:szCs w:val="24"/>
        </w:rPr>
        <w:t xml:space="preserve"> received an Administrative Amendment request from ConocoPhillips to modify </w:t>
      </w:r>
      <w:r w:rsidR="00EA6034">
        <w:rPr>
          <w:szCs w:val="24"/>
        </w:rPr>
        <w:t>MAQP</w:t>
      </w:r>
      <w:r w:rsidRPr="00C7419B">
        <w:rPr>
          <w:szCs w:val="24"/>
        </w:rPr>
        <w:t xml:space="preserve"> #2619-19 to correct the averaging time for equipment subject to the 0.073 gr/</w:t>
      </w:r>
      <w:proofErr w:type="spellStart"/>
      <w:r w:rsidRPr="00C7419B">
        <w:rPr>
          <w:szCs w:val="24"/>
        </w:rPr>
        <w:t>dscf</w:t>
      </w:r>
      <w:proofErr w:type="spellEnd"/>
      <w:r w:rsidRPr="00C7419B">
        <w:rPr>
          <w:szCs w:val="24"/>
        </w:rPr>
        <w:t xml:space="preserve"> H</w:t>
      </w:r>
      <w:r w:rsidRPr="00C7419B">
        <w:rPr>
          <w:szCs w:val="24"/>
          <w:vertAlign w:val="subscript"/>
        </w:rPr>
        <w:t>2</w:t>
      </w:r>
      <w:r w:rsidRPr="00C7419B">
        <w:rPr>
          <w:szCs w:val="24"/>
        </w:rPr>
        <w:t xml:space="preserve">S content of fuel gas burned limit.  The averaging time was corrected from a rolling 3-hour </w:t>
      </w:r>
      <w:r w:rsidR="00800859" w:rsidRPr="00C7419B">
        <w:rPr>
          <w:szCs w:val="24"/>
        </w:rPr>
        <w:t>period</w:t>
      </w:r>
      <w:r w:rsidRPr="00C7419B">
        <w:rPr>
          <w:szCs w:val="24"/>
        </w:rPr>
        <w:t xml:space="preserve"> to a rolling 12-month period.  The heaters subject to the 0.073 gr/</w:t>
      </w:r>
      <w:proofErr w:type="spellStart"/>
      <w:r w:rsidRPr="00C7419B">
        <w:rPr>
          <w:szCs w:val="24"/>
        </w:rPr>
        <w:t>dscf</w:t>
      </w:r>
      <w:proofErr w:type="spellEnd"/>
      <w:r w:rsidRPr="00C7419B">
        <w:rPr>
          <w:szCs w:val="24"/>
        </w:rPr>
        <w:t xml:space="preserve"> limit per rolling 12-month </w:t>
      </w:r>
      <w:r w:rsidR="00800859" w:rsidRPr="00C7419B">
        <w:rPr>
          <w:szCs w:val="24"/>
        </w:rPr>
        <w:t>period</w:t>
      </w:r>
      <w:r w:rsidRPr="00C7419B">
        <w:rPr>
          <w:szCs w:val="24"/>
        </w:rPr>
        <w:t xml:space="preserve"> are subject to the Standards of Performance for NSPS, Subpart J limit of 0.10 gr/</w:t>
      </w:r>
      <w:proofErr w:type="spellStart"/>
      <w:r w:rsidRPr="00C7419B">
        <w:rPr>
          <w:szCs w:val="24"/>
        </w:rPr>
        <w:t>dscf</w:t>
      </w:r>
      <w:proofErr w:type="spellEnd"/>
      <w:r w:rsidRPr="00C7419B">
        <w:rPr>
          <w:szCs w:val="24"/>
        </w:rPr>
        <w:t xml:space="preserve"> per rolling 3-hour period.  </w:t>
      </w:r>
      <w:r w:rsidR="00EA6034">
        <w:rPr>
          <w:b/>
          <w:szCs w:val="24"/>
        </w:rPr>
        <w:t>MAQP</w:t>
      </w:r>
      <w:r w:rsidRPr="00C7419B">
        <w:rPr>
          <w:b/>
          <w:szCs w:val="24"/>
        </w:rPr>
        <w:t xml:space="preserve"> #2619-20 </w:t>
      </w:r>
      <w:r w:rsidRPr="00C7419B">
        <w:rPr>
          <w:szCs w:val="24"/>
        </w:rPr>
        <w:t xml:space="preserve">replaced </w:t>
      </w:r>
      <w:r w:rsidR="00EA6034">
        <w:rPr>
          <w:szCs w:val="24"/>
        </w:rPr>
        <w:t>MAQP</w:t>
      </w:r>
      <w:r w:rsidRPr="00C7419B">
        <w:rPr>
          <w:szCs w:val="24"/>
        </w:rPr>
        <w:t xml:space="preserve"> #2619-19.</w:t>
      </w:r>
    </w:p>
    <w:p w14:paraId="2D90DAA6"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50412EA" w14:textId="77777777" w:rsidR="00AB7E07"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March 15, 2005, </w:t>
      </w:r>
      <w:r w:rsidR="00F54677" w:rsidRPr="00C7419B">
        <w:rPr>
          <w:szCs w:val="24"/>
        </w:rPr>
        <w:t>DEQ</w:t>
      </w:r>
      <w:r w:rsidRPr="00C7419B">
        <w:rPr>
          <w:szCs w:val="24"/>
        </w:rPr>
        <w:t xml:space="preserve"> received a complete MAQP Application from ConocoPhillips to modify </w:t>
      </w:r>
      <w:r w:rsidR="00EA6034">
        <w:rPr>
          <w:szCs w:val="24"/>
        </w:rPr>
        <w:t>MAQP</w:t>
      </w:r>
      <w:r w:rsidRPr="00C7419B">
        <w:rPr>
          <w:szCs w:val="24"/>
        </w:rPr>
        <w:t xml:space="preserve"> #2619-20 to update the HDS Unit (No.5), sour water stripper (No.3 SWS), and H</w:t>
      </w:r>
      <w:r w:rsidRPr="00C7419B">
        <w:rPr>
          <w:szCs w:val="24"/>
          <w:vertAlign w:val="subscript"/>
        </w:rPr>
        <w:t>2</w:t>
      </w:r>
      <w:r w:rsidRPr="00C7419B">
        <w:rPr>
          <w:szCs w:val="24"/>
        </w:rPr>
        <w:t xml:space="preserve"> Unit added in ULSD </w:t>
      </w:r>
      <w:r w:rsidR="00EA6034">
        <w:rPr>
          <w:szCs w:val="24"/>
        </w:rPr>
        <w:t>MAQP</w:t>
      </w:r>
      <w:r w:rsidRPr="00C7419B">
        <w:rPr>
          <w:szCs w:val="24"/>
        </w:rPr>
        <w:t xml:space="preserve"> Modification #2619-19.  </w:t>
      </w:r>
    </w:p>
    <w:p w14:paraId="2920D478" w14:textId="11B34253"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lastRenderedPageBreak/>
        <w:t xml:space="preserve">Due to the final project design and vendor specifications, and further review of the EPA compiled emission factor data, the facility’s emission generating activities, and </w:t>
      </w:r>
      <w:r w:rsidR="00EA6034">
        <w:rPr>
          <w:szCs w:val="24"/>
        </w:rPr>
        <w:t>MAQP</w:t>
      </w:r>
      <w:r w:rsidRPr="00C7419B">
        <w:rPr>
          <w:szCs w:val="24"/>
        </w:rPr>
        <w:t xml:space="preserve"> #2619-19, ConocoPhillips proposed the following changes:</w:t>
      </w:r>
    </w:p>
    <w:p w14:paraId="6B83C1FA" w14:textId="77777777" w:rsidR="0074420E" w:rsidRPr="00C7419B" w:rsidRDefault="0074420E" w:rsidP="0074420E">
      <w:pPr>
        <w:pStyle w:val="Footnote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8B5917A" w14:textId="77777777" w:rsidR="0074420E" w:rsidRPr="00C7419B" w:rsidRDefault="0074420E" w:rsidP="00686015">
      <w:pPr>
        <w:pStyle w:val="FootnoteText"/>
        <w:widowControl/>
        <w:numPr>
          <w:ilvl w:val="0"/>
          <w:numId w:val="25"/>
        </w:numPr>
        <w:tabs>
          <w:tab w:val="clear" w:pos="216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Deaerator Vent (44) at the No.2 H</w:t>
      </w:r>
      <w:r w:rsidRPr="00C7419B">
        <w:rPr>
          <w:rFonts w:ascii="Garamond" w:hAnsi="Garamond"/>
          <w:szCs w:val="24"/>
          <w:vertAlign w:val="subscript"/>
        </w:rPr>
        <w:t>2</w:t>
      </w:r>
      <w:r w:rsidRPr="00C7419B">
        <w:rPr>
          <w:rFonts w:ascii="Garamond" w:hAnsi="Garamond"/>
          <w:szCs w:val="24"/>
        </w:rPr>
        <w:t xml:space="preserve"> Unit is to be </w:t>
      </w:r>
      <w:proofErr w:type="gramStart"/>
      <w:r w:rsidRPr="00C7419B">
        <w:rPr>
          <w:rFonts w:ascii="Garamond" w:hAnsi="Garamond"/>
          <w:szCs w:val="24"/>
        </w:rPr>
        <w:t>deleted;</w:t>
      </w:r>
      <w:proofErr w:type="gramEnd"/>
    </w:p>
    <w:p w14:paraId="289AC053"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53D1032C"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No.2 H</w:t>
      </w:r>
      <w:r w:rsidRPr="00C7419B">
        <w:rPr>
          <w:rFonts w:ascii="Garamond" w:hAnsi="Garamond"/>
          <w:szCs w:val="24"/>
          <w:vertAlign w:val="subscript"/>
        </w:rPr>
        <w:t>2</w:t>
      </w:r>
      <w:r w:rsidRPr="00C7419B">
        <w:rPr>
          <w:rFonts w:ascii="Garamond" w:hAnsi="Garamond"/>
          <w:szCs w:val="24"/>
        </w:rPr>
        <w:t xml:space="preserve"> Unit PSA Off-gas Vent (45) is to be </w:t>
      </w:r>
      <w:proofErr w:type="gramStart"/>
      <w:r w:rsidRPr="00C7419B">
        <w:rPr>
          <w:rFonts w:ascii="Garamond" w:hAnsi="Garamond"/>
          <w:szCs w:val="24"/>
        </w:rPr>
        <w:t>added;</w:t>
      </w:r>
      <w:proofErr w:type="gramEnd"/>
    </w:p>
    <w:p w14:paraId="147392B8"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0D04741"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 xml:space="preserve">CO emission factors for the three new heaters to be changed from AP-42 Section 1.4 (October 1996) to vendor guaranteed emission </w:t>
      </w:r>
      <w:proofErr w:type="gramStart"/>
      <w:r w:rsidRPr="00C7419B">
        <w:rPr>
          <w:rFonts w:ascii="Garamond" w:hAnsi="Garamond"/>
          <w:szCs w:val="24"/>
        </w:rPr>
        <w:t>factors;</w:t>
      </w:r>
      <w:proofErr w:type="gramEnd"/>
    </w:p>
    <w:p w14:paraId="414A5B1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C961A7C"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Particulate matter with an aerodynamic diameter of 10 microns or less (PM</w:t>
      </w:r>
      <w:r w:rsidRPr="00C7419B">
        <w:rPr>
          <w:rFonts w:ascii="Garamond" w:hAnsi="Garamond"/>
          <w:szCs w:val="24"/>
          <w:vertAlign w:val="subscript"/>
        </w:rPr>
        <w:t>10</w:t>
      </w:r>
      <w:r w:rsidRPr="00C7419B">
        <w:rPr>
          <w:rFonts w:ascii="Garamond" w:hAnsi="Garamond"/>
          <w:szCs w:val="24"/>
        </w:rPr>
        <w:t>) exhaust emission factors for the combustion of PSA vent gas in the No.1 H</w:t>
      </w:r>
      <w:r w:rsidRPr="00C7419B">
        <w:rPr>
          <w:rFonts w:ascii="Garamond" w:hAnsi="Garamond"/>
          <w:szCs w:val="24"/>
          <w:vertAlign w:val="subscript"/>
        </w:rPr>
        <w:t>2</w:t>
      </w:r>
      <w:r w:rsidRPr="00C7419B">
        <w:rPr>
          <w:rFonts w:ascii="Garamond" w:hAnsi="Garamond"/>
          <w:szCs w:val="24"/>
        </w:rPr>
        <w:t xml:space="preserve"> Heater and the No.2 H</w:t>
      </w:r>
      <w:r w:rsidRPr="00C7419B">
        <w:rPr>
          <w:rFonts w:ascii="Garamond" w:hAnsi="Garamond"/>
          <w:szCs w:val="24"/>
          <w:vertAlign w:val="subscript"/>
        </w:rPr>
        <w:t>2</w:t>
      </w:r>
      <w:r w:rsidRPr="00C7419B">
        <w:rPr>
          <w:rFonts w:ascii="Garamond" w:hAnsi="Garamond"/>
          <w:szCs w:val="24"/>
        </w:rPr>
        <w:t xml:space="preserve"> Reformer Heater to be changed from AFSCF, EPA 450/4-90-003 p.23 to AP-42, Section 1.4 (July 1998</w:t>
      </w:r>
      <w:proofErr w:type="gramStart"/>
      <w:r w:rsidRPr="00C7419B">
        <w:rPr>
          <w:rFonts w:ascii="Garamond" w:hAnsi="Garamond"/>
          <w:szCs w:val="24"/>
        </w:rPr>
        <w:t>);</w:t>
      </w:r>
      <w:proofErr w:type="gramEnd"/>
    </w:p>
    <w:p w14:paraId="0582F4A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0BF11400"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dimensions, secondary rim seal, and specific deck fittings data for the No.5 HDS Feed Tank to be updated.  The tank is proposed to store material with a maximum true vapor pressure of 11.1 pounds per square inch at atmosphere (psia).</w:t>
      </w:r>
    </w:p>
    <w:p w14:paraId="3A98E93D"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1738AD91"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Specific deck fittings for existing Tank-110 to be revised.  The tank is proposed to store material with a maximum true vapor pressure of 11.1 psia.</w:t>
      </w:r>
    </w:p>
    <w:p w14:paraId="7467566F"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B6BDA75" w14:textId="0A82E25B"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existing No.1 H</w:t>
      </w:r>
      <w:r w:rsidRPr="00C7419B">
        <w:rPr>
          <w:rFonts w:ascii="Garamond" w:hAnsi="Garamond"/>
          <w:szCs w:val="24"/>
          <w:vertAlign w:val="subscript"/>
        </w:rPr>
        <w:t>2</w:t>
      </w:r>
      <w:r w:rsidRPr="00C7419B">
        <w:rPr>
          <w:rFonts w:ascii="Garamond" w:hAnsi="Garamond"/>
          <w:szCs w:val="24"/>
        </w:rPr>
        <w:t xml:space="preserve"> Unit PSA Off-gas Vent (46) to be added to the permit.  This unit is not affected by the ULSD </w:t>
      </w:r>
      <w:r w:rsidR="0085697B" w:rsidRPr="00C7419B">
        <w:rPr>
          <w:rFonts w:ascii="Garamond" w:hAnsi="Garamond"/>
          <w:szCs w:val="24"/>
        </w:rPr>
        <w:t>project but</w:t>
      </w:r>
      <w:r w:rsidRPr="00C7419B">
        <w:rPr>
          <w:rFonts w:ascii="Garamond" w:hAnsi="Garamond"/>
          <w:szCs w:val="24"/>
        </w:rPr>
        <w:t xml:space="preserve"> is included with this submittal as a reconciliation issue.</w:t>
      </w:r>
    </w:p>
    <w:p w14:paraId="33A8975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C2C077"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NO</w:t>
      </w:r>
      <w:r w:rsidRPr="00C7419B">
        <w:rPr>
          <w:rFonts w:ascii="Garamond" w:hAnsi="Garamond"/>
          <w:szCs w:val="24"/>
          <w:vertAlign w:val="subscript"/>
        </w:rPr>
        <w:t>X</w:t>
      </w:r>
      <w:r w:rsidRPr="00C7419B">
        <w:rPr>
          <w:rFonts w:ascii="Garamond" w:hAnsi="Garamond"/>
          <w:szCs w:val="24"/>
        </w:rPr>
        <w:t xml:space="preserve"> emissions limitations cited for each of the three new ULSD Project heaters are requested to be clarified as “per rolling 12-month time period.”</w:t>
      </w:r>
    </w:p>
    <w:p w14:paraId="7B5E899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4D1696D"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CO emissions limitations cited for each of the three new ULSD Project heaters be replaced and cited with the appropriate updated values and associated averaging periods.</w:t>
      </w:r>
    </w:p>
    <w:p w14:paraId="20C6794E"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9285ECE"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nomenclature for Boilers B-7 and B-8 be changed to new B-5 and new B-6 respectively.</w:t>
      </w:r>
    </w:p>
    <w:p w14:paraId="1CC9EAE4"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944EF98" w14:textId="77777777" w:rsidR="0074420E" w:rsidRPr="00C7419B" w:rsidRDefault="0074420E" w:rsidP="00686015">
      <w:pPr>
        <w:pStyle w:val="FootnoteText"/>
        <w:widowControl/>
        <w:numPr>
          <w:ilvl w:val="0"/>
          <w:numId w:val="25"/>
        </w:numPr>
        <w:tabs>
          <w:tab w:val="clear"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In accordance with Paragraph 54 of the Consent Decree the FCC UNIT became subject to the SO</w:t>
      </w:r>
      <w:r w:rsidRPr="00C7419B">
        <w:rPr>
          <w:rFonts w:ascii="Garamond" w:hAnsi="Garamond"/>
          <w:szCs w:val="24"/>
          <w:vertAlign w:val="subscript"/>
        </w:rPr>
        <w:t>2</w:t>
      </w:r>
      <w:r w:rsidRPr="00C7419B">
        <w:rPr>
          <w:rFonts w:ascii="Garamond" w:hAnsi="Garamond"/>
          <w:szCs w:val="24"/>
        </w:rPr>
        <w:t xml:space="preserve"> portions of 40 CFR 60, Subpart J on February 1, 2005.</w:t>
      </w:r>
    </w:p>
    <w:p w14:paraId="34A847A0"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D0A1D0"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40 CFR 63, Subpart DDDDD (National Emission Standards for Hazardous Air Pollutants for Industrial, Commercial, and Institutional Boilers and Process Heaters) has been finalized.  The regulatory applicability analysis has been updated for the three new heaters.</w:t>
      </w:r>
    </w:p>
    <w:p w14:paraId="7CDC767C" w14:textId="77777777" w:rsidR="0074420E" w:rsidRPr="00C7419B" w:rsidRDefault="0074420E" w:rsidP="002A69F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30BA6FA7" w14:textId="2EC4EF28" w:rsidR="0074420E" w:rsidRPr="00C7419B" w:rsidRDefault="00EA6034"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Pr>
          <w:b/>
          <w:szCs w:val="24"/>
        </w:rPr>
        <w:t>MAQP</w:t>
      </w:r>
      <w:r w:rsidR="0074420E" w:rsidRPr="00C7419B">
        <w:rPr>
          <w:b/>
          <w:szCs w:val="24"/>
        </w:rPr>
        <w:t xml:space="preserve"> #2619-21 </w:t>
      </w:r>
      <w:r w:rsidR="0074420E" w:rsidRPr="00C7419B">
        <w:rPr>
          <w:szCs w:val="24"/>
        </w:rPr>
        <w:t xml:space="preserve">replaced </w:t>
      </w:r>
      <w:r>
        <w:rPr>
          <w:szCs w:val="24"/>
        </w:rPr>
        <w:t>MAQP</w:t>
      </w:r>
      <w:r w:rsidR="0074420E" w:rsidRPr="00C7419B">
        <w:rPr>
          <w:szCs w:val="24"/>
        </w:rPr>
        <w:t xml:space="preserve"> #2619-20.</w:t>
      </w:r>
    </w:p>
    <w:p w14:paraId="795CCB0D" w14:textId="77777777" w:rsidR="00A30555" w:rsidRPr="00C7419B" w:rsidRDefault="00A30555"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4EDE4F3E" w14:textId="370FB680"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January 15, 2007, </w:t>
      </w:r>
      <w:r w:rsidR="00F54677" w:rsidRPr="00C7419B">
        <w:rPr>
          <w:szCs w:val="24"/>
        </w:rPr>
        <w:t>DEQ</w:t>
      </w:r>
      <w:r w:rsidRPr="00C7419B">
        <w:rPr>
          <w:szCs w:val="24"/>
        </w:rPr>
        <w:t xml:space="preserve"> received a complete application which included the request to incorporate the following permit conditions, which were requested in separate letters:</w:t>
      </w:r>
    </w:p>
    <w:p w14:paraId="4192DC28"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3A14D42E" w14:textId="77777777"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Refinery Main Plant Relief Flare – to clarify that the flare is subject to 40 CFR 60, Subparts A and J (as requested September 28, 2004</w:t>
      </w:r>
      <w:proofErr w:type="gramStart"/>
      <w:r w:rsidRPr="00C7419B">
        <w:rPr>
          <w:rFonts w:ascii="Garamond" w:hAnsi="Garamond"/>
          <w:szCs w:val="24"/>
        </w:rPr>
        <w:t>);</w:t>
      </w:r>
      <w:proofErr w:type="gramEnd"/>
    </w:p>
    <w:p w14:paraId="4C1CC6E5"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07072566" w14:textId="266D42DB"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lastRenderedPageBreak/>
        <w:t>FCC – to clarify that the FCC is subject to CO and SO</w:t>
      </w:r>
      <w:r w:rsidRPr="00C7419B">
        <w:rPr>
          <w:rFonts w:ascii="Garamond" w:hAnsi="Garamond"/>
          <w:szCs w:val="24"/>
          <w:vertAlign w:val="subscript"/>
        </w:rPr>
        <w:t>2</w:t>
      </w:r>
      <w:r w:rsidRPr="00C7419B">
        <w:rPr>
          <w:rFonts w:ascii="Garamond" w:hAnsi="Garamond"/>
          <w:szCs w:val="24"/>
        </w:rPr>
        <w:t xml:space="preserve"> portions of Subpart J (requested September 26, 2003, and February 8, 2005, respectively, and partly addressed in </w:t>
      </w:r>
      <w:r w:rsidR="00EA6034">
        <w:rPr>
          <w:rFonts w:ascii="Garamond" w:hAnsi="Garamond"/>
          <w:szCs w:val="24"/>
        </w:rPr>
        <w:t>MAQP</w:t>
      </w:r>
      <w:r w:rsidRPr="00C7419B">
        <w:rPr>
          <w:rFonts w:ascii="Garamond" w:hAnsi="Garamond"/>
          <w:szCs w:val="24"/>
        </w:rPr>
        <w:t xml:space="preserve"> #2619-21</w:t>
      </w:r>
      <w:proofErr w:type="gramStart"/>
      <w:r w:rsidRPr="00C7419B">
        <w:rPr>
          <w:rFonts w:ascii="Garamond" w:hAnsi="Garamond"/>
          <w:szCs w:val="24"/>
        </w:rPr>
        <w:t>);</w:t>
      </w:r>
      <w:proofErr w:type="gramEnd"/>
    </w:p>
    <w:p w14:paraId="3832643D"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03C5C1E" w14:textId="77777777" w:rsidR="0074420E" w:rsidRPr="00C7419B" w:rsidRDefault="00EE1BA7"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 xml:space="preserve">FCC – </w:t>
      </w:r>
      <w:r w:rsidR="0074420E" w:rsidRPr="00C7419B">
        <w:rPr>
          <w:rFonts w:ascii="Garamond" w:hAnsi="Garamond"/>
          <w:szCs w:val="24"/>
        </w:rPr>
        <w:t>to clarify that the FCC was subject to an SO</w:t>
      </w:r>
      <w:r w:rsidR="0074420E" w:rsidRPr="00C7419B">
        <w:rPr>
          <w:rFonts w:ascii="Garamond" w:hAnsi="Garamond"/>
          <w:szCs w:val="24"/>
          <w:vertAlign w:val="subscript"/>
        </w:rPr>
        <w:t>2</w:t>
      </w:r>
      <w:r w:rsidR="0074420E" w:rsidRPr="00C7419B">
        <w:rPr>
          <w:rFonts w:ascii="Garamond" w:hAnsi="Garamond"/>
          <w:szCs w:val="24"/>
        </w:rPr>
        <w:t xml:space="preserve"> emission limit of 25 parts per million, on a volume, dry basis (</w:t>
      </w:r>
      <w:proofErr w:type="spellStart"/>
      <w:r w:rsidR="0074420E" w:rsidRPr="00C7419B">
        <w:rPr>
          <w:rFonts w:ascii="Garamond" w:hAnsi="Garamond"/>
          <w:szCs w:val="24"/>
        </w:rPr>
        <w:t>ppmvd</w:t>
      </w:r>
      <w:proofErr w:type="spellEnd"/>
      <w:r w:rsidR="0074420E" w:rsidRPr="00C7419B">
        <w:rPr>
          <w:rFonts w:ascii="Garamond" w:hAnsi="Garamond"/>
          <w:szCs w:val="24"/>
        </w:rPr>
        <w:t>), corrected to 0% oxygen (O</w:t>
      </w:r>
      <w:r w:rsidR="0074420E" w:rsidRPr="00C7419B">
        <w:rPr>
          <w:rFonts w:ascii="Garamond" w:hAnsi="Garamond"/>
          <w:szCs w:val="24"/>
          <w:vertAlign w:val="subscript"/>
        </w:rPr>
        <w:t>2</w:t>
      </w:r>
      <w:r w:rsidR="0074420E" w:rsidRPr="00C7419B">
        <w:rPr>
          <w:rFonts w:ascii="Garamond" w:hAnsi="Garamond"/>
          <w:szCs w:val="24"/>
        </w:rPr>
        <w:t>), on a rolling 365-day basis, and subject to an SO</w:t>
      </w:r>
      <w:r w:rsidR="0074420E" w:rsidRPr="00C7419B">
        <w:rPr>
          <w:rFonts w:ascii="Garamond" w:hAnsi="Garamond"/>
          <w:szCs w:val="24"/>
          <w:vertAlign w:val="subscript"/>
        </w:rPr>
        <w:t>2</w:t>
      </w:r>
      <w:r w:rsidR="0074420E" w:rsidRPr="00C7419B">
        <w:rPr>
          <w:rFonts w:ascii="Garamond" w:hAnsi="Garamond"/>
          <w:szCs w:val="24"/>
        </w:rPr>
        <w:t xml:space="preserve"> emission limit of 50 </w:t>
      </w:r>
      <w:proofErr w:type="spellStart"/>
      <w:r w:rsidR="0074420E" w:rsidRPr="00C7419B">
        <w:rPr>
          <w:rFonts w:ascii="Garamond" w:hAnsi="Garamond"/>
          <w:szCs w:val="24"/>
        </w:rPr>
        <w:t>ppmvd</w:t>
      </w:r>
      <w:proofErr w:type="spellEnd"/>
      <w:r w:rsidR="0074420E" w:rsidRPr="00C7419B">
        <w:rPr>
          <w:rFonts w:ascii="Garamond" w:hAnsi="Garamond"/>
          <w:szCs w:val="24"/>
        </w:rPr>
        <w:t>, corrected to 0% O</w:t>
      </w:r>
      <w:r w:rsidR="0074420E" w:rsidRPr="00C7419B">
        <w:rPr>
          <w:rFonts w:ascii="Garamond" w:hAnsi="Garamond"/>
          <w:szCs w:val="24"/>
          <w:vertAlign w:val="subscript"/>
        </w:rPr>
        <w:t>2</w:t>
      </w:r>
      <w:r w:rsidR="0074420E" w:rsidRPr="00C7419B">
        <w:rPr>
          <w:rFonts w:ascii="Garamond" w:hAnsi="Garamond"/>
          <w:szCs w:val="24"/>
        </w:rPr>
        <w:t>, on a rolling 7-day basis, and clarify the 7-day SO</w:t>
      </w:r>
      <w:r w:rsidR="0074420E" w:rsidRPr="00C7419B">
        <w:rPr>
          <w:rFonts w:ascii="Garamond" w:hAnsi="Garamond"/>
          <w:szCs w:val="24"/>
          <w:vertAlign w:val="subscript"/>
        </w:rPr>
        <w:t>2</w:t>
      </w:r>
      <w:r w:rsidR="0074420E" w:rsidRPr="00C7419B">
        <w:rPr>
          <w:rFonts w:ascii="Garamond" w:hAnsi="Garamond"/>
          <w:szCs w:val="24"/>
        </w:rPr>
        <w:t xml:space="preserve"> 50 </w:t>
      </w:r>
      <w:proofErr w:type="spellStart"/>
      <w:r w:rsidR="0074420E" w:rsidRPr="00C7419B">
        <w:rPr>
          <w:rFonts w:ascii="Garamond" w:hAnsi="Garamond"/>
          <w:szCs w:val="24"/>
        </w:rPr>
        <w:t>ppmvd</w:t>
      </w:r>
      <w:proofErr w:type="spellEnd"/>
      <w:r w:rsidR="0074420E" w:rsidRPr="00C7419B">
        <w:rPr>
          <w:rFonts w:ascii="Garamond" w:hAnsi="Garamond"/>
          <w:szCs w:val="24"/>
        </w:rPr>
        <w:t xml:space="preserve"> emission limit established for the FCC Unit shall not apply during periods of hydrotreater outages (requested February 1, 2006); and</w:t>
      </w:r>
    </w:p>
    <w:p w14:paraId="26A6AA3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2DCC61D" w14:textId="77777777"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Temporary Boiler Installation – to allow the installation and operation, for up to 8 weeks per year, of a temporary natural gas-fired boiler not to exceed 51 MMBtu/</w:t>
      </w:r>
      <w:proofErr w:type="spellStart"/>
      <w:r w:rsidRPr="00C7419B">
        <w:rPr>
          <w:rFonts w:ascii="Garamond" w:hAnsi="Garamond"/>
          <w:szCs w:val="24"/>
        </w:rPr>
        <w:t>hr</w:t>
      </w:r>
      <w:proofErr w:type="spellEnd"/>
      <w:r w:rsidRPr="00C7419B">
        <w:rPr>
          <w:rFonts w:ascii="Garamond" w:hAnsi="Garamond"/>
          <w:szCs w:val="24"/>
        </w:rPr>
        <w:t>, as requested January 4, 2007.</w:t>
      </w:r>
    </w:p>
    <w:p w14:paraId="4AA92F5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578ABAAE" w14:textId="54EAE9C8"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The permit was also updated to reflect the current style that </w:t>
      </w:r>
      <w:r w:rsidR="00F54677" w:rsidRPr="00C7419B">
        <w:rPr>
          <w:szCs w:val="24"/>
        </w:rPr>
        <w:t>DEQ</w:t>
      </w:r>
      <w:r w:rsidRPr="00C7419B">
        <w:rPr>
          <w:szCs w:val="24"/>
        </w:rPr>
        <w:t xml:space="preserve"> issues permits.  </w:t>
      </w:r>
      <w:r w:rsidR="00EA6034">
        <w:rPr>
          <w:b/>
          <w:szCs w:val="24"/>
        </w:rPr>
        <w:t>MAQP</w:t>
      </w:r>
      <w:r w:rsidRPr="00C7419B">
        <w:rPr>
          <w:b/>
          <w:szCs w:val="24"/>
        </w:rPr>
        <w:t xml:space="preserve"> </w:t>
      </w:r>
      <w:r w:rsidRPr="00C7419B">
        <w:rPr>
          <w:szCs w:val="24"/>
        </w:rPr>
        <w:t>#</w:t>
      </w:r>
      <w:r w:rsidRPr="00C7419B">
        <w:rPr>
          <w:b/>
          <w:szCs w:val="24"/>
        </w:rPr>
        <w:t>2619-22</w:t>
      </w:r>
      <w:r w:rsidRPr="00C7419B">
        <w:rPr>
          <w:szCs w:val="24"/>
        </w:rPr>
        <w:t xml:space="preserve"> replaced </w:t>
      </w:r>
      <w:r w:rsidR="00EA6034">
        <w:rPr>
          <w:szCs w:val="24"/>
        </w:rPr>
        <w:t>MAQP</w:t>
      </w:r>
      <w:r w:rsidRPr="00C7419B">
        <w:rPr>
          <w:szCs w:val="24"/>
        </w:rPr>
        <w:t xml:space="preserve"> #2619-21.</w:t>
      </w:r>
    </w:p>
    <w:p w14:paraId="00289263"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F848608" w14:textId="73EC94C5" w:rsidR="0074420E" w:rsidRPr="00C7419B" w:rsidRDefault="00F54677" w:rsidP="0074420E">
      <w:pPr>
        <w:ind w:left="36"/>
        <w:rPr>
          <w:szCs w:val="24"/>
        </w:rPr>
      </w:pPr>
      <w:r w:rsidRPr="00C7419B">
        <w:rPr>
          <w:szCs w:val="24"/>
        </w:rPr>
        <w:t>DEQ</w:t>
      </w:r>
      <w:r w:rsidR="0074420E" w:rsidRPr="00C7419B">
        <w:rPr>
          <w:szCs w:val="24"/>
        </w:rPr>
        <w:t xml:space="preserve"> has received two requests from ConocoPhillips for modifications to the permit in conformance with requirements contained in their consent decree (Civil Action #H-01-4430):</w:t>
      </w:r>
    </w:p>
    <w:p w14:paraId="0A169EE1" w14:textId="77777777" w:rsidR="0074420E" w:rsidRPr="00C7419B" w:rsidRDefault="0074420E" w:rsidP="00E133F9">
      <w:pPr>
        <w:pStyle w:val="FootnoteText"/>
        <w:widowControl/>
        <w:tabs>
          <w:tab w:val="left" w:pos="720"/>
          <w:tab w:val="left" w:pos="1530"/>
          <w:tab w:val="right" w:pos="198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0D9C18E" w14:textId="77777777" w:rsidR="0074420E" w:rsidRPr="00C7419B" w:rsidRDefault="0074420E" w:rsidP="00686015">
      <w:pPr>
        <w:widowControl w:val="0"/>
        <w:numPr>
          <w:ilvl w:val="0"/>
          <w:numId w:val="27"/>
        </w:numPr>
        <w:tabs>
          <w:tab w:val="clear" w:pos="2448"/>
        </w:tabs>
        <w:ind w:left="360" w:hanging="360"/>
        <w:rPr>
          <w:szCs w:val="24"/>
        </w:rPr>
      </w:pPr>
      <w:r w:rsidRPr="00C7419B">
        <w:rPr>
          <w:szCs w:val="24"/>
        </w:rPr>
        <w:t>5/31/07 – request to clarify that the Jupiter Sulfur Plant Flare (Jupiter Flare) is subject to 40 CFR 60, Subparts A and J; and</w:t>
      </w:r>
    </w:p>
    <w:p w14:paraId="5CE337AE" w14:textId="77777777" w:rsidR="0074420E" w:rsidRPr="00C7419B" w:rsidRDefault="0074420E" w:rsidP="00DD060F">
      <w:pPr>
        <w:widowControl w:val="0"/>
        <w:rPr>
          <w:szCs w:val="24"/>
        </w:rPr>
      </w:pPr>
    </w:p>
    <w:p w14:paraId="13DBF8E9" w14:textId="77777777" w:rsidR="0074420E" w:rsidRPr="00C7419B" w:rsidRDefault="0074420E" w:rsidP="00686015">
      <w:pPr>
        <w:widowControl w:val="0"/>
        <w:numPr>
          <w:ilvl w:val="0"/>
          <w:numId w:val="27"/>
        </w:numPr>
        <w:tabs>
          <w:tab w:val="clear" w:pos="2448"/>
        </w:tabs>
        <w:ind w:left="360" w:hanging="360"/>
        <w:rPr>
          <w:szCs w:val="24"/>
        </w:rPr>
      </w:pPr>
      <w:r w:rsidRPr="00C7419B">
        <w:rPr>
          <w:szCs w:val="24"/>
        </w:rPr>
        <w:t xml:space="preserve">8/29/07 – request to clarify that the Fluid Catalytic Cracking (FCC) Unit is subject to a Particulate Matter (PM) emission limit of 1 </w:t>
      </w:r>
      <w:proofErr w:type="spellStart"/>
      <w:r w:rsidRPr="00C7419B">
        <w:rPr>
          <w:szCs w:val="24"/>
        </w:rPr>
        <w:t>lb</w:t>
      </w:r>
      <w:proofErr w:type="spellEnd"/>
      <w:r w:rsidRPr="00C7419B">
        <w:rPr>
          <w:szCs w:val="24"/>
        </w:rPr>
        <w:t xml:space="preserve"> per 1000 </w:t>
      </w:r>
      <w:proofErr w:type="spellStart"/>
      <w:r w:rsidRPr="00C7419B">
        <w:rPr>
          <w:szCs w:val="24"/>
        </w:rPr>
        <w:t>lb</w:t>
      </w:r>
      <w:proofErr w:type="spellEnd"/>
      <w:r w:rsidRPr="00C7419B">
        <w:rPr>
          <w:szCs w:val="24"/>
        </w:rPr>
        <w:t xml:space="preserve"> of coke burned, and that it is an affected facility subject to 40 CFR 60, Subparts A and J, including the 30% opacity limitation.  The requirement to maintain less than 20% opacity was then removed, since the FCC Unit became subject to the 30% Subpart J opacity limit which supersedes the ARM 17.8.304 opacity limit.</w:t>
      </w:r>
    </w:p>
    <w:p w14:paraId="78E8CF4B" w14:textId="77777777" w:rsidR="0074420E" w:rsidRPr="00C7419B" w:rsidRDefault="0074420E" w:rsidP="00E133F9">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p>
    <w:p w14:paraId="1665697C" w14:textId="63A3D935" w:rsidR="0074420E" w:rsidRPr="00C7419B" w:rsidRDefault="00F54677" w:rsidP="0074420E">
      <w:pPr>
        <w:rPr>
          <w:szCs w:val="24"/>
        </w:rPr>
      </w:pPr>
      <w:r w:rsidRPr="00C7419B">
        <w:rPr>
          <w:szCs w:val="24"/>
        </w:rPr>
        <w:t>DEQ</w:t>
      </w:r>
      <w:r w:rsidR="0074420E" w:rsidRPr="00C7419B">
        <w:rPr>
          <w:szCs w:val="24"/>
        </w:rPr>
        <w:t xml:space="preserve"> amended the permit, as requested.  In addition, the references to 40 CFR 63, Subpart DDDDD were changed to reflect that this regulation has become “state-only” since, although the federal rule was vacated on July 30, 2007, this MACT was incorporated by reference in ARM 17.8.342.  Lastly, reference to Tank T-4524 was corrected to T-4523 (wastewater surge tank) and regulatory applicability changed from 40 CFR 60, Subpart </w:t>
      </w:r>
      <w:proofErr w:type="spellStart"/>
      <w:r w:rsidR="0074420E" w:rsidRPr="00C7419B">
        <w:rPr>
          <w:szCs w:val="24"/>
        </w:rPr>
        <w:t>Kb</w:t>
      </w:r>
      <w:proofErr w:type="spellEnd"/>
      <w:r w:rsidR="0074420E" w:rsidRPr="00C7419B">
        <w:rPr>
          <w:szCs w:val="24"/>
        </w:rPr>
        <w:t xml:space="preserve"> to Subpart QQQ, and the LSG tank identification was corrected to T-2909.  </w:t>
      </w:r>
      <w:r w:rsidR="0074420E" w:rsidRPr="00C7419B">
        <w:rPr>
          <w:b/>
          <w:szCs w:val="24"/>
        </w:rPr>
        <w:t>MAQP #2619-23</w:t>
      </w:r>
      <w:r w:rsidR="0074420E" w:rsidRPr="00C7419B">
        <w:rPr>
          <w:szCs w:val="24"/>
        </w:rPr>
        <w:t xml:space="preserve"> replace</w:t>
      </w:r>
      <w:r w:rsidR="003517AE" w:rsidRPr="00C7419B">
        <w:rPr>
          <w:szCs w:val="24"/>
        </w:rPr>
        <w:t>d</w:t>
      </w:r>
      <w:r w:rsidR="0074420E" w:rsidRPr="00C7419B">
        <w:rPr>
          <w:szCs w:val="24"/>
        </w:rPr>
        <w:t xml:space="preserve"> MAQP #2619-22.</w:t>
      </w:r>
    </w:p>
    <w:p w14:paraId="4B8C69A0" w14:textId="77777777" w:rsidR="0074420E" w:rsidRPr="00C7419B" w:rsidRDefault="0074420E" w:rsidP="0074420E">
      <w:pPr>
        <w:rPr>
          <w:szCs w:val="24"/>
        </w:rPr>
      </w:pPr>
    </w:p>
    <w:p w14:paraId="64BD0613" w14:textId="264A170D" w:rsidR="0074420E" w:rsidRPr="00C7419B" w:rsidRDefault="0074420E" w:rsidP="0074420E">
      <w:pPr>
        <w:rPr>
          <w:szCs w:val="24"/>
        </w:rPr>
      </w:pPr>
      <w:r w:rsidRPr="00C7419B">
        <w:rPr>
          <w:color w:val="000000"/>
          <w:spacing w:val="-4"/>
          <w:szCs w:val="24"/>
        </w:rPr>
        <w:t xml:space="preserve">On August 21, 2008, </w:t>
      </w:r>
      <w:r w:rsidR="00F54677" w:rsidRPr="00C7419B">
        <w:rPr>
          <w:color w:val="000000"/>
          <w:spacing w:val="-4"/>
          <w:szCs w:val="24"/>
        </w:rPr>
        <w:t>DEQ</w:t>
      </w:r>
      <w:r w:rsidRPr="00C7419B">
        <w:rPr>
          <w:color w:val="000000"/>
          <w:spacing w:val="-4"/>
          <w:szCs w:val="24"/>
        </w:rPr>
        <w:t xml:space="preserve"> received a complete NSR-PSD permit application from ConocoPhillips.  ConocoPhillips proposed to replace the existing Small and Large Crude Units and the existing Vacuum Unit with a new, more efficient Crude and Vacuum Unit. </w:t>
      </w:r>
      <w:r w:rsidR="00EE1BA7" w:rsidRPr="00C7419B">
        <w:rPr>
          <w:color w:val="000000"/>
          <w:spacing w:val="-4"/>
          <w:szCs w:val="24"/>
        </w:rPr>
        <w:t xml:space="preserve"> </w:t>
      </w:r>
      <w:r w:rsidRPr="00C7419B">
        <w:rPr>
          <w:color w:val="000000"/>
          <w:spacing w:val="-4"/>
          <w:szCs w:val="24"/>
        </w:rPr>
        <w:t xml:space="preserve">This project was referred to as the New Crude and Vacuum Unit (NCVU) project.  The NCVU project enabled ConocoPhillips’ Billings refinery to process both conventional crude oils and </w:t>
      </w:r>
      <w:proofErr w:type="spellStart"/>
      <w:r w:rsidRPr="00C7419B">
        <w:rPr>
          <w:color w:val="000000"/>
          <w:spacing w:val="-4"/>
          <w:szCs w:val="24"/>
        </w:rPr>
        <w:t>SynBit</w:t>
      </w:r>
      <w:proofErr w:type="spellEnd"/>
      <w:r w:rsidRPr="00C7419B">
        <w:rPr>
          <w:color w:val="000000"/>
          <w:spacing w:val="-4"/>
          <w:szCs w:val="24"/>
        </w:rPr>
        <w:t>/oil sands crude oils and increase crude distillation capacity about 25%.  The NCVU project required modifications and optimization of the following existing process units:  No. 2 HDS Unit, Saturate Gas Plant, No. 2 and No. 3 Amine Units, No. 5 HDS Unit, Coker Unit, No. 1 and 2 H</w:t>
      </w:r>
      <w:r w:rsidRPr="00C7419B">
        <w:rPr>
          <w:color w:val="000000"/>
          <w:spacing w:val="-4"/>
          <w:szCs w:val="24"/>
          <w:vertAlign w:val="subscript"/>
        </w:rPr>
        <w:t>2</w:t>
      </w:r>
      <w:r w:rsidRPr="00C7419B">
        <w:rPr>
          <w:color w:val="000000"/>
          <w:spacing w:val="-4"/>
          <w:szCs w:val="24"/>
        </w:rPr>
        <w:t xml:space="preserve"> Plants, Hydrogen Purification Unit (HPU), Raw Water Demineralizer System, Jupiter SRU/ATS Plant, and the FCCU.  The primary objectives of the NCVU Project were to improve crude fractionation and energy efficiency of the refinery, and to increase crude processing capacity and crude feed flexibility to reduce feed costs.  As a result of the NCVU Project, the Jupiter Plant feed rate capacity needed to be increased to approximately 235 LTD of sulfur.  With the submittal of this complete application, the minor source baseline dates for SO</w:t>
      </w:r>
      <w:r w:rsidRPr="00C7419B">
        <w:rPr>
          <w:color w:val="000000"/>
          <w:spacing w:val="-4"/>
          <w:szCs w:val="24"/>
          <w:vertAlign w:val="subscript"/>
        </w:rPr>
        <w:t>2</w:t>
      </w:r>
      <w:r w:rsidRPr="00C7419B">
        <w:rPr>
          <w:color w:val="000000"/>
          <w:spacing w:val="-4"/>
          <w:szCs w:val="24"/>
        </w:rPr>
        <w:t>, PM, and PM</w:t>
      </w:r>
      <w:r w:rsidRPr="00C7419B">
        <w:rPr>
          <w:color w:val="000000"/>
          <w:spacing w:val="-4"/>
          <w:szCs w:val="24"/>
          <w:vertAlign w:val="subscript"/>
        </w:rPr>
        <w:t>10</w:t>
      </w:r>
      <w:r w:rsidRPr="00C7419B">
        <w:rPr>
          <w:color w:val="000000"/>
          <w:spacing w:val="-4"/>
          <w:szCs w:val="24"/>
        </w:rPr>
        <w:t xml:space="preserve"> </w:t>
      </w:r>
      <w:r w:rsidR="0085697B" w:rsidRPr="00C7419B">
        <w:rPr>
          <w:color w:val="000000"/>
          <w:spacing w:val="-4"/>
          <w:szCs w:val="24"/>
        </w:rPr>
        <w:t>were</w:t>
      </w:r>
      <w:r w:rsidRPr="00C7419B">
        <w:rPr>
          <w:color w:val="000000"/>
          <w:spacing w:val="-4"/>
          <w:szCs w:val="24"/>
        </w:rPr>
        <w:t xml:space="preserve"> triggered in </w:t>
      </w:r>
      <w:r w:rsidRPr="00C7419B">
        <w:rPr>
          <w:color w:val="000000"/>
          <w:spacing w:val="-4"/>
          <w:szCs w:val="24"/>
        </w:rPr>
        <w:lastRenderedPageBreak/>
        <w:t>the Billings area as of August 21, 2008.  The minor source baseline date for NO</w:t>
      </w:r>
      <w:r w:rsidRPr="00C7419B">
        <w:rPr>
          <w:color w:val="000000"/>
          <w:spacing w:val="-4"/>
          <w:szCs w:val="24"/>
          <w:vertAlign w:val="subscript"/>
        </w:rPr>
        <w:t>x</w:t>
      </w:r>
      <w:r w:rsidRPr="00C7419B">
        <w:rPr>
          <w:color w:val="000000"/>
          <w:spacing w:val="-4"/>
          <w:szCs w:val="24"/>
        </w:rPr>
        <w:t xml:space="preserve"> was already established by Yellowstone Energy Limited Partnership (formerly Billings Generation Inc.) on November 8, 1991.  In addition, </w:t>
      </w:r>
      <w:r w:rsidR="00F54677" w:rsidRPr="00C7419B">
        <w:rPr>
          <w:color w:val="000000"/>
          <w:spacing w:val="-4"/>
          <w:szCs w:val="24"/>
        </w:rPr>
        <w:t>DEQ</w:t>
      </w:r>
      <w:r w:rsidRPr="00C7419B">
        <w:rPr>
          <w:color w:val="000000"/>
          <w:spacing w:val="-4"/>
          <w:szCs w:val="24"/>
        </w:rPr>
        <w:t xml:space="preserve"> clarified the permit language for the bulk loading rack VCU regarding the products that may be loaded in the event the VCU is inoperable.  </w:t>
      </w:r>
      <w:bookmarkStart w:id="4" w:name="OLE_LINK9"/>
      <w:bookmarkStart w:id="5" w:name="OLE_LINK10"/>
      <w:r w:rsidRPr="00C7419B">
        <w:rPr>
          <w:b/>
          <w:szCs w:val="24"/>
        </w:rPr>
        <w:t>MAQP #2619-24</w:t>
      </w:r>
      <w:r w:rsidRPr="00C7419B">
        <w:rPr>
          <w:szCs w:val="24"/>
        </w:rPr>
        <w:t xml:space="preserve"> replaced MAQP #2619-23.</w:t>
      </w:r>
      <w:bookmarkEnd w:id="4"/>
      <w:bookmarkEnd w:id="5"/>
    </w:p>
    <w:p w14:paraId="429EF6C5" w14:textId="77777777" w:rsidR="0074420E" w:rsidRPr="00C7419B" w:rsidRDefault="0074420E" w:rsidP="0074420E">
      <w:pPr>
        <w:rPr>
          <w:sz w:val="22"/>
          <w:szCs w:val="22"/>
        </w:rPr>
      </w:pPr>
    </w:p>
    <w:p w14:paraId="676DC4AC" w14:textId="6F8F36DB"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2"/>
          <w:szCs w:val="22"/>
        </w:rPr>
      </w:pPr>
      <w:r w:rsidRPr="00C7419B">
        <w:rPr>
          <w:rFonts w:ascii="Garamond" w:hAnsi="Garamond"/>
          <w:snapToGrid/>
          <w:color w:val="000000"/>
          <w:spacing w:val="-4"/>
          <w:szCs w:val="24"/>
        </w:rPr>
        <w:t xml:space="preserve">On June 12, 2009,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xml:space="preserve"> received a request from ConocoPhillips to administratively amend MAQP #2619-24 to include certain limits and standards.  This amendment was in response to requirements contained in the Consent Decree (CD) that ConocoPhillips has </w:t>
      </w:r>
      <w:proofErr w:type="gramStart"/>
      <w:r w:rsidRPr="00C7419B">
        <w:rPr>
          <w:rFonts w:ascii="Garamond" w:hAnsi="Garamond"/>
          <w:snapToGrid/>
          <w:color w:val="000000"/>
          <w:spacing w:val="-4"/>
          <w:szCs w:val="24"/>
        </w:rPr>
        <w:t>entered into</w:t>
      </w:r>
      <w:proofErr w:type="gramEnd"/>
      <w:r w:rsidRPr="00C7419B">
        <w:rPr>
          <w:rFonts w:ascii="Garamond" w:hAnsi="Garamond"/>
          <w:snapToGrid/>
          <w:color w:val="000000"/>
          <w:spacing w:val="-4"/>
          <w:szCs w:val="24"/>
        </w:rPr>
        <w:t xml:space="preserve"> with EPA along with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The CD was set forth on December 20, 2001.</w:t>
      </w:r>
      <w:r w:rsidRPr="00C7419B">
        <w:rPr>
          <w:rFonts w:ascii="Garamond" w:hAnsi="Garamond"/>
          <w:snapToGrid/>
          <w:color w:val="000000"/>
          <w:spacing w:val="-4"/>
          <w:szCs w:val="24"/>
        </w:rPr>
        <w:br/>
      </w:r>
    </w:p>
    <w:p w14:paraId="791EE3E8"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r w:rsidRPr="00C7419B">
        <w:rPr>
          <w:rFonts w:ascii="Garamond" w:hAnsi="Garamond"/>
          <w:snapToGrid/>
          <w:color w:val="000000"/>
          <w:spacing w:val="-4"/>
          <w:szCs w:val="24"/>
        </w:rPr>
        <w:t>As a result of the requirements set forth within the CD, ConocoPhillips had requested the following limits and standards (agreed to by EPA) to be included in the MAQP:</w:t>
      </w:r>
    </w:p>
    <w:p w14:paraId="311A2AED"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2"/>
          <w:szCs w:val="22"/>
        </w:rPr>
      </w:pPr>
    </w:p>
    <w:p w14:paraId="53ED9273" w14:textId="77777777" w:rsidR="0074420E" w:rsidRPr="00C7419B" w:rsidRDefault="0074420E" w:rsidP="00571CFE">
      <w:pPr>
        <w:widowControl w:val="0"/>
        <w:tabs>
          <w:tab w:val="left" w:pos="720"/>
        </w:tabs>
        <w:ind w:left="630"/>
        <w:rPr>
          <w:color w:val="000000"/>
          <w:spacing w:val="-4"/>
          <w:szCs w:val="24"/>
        </w:rPr>
      </w:pPr>
      <w:r w:rsidRPr="00C7419B">
        <w:rPr>
          <w:color w:val="000000"/>
          <w:spacing w:val="-4"/>
          <w:szCs w:val="24"/>
        </w:rPr>
        <w:t>The NO</w:t>
      </w:r>
      <w:r w:rsidRPr="00C7419B">
        <w:rPr>
          <w:color w:val="000000"/>
          <w:spacing w:val="-4"/>
          <w:szCs w:val="24"/>
          <w:vertAlign w:val="subscript"/>
        </w:rPr>
        <w:t>x</w:t>
      </w:r>
      <w:r w:rsidRPr="00C7419B">
        <w:rPr>
          <w:color w:val="000000"/>
          <w:spacing w:val="-4"/>
          <w:szCs w:val="24"/>
        </w:rPr>
        <w:t xml:space="preserve"> emissions from the FCCU shall have a limit of 49.2 parts per million, volumetric dry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xml:space="preserve">, on a rolling 365-day average and 69.5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on a rolling 7-day average.  Per Paragraph 27 of the above-referenced CD, the 7-day NO</w:t>
      </w:r>
      <w:r w:rsidRPr="00C7419B">
        <w:rPr>
          <w:color w:val="000000"/>
          <w:spacing w:val="-4"/>
          <w:szCs w:val="24"/>
          <w:vertAlign w:val="subscript"/>
        </w:rPr>
        <w:t>x</w:t>
      </w:r>
      <w:r w:rsidRPr="00C7419B">
        <w:rPr>
          <w:color w:val="000000"/>
          <w:spacing w:val="-4"/>
          <w:szCs w:val="24"/>
        </w:rPr>
        <w:t xml:space="preserve"> emission limit established for the FCC shall not apply during periods of hydrotreater outages at the refinery, provided that ConocoPhillips is maintaining and operating its FCC (including associated air pollution control equipment) in a manner consistent with good air pollution control practices for minimizing emissions in accordance with the EPA-approved good air pollution control practices plan.  </w:t>
      </w:r>
    </w:p>
    <w:p w14:paraId="5C182323" w14:textId="77777777" w:rsidR="0074420E" w:rsidRPr="00C7419B" w:rsidRDefault="0074420E" w:rsidP="0074420E">
      <w:pPr>
        <w:tabs>
          <w:tab w:val="left" w:pos="720"/>
        </w:tabs>
        <w:rPr>
          <w:color w:val="000000"/>
          <w:spacing w:val="-4"/>
          <w:sz w:val="22"/>
          <w:szCs w:val="22"/>
        </w:rPr>
      </w:pPr>
    </w:p>
    <w:p w14:paraId="2508DBFE" w14:textId="77777777" w:rsidR="0074420E" w:rsidRPr="00C7419B" w:rsidRDefault="0074420E" w:rsidP="0074420E">
      <w:pPr>
        <w:rPr>
          <w:szCs w:val="24"/>
        </w:rPr>
      </w:pPr>
      <w:r w:rsidRPr="00C7419B">
        <w:rPr>
          <w:szCs w:val="24"/>
        </w:rPr>
        <w:t>As a result of this request,</w:t>
      </w:r>
      <w:r w:rsidRPr="00C7419B">
        <w:rPr>
          <w:b/>
          <w:szCs w:val="24"/>
        </w:rPr>
        <w:t xml:space="preserve"> MAQP #2619-25</w:t>
      </w:r>
      <w:r w:rsidRPr="00C7419B">
        <w:rPr>
          <w:szCs w:val="24"/>
        </w:rPr>
        <w:t xml:space="preserve"> replaced MAQP #2619-24.</w:t>
      </w:r>
    </w:p>
    <w:p w14:paraId="5FEC76CA" w14:textId="77777777" w:rsidR="0074420E" w:rsidRPr="00C7419B" w:rsidRDefault="0074420E" w:rsidP="0074420E">
      <w:pPr>
        <w:rPr>
          <w:sz w:val="22"/>
          <w:szCs w:val="22"/>
        </w:rPr>
      </w:pPr>
    </w:p>
    <w:p w14:paraId="0D960338" w14:textId="4B9ABE43" w:rsidR="0074420E" w:rsidRPr="00C7419B" w:rsidRDefault="0074420E" w:rsidP="0074420E">
      <w:pPr>
        <w:tabs>
          <w:tab w:val="left" w:pos="720"/>
        </w:tabs>
        <w:rPr>
          <w:color w:val="000000"/>
          <w:spacing w:val="-4"/>
          <w:szCs w:val="24"/>
        </w:rPr>
      </w:pPr>
      <w:r w:rsidRPr="00C7419B">
        <w:rPr>
          <w:color w:val="000000"/>
          <w:spacing w:val="-4"/>
          <w:szCs w:val="24"/>
        </w:rPr>
        <w:t xml:space="preserve">On December 6, 2010, </w:t>
      </w:r>
      <w:r w:rsidR="00F54677" w:rsidRPr="00C7419B">
        <w:rPr>
          <w:color w:val="000000"/>
          <w:spacing w:val="-4"/>
          <w:szCs w:val="24"/>
        </w:rPr>
        <w:t>DEQ</w:t>
      </w:r>
      <w:r w:rsidRPr="00C7419B">
        <w:rPr>
          <w:color w:val="000000"/>
          <w:spacing w:val="-4"/>
          <w:szCs w:val="24"/>
        </w:rPr>
        <w:t xml:space="preserve"> received a request from ConocoPhillips to administratively amend MAQP #2619-25 to include certain limits, standards, and obligations in response to agency requests and the requirements of Paragraph 210(a) contained the ConocoPhillips CD.  ConocoPhillips also requested to include conditions pertaining to facility-related Supplemental Environmental Projects (SEP), although not specifically required by the ConocoPhillips CD.  ConocoPhillips later rescinded the request to include these SEP conditions within this permit action.  ConocoPhillips additionally requested removal of references to Tank #162 (Ground Water Interceptor System (GWIS) Recovered Oil Tank) as this tank has been taken out of service.  With knowledge of forthcoming additional information and administrative amendment requests, in concurrence with ConocoPhillips, </w:t>
      </w:r>
      <w:r w:rsidR="00F54677" w:rsidRPr="00C7419B">
        <w:rPr>
          <w:color w:val="000000"/>
          <w:spacing w:val="-4"/>
          <w:szCs w:val="24"/>
        </w:rPr>
        <w:t>DEQ</w:t>
      </w:r>
      <w:r w:rsidRPr="00C7419B">
        <w:rPr>
          <w:color w:val="000000"/>
          <w:spacing w:val="-4"/>
          <w:szCs w:val="24"/>
        </w:rPr>
        <w:t xml:space="preserve"> withheld preparation and issuance of a revised MAQP; however, this action was assigned </w:t>
      </w:r>
      <w:r w:rsidRPr="00C7419B">
        <w:rPr>
          <w:b/>
          <w:color w:val="000000"/>
          <w:spacing w:val="-4"/>
          <w:szCs w:val="24"/>
        </w:rPr>
        <w:t>MAQP #2619-26</w:t>
      </w:r>
      <w:r w:rsidRPr="00C7419B">
        <w:rPr>
          <w:color w:val="000000"/>
          <w:spacing w:val="-4"/>
          <w:szCs w:val="24"/>
        </w:rPr>
        <w:t>.</w:t>
      </w:r>
    </w:p>
    <w:p w14:paraId="4F063B08" w14:textId="77777777" w:rsidR="0074420E" w:rsidRPr="00C7419B" w:rsidRDefault="0074420E" w:rsidP="009C7DA1">
      <w:pPr>
        <w:tabs>
          <w:tab w:val="left" w:pos="7851"/>
        </w:tabs>
        <w:rPr>
          <w:color w:val="000000"/>
          <w:spacing w:val="-4"/>
          <w:sz w:val="22"/>
          <w:szCs w:val="22"/>
        </w:rPr>
      </w:pPr>
    </w:p>
    <w:p w14:paraId="3D138AE2" w14:textId="33722A5C" w:rsidR="004B038F" w:rsidRPr="00C7419B" w:rsidRDefault="0074420E" w:rsidP="00686015">
      <w:pPr>
        <w:tabs>
          <w:tab w:val="left" w:pos="720"/>
        </w:tabs>
        <w:rPr>
          <w:color w:val="000000"/>
          <w:spacing w:val="-4"/>
          <w:szCs w:val="24"/>
        </w:rPr>
      </w:pPr>
      <w:r w:rsidRPr="00C7419B">
        <w:rPr>
          <w:color w:val="000000"/>
          <w:spacing w:val="-4"/>
          <w:szCs w:val="24"/>
        </w:rPr>
        <w:t xml:space="preserve">On July 28, 2011, </w:t>
      </w:r>
      <w:r w:rsidR="00F54677" w:rsidRPr="00C7419B">
        <w:rPr>
          <w:color w:val="000000"/>
          <w:spacing w:val="-4"/>
          <w:szCs w:val="24"/>
        </w:rPr>
        <w:t>DEQ</w:t>
      </w:r>
      <w:r w:rsidRPr="00C7419B">
        <w:rPr>
          <w:color w:val="000000"/>
          <w:spacing w:val="-4"/>
          <w:szCs w:val="24"/>
        </w:rPr>
        <w:t xml:space="preserve"> received a request from ConocoPhillips to administratively amend MAQP #2619-25 to include the following language (underlined):</w:t>
      </w:r>
    </w:p>
    <w:p w14:paraId="31C3C5F0" w14:textId="77777777" w:rsidR="0074420E" w:rsidRPr="00C7419B" w:rsidRDefault="0074420E" w:rsidP="0074420E">
      <w:pPr>
        <w:tabs>
          <w:tab w:val="left" w:pos="720"/>
        </w:tabs>
        <w:rPr>
          <w:color w:val="000000"/>
          <w:spacing w:val="-4"/>
          <w:sz w:val="22"/>
          <w:szCs w:val="22"/>
        </w:rPr>
      </w:pPr>
    </w:p>
    <w:p w14:paraId="3E8D46C1" w14:textId="77777777" w:rsidR="0074420E" w:rsidRPr="00C7419B" w:rsidRDefault="0074420E" w:rsidP="0074420E">
      <w:pPr>
        <w:tabs>
          <w:tab w:val="left" w:pos="720"/>
        </w:tabs>
        <w:ind w:left="630"/>
        <w:rPr>
          <w:szCs w:val="24"/>
        </w:rPr>
      </w:pPr>
      <w:r w:rsidRPr="00C7419B">
        <w:rPr>
          <w:szCs w:val="24"/>
        </w:rPr>
        <w:t>NO</w:t>
      </w:r>
      <w:r w:rsidRPr="00C7419B">
        <w:rPr>
          <w:szCs w:val="24"/>
          <w:vertAlign w:val="subscript"/>
        </w:rPr>
        <w:t>x</w:t>
      </w:r>
      <w:r w:rsidRPr="00C7419B">
        <w:rPr>
          <w:szCs w:val="24"/>
        </w:rPr>
        <w:t xml:space="preserve"> emissions shall not exceed 49.2 </w:t>
      </w:r>
      <w:proofErr w:type="spellStart"/>
      <w:r w:rsidRPr="00C7419B">
        <w:rPr>
          <w:szCs w:val="24"/>
        </w:rPr>
        <w:t>ppmvd</w:t>
      </w:r>
      <w:proofErr w:type="spellEnd"/>
      <w:r w:rsidRPr="00C7419B">
        <w:rPr>
          <w:szCs w:val="24"/>
        </w:rPr>
        <w:t xml:space="preserve"> corrected to 0% O</w:t>
      </w:r>
      <w:r w:rsidRPr="00C7419B">
        <w:rPr>
          <w:szCs w:val="24"/>
          <w:vertAlign w:val="subscript"/>
        </w:rPr>
        <w:t>2</w:t>
      </w:r>
      <w:r w:rsidRPr="00C7419B">
        <w:rPr>
          <w:szCs w:val="24"/>
        </w:rPr>
        <w:t xml:space="preserve">, on a rolling 365-day average and 69.5 </w:t>
      </w:r>
      <w:proofErr w:type="spellStart"/>
      <w:r w:rsidRPr="00C7419B">
        <w:rPr>
          <w:szCs w:val="24"/>
        </w:rPr>
        <w:t>ppmvd</w:t>
      </w:r>
      <w:proofErr w:type="spellEnd"/>
      <w:r w:rsidRPr="00C7419B">
        <w:rPr>
          <w:szCs w:val="24"/>
        </w:rPr>
        <w:t>, corrected to 0% O</w:t>
      </w:r>
      <w:r w:rsidRPr="00C7419B">
        <w:rPr>
          <w:szCs w:val="24"/>
          <w:vertAlign w:val="subscript"/>
        </w:rPr>
        <w:t>2</w:t>
      </w:r>
      <w:r w:rsidRPr="00C7419B">
        <w:rPr>
          <w:szCs w:val="24"/>
        </w:rPr>
        <w:t>, on a rolling 7-day average.  The 7-day NO</w:t>
      </w:r>
      <w:r w:rsidRPr="00C7419B">
        <w:rPr>
          <w:szCs w:val="24"/>
          <w:vertAlign w:val="subscript"/>
        </w:rPr>
        <w:t>x</w:t>
      </w:r>
      <w:r w:rsidRPr="00C7419B">
        <w:rPr>
          <w:szCs w:val="24"/>
        </w:rPr>
        <w:t xml:space="preserve"> emission limit shall not apply during periods of hydrotreater outages, </w:t>
      </w:r>
      <w:proofErr w:type="gramStart"/>
      <w:r w:rsidRPr="00C7419B">
        <w:rPr>
          <w:szCs w:val="24"/>
        </w:rPr>
        <w:t>provided that</w:t>
      </w:r>
      <w:proofErr w:type="gramEnd"/>
      <w:r w:rsidRPr="00C7419B">
        <w:rPr>
          <w:szCs w:val="24"/>
        </w:rPr>
        <w:t xml:space="preserve"> ConocoPhillips is maintaining and operating the FCCU (including associated air pollution control equipment) consistent with good air pollutions control practices for minimizing emissions in accordance with the EPA-approved good air pollution control practices plan.  </w:t>
      </w:r>
      <w:r w:rsidRPr="00C7419B">
        <w:rPr>
          <w:szCs w:val="24"/>
          <w:u w:val="single"/>
        </w:rPr>
        <w:t>For days in which the FCCU is not operating, no NOx value shall be used in the average, and those periods shall be skipped in determining the 7-day and 365-day averages</w:t>
      </w:r>
      <w:r w:rsidRPr="00C7419B">
        <w:rPr>
          <w:szCs w:val="24"/>
        </w:rPr>
        <w:t xml:space="preserve"> (ConocoPhillips Consent Decree, Paragraph 27, as amended).</w:t>
      </w:r>
    </w:p>
    <w:p w14:paraId="4CE0274A" w14:textId="77777777" w:rsidR="0074420E" w:rsidRDefault="0074420E" w:rsidP="0074420E">
      <w:pPr>
        <w:tabs>
          <w:tab w:val="left" w:pos="720"/>
        </w:tabs>
        <w:rPr>
          <w:sz w:val="23"/>
          <w:szCs w:val="23"/>
        </w:rPr>
      </w:pPr>
    </w:p>
    <w:p w14:paraId="4E501F2B" w14:textId="77777777" w:rsidR="0074420E" w:rsidRPr="00C7419B" w:rsidRDefault="0074420E" w:rsidP="0074420E">
      <w:pPr>
        <w:tabs>
          <w:tab w:val="left" w:pos="720"/>
        </w:tabs>
        <w:rPr>
          <w:szCs w:val="24"/>
        </w:rPr>
      </w:pPr>
      <w:r w:rsidRPr="00C7419B">
        <w:rPr>
          <w:szCs w:val="24"/>
        </w:rPr>
        <w:t xml:space="preserve">ConocoPhillips requested this addition in language </w:t>
      </w:r>
      <w:proofErr w:type="gramStart"/>
      <w:r w:rsidRPr="00C7419B">
        <w:rPr>
          <w:szCs w:val="24"/>
        </w:rPr>
        <w:t>as a result of</w:t>
      </w:r>
      <w:proofErr w:type="gramEnd"/>
      <w:r w:rsidRPr="00C7419B">
        <w:rPr>
          <w:szCs w:val="24"/>
        </w:rPr>
        <w:t xml:space="preserve"> an April 29, </w:t>
      </w:r>
      <w:proofErr w:type="gramStart"/>
      <w:r w:rsidRPr="00C7419B">
        <w:rPr>
          <w:szCs w:val="24"/>
        </w:rPr>
        <w:t>2011</w:t>
      </w:r>
      <w:proofErr w:type="gramEnd"/>
      <w:r w:rsidRPr="00C7419B">
        <w:rPr>
          <w:szCs w:val="24"/>
        </w:rPr>
        <w:t xml:space="preserve"> letter from EPA, which contained the formal approval of the FCC NOx emission limits required by the CD.  The </w:t>
      </w:r>
      <w:r w:rsidRPr="00C7419B">
        <w:rPr>
          <w:szCs w:val="24"/>
        </w:rPr>
        <w:lastRenderedPageBreak/>
        <w:t>letter included EPA’s expectations as to how these NOx emission concentration averages are to be calculated.</w:t>
      </w:r>
    </w:p>
    <w:p w14:paraId="72C893ED" w14:textId="77777777" w:rsidR="0074420E" w:rsidRPr="00C7419B" w:rsidRDefault="0074420E" w:rsidP="0074420E">
      <w:pPr>
        <w:tabs>
          <w:tab w:val="left" w:pos="720"/>
        </w:tabs>
        <w:rPr>
          <w:sz w:val="23"/>
          <w:szCs w:val="23"/>
        </w:rPr>
      </w:pPr>
    </w:p>
    <w:p w14:paraId="13DFED1A" w14:textId="77777777" w:rsidR="0074420E" w:rsidRPr="00C7419B" w:rsidRDefault="0074420E" w:rsidP="0074420E">
      <w:pPr>
        <w:tabs>
          <w:tab w:val="left" w:pos="720"/>
        </w:tabs>
        <w:rPr>
          <w:szCs w:val="24"/>
        </w:rPr>
      </w:pPr>
      <w:r w:rsidRPr="00C7419B">
        <w:rPr>
          <w:szCs w:val="24"/>
        </w:rPr>
        <w:t xml:space="preserve">This amendment to MAQP #2619-25 included the requested changes from </w:t>
      </w:r>
      <w:proofErr w:type="gramStart"/>
      <w:r w:rsidRPr="00C7419B">
        <w:rPr>
          <w:szCs w:val="24"/>
        </w:rPr>
        <w:t>the December</w:t>
      </w:r>
      <w:proofErr w:type="gramEnd"/>
      <w:r w:rsidRPr="00C7419B">
        <w:rPr>
          <w:szCs w:val="24"/>
        </w:rPr>
        <w:t xml:space="preserve"> 6, </w:t>
      </w:r>
      <w:proofErr w:type="gramStart"/>
      <w:r w:rsidRPr="00C7419B">
        <w:rPr>
          <w:szCs w:val="24"/>
        </w:rPr>
        <w:t>2010</w:t>
      </w:r>
      <w:proofErr w:type="gramEnd"/>
      <w:r w:rsidRPr="00C7419B">
        <w:rPr>
          <w:szCs w:val="24"/>
        </w:rPr>
        <w:t xml:space="preserve"> and July 28, </w:t>
      </w:r>
      <w:proofErr w:type="gramStart"/>
      <w:r w:rsidRPr="00C7419B">
        <w:rPr>
          <w:szCs w:val="24"/>
        </w:rPr>
        <w:t>2011</w:t>
      </w:r>
      <w:proofErr w:type="gramEnd"/>
      <w:r w:rsidRPr="00C7419B">
        <w:rPr>
          <w:szCs w:val="24"/>
        </w:rPr>
        <w:t xml:space="preserve"> administrative amendment requests.</w:t>
      </w:r>
    </w:p>
    <w:p w14:paraId="1097B79E" w14:textId="77777777" w:rsidR="0074420E" w:rsidRPr="00C7419B" w:rsidRDefault="0074420E" w:rsidP="0074420E">
      <w:pPr>
        <w:tabs>
          <w:tab w:val="left" w:pos="720"/>
        </w:tabs>
        <w:rPr>
          <w:sz w:val="23"/>
          <w:szCs w:val="23"/>
        </w:rPr>
      </w:pPr>
    </w:p>
    <w:p w14:paraId="276BF294" w14:textId="77777777" w:rsidR="0074420E" w:rsidRPr="00C7419B" w:rsidRDefault="0074420E" w:rsidP="0074420E">
      <w:pPr>
        <w:rPr>
          <w:szCs w:val="24"/>
        </w:rPr>
      </w:pPr>
      <w:r w:rsidRPr="00C7419B">
        <w:rPr>
          <w:color w:val="000000"/>
          <w:spacing w:val="-4"/>
          <w:szCs w:val="24"/>
        </w:rPr>
        <w:t xml:space="preserve">As a result of </w:t>
      </w:r>
      <w:proofErr w:type="gramStart"/>
      <w:r w:rsidRPr="00C7419B">
        <w:rPr>
          <w:color w:val="000000"/>
          <w:spacing w:val="-4"/>
          <w:szCs w:val="24"/>
        </w:rPr>
        <w:t>both of these</w:t>
      </w:r>
      <w:proofErr w:type="gramEnd"/>
      <w:r w:rsidRPr="00C7419B">
        <w:rPr>
          <w:color w:val="000000"/>
          <w:spacing w:val="-4"/>
          <w:szCs w:val="24"/>
        </w:rPr>
        <w:t xml:space="preserve"> requests, </w:t>
      </w:r>
      <w:r w:rsidRPr="00C7419B">
        <w:rPr>
          <w:b/>
          <w:szCs w:val="24"/>
        </w:rPr>
        <w:t>MAQP #2619-27</w:t>
      </w:r>
      <w:r w:rsidRPr="00C7419B">
        <w:rPr>
          <w:szCs w:val="24"/>
        </w:rPr>
        <w:t xml:space="preserve"> replaced MAQP #2619-25.</w:t>
      </w:r>
    </w:p>
    <w:p w14:paraId="7345EADC" w14:textId="77777777" w:rsidR="0074420E" w:rsidRPr="00C7419B" w:rsidRDefault="0074420E" w:rsidP="0074420E">
      <w:pPr>
        <w:rPr>
          <w:sz w:val="23"/>
          <w:szCs w:val="23"/>
        </w:rPr>
      </w:pPr>
    </w:p>
    <w:p w14:paraId="5C4FE49E" w14:textId="217752C3" w:rsidR="0074420E" w:rsidRPr="00C7419B" w:rsidRDefault="0074420E" w:rsidP="0074420E">
      <w:pPr>
        <w:rPr>
          <w:color w:val="000000"/>
          <w:spacing w:val="-4"/>
          <w:szCs w:val="24"/>
        </w:rPr>
      </w:pPr>
      <w:r w:rsidRPr="00C7419B">
        <w:rPr>
          <w:color w:val="000000"/>
          <w:spacing w:val="-4"/>
          <w:szCs w:val="24"/>
        </w:rPr>
        <w:t xml:space="preserve">On September 13, 2011, October 7, 2011, October 25, 2011, and October 31, 2011, </w:t>
      </w:r>
      <w:r w:rsidR="00F54677" w:rsidRPr="00C7419B">
        <w:rPr>
          <w:color w:val="000000"/>
          <w:spacing w:val="-4"/>
          <w:szCs w:val="24"/>
        </w:rPr>
        <w:t>DEQ</w:t>
      </w:r>
      <w:r w:rsidRPr="00C7419B">
        <w:rPr>
          <w:color w:val="000000"/>
          <w:spacing w:val="-4"/>
          <w:szCs w:val="24"/>
        </w:rPr>
        <w:t xml:space="preserve"> received elements to fulfill a complete air quality permit application from ConocoPhillips.  ConocoPhillips requested a modification to their existing air quality permit to incorporate conditions and limitations associated with the proposed installation of a Backup Coke Crusher.  A Backup Coke Crusher was necessary to ensure crushed coke </w:t>
      </w:r>
      <w:r w:rsidR="001057C7" w:rsidRPr="00C7419B">
        <w:rPr>
          <w:color w:val="000000"/>
          <w:spacing w:val="-4"/>
          <w:szCs w:val="24"/>
        </w:rPr>
        <w:t>is always available</w:t>
      </w:r>
      <w:r w:rsidRPr="00C7419B">
        <w:rPr>
          <w:color w:val="000000"/>
          <w:spacing w:val="-4"/>
          <w:szCs w:val="24"/>
        </w:rPr>
        <w:t xml:space="preserve"> for the facility, particularly during instances when the main Coke Crusher was not operational </w:t>
      </w:r>
      <w:proofErr w:type="gramStart"/>
      <w:r w:rsidRPr="00C7419B">
        <w:rPr>
          <w:color w:val="000000"/>
          <w:spacing w:val="-4"/>
          <w:szCs w:val="24"/>
        </w:rPr>
        <w:t>as a result of</w:t>
      </w:r>
      <w:proofErr w:type="gramEnd"/>
      <w:r w:rsidRPr="00C7419B">
        <w:rPr>
          <w:color w:val="000000"/>
          <w:spacing w:val="-4"/>
          <w:szCs w:val="24"/>
        </w:rPr>
        <w:t xml:space="preserve"> mechanical failure and/or maintenance activities.  The components of the Backup Coke Crusher include the coke crushing unit as well as a diesel fired engine and compressor.</w:t>
      </w:r>
    </w:p>
    <w:p w14:paraId="0002746B" w14:textId="77777777" w:rsidR="0074420E" w:rsidRPr="00C7419B" w:rsidRDefault="0074420E" w:rsidP="004B038F">
      <w:pPr>
        <w:rPr>
          <w:color w:val="000000"/>
          <w:spacing w:val="-4"/>
          <w:sz w:val="23"/>
          <w:szCs w:val="23"/>
        </w:rPr>
      </w:pPr>
    </w:p>
    <w:p w14:paraId="7938D960" w14:textId="77777777" w:rsidR="0074420E" w:rsidRPr="00C7419B" w:rsidRDefault="0074420E" w:rsidP="0074420E">
      <w:pPr>
        <w:rPr>
          <w:szCs w:val="24"/>
        </w:rPr>
      </w:pPr>
      <w:r w:rsidRPr="00C7419B">
        <w:rPr>
          <w:color w:val="000000"/>
          <w:spacing w:val="-4"/>
          <w:szCs w:val="24"/>
        </w:rPr>
        <w:t xml:space="preserve">This permit action incorporated all limitations and conditions associated with the proposed Backup Coke Crusher.  </w:t>
      </w:r>
      <w:r w:rsidRPr="00C7419B">
        <w:rPr>
          <w:b/>
          <w:szCs w:val="24"/>
        </w:rPr>
        <w:t>MAQP #2619-28</w:t>
      </w:r>
      <w:r w:rsidRPr="00C7419B">
        <w:rPr>
          <w:szCs w:val="24"/>
        </w:rPr>
        <w:t xml:space="preserve"> replaced MAQP #2619-27.</w:t>
      </w:r>
    </w:p>
    <w:p w14:paraId="14F83409" w14:textId="77777777" w:rsidR="0074420E" w:rsidRPr="00C7419B" w:rsidRDefault="0074420E" w:rsidP="0074420E">
      <w:pPr>
        <w:rPr>
          <w:sz w:val="23"/>
          <w:szCs w:val="23"/>
        </w:rPr>
      </w:pPr>
    </w:p>
    <w:p w14:paraId="10F0FDC9" w14:textId="2D8C91B1" w:rsidR="0074420E" w:rsidRPr="00C7419B" w:rsidRDefault="0074420E" w:rsidP="0074420E">
      <w:pPr>
        <w:rPr>
          <w:szCs w:val="24"/>
        </w:rPr>
      </w:pPr>
      <w:r w:rsidRPr="00C7419B">
        <w:rPr>
          <w:color w:val="000000"/>
          <w:spacing w:val="-4"/>
          <w:szCs w:val="24"/>
        </w:rPr>
        <w:t xml:space="preserve">On May 3, 2012, </w:t>
      </w:r>
      <w:r w:rsidR="00F54677" w:rsidRPr="00C7419B">
        <w:rPr>
          <w:color w:val="000000"/>
          <w:spacing w:val="-4"/>
          <w:szCs w:val="24"/>
        </w:rPr>
        <w:t>the Department</w:t>
      </w:r>
      <w:r w:rsidRPr="00C7419B">
        <w:rPr>
          <w:color w:val="000000"/>
          <w:spacing w:val="-4"/>
          <w:szCs w:val="24"/>
        </w:rPr>
        <w:t xml:space="preserve"> of Environmental Quality (</w:t>
      </w:r>
      <w:r w:rsidR="00F54677" w:rsidRPr="00C7419B">
        <w:rPr>
          <w:color w:val="000000"/>
          <w:spacing w:val="-4"/>
          <w:szCs w:val="24"/>
        </w:rPr>
        <w:t>DEQ</w:t>
      </w:r>
      <w:r w:rsidRPr="00C7419B">
        <w:rPr>
          <w:color w:val="000000"/>
          <w:spacing w:val="-4"/>
          <w:szCs w:val="24"/>
        </w:rPr>
        <w:t xml:space="preserve">) received a request to administratively amend MAQP #2619-28 to incorporate a change in the ConocoPhillips Company name.  On May 1, 2012, the downstream portions of the ConocoPhillips Company were spun-off as a separate company named Phillips 66 Company (Phillips 66).  As a result of the spin-off, the former ConocoPhillips Billings Refinery is now the Phillips 66 Billings Refinery.  </w:t>
      </w:r>
      <w:r w:rsidRPr="00C7419B">
        <w:rPr>
          <w:szCs w:val="24"/>
        </w:rPr>
        <w:t xml:space="preserve">The permit action incorporated the name change throughout.  </w:t>
      </w:r>
      <w:r w:rsidRPr="00C7419B">
        <w:rPr>
          <w:b/>
          <w:szCs w:val="24"/>
        </w:rPr>
        <w:t>MAQP #2619-29</w:t>
      </w:r>
      <w:r w:rsidRPr="00C7419B">
        <w:rPr>
          <w:szCs w:val="24"/>
        </w:rPr>
        <w:t xml:space="preserve"> replaced MAQP #2619-28.</w:t>
      </w:r>
    </w:p>
    <w:p w14:paraId="0844CA8F" w14:textId="77777777" w:rsidR="00054416" w:rsidRPr="00C7419B" w:rsidRDefault="00054416" w:rsidP="0074420E">
      <w:pPr>
        <w:rPr>
          <w:sz w:val="23"/>
          <w:szCs w:val="23"/>
        </w:rPr>
      </w:pPr>
    </w:p>
    <w:p w14:paraId="521B8ED0" w14:textId="115A66E2" w:rsidR="00054416" w:rsidRPr="00C7419B" w:rsidRDefault="00054416" w:rsidP="009C7DA1">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 xml:space="preserve">On October 9, 2012, </w:t>
      </w:r>
      <w:r w:rsidR="00F54677" w:rsidRPr="00C7419B">
        <w:rPr>
          <w:szCs w:val="24"/>
        </w:rPr>
        <w:t>DEQ</w:t>
      </w:r>
      <w:r w:rsidRPr="00C7419B">
        <w:rPr>
          <w:szCs w:val="24"/>
        </w:rPr>
        <w:t xml:space="preserve"> received an Administrative Amendment Request to delete conditions regarding the New Crude and Vacuum Unit because the project was cancelled, clarification of various rule </w:t>
      </w:r>
      <w:r w:rsidR="00AB7E07" w:rsidRPr="00C7419B">
        <w:rPr>
          <w:szCs w:val="24"/>
        </w:rPr>
        <w:t>applicability’s</w:t>
      </w:r>
      <w:r w:rsidRPr="00C7419B">
        <w:rPr>
          <w:szCs w:val="24"/>
        </w:rPr>
        <w:t xml:space="preserve"> and other minor edits.  A letter outlining the requested changes in bullet point fashion is on file with </w:t>
      </w:r>
      <w:r w:rsidR="00F54677" w:rsidRPr="00C7419B">
        <w:rPr>
          <w:szCs w:val="24"/>
        </w:rPr>
        <w:t>DEQ</w:t>
      </w:r>
      <w:r w:rsidRPr="00C7419B">
        <w:rPr>
          <w:szCs w:val="24"/>
        </w:rPr>
        <w:t xml:space="preserve">.  </w:t>
      </w:r>
      <w:r w:rsidRPr="00C7419B">
        <w:rPr>
          <w:b/>
          <w:szCs w:val="24"/>
        </w:rPr>
        <w:t>MAQP #2619-30</w:t>
      </w:r>
      <w:r w:rsidRPr="00C7419B">
        <w:rPr>
          <w:szCs w:val="24"/>
        </w:rPr>
        <w:t xml:space="preserve"> replaced MAQP #2619-29.</w:t>
      </w:r>
    </w:p>
    <w:p w14:paraId="0642AA9E" w14:textId="77777777" w:rsidR="00054416" w:rsidRPr="00C7419B" w:rsidRDefault="00054416" w:rsidP="0074420E">
      <w:pPr>
        <w:rPr>
          <w:sz w:val="23"/>
          <w:szCs w:val="23"/>
        </w:rPr>
      </w:pPr>
    </w:p>
    <w:p w14:paraId="469815D6" w14:textId="4CE2D978" w:rsidR="00054416" w:rsidRPr="00C7419B" w:rsidRDefault="00054416" w:rsidP="0074420E">
      <w:pPr>
        <w:rPr>
          <w:szCs w:val="24"/>
        </w:rPr>
      </w:pPr>
      <w:r w:rsidRPr="00C7419B">
        <w:rPr>
          <w:szCs w:val="24"/>
        </w:rPr>
        <w:t xml:space="preserve">On May 1, 2014, </w:t>
      </w:r>
      <w:r w:rsidR="00F54677" w:rsidRPr="00C7419B">
        <w:rPr>
          <w:szCs w:val="24"/>
        </w:rPr>
        <w:t>DEQ</w:t>
      </w:r>
      <w:r w:rsidRPr="00C7419B">
        <w:rPr>
          <w:szCs w:val="24"/>
        </w:rPr>
        <w:t xml:space="preserve"> received an Administrative Amendment request from Phillips 66.  Phillips 66 was in the process of taking steps to close out the Consent Decree with the Environmental Protection Agency (EPA) and the State of Montana.  Phillips 66 requested that limits and standards from the Consent Decree which are required to live on beyond the life of the Consent Decree be present in the permit, with authority for those conditions to rest outside of regulatory reference to the Consent Decree itself.  The action removed references to the Consent Decree as a regulatory basis.  The changes which took place in this action are </w:t>
      </w:r>
      <w:proofErr w:type="spellStart"/>
      <w:r w:rsidRPr="00C7419B">
        <w:rPr>
          <w:szCs w:val="24"/>
        </w:rPr>
        <w:t>tabelized</w:t>
      </w:r>
      <w:proofErr w:type="spellEnd"/>
      <w:r w:rsidRPr="00C7419B">
        <w:rPr>
          <w:szCs w:val="24"/>
        </w:rPr>
        <w:t xml:space="preserve"> in the MAQP.  Following the first table is a table which contains additional information regarding all conditions in the MAQP which are believed to have originated through the Consent Decree.  </w:t>
      </w:r>
      <w:r w:rsidRPr="00C7419B">
        <w:rPr>
          <w:b/>
          <w:szCs w:val="24"/>
        </w:rPr>
        <w:t>MAQP #2619-31</w:t>
      </w:r>
      <w:r w:rsidRPr="00C7419B">
        <w:rPr>
          <w:szCs w:val="24"/>
        </w:rPr>
        <w:t xml:space="preserve"> replaced MAQP #2619-30.</w:t>
      </w:r>
    </w:p>
    <w:p w14:paraId="42CF2E31" w14:textId="77777777" w:rsidR="00934107" w:rsidRPr="00C7419B" w:rsidRDefault="00934107" w:rsidP="0074420E">
      <w:pPr>
        <w:rPr>
          <w:szCs w:val="24"/>
        </w:rPr>
      </w:pPr>
    </w:p>
    <w:p w14:paraId="538A938C" w14:textId="4A9BDAD6" w:rsidR="00054416" w:rsidRPr="00C7419B" w:rsidRDefault="00054416" w:rsidP="0074420E">
      <w:pPr>
        <w:rPr>
          <w:szCs w:val="24"/>
        </w:rPr>
      </w:pPr>
      <w:r w:rsidRPr="00C7419B">
        <w:rPr>
          <w:color w:val="000000"/>
          <w:szCs w:val="24"/>
        </w:rPr>
        <w:t xml:space="preserve">On September 16, 2014, </w:t>
      </w:r>
      <w:r w:rsidR="00F54677" w:rsidRPr="00C7419B">
        <w:rPr>
          <w:color w:val="000000"/>
          <w:szCs w:val="24"/>
        </w:rPr>
        <w:t>DEQ</w:t>
      </w:r>
      <w:r w:rsidRPr="00C7419B">
        <w:rPr>
          <w:color w:val="000000"/>
          <w:szCs w:val="24"/>
        </w:rPr>
        <w:t xml:space="preserve"> received an application from Phillips 66 to propose physical and operational changes to process units and auxiliary facilities at the refinery </w:t>
      </w:r>
      <w:proofErr w:type="gramStart"/>
      <w:r w:rsidRPr="00C7419B">
        <w:rPr>
          <w:color w:val="000000"/>
          <w:szCs w:val="24"/>
        </w:rPr>
        <w:t>in order to</w:t>
      </w:r>
      <w:proofErr w:type="gramEnd"/>
      <w:r w:rsidRPr="00C7419B">
        <w:rPr>
          <w:color w:val="000000"/>
          <w:szCs w:val="24"/>
        </w:rPr>
        <w:t xml:space="preserve"> provide more optimized operations for a broader spectrum of crude oil slates.  This application was assigned </w:t>
      </w:r>
      <w:r w:rsidRPr="00C7419B">
        <w:rPr>
          <w:b/>
          <w:color w:val="000000"/>
          <w:szCs w:val="24"/>
        </w:rPr>
        <w:t>MAQP #2619-32</w:t>
      </w:r>
      <w:r w:rsidRPr="00C7419B">
        <w:rPr>
          <w:color w:val="000000"/>
          <w:szCs w:val="24"/>
        </w:rPr>
        <w:t>.  Changes were primarily related to certain crude distillation, hydrogen production and recovery, fuel gas amine treatment, wastewater treatment, and sulfur recovery equipment and operations.  A detailed list of project-affected equipment with a description of the changes proposed is presented in the MAQP</w:t>
      </w:r>
      <w:r w:rsidR="00571CFE" w:rsidRPr="00C7419B">
        <w:rPr>
          <w:color w:val="000000"/>
          <w:szCs w:val="24"/>
        </w:rPr>
        <w:t>.</w:t>
      </w:r>
    </w:p>
    <w:p w14:paraId="132666B2" w14:textId="721F1259" w:rsidR="00054416" w:rsidRPr="00C7419B" w:rsidRDefault="00054416" w:rsidP="0074420E">
      <w:pPr>
        <w:rPr>
          <w:szCs w:val="24"/>
        </w:rPr>
      </w:pPr>
      <w:r w:rsidRPr="00C7419B">
        <w:rPr>
          <w:szCs w:val="24"/>
        </w:rPr>
        <w:lastRenderedPageBreak/>
        <w:t xml:space="preserve">On September 21, 2015, </w:t>
      </w:r>
      <w:r w:rsidR="00F54677" w:rsidRPr="00C7419B">
        <w:rPr>
          <w:szCs w:val="24"/>
        </w:rPr>
        <w:t>DEQ</w:t>
      </w:r>
      <w:r w:rsidRPr="00C7419B">
        <w:rPr>
          <w:szCs w:val="24"/>
        </w:rPr>
        <w:t xml:space="preserve"> received an administrative amendment request from Phillips 66 to clarify certain provisions and emission limits that were initially adopted under the consent decree.  The revisions also address the triggering of 40 CFR 60 Subpart Ja for certain units, including flares.  Per 40 CFR 60 Subpart Ja, flares which have triggered Subpart Ja and were meeting Subpart J requirements pursuant to a federal consent decree, will continue to meet those requirements until November 11, 2015, at which time all the requirements of Subpart Ja will apply.  The requested permit changes included clarification of how the modified flares will comply before and after November 11, 2015.</w:t>
      </w:r>
      <w:r w:rsidR="00EC1B3E" w:rsidRPr="00C7419B">
        <w:rPr>
          <w:szCs w:val="24"/>
        </w:rPr>
        <w:t xml:space="preserve"> </w:t>
      </w:r>
      <w:r w:rsidRPr="00C7419B">
        <w:rPr>
          <w:szCs w:val="24"/>
        </w:rPr>
        <w:t xml:space="preserve"> </w:t>
      </w:r>
      <w:r w:rsidRPr="00C7419B">
        <w:rPr>
          <w:b/>
          <w:szCs w:val="24"/>
        </w:rPr>
        <w:t>MAQP #2619-33</w:t>
      </w:r>
      <w:r w:rsidRPr="00C7419B">
        <w:rPr>
          <w:szCs w:val="24"/>
        </w:rPr>
        <w:t xml:space="preserve"> replaced MAQP #2619-32.</w:t>
      </w:r>
    </w:p>
    <w:p w14:paraId="28E1EB27" w14:textId="6D5071C2" w:rsidR="00F542F4" w:rsidRPr="00C7419B" w:rsidRDefault="00F542F4" w:rsidP="0074420E">
      <w:pPr>
        <w:rPr>
          <w:szCs w:val="24"/>
        </w:rPr>
      </w:pPr>
    </w:p>
    <w:p w14:paraId="3CCB3F97" w14:textId="51712431" w:rsidR="00F542F4" w:rsidRPr="00C7419B" w:rsidRDefault="00F542F4" w:rsidP="00F542F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 xml:space="preserve">On March 14, 2016, </w:t>
      </w:r>
      <w:r w:rsidR="00F54677" w:rsidRPr="00C7419B">
        <w:rPr>
          <w:szCs w:val="24"/>
        </w:rPr>
        <w:t>DEQ</w:t>
      </w:r>
      <w:r w:rsidRPr="00C7419B">
        <w:rPr>
          <w:szCs w:val="24"/>
        </w:rPr>
        <w:t xml:space="preserve"> received from Phillips 66 a request for an administrative amendment of the MAQP.  Changes requested include updating information regarding the cooling towers to be installed as part of the Vacuum Improvement Project to reflect changes made and approved through the de minimis provisions of ARM 17.8.745, and to correct an error regarding identification of tanks which will be removed from service as part of the Vacuum Improvement Project. Lastly, the letter received on March 14th provided notice regarding a change in stack height for the Large Crude Unit Heater H-24, from 152 feet to 195 feet 10 inches. No revision to the MAQP was necessary for the stack height change and a separate de minimis approval letter was sent to Phillips 66 regarding this change.  </w:t>
      </w:r>
      <w:r w:rsidRPr="00C7419B">
        <w:rPr>
          <w:b/>
          <w:szCs w:val="24"/>
        </w:rPr>
        <w:t>MAQP #2619-34</w:t>
      </w:r>
      <w:r w:rsidRPr="00C7419B">
        <w:rPr>
          <w:szCs w:val="24"/>
        </w:rPr>
        <w:t xml:space="preserve"> replaced MAQP #2619-33.</w:t>
      </w:r>
    </w:p>
    <w:p w14:paraId="2B93F5BD" w14:textId="77777777" w:rsidR="00F542F4" w:rsidRPr="00C7419B" w:rsidRDefault="00F542F4" w:rsidP="00F542F4">
      <w:pPr>
        <w:rPr>
          <w:color w:val="000000"/>
          <w:szCs w:val="24"/>
        </w:rPr>
      </w:pPr>
    </w:p>
    <w:p w14:paraId="3C9AD361" w14:textId="30574CB1" w:rsidR="00F542F4" w:rsidRPr="00C7419B" w:rsidRDefault="00F542F4" w:rsidP="00F542F4">
      <w:pPr>
        <w:rPr>
          <w:color w:val="000000"/>
          <w:szCs w:val="24"/>
        </w:rPr>
      </w:pPr>
      <w:r w:rsidRPr="00C7419B">
        <w:rPr>
          <w:color w:val="000000"/>
          <w:szCs w:val="24"/>
        </w:rPr>
        <w:t xml:space="preserve">On April 24, </w:t>
      </w:r>
      <w:r w:rsidR="0085697B" w:rsidRPr="00C7419B">
        <w:rPr>
          <w:color w:val="000000"/>
          <w:szCs w:val="24"/>
        </w:rPr>
        <w:t>2017,</w:t>
      </w:r>
      <w:r w:rsidRPr="00C7419B">
        <w:rPr>
          <w:color w:val="000000"/>
          <w:szCs w:val="24"/>
        </w:rPr>
        <w:t xml:space="preserve"> </w:t>
      </w:r>
      <w:r w:rsidR="00F54677" w:rsidRPr="00C7419B">
        <w:rPr>
          <w:color w:val="000000"/>
          <w:szCs w:val="24"/>
        </w:rPr>
        <w:t>DEQ</w:t>
      </w:r>
      <w:r w:rsidRPr="00C7419B">
        <w:rPr>
          <w:color w:val="000000"/>
          <w:szCs w:val="24"/>
        </w:rPr>
        <w:t xml:space="preserve"> received from Phillips 66 a request for an administrative amendment of the MAQP to clarify equipment associated with the API Separator System being installed as part of the Vacuum Improvement Project.  Specifically, this permit update clarifies that the API Separator System includes the “Slop Oil Vessel T-4526” and the “Sludge Hopper T-4527”.  P66 has requested this clarification to ensure that equipment installed on-site is understood to have been included at the time of permitting of the Vacuum Improvement Project.  DEQ </w:t>
      </w:r>
      <w:r w:rsidR="000E470C" w:rsidRPr="00C7419B">
        <w:rPr>
          <w:color w:val="000000"/>
          <w:szCs w:val="24"/>
        </w:rPr>
        <w:t>agreed and</w:t>
      </w:r>
      <w:r w:rsidRPr="00C7419B">
        <w:rPr>
          <w:color w:val="000000"/>
          <w:szCs w:val="24"/>
        </w:rPr>
        <w:t xml:space="preserve"> noted that the Separator System consists of equipment which includes the </w:t>
      </w:r>
      <w:proofErr w:type="gramStart"/>
      <w:r w:rsidRPr="00C7419B">
        <w:rPr>
          <w:color w:val="000000"/>
          <w:szCs w:val="24"/>
        </w:rPr>
        <w:t>aforementioned units</w:t>
      </w:r>
      <w:proofErr w:type="gramEnd"/>
      <w:r w:rsidRPr="00C7419B">
        <w:rPr>
          <w:color w:val="000000"/>
          <w:szCs w:val="24"/>
        </w:rPr>
        <w:t xml:space="preserve">, and in fact, the definition of a Separator in </w:t>
      </w:r>
      <w:r w:rsidR="00123710" w:rsidRPr="00C7419B">
        <w:rPr>
          <w:color w:val="000000"/>
          <w:szCs w:val="24"/>
        </w:rPr>
        <w:t>relevant</w:t>
      </w:r>
      <w:r w:rsidRPr="00C7419B">
        <w:rPr>
          <w:color w:val="000000"/>
          <w:szCs w:val="24"/>
        </w:rPr>
        <w:t xml:space="preserve"> federal rules includes not only the separation unit itself but also the forebay and other separator basins and sludge hoppers, amongst other equipment (see 40 Code of Federal Regulations (CFR) §63.1041).  </w:t>
      </w:r>
      <w:proofErr w:type="gramStart"/>
      <w:r w:rsidRPr="00C7419B">
        <w:rPr>
          <w:color w:val="000000"/>
          <w:szCs w:val="24"/>
        </w:rPr>
        <w:t>Section  II.J.7</w:t>
      </w:r>
      <w:proofErr w:type="gramEnd"/>
      <w:r w:rsidRPr="00C7419B">
        <w:rPr>
          <w:color w:val="000000"/>
          <w:szCs w:val="24"/>
        </w:rPr>
        <w:t xml:space="preserve"> of the MAQP was updated to reflect the separator system.  </w:t>
      </w:r>
    </w:p>
    <w:p w14:paraId="6EAA3432" w14:textId="77777777" w:rsidR="00F542F4" w:rsidRPr="00C7419B" w:rsidRDefault="00F542F4" w:rsidP="00F542F4">
      <w:pPr>
        <w:rPr>
          <w:color w:val="000000"/>
          <w:szCs w:val="24"/>
        </w:rPr>
      </w:pPr>
    </w:p>
    <w:p w14:paraId="51C78D37" w14:textId="77777777" w:rsidR="00F542F4" w:rsidRPr="00C7419B" w:rsidRDefault="00F542F4" w:rsidP="00F542F4">
      <w:pPr>
        <w:rPr>
          <w:color w:val="000000"/>
          <w:szCs w:val="24"/>
        </w:rPr>
      </w:pPr>
      <w:r w:rsidRPr="00C7419B">
        <w:rPr>
          <w:color w:val="000000"/>
          <w:szCs w:val="24"/>
        </w:rPr>
        <w:t xml:space="preserve">The permit was also updated to reflect the de minimis addition of a residuum tank, identified as Tank # T-0852, to condition II.A.3.c.  This tank will hold crude distillation residuum and will allow the existing Tank 107 to be temporarily taken out of service for inspections.  </w:t>
      </w:r>
      <w:r w:rsidRPr="00C7419B">
        <w:rPr>
          <w:b/>
          <w:color w:val="000000"/>
          <w:szCs w:val="24"/>
        </w:rPr>
        <w:t>MAQP #2619-35</w:t>
      </w:r>
      <w:r w:rsidRPr="00C7419B">
        <w:rPr>
          <w:color w:val="000000"/>
          <w:szCs w:val="24"/>
        </w:rPr>
        <w:t xml:space="preserve"> replaced MAQP #2619-34.</w:t>
      </w:r>
    </w:p>
    <w:p w14:paraId="7586F820" w14:textId="77777777" w:rsidR="00F542F4" w:rsidRPr="00C7419B" w:rsidRDefault="00F542F4" w:rsidP="00F542F4">
      <w:pPr>
        <w:rPr>
          <w:color w:val="000000"/>
          <w:szCs w:val="24"/>
        </w:rPr>
      </w:pPr>
    </w:p>
    <w:p w14:paraId="67CC2893" w14:textId="2C0B554F" w:rsidR="00F542F4" w:rsidRPr="00C7419B" w:rsidRDefault="00F542F4" w:rsidP="00F542F4">
      <w:pPr>
        <w:rPr>
          <w:color w:val="000000"/>
          <w:szCs w:val="24"/>
        </w:rPr>
      </w:pPr>
      <w:r w:rsidRPr="00C7419B">
        <w:rPr>
          <w:color w:val="000000"/>
          <w:szCs w:val="24"/>
        </w:rPr>
        <w:t xml:space="preserve">On March 29, 2018, </w:t>
      </w:r>
      <w:r w:rsidR="00F54677" w:rsidRPr="00C7419B">
        <w:rPr>
          <w:color w:val="000000"/>
          <w:szCs w:val="24"/>
        </w:rPr>
        <w:t>DEQ</w:t>
      </w:r>
      <w:r w:rsidRPr="00C7419B">
        <w:rPr>
          <w:color w:val="000000"/>
          <w:szCs w:val="24"/>
        </w:rPr>
        <w:t xml:space="preserve"> received from Phillips 66 an application to modify the oxides of nitrogen (NO</w:t>
      </w:r>
      <w:r w:rsidRPr="00C7419B">
        <w:rPr>
          <w:color w:val="000000"/>
          <w:szCs w:val="24"/>
          <w:vertAlign w:val="subscript"/>
        </w:rPr>
        <w:t>X</w:t>
      </w:r>
      <w:r w:rsidRPr="00C7419B">
        <w:rPr>
          <w:color w:val="000000"/>
          <w:szCs w:val="24"/>
        </w:rPr>
        <w:t>) emissions limitations associated with the No. 1 H</w:t>
      </w:r>
      <w:r w:rsidRPr="00C7419B">
        <w:rPr>
          <w:color w:val="000000"/>
          <w:szCs w:val="24"/>
          <w:vertAlign w:val="subscript"/>
        </w:rPr>
        <w:t xml:space="preserve">2 </w:t>
      </w:r>
      <w:r w:rsidRPr="00C7419B">
        <w:rPr>
          <w:color w:val="000000"/>
          <w:szCs w:val="24"/>
        </w:rPr>
        <w:t xml:space="preserve">Plant Reformer Heater, H-9401.  Based on source testing, the 0.030 pound per million </w:t>
      </w:r>
      <w:r w:rsidR="00800859" w:rsidRPr="00C7419B">
        <w:rPr>
          <w:color w:val="000000"/>
          <w:szCs w:val="24"/>
        </w:rPr>
        <w:t>British</w:t>
      </w:r>
      <w:r w:rsidRPr="00C7419B">
        <w:rPr>
          <w:color w:val="000000"/>
          <w:szCs w:val="24"/>
        </w:rPr>
        <w:t xml:space="preserve"> thermal units (</w:t>
      </w:r>
      <w:proofErr w:type="spellStart"/>
      <w:r w:rsidRPr="00C7419B">
        <w:rPr>
          <w:color w:val="000000"/>
          <w:szCs w:val="24"/>
        </w:rPr>
        <w:t>lb</w:t>
      </w:r>
      <w:proofErr w:type="spellEnd"/>
      <w:r w:rsidRPr="00C7419B">
        <w:rPr>
          <w:color w:val="000000"/>
          <w:szCs w:val="24"/>
        </w:rPr>
        <w:t>/MMBtu) NO</w:t>
      </w:r>
      <w:r w:rsidRPr="00C7419B">
        <w:rPr>
          <w:color w:val="000000"/>
          <w:szCs w:val="24"/>
          <w:vertAlign w:val="subscript"/>
        </w:rPr>
        <w:t>X</w:t>
      </w:r>
      <w:r w:rsidRPr="00C7419B">
        <w:rPr>
          <w:color w:val="000000"/>
          <w:szCs w:val="24"/>
        </w:rPr>
        <w:t xml:space="preserve"> emissions limit was found not achievable.  Because this heater was modified as part of the Vacuum Improvement Project, the current action entails a Prevention of Significant Deterioration (PSD) lookback to this project.  The analysis as completed at that time is essentially re-worked utilizing the higher NO</w:t>
      </w:r>
      <w:r w:rsidRPr="00C7419B">
        <w:rPr>
          <w:color w:val="000000"/>
          <w:szCs w:val="24"/>
          <w:vertAlign w:val="subscript"/>
        </w:rPr>
        <w:t>X</w:t>
      </w:r>
      <w:r w:rsidRPr="00C7419B">
        <w:rPr>
          <w:color w:val="000000"/>
          <w:szCs w:val="24"/>
        </w:rPr>
        <w:t xml:space="preserve"> emissions factor now applied to the heater.  The netting analysis is included in the permit analysis, and the increases do not change the status of the Vacuum Improvement Project as not triggering PSD for NO</w:t>
      </w:r>
      <w:r w:rsidRPr="00C7419B">
        <w:rPr>
          <w:color w:val="000000"/>
          <w:szCs w:val="24"/>
          <w:vertAlign w:val="subscript"/>
        </w:rPr>
        <w:t>X</w:t>
      </w:r>
      <w:r w:rsidRPr="00C7419B">
        <w:rPr>
          <w:color w:val="000000"/>
          <w:szCs w:val="24"/>
        </w:rPr>
        <w:t xml:space="preserve">.  </w:t>
      </w:r>
    </w:p>
    <w:p w14:paraId="7F99647E" w14:textId="77777777" w:rsidR="00F542F4" w:rsidRPr="00C7419B" w:rsidRDefault="00F542F4" w:rsidP="00F542F4">
      <w:pPr>
        <w:rPr>
          <w:color w:val="000000"/>
          <w:szCs w:val="24"/>
        </w:rPr>
      </w:pPr>
    </w:p>
    <w:p w14:paraId="0E640124" w14:textId="6439C71E" w:rsidR="00F542F4" w:rsidRPr="00C7419B" w:rsidRDefault="00F542F4" w:rsidP="00F542F4">
      <w:pPr>
        <w:rPr>
          <w:color w:val="000000"/>
          <w:szCs w:val="24"/>
        </w:rPr>
      </w:pPr>
      <w:r w:rsidRPr="00C7419B">
        <w:rPr>
          <w:color w:val="000000"/>
          <w:szCs w:val="24"/>
        </w:rPr>
        <w:t>Additional information was received on April 23</w:t>
      </w:r>
      <w:r w:rsidRPr="00C7419B">
        <w:rPr>
          <w:color w:val="000000"/>
          <w:szCs w:val="24"/>
          <w:vertAlign w:val="superscript"/>
        </w:rPr>
        <w:t>rd</w:t>
      </w:r>
      <w:r w:rsidRPr="00C7419B">
        <w:rPr>
          <w:color w:val="000000"/>
          <w:szCs w:val="24"/>
        </w:rPr>
        <w:t xml:space="preserve"> regarding the limit and determination of applicable federal rules. On April 24, 2018, </w:t>
      </w:r>
      <w:r w:rsidR="00F54677" w:rsidRPr="00C7419B">
        <w:rPr>
          <w:color w:val="000000"/>
          <w:szCs w:val="24"/>
        </w:rPr>
        <w:t>DEQ</w:t>
      </w:r>
      <w:r w:rsidRPr="00C7419B">
        <w:rPr>
          <w:color w:val="000000"/>
          <w:szCs w:val="24"/>
        </w:rPr>
        <w:t xml:space="preserve"> received an affidavit of publication of public notice, completing the application.  </w:t>
      </w:r>
    </w:p>
    <w:p w14:paraId="0AA39DD6" w14:textId="77777777" w:rsidR="00F542F4" w:rsidRPr="00C7419B" w:rsidRDefault="00F542F4" w:rsidP="00F542F4">
      <w:pPr>
        <w:rPr>
          <w:color w:val="000000"/>
          <w:szCs w:val="24"/>
        </w:rPr>
      </w:pPr>
    </w:p>
    <w:p w14:paraId="45CD9AEE" w14:textId="77777777" w:rsidR="00F542F4" w:rsidRPr="00C7419B" w:rsidRDefault="00F542F4" w:rsidP="00F542F4">
      <w:pPr>
        <w:rPr>
          <w:color w:val="000000"/>
          <w:szCs w:val="24"/>
        </w:rPr>
      </w:pPr>
      <w:r w:rsidRPr="00C7419B">
        <w:rPr>
          <w:color w:val="000000"/>
          <w:szCs w:val="24"/>
        </w:rPr>
        <w:lastRenderedPageBreak/>
        <w:t>This permit action modified NO</w:t>
      </w:r>
      <w:r w:rsidRPr="00C7419B">
        <w:rPr>
          <w:color w:val="000000"/>
          <w:szCs w:val="24"/>
          <w:vertAlign w:val="subscript"/>
        </w:rPr>
        <w:t>X</w:t>
      </w:r>
      <w:r w:rsidRPr="00C7419B">
        <w:rPr>
          <w:color w:val="000000"/>
          <w:szCs w:val="24"/>
        </w:rPr>
        <w:t xml:space="preserve"> limits associated with this heater to 0.042 </w:t>
      </w:r>
      <w:proofErr w:type="spellStart"/>
      <w:r w:rsidRPr="00C7419B">
        <w:rPr>
          <w:color w:val="000000"/>
          <w:szCs w:val="24"/>
        </w:rPr>
        <w:t>lb</w:t>
      </w:r>
      <w:proofErr w:type="spellEnd"/>
      <w:r w:rsidRPr="00C7419B">
        <w:rPr>
          <w:color w:val="000000"/>
          <w:szCs w:val="24"/>
        </w:rPr>
        <w:t xml:space="preserve">/MMBtu.  </w:t>
      </w:r>
      <w:r w:rsidRPr="00C7419B">
        <w:rPr>
          <w:b/>
          <w:color w:val="000000"/>
          <w:szCs w:val="24"/>
        </w:rPr>
        <w:t>MAQP #2619-36</w:t>
      </w:r>
      <w:r w:rsidRPr="00C7419B">
        <w:rPr>
          <w:color w:val="000000"/>
          <w:szCs w:val="24"/>
        </w:rPr>
        <w:t xml:space="preserve"> replaced MAQP #2619-35.  </w:t>
      </w:r>
    </w:p>
    <w:p w14:paraId="590FF87E" w14:textId="77777777" w:rsidR="00F542F4" w:rsidRPr="00C7419B" w:rsidRDefault="00F542F4" w:rsidP="00F542F4">
      <w:pPr>
        <w:rPr>
          <w:color w:val="000000"/>
          <w:szCs w:val="24"/>
        </w:rPr>
      </w:pPr>
    </w:p>
    <w:p w14:paraId="2D7810B1" w14:textId="393A1D3D" w:rsidR="00F542F4" w:rsidRPr="00C7419B" w:rsidRDefault="00F542F4" w:rsidP="00F542F4">
      <w:pPr>
        <w:rPr>
          <w:color w:val="000000"/>
          <w:szCs w:val="24"/>
        </w:rPr>
      </w:pPr>
      <w:r w:rsidRPr="00C7419B">
        <w:rPr>
          <w:color w:val="000000"/>
          <w:szCs w:val="24"/>
        </w:rPr>
        <w:t xml:space="preserve">On December 20, 2018, </w:t>
      </w:r>
      <w:r w:rsidR="00F54677" w:rsidRPr="00C7419B">
        <w:rPr>
          <w:color w:val="000000"/>
          <w:szCs w:val="24"/>
        </w:rPr>
        <w:t>DEQ</w:t>
      </w:r>
      <w:r w:rsidRPr="00C7419B">
        <w:rPr>
          <w:color w:val="000000"/>
          <w:szCs w:val="24"/>
        </w:rPr>
        <w:t xml:space="preserve"> received from P66 an application to modify the MAQP and Title V to add two backup engines to the facility, a 665 horsepower (hp) portable backup fire pump and a 300 hp emergency backup engine for redundant HDS Flare Drum Pumps.  A limit of operation of 1,000 hours </w:t>
      </w:r>
      <w:r w:rsidR="00FA47B7" w:rsidRPr="00C7419B">
        <w:rPr>
          <w:color w:val="000000"/>
          <w:szCs w:val="24"/>
        </w:rPr>
        <w:t>was</w:t>
      </w:r>
      <w:r w:rsidRPr="00C7419B">
        <w:rPr>
          <w:color w:val="000000"/>
          <w:szCs w:val="24"/>
        </w:rPr>
        <w:t xml:space="preserve"> proposed for the Flare Drum Pump engine.</w:t>
      </w:r>
      <w:r w:rsidR="00FA47B7" w:rsidRPr="00C7419B">
        <w:rPr>
          <w:color w:val="000000"/>
          <w:szCs w:val="24"/>
        </w:rPr>
        <w:t xml:space="preserve">  </w:t>
      </w:r>
      <w:r w:rsidRPr="00C7419B">
        <w:rPr>
          <w:color w:val="000000"/>
          <w:szCs w:val="24"/>
        </w:rPr>
        <w:t xml:space="preserve">Both engines are to be Tier III rated.  At the request of P66, the permit action incorporated these engines and corresponding limitations.  </w:t>
      </w:r>
      <w:r w:rsidRPr="00C7419B">
        <w:rPr>
          <w:b/>
          <w:color w:val="000000"/>
          <w:szCs w:val="24"/>
        </w:rPr>
        <w:t>MAQP #2619-37</w:t>
      </w:r>
      <w:r w:rsidRPr="00C7419B">
        <w:rPr>
          <w:color w:val="000000"/>
          <w:szCs w:val="24"/>
        </w:rPr>
        <w:t xml:space="preserve"> replaced MAQP #2619-36.  </w:t>
      </w:r>
    </w:p>
    <w:p w14:paraId="2F4C383C" w14:textId="1B17757D" w:rsidR="000711C7" w:rsidRPr="00C7419B" w:rsidRDefault="000711C7" w:rsidP="00F542F4">
      <w:pPr>
        <w:rPr>
          <w:color w:val="000000"/>
          <w:szCs w:val="24"/>
        </w:rPr>
      </w:pPr>
    </w:p>
    <w:p w14:paraId="31C5ABF9" w14:textId="41B9F1B8" w:rsidR="00446894" w:rsidRDefault="00446894" w:rsidP="00446894">
      <w:pPr>
        <w:autoSpaceDE w:val="0"/>
        <w:autoSpaceDN w:val="0"/>
        <w:adjustRightInd w:val="0"/>
        <w:rPr>
          <w:rFonts w:cs="Arial"/>
          <w:szCs w:val="24"/>
        </w:rPr>
      </w:pPr>
      <w:r w:rsidRPr="00C7419B">
        <w:rPr>
          <w:rFonts w:cs="Arial"/>
          <w:szCs w:val="24"/>
        </w:rPr>
        <w:t>On January 10, 2020, MDEQ received from Phillips 66 Company an application to change particulate matter emissions limitations associated with the Sulfur Recovery Operations.</w:t>
      </w:r>
      <w:r w:rsidR="00AC3CC8">
        <w:rPr>
          <w:rFonts w:cs="Arial"/>
          <w:szCs w:val="24"/>
        </w:rPr>
        <w:t xml:space="preserve"> </w:t>
      </w:r>
      <w:r w:rsidRPr="00C7419B">
        <w:rPr>
          <w:rFonts w:cs="Arial"/>
          <w:szCs w:val="24"/>
        </w:rPr>
        <w:t>Following construction and commencement of operation of modifications made in support of and</w:t>
      </w:r>
      <w:r w:rsidR="00AC3CC8">
        <w:rPr>
          <w:rFonts w:cs="Arial"/>
          <w:szCs w:val="24"/>
        </w:rPr>
        <w:t xml:space="preserve"> </w:t>
      </w:r>
      <w:r w:rsidRPr="00C7419B">
        <w:rPr>
          <w:rFonts w:cs="Arial"/>
          <w:szCs w:val="24"/>
        </w:rPr>
        <w:t>permitted as part of the Vacuum Improvement Project in MAQP #2619-32, the emissions of</w:t>
      </w:r>
      <w:r w:rsidR="00AC3CC8">
        <w:rPr>
          <w:rFonts w:cs="Arial"/>
          <w:szCs w:val="24"/>
        </w:rPr>
        <w:t xml:space="preserve"> </w:t>
      </w:r>
      <w:r w:rsidRPr="00C7419B">
        <w:rPr>
          <w:rFonts w:cs="Arial"/>
          <w:szCs w:val="24"/>
        </w:rPr>
        <w:t>particulate matter as measured by Environmental Protection Agency (EPA) Methods 20la and</w:t>
      </w:r>
      <w:r w:rsidR="00AC3CC8">
        <w:rPr>
          <w:rFonts w:cs="Arial"/>
          <w:szCs w:val="24"/>
        </w:rPr>
        <w:t xml:space="preserve"> </w:t>
      </w:r>
      <w:r w:rsidRPr="00C7419B">
        <w:rPr>
          <w:rFonts w:cs="Arial"/>
          <w:szCs w:val="24"/>
        </w:rPr>
        <w:t xml:space="preserve">202 were found to be </w:t>
      </w:r>
      <w:proofErr w:type="gramStart"/>
      <w:r w:rsidRPr="00C7419B">
        <w:rPr>
          <w:rFonts w:cs="Arial"/>
          <w:szCs w:val="24"/>
        </w:rPr>
        <w:t>in excess of</w:t>
      </w:r>
      <w:proofErr w:type="gramEnd"/>
      <w:r w:rsidRPr="00C7419B">
        <w:rPr>
          <w:rFonts w:cs="Arial"/>
          <w:szCs w:val="24"/>
        </w:rPr>
        <w:t xml:space="preserve"> that allowed by permit conditions.</w:t>
      </w:r>
    </w:p>
    <w:p w14:paraId="6C2CEF6A" w14:textId="77777777" w:rsidR="0085697B" w:rsidRPr="00C7419B" w:rsidRDefault="0085697B" w:rsidP="00446894">
      <w:pPr>
        <w:autoSpaceDE w:val="0"/>
        <w:autoSpaceDN w:val="0"/>
        <w:adjustRightInd w:val="0"/>
        <w:rPr>
          <w:rFonts w:cs="Arial"/>
          <w:szCs w:val="24"/>
        </w:rPr>
      </w:pPr>
    </w:p>
    <w:p w14:paraId="38E2CB48" w14:textId="223E0788" w:rsidR="00446894" w:rsidRPr="00C7419B" w:rsidRDefault="00446894" w:rsidP="00446894">
      <w:pPr>
        <w:autoSpaceDE w:val="0"/>
        <w:autoSpaceDN w:val="0"/>
        <w:adjustRightInd w:val="0"/>
        <w:rPr>
          <w:rFonts w:cs="Arial"/>
          <w:szCs w:val="24"/>
        </w:rPr>
      </w:pPr>
      <w:r w:rsidRPr="00C7419B">
        <w:rPr>
          <w:rFonts w:cs="Arial"/>
          <w:szCs w:val="24"/>
        </w:rPr>
        <w:t>Following extensive review by Phillips 66 and Jupiter Sulphur, LLC to minimize emissions including condensable emissions, based on additional source testing, the limitations were determined unachievable. The permitting action increased the allowable emissions from Main Stack 1 and 2 to levels proposed as achievable by Phillips 66. Because these limits were established as part of the Vacuum Improvement Project, and the limits served in part to define allowable emissions which ensured the project did not exceed thresholds triggering the PSD requirements of ARM 17.8 Subchapter 8, the permitting action was reviewed as if re-permitting the action of MAQP #2619-32. In doing so, the project triggered PSD for particulate matter, particulate matter with aerodynamic diameter of 10 microns or less, and particulate matter with aerodynamic diameter of 2.5 microns or less. The project also triggered PSD for greenhouse gases.</w:t>
      </w:r>
    </w:p>
    <w:p w14:paraId="70F7C513" w14:textId="77777777" w:rsidR="00446894" w:rsidRPr="00C7419B" w:rsidRDefault="00446894" w:rsidP="00446894">
      <w:pPr>
        <w:autoSpaceDE w:val="0"/>
        <w:autoSpaceDN w:val="0"/>
        <w:adjustRightInd w:val="0"/>
        <w:rPr>
          <w:rFonts w:cs="Arial"/>
          <w:szCs w:val="24"/>
        </w:rPr>
      </w:pPr>
    </w:p>
    <w:p w14:paraId="53898E27" w14:textId="271CF4BC" w:rsidR="00446894" w:rsidRPr="00C7419B" w:rsidRDefault="00446894" w:rsidP="00446894">
      <w:pPr>
        <w:autoSpaceDE w:val="0"/>
        <w:autoSpaceDN w:val="0"/>
        <w:adjustRightInd w:val="0"/>
        <w:rPr>
          <w:rFonts w:cs="Arial"/>
          <w:szCs w:val="24"/>
        </w:rPr>
      </w:pPr>
      <w:r w:rsidRPr="00C7419B">
        <w:rPr>
          <w:rFonts w:cs="Arial"/>
          <w:szCs w:val="24"/>
        </w:rPr>
        <w:t xml:space="preserve">On March 3, 2020, MDEQ received </w:t>
      </w:r>
      <w:r w:rsidR="0085697B" w:rsidRPr="00C7419B">
        <w:rPr>
          <w:rFonts w:cs="Arial"/>
          <w:szCs w:val="24"/>
        </w:rPr>
        <w:t>modified</w:t>
      </w:r>
      <w:r w:rsidRPr="00C7419B">
        <w:rPr>
          <w:rFonts w:cs="Arial"/>
          <w:szCs w:val="24"/>
        </w:rPr>
        <w:t xml:space="preserve"> application information in response to an incompleteness letter. MAQP 2619-38 increased the allowable particulate matter related emissions from Jupiter Main Stacks 1 and 2, and reviewed greenhouse gas best available control technology for the physically modified and new emitting units associated with the Vacuum Improvement Project.</w:t>
      </w:r>
      <w:r w:rsidRPr="00C7419B">
        <w:rPr>
          <w:rFonts w:cs="Arial"/>
          <w:b/>
          <w:bCs/>
          <w:szCs w:val="24"/>
        </w:rPr>
        <w:t xml:space="preserve">  MAQP #2619-38 </w:t>
      </w:r>
      <w:r w:rsidRPr="00C7419B">
        <w:rPr>
          <w:rFonts w:cs="Arial"/>
          <w:szCs w:val="24"/>
        </w:rPr>
        <w:t>replace</w:t>
      </w:r>
      <w:r w:rsidR="00FA47B7" w:rsidRPr="00C7419B">
        <w:rPr>
          <w:rFonts w:cs="Arial"/>
          <w:szCs w:val="24"/>
        </w:rPr>
        <w:t>d</w:t>
      </w:r>
      <w:r w:rsidRPr="00C7419B">
        <w:rPr>
          <w:rFonts w:cs="Arial"/>
          <w:szCs w:val="24"/>
        </w:rPr>
        <w:t xml:space="preserve"> MAQP #2619-37.</w:t>
      </w:r>
    </w:p>
    <w:p w14:paraId="7083DD5D" w14:textId="77777777" w:rsidR="00446894" w:rsidRPr="00C7419B" w:rsidRDefault="00446894" w:rsidP="00446894">
      <w:pPr>
        <w:autoSpaceDE w:val="0"/>
        <w:autoSpaceDN w:val="0"/>
        <w:adjustRightInd w:val="0"/>
        <w:rPr>
          <w:rFonts w:cs="Arial"/>
          <w:szCs w:val="24"/>
        </w:rPr>
      </w:pPr>
    </w:p>
    <w:p w14:paraId="2056AD75" w14:textId="4432A0B4" w:rsidR="00446894" w:rsidRPr="00C7419B" w:rsidRDefault="00446894" w:rsidP="00446894">
      <w:pPr>
        <w:autoSpaceDE w:val="0"/>
        <w:autoSpaceDN w:val="0"/>
        <w:adjustRightInd w:val="0"/>
        <w:rPr>
          <w:rFonts w:cs="Arial"/>
          <w:szCs w:val="24"/>
        </w:rPr>
      </w:pPr>
      <w:r w:rsidRPr="00C7419B">
        <w:rPr>
          <w:rFonts w:cs="Arial"/>
          <w:szCs w:val="24"/>
        </w:rPr>
        <w:t>On September 23, 2020, MDEQ received from Phillips 66 an MAQP application for significant changes to the refinery. An addendum to the application was received on October 23, 2020. The</w:t>
      </w:r>
      <w:r w:rsidR="00AC3CC8">
        <w:rPr>
          <w:rFonts w:cs="Arial"/>
          <w:szCs w:val="24"/>
        </w:rPr>
        <w:t xml:space="preserve"> </w:t>
      </w:r>
      <w:r w:rsidRPr="00C7419B">
        <w:rPr>
          <w:rFonts w:cs="Arial"/>
          <w:szCs w:val="24"/>
        </w:rPr>
        <w:t>application triggered the Prevention of Significant Deterioration (PSD) program requirements of</w:t>
      </w:r>
      <w:r w:rsidR="00AC3CC8">
        <w:rPr>
          <w:rFonts w:cs="Arial"/>
          <w:szCs w:val="24"/>
        </w:rPr>
        <w:t xml:space="preserve"> </w:t>
      </w:r>
      <w:r w:rsidRPr="00C7419B">
        <w:rPr>
          <w:rFonts w:cs="Arial"/>
          <w:szCs w:val="24"/>
        </w:rPr>
        <w:t>ARM 17.8 Subchapter 8 for oxides of nitrogen (NOx), particulate matter with an aerodynamic</w:t>
      </w:r>
      <w:r w:rsidR="00AC3CC8">
        <w:rPr>
          <w:rFonts w:cs="Arial"/>
          <w:szCs w:val="24"/>
        </w:rPr>
        <w:t xml:space="preserve"> </w:t>
      </w:r>
      <w:r w:rsidRPr="00C7419B">
        <w:rPr>
          <w:rFonts w:cs="Arial"/>
          <w:szCs w:val="24"/>
        </w:rPr>
        <w:t>diameter of 2.5 microns and less (PM2.5), particulate matter with an aerodynamic diameter of 10</w:t>
      </w:r>
      <w:r w:rsidR="00AC3CC8">
        <w:rPr>
          <w:rFonts w:cs="Arial"/>
          <w:szCs w:val="24"/>
        </w:rPr>
        <w:t xml:space="preserve"> </w:t>
      </w:r>
      <w:r w:rsidRPr="00C7419B">
        <w:rPr>
          <w:rFonts w:cs="Arial"/>
          <w:szCs w:val="24"/>
        </w:rPr>
        <w:t>microns or less (PM10), and greenhouse gases (GHGs). The project also triggered PSD for ozone based on NOx.</w:t>
      </w:r>
    </w:p>
    <w:p w14:paraId="192FDC56" w14:textId="77777777" w:rsidR="00446894" w:rsidRPr="00C7419B" w:rsidRDefault="00446894" w:rsidP="00446894">
      <w:pPr>
        <w:autoSpaceDE w:val="0"/>
        <w:autoSpaceDN w:val="0"/>
        <w:adjustRightInd w:val="0"/>
        <w:rPr>
          <w:rFonts w:cs="Arial"/>
          <w:szCs w:val="24"/>
        </w:rPr>
      </w:pPr>
    </w:p>
    <w:p w14:paraId="35352C93" w14:textId="2C416FC1" w:rsidR="00446894" w:rsidRPr="00C7419B" w:rsidRDefault="00446894" w:rsidP="00446894">
      <w:pPr>
        <w:autoSpaceDE w:val="0"/>
        <w:autoSpaceDN w:val="0"/>
        <w:adjustRightInd w:val="0"/>
        <w:rPr>
          <w:rFonts w:cs="Arial"/>
          <w:szCs w:val="24"/>
        </w:rPr>
      </w:pPr>
      <w:r w:rsidRPr="00C7419B">
        <w:rPr>
          <w:rFonts w:cs="Arial"/>
          <w:szCs w:val="24"/>
        </w:rPr>
        <w:t>The refinery was designed to refine heavy sour crude oil. In general, this permitting action was a</w:t>
      </w:r>
      <w:r w:rsidR="00AC3CC8">
        <w:rPr>
          <w:rFonts w:cs="Arial"/>
          <w:szCs w:val="24"/>
        </w:rPr>
        <w:t xml:space="preserve"> </w:t>
      </w:r>
      <w:r w:rsidRPr="00C7419B">
        <w:rPr>
          <w:rFonts w:cs="Arial"/>
          <w:szCs w:val="24"/>
        </w:rPr>
        <w:t>conglomeration of several projects which would ultimately provide Phillips 66 the ability to</w:t>
      </w:r>
      <w:r w:rsidR="00AC3CC8">
        <w:rPr>
          <w:rFonts w:cs="Arial"/>
          <w:szCs w:val="24"/>
        </w:rPr>
        <w:t xml:space="preserve"> </w:t>
      </w:r>
      <w:r w:rsidRPr="00C7419B">
        <w:rPr>
          <w:rFonts w:cs="Arial"/>
          <w:szCs w:val="24"/>
        </w:rPr>
        <w:t>process crude oils that contain higher percentages of residual material while also maintaining</w:t>
      </w:r>
      <w:r w:rsidR="00AC3CC8">
        <w:rPr>
          <w:rFonts w:cs="Arial"/>
          <w:szCs w:val="24"/>
        </w:rPr>
        <w:t xml:space="preserve"> </w:t>
      </w:r>
      <w:r w:rsidRPr="00C7419B">
        <w:rPr>
          <w:rFonts w:cs="Arial"/>
          <w:szCs w:val="24"/>
        </w:rPr>
        <w:t>compliance with fuel sulfur content requirements (i.e. - process heavier, sour crude). Physical</w:t>
      </w:r>
      <w:r w:rsidR="00AC3CC8">
        <w:rPr>
          <w:rFonts w:cs="Arial"/>
          <w:szCs w:val="24"/>
        </w:rPr>
        <w:t xml:space="preserve"> </w:t>
      </w:r>
      <w:r w:rsidRPr="00C7419B">
        <w:rPr>
          <w:rFonts w:cs="Arial"/>
          <w:szCs w:val="24"/>
        </w:rPr>
        <w:t>changes are expected to the crude units, coker unit, fluidized catalytic cracking unit (FCCU), the</w:t>
      </w:r>
      <w:r w:rsidR="00AC3CC8">
        <w:rPr>
          <w:rFonts w:cs="Arial"/>
          <w:szCs w:val="24"/>
        </w:rPr>
        <w:t xml:space="preserve"> </w:t>
      </w:r>
      <w:r w:rsidRPr="00C7419B">
        <w:rPr>
          <w:rFonts w:cs="Arial"/>
          <w:szCs w:val="24"/>
        </w:rPr>
        <w:t>propylene and butylene mercaptan extracting unit (PB Merox Unit), and the sulfur recovery units (SRUs) at the adjacent Jupiter plant. Additionally, a new hydrogen plant, hydrogen plant #3 (No.</w:t>
      </w:r>
      <w:r w:rsidR="00AC3CC8">
        <w:rPr>
          <w:rFonts w:cs="Arial"/>
          <w:szCs w:val="24"/>
        </w:rPr>
        <w:t xml:space="preserve"> </w:t>
      </w:r>
      <w:r w:rsidRPr="00C7419B">
        <w:rPr>
          <w:rFonts w:cs="Arial"/>
          <w:szCs w:val="24"/>
        </w:rPr>
        <w:t>3 H2 Plant), would be installed (please note at the time of this permit application submittal</w:t>
      </w:r>
      <w:r w:rsidR="00AC3CC8">
        <w:rPr>
          <w:rFonts w:cs="Arial"/>
          <w:szCs w:val="24"/>
        </w:rPr>
        <w:t xml:space="preserve"> </w:t>
      </w:r>
      <w:r w:rsidRPr="00C7419B">
        <w:rPr>
          <w:rFonts w:cs="Arial"/>
          <w:szCs w:val="24"/>
        </w:rPr>
        <w:t xml:space="preserve">construction of this </w:t>
      </w:r>
      <w:r w:rsidRPr="00C7419B">
        <w:rPr>
          <w:rFonts w:cs="Arial"/>
          <w:szCs w:val="24"/>
        </w:rPr>
        <w:lastRenderedPageBreak/>
        <w:t>unit is not complete). Changes in operation will also affect emissions from</w:t>
      </w:r>
      <w:r w:rsidR="00AC3CC8">
        <w:rPr>
          <w:rFonts w:cs="Arial"/>
          <w:szCs w:val="24"/>
        </w:rPr>
        <w:t xml:space="preserve"> </w:t>
      </w:r>
      <w:r w:rsidRPr="00C7419B">
        <w:rPr>
          <w:rFonts w:cs="Arial"/>
          <w:szCs w:val="24"/>
        </w:rPr>
        <w:t>several existing heaters and unit operations including the delayed coking unit. Relevant permit</w:t>
      </w:r>
      <w:r w:rsidR="00AC3CC8">
        <w:rPr>
          <w:rFonts w:cs="Arial"/>
          <w:szCs w:val="24"/>
        </w:rPr>
        <w:t xml:space="preserve"> </w:t>
      </w:r>
      <w:r w:rsidRPr="00C7419B">
        <w:rPr>
          <w:rFonts w:cs="Arial"/>
          <w:szCs w:val="24"/>
        </w:rPr>
        <w:t>conditions were included throughout the permit. In addition, conditions created relevant to the</w:t>
      </w:r>
      <w:r w:rsidR="00AC3CC8">
        <w:rPr>
          <w:rFonts w:cs="Arial"/>
          <w:szCs w:val="24"/>
        </w:rPr>
        <w:t xml:space="preserve"> </w:t>
      </w:r>
      <w:r w:rsidRPr="00C7419B">
        <w:rPr>
          <w:rFonts w:cs="Arial"/>
          <w:szCs w:val="24"/>
        </w:rPr>
        <w:t>Vacuum Improvement Project, which originally had its own section, were incorporated into the</w:t>
      </w:r>
      <w:r w:rsidR="00AC3CC8">
        <w:rPr>
          <w:rFonts w:cs="Arial"/>
          <w:szCs w:val="24"/>
        </w:rPr>
        <w:t xml:space="preserve"> </w:t>
      </w:r>
      <w:r w:rsidRPr="00C7419B">
        <w:rPr>
          <w:rFonts w:cs="Arial"/>
          <w:szCs w:val="24"/>
        </w:rPr>
        <w:t xml:space="preserve">rest of the permit.  </w:t>
      </w:r>
      <w:r w:rsidRPr="00C7419B">
        <w:rPr>
          <w:rFonts w:cs="Arial"/>
          <w:b/>
          <w:bCs/>
          <w:szCs w:val="24"/>
        </w:rPr>
        <w:t xml:space="preserve">MAQP #2619-39 </w:t>
      </w:r>
      <w:r w:rsidRPr="00C7419B">
        <w:rPr>
          <w:rFonts w:cs="Arial"/>
          <w:szCs w:val="24"/>
        </w:rPr>
        <w:t>replace</w:t>
      </w:r>
      <w:r w:rsidR="00FA47B7" w:rsidRPr="00C7419B">
        <w:rPr>
          <w:rFonts w:cs="Arial"/>
          <w:szCs w:val="24"/>
        </w:rPr>
        <w:t xml:space="preserve">d </w:t>
      </w:r>
      <w:r w:rsidRPr="00C7419B">
        <w:rPr>
          <w:rFonts w:cs="Arial"/>
          <w:szCs w:val="24"/>
        </w:rPr>
        <w:t>MAQP #2619-38.</w:t>
      </w:r>
    </w:p>
    <w:p w14:paraId="5C9D43DC" w14:textId="77777777" w:rsidR="00446894" w:rsidRPr="00C7419B" w:rsidRDefault="00446894" w:rsidP="00446894">
      <w:pPr>
        <w:autoSpaceDE w:val="0"/>
        <w:autoSpaceDN w:val="0"/>
        <w:adjustRightInd w:val="0"/>
        <w:rPr>
          <w:rFonts w:cs="Arial"/>
          <w:szCs w:val="24"/>
        </w:rPr>
      </w:pPr>
    </w:p>
    <w:p w14:paraId="027512AD" w14:textId="19C78322" w:rsidR="00446894" w:rsidRPr="00C7419B" w:rsidRDefault="00446894" w:rsidP="00446894">
      <w:pPr>
        <w:autoSpaceDE w:val="0"/>
        <w:autoSpaceDN w:val="0"/>
        <w:adjustRightInd w:val="0"/>
        <w:rPr>
          <w:rFonts w:cs="Arial"/>
          <w:szCs w:val="24"/>
        </w:rPr>
      </w:pPr>
      <w:r w:rsidRPr="00C7419B">
        <w:rPr>
          <w:rFonts w:cs="Arial"/>
          <w:szCs w:val="24"/>
        </w:rPr>
        <w:t>On January 6, 2021, MDEQ received from Phillips 66 an MAQP application to change the form of limits on the Vacuum Furnace (H-17) and Large Crude Unit Heater (H-24) regarding emissions of oxides of nitrogen (NOx). Limits on these heaters were originally in the form of a pound per million British thermal unit basis (</w:t>
      </w:r>
      <w:proofErr w:type="spellStart"/>
      <w:r w:rsidRPr="00C7419B">
        <w:rPr>
          <w:rFonts w:cs="Arial"/>
          <w:szCs w:val="24"/>
        </w:rPr>
        <w:t>lb</w:t>
      </w:r>
      <w:proofErr w:type="spellEnd"/>
      <w:r w:rsidRPr="00C7419B">
        <w:rPr>
          <w:rFonts w:cs="Arial"/>
          <w:szCs w:val="24"/>
        </w:rPr>
        <w:t xml:space="preserve">/MMBtu), 30 day rolling average, determined daily, with a daily F-factor determination required. This form of limit requires daily refinery fuel gas analyses, producing a compliance demonstration burden that Phillips 66 preferred to forego. Phillips 66 proposed to revise the form of these emission limitations to an equivalent limit on a </w:t>
      </w:r>
      <w:proofErr w:type="gramStart"/>
      <w:r w:rsidRPr="00C7419B">
        <w:rPr>
          <w:rFonts w:cs="Arial"/>
          <w:szCs w:val="24"/>
        </w:rPr>
        <w:t>parts</w:t>
      </w:r>
      <w:proofErr w:type="gramEnd"/>
      <w:r w:rsidRPr="00C7419B">
        <w:rPr>
          <w:rFonts w:cs="Arial"/>
          <w:szCs w:val="24"/>
        </w:rPr>
        <w:t xml:space="preserve"> per million </w:t>
      </w:r>
      <w:proofErr w:type="gramStart"/>
      <w:r w:rsidRPr="00C7419B">
        <w:rPr>
          <w:rFonts w:cs="Arial"/>
          <w:szCs w:val="24"/>
        </w:rPr>
        <w:t>basis</w:t>
      </w:r>
      <w:proofErr w:type="gramEnd"/>
      <w:r w:rsidRPr="00C7419B">
        <w:rPr>
          <w:rFonts w:cs="Arial"/>
          <w:szCs w:val="24"/>
        </w:rPr>
        <w:t>. Doing so required that only the concentration of NOx and oxygen in the stack be measured.</w:t>
      </w:r>
    </w:p>
    <w:p w14:paraId="173A40FA" w14:textId="77777777" w:rsidR="00446894" w:rsidRPr="00C7419B" w:rsidRDefault="00446894" w:rsidP="00446894">
      <w:pPr>
        <w:autoSpaceDE w:val="0"/>
        <w:autoSpaceDN w:val="0"/>
        <w:adjustRightInd w:val="0"/>
        <w:rPr>
          <w:rFonts w:cs="Arial"/>
          <w:szCs w:val="24"/>
        </w:rPr>
      </w:pPr>
    </w:p>
    <w:p w14:paraId="1B577DE1" w14:textId="32E848E2" w:rsidR="00446894" w:rsidRPr="00C7419B" w:rsidRDefault="00446894" w:rsidP="00446894">
      <w:pPr>
        <w:autoSpaceDE w:val="0"/>
        <w:autoSpaceDN w:val="0"/>
        <w:adjustRightInd w:val="0"/>
        <w:rPr>
          <w:rFonts w:cs="Arial"/>
          <w:szCs w:val="24"/>
        </w:rPr>
      </w:pPr>
      <w:r w:rsidRPr="00C7419B">
        <w:rPr>
          <w:rFonts w:cs="Arial"/>
          <w:szCs w:val="24"/>
        </w:rPr>
        <w:t xml:space="preserve">Specifically, Phillips 66 requested that the 0.030 </w:t>
      </w:r>
      <w:proofErr w:type="spellStart"/>
      <w:r w:rsidRPr="00C7419B">
        <w:rPr>
          <w:rFonts w:cs="Arial"/>
          <w:szCs w:val="24"/>
        </w:rPr>
        <w:t>lb</w:t>
      </w:r>
      <w:proofErr w:type="spellEnd"/>
      <w:r w:rsidRPr="00C7419B">
        <w:rPr>
          <w:rFonts w:cs="Arial"/>
          <w:szCs w:val="24"/>
        </w:rPr>
        <w:t xml:space="preserve">/MMBtu limitation on the H-17 heater be changed to </w:t>
      </w:r>
      <w:proofErr w:type="gramStart"/>
      <w:r w:rsidRPr="00C7419B">
        <w:rPr>
          <w:rFonts w:cs="Arial"/>
          <w:szCs w:val="24"/>
        </w:rPr>
        <w:t>a 30 parts</w:t>
      </w:r>
      <w:proofErr w:type="gramEnd"/>
      <w:r w:rsidRPr="00C7419B">
        <w:rPr>
          <w:rFonts w:cs="Arial"/>
          <w:szCs w:val="24"/>
        </w:rPr>
        <w:t xml:space="preserve"> per million by volume limitation on a dry basis (</w:t>
      </w:r>
      <w:proofErr w:type="spellStart"/>
      <w:r w:rsidRPr="00C7419B">
        <w:rPr>
          <w:rFonts w:cs="Arial"/>
          <w:szCs w:val="24"/>
        </w:rPr>
        <w:t>ppmvd</w:t>
      </w:r>
      <w:proofErr w:type="spellEnd"/>
      <w:r w:rsidRPr="00C7419B">
        <w:rPr>
          <w:rFonts w:cs="Arial"/>
          <w:szCs w:val="24"/>
        </w:rPr>
        <w:t xml:space="preserve">), at 0% oxygen, on a </w:t>
      </w:r>
      <w:r w:rsidR="000E470C" w:rsidRPr="00C7419B">
        <w:rPr>
          <w:rFonts w:cs="Arial"/>
          <w:szCs w:val="24"/>
        </w:rPr>
        <w:t>30-day</w:t>
      </w:r>
      <w:r w:rsidRPr="00C7419B">
        <w:rPr>
          <w:rFonts w:cs="Arial"/>
          <w:szCs w:val="24"/>
        </w:rPr>
        <w:t xml:space="preserve"> rolling average, determined daily. The 0.040 </w:t>
      </w:r>
      <w:proofErr w:type="spellStart"/>
      <w:r w:rsidR="00123710" w:rsidRPr="00C7419B">
        <w:rPr>
          <w:rFonts w:cs="Arial"/>
          <w:szCs w:val="24"/>
        </w:rPr>
        <w:t>L</w:t>
      </w:r>
      <w:r w:rsidRPr="00C7419B">
        <w:rPr>
          <w:rFonts w:cs="Arial"/>
          <w:szCs w:val="24"/>
        </w:rPr>
        <w:t>b</w:t>
      </w:r>
      <w:proofErr w:type="spellEnd"/>
      <w:r w:rsidRPr="00C7419B">
        <w:rPr>
          <w:rFonts w:cs="Arial"/>
          <w:szCs w:val="24"/>
        </w:rPr>
        <w:t xml:space="preserve">/MMBtu limitation on the H-24 was requested to be changed to a 40 </w:t>
      </w:r>
      <w:proofErr w:type="spellStart"/>
      <w:r w:rsidRPr="00C7419B">
        <w:rPr>
          <w:rFonts w:cs="Arial"/>
          <w:szCs w:val="24"/>
        </w:rPr>
        <w:t>ppmvd</w:t>
      </w:r>
      <w:proofErr w:type="spellEnd"/>
      <w:r w:rsidRPr="00C7419B">
        <w:rPr>
          <w:rFonts w:cs="Arial"/>
          <w:szCs w:val="24"/>
        </w:rPr>
        <w:t xml:space="preserve"> at 0% oxygen limitation, determined daily on a 30-day rolling average basis. The request resulted in no increase in allowable emissions. A change in emissions monitoring followed, requiring the </w:t>
      </w:r>
      <w:proofErr w:type="spellStart"/>
      <w:r w:rsidRPr="00C7419B">
        <w:rPr>
          <w:rFonts w:cs="Arial"/>
          <w:szCs w:val="24"/>
        </w:rPr>
        <w:t>ppmvd</w:t>
      </w:r>
      <w:proofErr w:type="spellEnd"/>
      <w:r w:rsidRPr="00C7419B">
        <w:rPr>
          <w:rFonts w:cs="Arial"/>
          <w:szCs w:val="24"/>
        </w:rPr>
        <w:t xml:space="preserve"> monitoring requirements of 40 Code of Federal Regulations Part 60, Subpart Ja, which is also applicable to these heaters. These limitations are considered equivalent, as demonstrated by 40 CFR 60 Subpart Ja.  </w:t>
      </w:r>
      <w:r w:rsidRPr="00C7419B">
        <w:rPr>
          <w:rFonts w:cs="Arial"/>
          <w:b/>
          <w:bCs/>
          <w:szCs w:val="24"/>
        </w:rPr>
        <w:t>MAQP #2619-40</w:t>
      </w:r>
      <w:r w:rsidRPr="00C7419B">
        <w:rPr>
          <w:rFonts w:cs="Arial"/>
          <w:szCs w:val="24"/>
        </w:rPr>
        <w:t xml:space="preserve"> replace</w:t>
      </w:r>
      <w:r w:rsidR="00FA47B7" w:rsidRPr="00C7419B">
        <w:rPr>
          <w:rFonts w:cs="Arial"/>
          <w:szCs w:val="24"/>
        </w:rPr>
        <w:t>d</w:t>
      </w:r>
      <w:r w:rsidRPr="00C7419B">
        <w:rPr>
          <w:rFonts w:cs="Arial"/>
          <w:szCs w:val="24"/>
        </w:rPr>
        <w:t xml:space="preserve"> MAQP 2619-39.</w:t>
      </w:r>
    </w:p>
    <w:p w14:paraId="265A90C1" w14:textId="77777777" w:rsidR="00446894" w:rsidRPr="00C7419B" w:rsidRDefault="00446894" w:rsidP="00446894">
      <w:pPr>
        <w:autoSpaceDE w:val="0"/>
        <w:autoSpaceDN w:val="0"/>
        <w:adjustRightInd w:val="0"/>
        <w:rPr>
          <w:rFonts w:cs="Arial"/>
          <w:szCs w:val="24"/>
        </w:rPr>
      </w:pPr>
    </w:p>
    <w:p w14:paraId="15CD85E7" w14:textId="6F800C99" w:rsidR="00446894" w:rsidRPr="00C7419B" w:rsidRDefault="00FA47B7" w:rsidP="00FA47B7">
      <w:pPr>
        <w:autoSpaceDE w:val="0"/>
        <w:autoSpaceDN w:val="0"/>
        <w:adjustRightInd w:val="0"/>
        <w:rPr>
          <w:rFonts w:cs="Arial"/>
          <w:szCs w:val="24"/>
        </w:rPr>
      </w:pPr>
      <w:r w:rsidRPr="00C7419B">
        <w:rPr>
          <w:rFonts w:cs="Arial"/>
          <w:szCs w:val="24"/>
        </w:rPr>
        <w:t xml:space="preserve">On May 4, 2021, MDEQ received from Phillips 66 an MAQP application to reinstate flexible limitations on four heaters with respect to emissions of oxides of nitrogen (NOx). It was requested that the Coker Heater H-3901, the No. 4 Hydrodesulfurization Recycle Hydrogen Heater H-8401, the No. 4 Hydrodesulfurization Fractionator Feed Heater H-8402, and the No. 1 Hydrogen Plant Reformer Heater H-9401 be placed under a bubble limit at 17.22 </w:t>
      </w:r>
      <w:proofErr w:type="spellStart"/>
      <w:r w:rsidRPr="00C7419B">
        <w:rPr>
          <w:rFonts w:cs="Arial"/>
          <w:szCs w:val="24"/>
        </w:rPr>
        <w:t>lb</w:t>
      </w:r>
      <w:proofErr w:type="spellEnd"/>
      <w:r w:rsidRPr="00C7419B">
        <w:rPr>
          <w:rFonts w:cs="Arial"/>
          <w:szCs w:val="24"/>
        </w:rPr>
        <w:t>/</w:t>
      </w:r>
      <w:proofErr w:type="spellStart"/>
      <w:r w:rsidRPr="00C7419B">
        <w:rPr>
          <w:rFonts w:cs="Arial"/>
          <w:szCs w:val="24"/>
        </w:rPr>
        <w:t>hr</w:t>
      </w:r>
      <w:proofErr w:type="spellEnd"/>
      <w:r w:rsidRPr="00C7419B">
        <w:rPr>
          <w:rFonts w:cs="Arial"/>
          <w:szCs w:val="24"/>
        </w:rPr>
        <w:t xml:space="preserve"> and 75.44 tons per year.  </w:t>
      </w:r>
      <w:r w:rsidRPr="00C7419B">
        <w:rPr>
          <w:rFonts w:cs="Arial"/>
          <w:b/>
          <w:bCs/>
          <w:szCs w:val="24"/>
        </w:rPr>
        <w:t xml:space="preserve">MAQP #2619-41 </w:t>
      </w:r>
      <w:r w:rsidRPr="00C7419B">
        <w:rPr>
          <w:rFonts w:cs="Arial"/>
          <w:szCs w:val="24"/>
        </w:rPr>
        <w:t>replaced MAQP #2619-40.</w:t>
      </w:r>
    </w:p>
    <w:p w14:paraId="38A16863" w14:textId="77777777" w:rsidR="00FA47B7" w:rsidRPr="00C7419B" w:rsidRDefault="00FA47B7" w:rsidP="00FA47B7">
      <w:pPr>
        <w:autoSpaceDE w:val="0"/>
        <w:autoSpaceDN w:val="0"/>
        <w:adjustRightInd w:val="0"/>
        <w:rPr>
          <w:rFonts w:cs="Arial"/>
          <w:szCs w:val="24"/>
        </w:rPr>
      </w:pPr>
    </w:p>
    <w:p w14:paraId="48804DF7" w14:textId="3423EF24" w:rsidR="00FA47B7" w:rsidRPr="00C7419B" w:rsidRDefault="00FA47B7" w:rsidP="00FA47B7">
      <w:pPr>
        <w:autoSpaceDE w:val="0"/>
        <w:autoSpaceDN w:val="0"/>
        <w:adjustRightInd w:val="0"/>
        <w:rPr>
          <w:rFonts w:cs="Arial"/>
          <w:szCs w:val="24"/>
        </w:rPr>
      </w:pPr>
      <w:r w:rsidRPr="00C7419B">
        <w:rPr>
          <w:rFonts w:cs="Arial"/>
          <w:szCs w:val="24"/>
        </w:rPr>
        <w:t xml:space="preserve">On October 29, 2021, MDEQ received an application from Phillips 66 to modify the current MAQP 2619-41. Phillips 66 identified that a physical change at the facility will increase the maximum hourly gas oil throughput rate for the FCCU. The allowable annual average gas oil throughput rate of the FCCU would remain the same; therefore, no change to the allowable annual emissions from the unit would result. However, an increase in the maximum hourly emissions rates may occur. This affected the original ambient air quality analyses for short term particulate matter impacts reviewed in the issuance of MAQP #2619-39. The MAQP #2619-42 permit action addressed the change in emissions and associated impacts in the ambient impact analyses section of the permit analysis. MDEQ concluded that this update to the project permitted in MAQP #2619-39 would not change the original determination that it would not cause or contribute to an ambient air quality or ambient increment exceedance. In addition, numerous permit cleanup items including the shutdown or removal of various emitting units were addressed in this action.  </w:t>
      </w:r>
      <w:r w:rsidRPr="00C7419B">
        <w:rPr>
          <w:rFonts w:cs="Arial"/>
          <w:b/>
          <w:bCs/>
          <w:szCs w:val="24"/>
        </w:rPr>
        <w:t xml:space="preserve">MAQP #2619-42 </w:t>
      </w:r>
      <w:r w:rsidRPr="00C7419B">
        <w:rPr>
          <w:rFonts w:cs="Arial"/>
          <w:szCs w:val="24"/>
        </w:rPr>
        <w:t>replaced MAQP #2619-41.</w:t>
      </w:r>
    </w:p>
    <w:p w14:paraId="712691F7" w14:textId="77777777" w:rsidR="00FA47B7" w:rsidRPr="00C7419B" w:rsidRDefault="00FA47B7" w:rsidP="00FA47B7">
      <w:pPr>
        <w:autoSpaceDE w:val="0"/>
        <w:autoSpaceDN w:val="0"/>
        <w:adjustRightInd w:val="0"/>
        <w:rPr>
          <w:rFonts w:cs="Arial"/>
          <w:szCs w:val="24"/>
        </w:rPr>
      </w:pPr>
    </w:p>
    <w:p w14:paraId="1100A69C"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On April 20, 2022, the Montana Department of Environmental Quality – Air Quality Bureau (DEQ), received from Phillips 66, an administrative amendment request to reduce allowable emissions from the Fluid Catalytic Cracking Unit.  In review of emissions inventory estimation methodologies, Phillips 66 discovered an error in calculated emissions of oxides of nitrogen (NO</w:t>
      </w:r>
      <w:r w:rsidRPr="00C7419B">
        <w:rPr>
          <w:szCs w:val="24"/>
          <w:vertAlign w:val="subscript"/>
        </w:rPr>
        <w:t>X</w:t>
      </w:r>
      <w:r w:rsidRPr="00C7419B">
        <w:rPr>
          <w:szCs w:val="24"/>
        </w:rPr>
        <w:t xml:space="preserve">) </w:t>
      </w:r>
      <w:r w:rsidRPr="00C7419B">
        <w:rPr>
          <w:szCs w:val="24"/>
        </w:rPr>
        <w:lastRenderedPageBreak/>
        <w:t>and carbon monoxide (CO) from the fluid catalytic cracking unit (FCCU).  The emissions were calculated to be higher than actual.  Because these previously reported emissions from the FCCU were utilized to calculate net emissions increases for previous project(s), Phillips 66 proposes to reduce allowable future emissions from the FCCU to maintain validity of previous conclusions regarding the project(s).</w:t>
      </w:r>
    </w:p>
    <w:p w14:paraId="61046811"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1193344" w14:textId="51AE1F71"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The current permitting action places a limit on CO emissions from the FCCU at 66.0 tons per year, and limits NO</w:t>
      </w:r>
      <w:r w:rsidRPr="00C7419B">
        <w:rPr>
          <w:szCs w:val="24"/>
          <w:vertAlign w:val="subscript"/>
        </w:rPr>
        <w:t>X</w:t>
      </w:r>
      <w:r w:rsidRPr="00C7419B">
        <w:rPr>
          <w:szCs w:val="24"/>
        </w:rPr>
        <w:t xml:space="preserve"> to 59.64 tons per year.  The CO limit ensures that allowable emissions of CO from the FCCU do not trigger the requirements of the Prevention of Significant Deterioration program as found in ARM 17.8 subchapter 8.  The NO</w:t>
      </w:r>
      <w:r w:rsidRPr="00C7419B">
        <w:rPr>
          <w:szCs w:val="24"/>
          <w:vertAlign w:val="subscript"/>
        </w:rPr>
        <w:t>X</w:t>
      </w:r>
      <w:r w:rsidRPr="00C7419B">
        <w:rPr>
          <w:szCs w:val="24"/>
        </w:rPr>
        <w:t xml:space="preserve"> limit sets the potential to emit as would be determined using a corrected emissions factor.  </w:t>
      </w:r>
      <w:r w:rsidRPr="00C7419B">
        <w:rPr>
          <w:b/>
          <w:bCs/>
          <w:szCs w:val="24"/>
        </w:rPr>
        <w:t xml:space="preserve">MAQP #2619-43 </w:t>
      </w:r>
      <w:r w:rsidRPr="00C7419B">
        <w:rPr>
          <w:szCs w:val="24"/>
        </w:rPr>
        <w:t>replaced MAQP #2619-42.</w:t>
      </w:r>
    </w:p>
    <w:p w14:paraId="799E99E3"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BB6FCD8" w14:textId="77777777" w:rsidR="00FA47B7" w:rsidRPr="00C7419B" w:rsidRDefault="00FA47B7" w:rsidP="00FA47B7">
      <w:pPr>
        <w:autoSpaceDE w:val="0"/>
        <w:autoSpaceDN w:val="0"/>
        <w:adjustRightInd w:val="0"/>
        <w:rPr>
          <w:rFonts w:cs="Arial"/>
          <w:szCs w:val="24"/>
        </w:rPr>
      </w:pPr>
      <w:r w:rsidRPr="00C7419B">
        <w:rPr>
          <w:rFonts w:cs="Arial"/>
          <w:szCs w:val="24"/>
        </w:rPr>
        <w:t>On May 13, 2022, MDEQ received from Phillips 66 an application triggering the Prevention of</w:t>
      </w:r>
    </w:p>
    <w:p w14:paraId="079D7E6A" w14:textId="7B6F2FAD" w:rsidR="00FA47B7" w:rsidRPr="00C7419B" w:rsidRDefault="00FA47B7" w:rsidP="00FA47B7">
      <w:pPr>
        <w:autoSpaceDE w:val="0"/>
        <w:autoSpaceDN w:val="0"/>
        <w:adjustRightInd w:val="0"/>
        <w:rPr>
          <w:rFonts w:cs="Arial"/>
          <w:szCs w:val="24"/>
        </w:rPr>
      </w:pPr>
      <w:r w:rsidRPr="00C7419B">
        <w:rPr>
          <w:rFonts w:cs="Arial"/>
          <w:szCs w:val="24"/>
        </w:rPr>
        <w:t>Significant Deterioration requirements of ARM 17.8 Subchapter 8 (PSD). Phillips 66 discovered that an error was made in the calculation of the CO and NOx emission rates that were reported for the FCCU Stack (EPN 86) in the site's 2018 and 2019 emissions inventories. Those reported emission rates were used as the emissions unit's 2018 and 2019 baseline actual CO and NOx emission rates in the Billings Projects for 2022 PSD applicability analysis calculations – a project permitted as MAQP #2619-39. However, the corrected 2018 and 2019 CO and NOx emission rates are lower than the 2018 and 2019 CO and NOx emission rates that were reported for the emissions unit. Therefore, Phillips 66 proposed to revise the emissions unit's 2018 and 2019 baseline actual CO and NOx emission rates used in the project's PSD applicability analysis calculations so that they equal the unit's corrected 2018 and 2019 CO and NOx emission rates.  Also, after further analysis, Phillips 66 proposed to revise the post-project annual potential to emit CO emission rate for the FCCU Stack. In combination, these updates had the following impacts on the project's PSD applicability analysis: the project will result in a significant net emission increase in CO, thus making the project subject to PSD review for CO; and the project will continue to result in a significant net emission increase in NOx, but the increase will be greater than previously calculated and reviewed.</w:t>
      </w:r>
    </w:p>
    <w:p w14:paraId="4D12AA7E" w14:textId="77777777" w:rsidR="00FA47B7" w:rsidRPr="00C7419B" w:rsidRDefault="00FA47B7" w:rsidP="00FA47B7">
      <w:pPr>
        <w:autoSpaceDE w:val="0"/>
        <w:autoSpaceDN w:val="0"/>
        <w:adjustRightInd w:val="0"/>
        <w:rPr>
          <w:rFonts w:cs="Arial"/>
          <w:szCs w:val="24"/>
        </w:rPr>
      </w:pPr>
    </w:p>
    <w:p w14:paraId="40076054" w14:textId="7384EA05" w:rsidR="00FA47B7" w:rsidRPr="00C7419B" w:rsidRDefault="00FA47B7" w:rsidP="00FA47B7">
      <w:pPr>
        <w:autoSpaceDE w:val="0"/>
        <w:autoSpaceDN w:val="0"/>
        <w:adjustRightInd w:val="0"/>
        <w:rPr>
          <w:rFonts w:cs="Arial"/>
          <w:szCs w:val="24"/>
        </w:rPr>
      </w:pPr>
      <w:r w:rsidRPr="00C7419B">
        <w:rPr>
          <w:rFonts w:cs="Arial"/>
          <w:szCs w:val="24"/>
        </w:rPr>
        <w:t>Therefore, MDEQ re-permitted this project, going through all PSD permitting requirements for</w:t>
      </w:r>
    </w:p>
    <w:p w14:paraId="76075CB7" w14:textId="6023742B" w:rsidR="00FA47B7" w:rsidRPr="00C7419B" w:rsidRDefault="00FA47B7" w:rsidP="00FA47B7">
      <w:pPr>
        <w:autoSpaceDE w:val="0"/>
        <w:autoSpaceDN w:val="0"/>
        <w:adjustRightInd w:val="0"/>
        <w:rPr>
          <w:rFonts w:cs="Arial"/>
          <w:szCs w:val="24"/>
        </w:rPr>
      </w:pPr>
      <w:r w:rsidRPr="00C7419B">
        <w:rPr>
          <w:rFonts w:cs="Arial"/>
          <w:szCs w:val="24"/>
        </w:rPr>
        <w:t>CO, and reassessed the impacts of increased emissions changes of NOx. This action did not</w:t>
      </w:r>
    </w:p>
    <w:p w14:paraId="137CCF65" w14:textId="77777777" w:rsidR="00FA47B7" w:rsidRPr="00C7419B" w:rsidRDefault="00FA47B7" w:rsidP="00FA47B7">
      <w:pPr>
        <w:autoSpaceDE w:val="0"/>
        <w:autoSpaceDN w:val="0"/>
        <w:adjustRightInd w:val="0"/>
        <w:rPr>
          <w:rFonts w:cs="Arial"/>
          <w:szCs w:val="24"/>
        </w:rPr>
      </w:pPr>
      <w:r w:rsidRPr="00C7419B">
        <w:rPr>
          <w:rFonts w:cs="Arial"/>
          <w:szCs w:val="24"/>
        </w:rPr>
        <w:t>change the capacities or proposed operation of the units permitted in the Billings Projects for</w:t>
      </w:r>
    </w:p>
    <w:p w14:paraId="362D135C" w14:textId="77777777" w:rsidR="00FA47B7" w:rsidRPr="00C7419B" w:rsidRDefault="00FA47B7" w:rsidP="00FA47B7">
      <w:pPr>
        <w:autoSpaceDE w:val="0"/>
        <w:autoSpaceDN w:val="0"/>
        <w:adjustRightInd w:val="0"/>
        <w:rPr>
          <w:rFonts w:cs="Arial"/>
          <w:szCs w:val="24"/>
        </w:rPr>
      </w:pPr>
      <w:r w:rsidRPr="00C7419B">
        <w:rPr>
          <w:rFonts w:cs="Arial"/>
          <w:szCs w:val="24"/>
        </w:rPr>
        <w:t>2022, but the FCCU Stack's allowable emissions of CO and NOx on an annual basis were</w:t>
      </w:r>
    </w:p>
    <w:p w14:paraId="2E06ACA2" w14:textId="6D5A073F"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C7419B">
        <w:rPr>
          <w:rFonts w:cs="Arial"/>
          <w:szCs w:val="24"/>
        </w:rPr>
        <w:t xml:space="preserve">increased to allow for operation at the design capacities that Phillips 66 requires.  </w:t>
      </w:r>
      <w:r w:rsidRPr="00C7419B">
        <w:rPr>
          <w:rFonts w:cs="Arial"/>
          <w:b/>
          <w:bCs/>
          <w:szCs w:val="24"/>
        </w:rPr>
        <w:t xml:space="preserve">MAQP #2619-44 </w:t>
      </w:r>
      <w:r w:rsidRPr="00C7419B">
        <w:rPr>
          <w:rFonts w:cs="Arial"/>
          <w:szCs w:val="24"/>
        </w:rPr>
        <w:t>replaced MAQP #2619-43.</w:t>
      </w:r>
    </w:p>
    <w:p w14:paraId="735C97C7"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14:paraId="4FBED5DD" w14:textId="6306BBA9" w:rsidR="00FA47B7" w:rsidRPr="00C7419B" w:rsidRDefault="00FA47B7" w:rsidP="00FA47B7">
      <w:pPr>
        <w:autoSpaceDE w:val="0"/>
        <w:autoSpaceDN w:val="0"/>
        <w:adjustRightInd w:val="0"/>
        <w:rPr>
          <w:szCs w:val="24"/>
        </w:rPr>
      </w:pPr>
      <w:r w:rsidRPr="00C7419B">
        <w:rPr>
          <w:szCs w:val="24"/>
        </w:rPr>
        <w:t>On September 5, 2023, DEQ received from Phillips 66 an application to modify their MAQP based on changes to the refinery under the Vacuum Improvement Project (VIP).  VIP included improvements in crude unit distillation capabilities and wastewater treatment facilities, an increase in hydrogen production capabilities, and an expansion of the Jupiter Sulphur, LLC (Jupiter) sulfur recovery facilities at the existing refinery.</w:t>
      </w:r>
    </w:p>
    <w:p w14:paraId="671F4F88" w14:textId="77777777" w:rsidR="00FA47B7" w:rsidRPr="00C7419B" w:rsidRDefault="00FA47B7" w:rsidP="00FA47B7">
      <w:pPr>
        <w:autoSpaceDE w:val="0"/>
        <w:autoSpaceDN w:val="0"/>
        <w:adjustRightInd w:val="0"/>
        <w:rPr>
          <w:szCs w:val="24"/>
        </w:rPr>
      </w:pPr>
    </w:p>
    <w:p w14:paraId="373B02DA" w14:textId="77777777" w:rsidR="00FA47B7" w:rsidRPr="00C7419B" w:rsidRDefault="00FA47B7" w:rsidP="00FA47B7">
      <w:pPr>
        <w:autoSpaceDE w:val="0"/>
        <w:autoSpaceDN w:val="0"/>
        <w:adjustRightInd w:val="0"/>
        <w:rPr>
          <w:szCs w:val="24"/>
        </w:rPr>
      </w:pPr>
      <w:r w:rsidRPr="00C7419B">
        <w:rPr>
          <w:szCs w:val="24"/>
        </w:rPr>
        <w:t>With this submittal, Phillips 66 is proposing to include two new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emission limitations for two of the affected units affected by the VIP (i.e. Large Crude Unit Heater H-24 and Vacuum Furnace H-17).  This submittal keeps VIP a non-major modification for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under the PSD program.</w:t>
      </w:r>
    </w:p>
    <w:p w14:paraId="6DE934FE" w14:textId="77777777" w:rsidR="00FA47B7" w:rsidRPr="00C7419B" w:rsidRDefault="00FA47B7" w:rsidP="00FA47B7">
      <w:pPr>
        <w:autoSpaceDE w:val="0"/>
        <w:autoSpaceDN w:val="0"/>
        <w:adjustRightInd w:val="0"/>
        <w:rPr>
          <w:szCs w:val="24"/>
        </w:rPr>
      </w:pPr>
    </w:p>
    <w:p w14:paraId="26A2DF46" w14:textId="01DF5278" w:rsidR="00FA47B7" w:rsidRPr="00C7419B" w:rsidRDefault="00FA47B7" w:rsidP="00FA47B7">
      <w:pPr>
        <w:autoSpaceDE w:val="0"/>
        <w:autoSpaceDN w:val="0"/>
        <w:adjustRightInd w:val="0"/>
        <w:rPr>
          <w:szCs w:val="24"/>
        </w:rPr>
      </w:pPr>
      <w:r w:rsidRPr="00C7419B">
        <w:rPr>
          <w:szCs w:val="24"/>
        </w:rPr>
        <w:t>In addition, Phillips 66 requested the following:</w:t>
      </w:r>
    </w:p>
    <w:p w14:paraId="29C2B30C" w14:textId="77777777" w:rsidR="00FA47B7" w:rsidRPr="00C7419B" w:rsidRDefault="00FA47B7" w:rsidP="00FA47B7">
      <w:pPr>
        <w:autoSpaceDE w:val="0"/>
        <w:autoSpaceDN w:val="0"/>
        <w:adjustRightInd w:val="0"/>
        <w:rPr>
          <w:szCs w:val="24"/>
        </w:rPr>
      </w:pPr>
    </w:p>
    <w:p w14:paraId="515C4297"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lastRenderedPageBreak/>
        <w:t>Revise the SO</w:t>
      </w:r>
      <w:r w:rsidRPr="00593151">
        <w:rPr>
          <w:szCs w:val="24"/>
          <w:vertAlign w:val="subscript"/>
        </w:rPr>
        <w:t>2</w:t>
      </w:r>
      <w:r w:rsidRPr="00593151">
        <w:rPr>
          <w:szCs w:val="24"/>
        </w:rPr>
        <w:t xml:space="preserve"> emission limitation addressed in MAQP #2619-39 for the fluid catalytic cracking unit (FCCU). DEQ</w:t>
      </w:r>
      <w:r w:rsidRPr="00C7419B">
        <w:t xml:space="preserve"> </w:t>
      </w:r>
      <w:r w:rsidRPr="00593151">
        <w:rPr>
          <w:szCs w:val="24"/>
        </w:rPr>
        <w:t>did not move forward with the requested change to the FCCU SO</w:t>
      </w:r>
      <w:r w:rsidRPr="00593151">
        <w:rPr>
          <w:szCs w:val="24"/>
          <w:vertAlign w:val="subscript"/>
        </w:rPr>
        <w:t>2</w:t>
      </w:r>
      <w:r w:rsidRPr="00593151">
        <w:rPr>
          <w:szCs w:val="24"/>
        </w:rPr>
        <w:t xml:space="preserve"> requested emission limit change.</w:t>
      </w:r>
    </w:p>
    <w:p w14:paraId="5B73839B"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Clarify the SO</w:t>
      </w:r>
      <w:r w:rsidRPr="00593151">
        <w:rPr>
          <w:szCs w:val="24"/>
          <w:vertAlign w:val="subscript"/>
        </w:rPr>
        <w:t>2</w:t>
      </w:r>
      <w:r w:rsidRPr="00593151">
        <w:rPr>
          <w:szCs w:val="24"/>
        </w:rPr>
        <w:t xml:space="preserve"> emission limitation addressed in MAQP #2619-32 for the Jupiter Sulfur Recovery Unit (SRU) Main Stack #2. This change simply would revise the percent oxygen limit from 3 percent to zero percent to better align with standard NSPS oxygen correction factors.</w:t>
      </w:r>
    </w:p>
    <w:p w14:paraId="798CA899"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Removal of Compressor C-23 as well as its permit terms and conditions.</w:t>
      </w:r>
    </w:p>
    <w:p w14:paraId="242CE6E0"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Clarify the applicability of certain new source performance standards (NSPS) to further streamline requirements for refinery operations.</w:t>
      </w:r>
    </w:p>
    <w:p w14:paraId="2D95374B" w14:textId="77777777" w:rsidR="00FA47B7" w:rsidRPr="00C7419B" w:rsidRDefault="00FA47B7" w:rsidP="00FA47B7">
      <w:pPr>
        <w:autoSpaceDE w:val="0"/>
        <w:autoSpaceDN w:val="0"/>
        <w:adjustRightInd w:val="0"/>
        <w:rPr>
          <w:szCs w:val="24"/>
        </w:rPr>
      </w:pPr>
    </w:p>
    <w:p w14:paraId="717614A7" w14:textId="5A034792" w:rsidR="00C25E8B" w:rsidRDefault="00FA47B7" w:rsidP="00FA47B7">
      <w:pPr>
        <w:autoSpaceDE w:val="0"/>
        <w:autoSpaceDN w:val="0"/>
        <w:adjustRightInd w:val="0"/>
        <w:rPr>
          <w:szCs w:val="24"/>
        </w:rPr>
      </w:pPr>
      <w:r w:rsidRPr="00C7419B">
        <w:rPr>
          <w:b/>
          <w:bCs/>
          <w:szCs w:val="24"/>
        </w:rPr>
        <w:t xml:space="preserve">MAQP #2619-45 </w:t>
      </w:r>
      <w:r w:rsidRPr="00C7419B">
        <w:rPr>
          <w:szCs w:val="24"/>
        </w:rPr>
        <w:t>replaced MAQP #2619-44.</w:t>
      </w:r>
    </w:p>
    <w:p w14:paraId="433E855E" w14:textId="54C60B6C" w:rsidR="003517AE" w:rsidRPr="00C7419B" w:rsidRDefault="003517AE" w:rsidP="0074420E">
      <w:pPr>
        <w:rPr>
          <w:szCs w:val="24"/>
        </w:rPr>
      </w:pPr>
    </w:p>
    <w:p w14:paraId="38937998" w14:textId="394725F6" w:rsidR="00362968" w:rsidRDefault="00460DAC" w:rsidP="00460DAC">
      <w:pPr>
        <w:autoSpaceDE w:val="0"/>
        <w:autoSpaceDN w:val="0"/>
        <w:adjustRightInd w:val="0"/>
        <w:rPr>
          <w:szCs w:val="24"/>
        </w:rPr>
      </w:pPr>
      <w:r>
        <w:rPr>
          <w:szCs w:val="24"/>
        </w:rPr>
        <w:t xml:space="preserve">On May 21, 2025, DEQ received an application from Tetra Tech, on behalf of Phillips 66, to modify </w:t>
      </w:r>
      <w:r w:rsidR="001057C7">
        <w:rPr>
          <w:szCs w:val="24"/>
        </w:rPr>
        <w:t>M</w:t>
      </w:r>
      <w:r>
        <w:rPr>
          <w:szCs w:val="24"/>
        </w:rPr>
        <w:t>AQP</w:t>
      </w:r>
      <w:r w:rsidR="001057C7">
        <w:rPr>
          <w:szCs w:val="24"/>
        </w:rPr>
        <w:t xml:space="preserve"> #2619-45</w:t>
      </w:r>
      <w:r>
        <w:rPr>
          <w:szCs w:val="24"/>
        </w:rPr>
        <w:t xml:space="preserve">. </w:t>
      </w:r>
      <w:r w:rsidR="001057C7">
        <w:rPr>
          <w:szCs w:val="24"/>
        </w:rPr>
        <w:t>The permit</w:t>
      </w:r>
      <w:r>
        <w:rPr>
          <w:szCs w:val="24"/>
        </w:rPr>
        <w:t xml:space="preserve"> application follow</w:t>
      </w:r>
      <w:r w:rsidR="001057C7">
        <w:rPr>
          <w:szCs w:val="24"/>
        </w:rPr>
        <w:t>ed</w:t>
      </w:r>
      <w:r>
        <w:rPr>
          <w:szCs w:val="24"/>
        </w:rPr>
        <w:t xml:space="preserve"> previously permitted physical changes to the Fluidized Catalytic Cracking Unit (FCCU) in conjunction with changes in the method of operating the FCCU. The modification request</w:t>
      </w:r>
      <w:r w:rsidR="001057C7">
        <w:rPr>
          <w:szCs w:val="24"/>
        </w:rPr>
        <w:t>ed</w:t>
      </w:r>
      <w:r>
        <w:rPr>
          <w:szCs w:val="24"/>
        </w:rPr>
        <w:t xml:space="preserve"> an increase in throughput of gas oil to the FCCU from 24,000 barrels per day (bpd) to 26,000 bpd. Phillips 66 also requested the removal of the No. 3 H</w:t>
      </w:r>
      <w:r w:rsidRPr="00B62D66">
        <w:rPr>
          <w:szCs w:val="24"/>
          <w:vertAlign w:val="subscript"/>
        </w:rPr>
        <w:t>2</w:t>
      </w:r>
      <w:r>
        <w:rPr>
          <w:szCs w:val="24"/>
        </w:rPr>
        <w:t xml:space="preserve"> Plant Reformer Heater and No. 3 H</w:t>
      </w:r>
      <w:r w:rsidRPr="00B62D66">
        <w:rPr>
          <w:szCs w:val="24"/>
          <w:vertAlign w:val="subscript"/>
        </w:rPr>
        <w:t>2</w:t>
      </w:r>
      <w:r>
        <w:rPr>
          <w:szCs w:val="24"/>
        </w:rPr>
        <w:t xml:space="preserve"> Plant PSA Off-Gas Vent.</w:t>
      </w:r>
    </w:p>
    <w:p w14:paraId="545BCB3E" w14:textId="77777777" w:rsidR="00362968" w:rsidRDefault="00362968" w:rsidP="00460DAC">
      <w:pPr>
        <w:autoSpaceDE w:val="0"/>
        <w:autoSpaceDN w:val="0"/>
        <w:adjustRightInd w:val="0"/>
        <w:rPr>
          <w:szCs w:val="24"/>
        </w:rPr>
      </w:pPr>
    </w:p>
    <w:p w14:paraId="295603F0" w14:textId="4A66CD31" w:rsidR="00460DAC" w:rsidRDefault="00362968" w:rsidP="00460DAC">
      <w:pPr>
        <w:autoSpaceDE w:val="0"/>
        <w:autoSpaceDN w:val="0"/>
        <w:adjustRightInd w:val="0"/>
        <w:rPr>
          <w:szCs w:val="24"/>
        </w:rPr>
      </w:pPr>
      <w:r w:rsidRPr="002B5B31">
        <w:rPr>
          <w:szCs w:val="24"/>
        </w:rPr>
        <w:t>The proposed changes addressed by this permit action were evaluated with respect to</w:t>
      </w:r>
      <w:r>
        <w:rPr>
          <w:szCs w:val="24"/>
        </w:rPr>
        <w:t xml:space="preserve"> </w:t>
      </w:r>
      <w:r w:rsidRPr="002B5B31">
        <w:rPr>
          <w:szCs w:val="24"/>
        </w:rPr>
        <w:t>emissions in combination with project</w:t>
      </w:r>
      <w:r w:rsidR="001057C7">
        <w:rPr>
          <w:szCs w:val="24"/>
        </w:rPr>
        <w:t>-</w:t>
      </w:r>
      <w:r w:rsidRPr="002B5B31">
        <w:rPr>
          <w:szCs w:val="24"/>
        </w:rPr>
        <w:t>related past actions (MAQP #2619-39, #2619-42,</w:t>
      </w:r>
      <w:r>
        <w:rPr>
          <w:szCs w:val="24"/>
        </w:rPr>
        <w:t xml:space="preserve"> </w:t>
      </w:r>
      <w:r w:rsidRPr="002B5B31">
        <w:rPr>
          <w:szCs w:val="24"/>
        </w:rPr>
        <w:t>and #2619-44). The proposed PM</w:t>
      </w:r>
      <w:r w:rsidRPr="002B5B31">
        <w:rPr>
          <w:szCs w:val="24"/>
          <w:vertAlign w:val="subscript"/>
        </w:rPr>
        <w:t>10</w:t>
      </w:r>
      <w:r w:rsidRPr="002B5B31">
        <w:rPr>
          <w:szCs w:val="24"/>
        </w:rPr>
        <w:t>, PM</w:t>
      </w:r>
      <w:r w:rsidRPr="002B5B31">
        <w:rPr>
          <w:szCs w:val="24"/>
          <w:vertAlign w:val="subscript"/>
        </w:rPr>
        <w:t>2.5</w:t>
      </w:r>
      <w:r w:rsidRPr="002B5B31">
        <w:rPr>
          <w:szCs w:val="24"/>
        </w:rPr>
        <w:t>, SO</w:t>
      </w:r>
      <w:r w:rsidRPr="002B5B31">
        <w:rPr>
          <w:szCs w:val="24"/>
          <w:vertAlign w:val="subscript"/>
        </w:rPr>
        <w:t>2</w:t>
      </w:r>
      <w:r w:rsidRPr="002B5B31">
        <w:rPr>
          <w:szCs w:val="24"/>
        </w:rPr>
        <w:t>, and VOC</w:t>
      </w:r>
      <w:r w:rsidR="001057C7" w:rsidRPr="001057C7">
        <w:rPr>
          <w:szCs w:val="24"/>
        </w:rPr>
        <w:t xml:space="preserve"> </w:t>
      </w:r>
      <w:r w:rsidR="001057C7" w:rsidRPr="002B5B31">
        <w:rPr>
          <w:szCs w:val="24"/>
        </w:rPr>
        <w:t>emissions increases</w:t>
      </w:r>
      <w:r w:rsidRPr="002B5B31">
        <w:rPr>
          <w:szCs w:val="24"/>
        </w:rPr>
        <w:t xml:space="preserve"> under</w:t>
      </w:r>
      <w:r>
        <w:rPr>
          <w:szCs w:val="24"/>
        </w:rPr>
        <w:t xml:space="preserve"> </w:t>
      </w:r>
      <w:r w:rsidRPr="002B5B31">
        <w:rPr>
          <w:szCs w:val="24"/>
        </w:rPr>
        <w:t>the permit action d</w:t>
      </w:r>
      <w:r w:rsidR="001057C7">
        <w:rPr>
          <w:szCs w:val="24"/>
        </w:rPr>
        <w:t>id</w:t>
      </w:r>
      <w:r w:rsidRPr="002B5B31">
        <w:rPr>
          <w:szCs w:val="24"/>
        </w:rPr>
        <w:t xml:space="preserve"> not exceed applicable significant emission rates (SER) listed</w:t>
      </w:r>
      <w:r>
        <w:rPr>
          <w:szCs w:val="24"/>
        </w:rPr>
        <w:t xml:space="preserve"> </w:t>
      </w:r>
      <w:r w:rsidRPr="002B5B31">
        <w:rPr>
          <w:szCs w:val="24"/>
        </w:rPr>
        <w:t xml:space="preserve">in ARM 17.8.801(28) and thus </w:t>
      </w:r>
      <w:r w:rsidR="001057C7">
        <w:rPr>
          <w:szCs w:val="24"/>
        </w:rPr>
        <w:t>the action was</w:t>
      </w:r>
      <w:r w:rsidRPr="002B5B31">
        <w:rPr>
          <w:szCs w:val="24"/>
        </w:rPr>
        <w:t xml:space="preserve"> not subject to </w:t>
      </w:r>
      <w:r w:rsidR="001057C7">
        <w:rPr>
          <w:szCs w:val="24"/>
        </w:rPr>
        <w:t xml:space="preserve">Major New Source Review (NSR) - </w:t>
      </w:r>
      <w:r w:rsidRPr="002B5B31">
        <w:rPr>
          <w:szCs w:val="24"/>
        </w:rPr>
        <w:t>Prevention of Significant Deterioration</w:t>
      </w:r>
      <w:r>
        <w:rPr>
          <w:szCs w:val="24"/>
        </w:rPr>
        <w:t xml:space="preserve"> </w:t>
      </w:r>
      <w:r w:rsidR="00E36255">
        <w:rPr>
          <w:szCs w:val="24"/>
        </w:rPr>
        <w:t xml:space="preserve">of Air Quality </w:t>
      </w:r>
      <w:r w:rsidRPr="002B5B31">
        <w:rPr>
          <w:szCs w:val="24"/>
        </w:rPr>
        <w:t>(PSD) review. The</w:t>
      </w:r>
      <w:r w:rsidR="00E36255">
        <w:rPr>
          <w:szCs w:val="24"/>
        </w:rPr>
        <w:t>se</w:t>
      </w:r>
      <w:r w:rsidRPr="002B5B31">
        <w:rPr>
          <w:szCs w:val="24"/>
        </w:rPr>
        <w:t xml:space="preserve"> proposed emissions </w:t>
      </w:r>
      <w:proofErr w:type="gramStart"/>
      <w:r w:rsidRPr="002B5B31">
        <w:rPr>
          <w:szCs w:val="24"/>
        </w:rPr>
        <w:t>increases</w:t>
      </w:r>
      <w:proofErr w:type="gramEnd"/>
      <w:r w:rsidRPr="002B5B31">
        <w:rPr>
          <w:szCs w:val="24"/>
        </w:rPr>
        <w:t xml:space="preserve"> also f</w:t>
      </w:r>
      <w:r w:rsidR="001057C7">
        <w:rPr>
          <w:szCs w:val="24"/>
        </w:rPr>
        <w:t>e</w:t>
      </w:r>
      <w:r w:rsidRPr="002B5B31">
        <w:rPr>
          <w:szCs w:val="24"/>
        </w:rPr>
        <w:t xml:space="preserve">ll below </w:t>
      </w:r>
      <w:r w:rsidR="00E36255">
        <w:rPr>
          <w:szCs w:val="24"/>
        </w:rPr>
        <w:t xml:space="preserve">the </w:t>
      </w:r>
      <w:r w:rsidR="001057C7">
        <w:rPr>
          <w:szCs w:val="24"/>
        </w:rPr>
        <w:t xml:space="preserve">applicable </w:t>
      </w:r>
      <w:r w:rsidRPr="002B5B31">
        <w:rPr>
          <w:szCs w:val="24"/>
        </w:rPr>
        <w:t>air dispersion modeling</w:t>
      </w:r>
      <w:r>
        <w:rPr>
          <w:szCs w:val="24"/>
        </w:rPr>
        <w:t xml:space="preserve"> </w:t>
      </w:r>
      <w:r w:rsidRPr="002B5B31">
        <w:rPr>
          <w:szCs w:val="24"/>
        </w:rPr>
        <w:t xml:space="preserve">thresholds. However, Phillips 66 chose to conduct updated modeling for particulate matter </w:t>
      </w:r>
      <w:r w:rsidR="001057C7">
        <w:rPr>
          <w:szCs w:val="24"/>
        </w:rPr>
        <w:t xml:space="preserve">emissions </w:t>
      </w:r>
      <w:r w:rsidRPr="002B5B31">
        <w:rPr>
          <w:szCs w:val="24"/>
        </w:rPr>
        <w:t>(PM</w:t>
      </w:r>
      <w:r w:rsidRPr="002B5B31">
        <w:rPr>
          <w:szCs w:val="24"/>
          <w:vertAlign w:val="subscript"/>
        </w:rPr>
        <w:t>10</w:t>
      </w:r>
      <w:r w:rsidRPr="002B5B31">
        <w:rPr>
          <w:szCs w:val="24"/>
        </w:rPr>
        <w:t>, PM</w:t>
      </w:r>
      <w:r w:rsidRPr="002B5B31">
        <w:rPr>
          <w:szCs w:val="24"/>
          <w:vertAlign w:val="subscript"/>
        </w:rPr>
        <w:t>2.</w:t>
      </w:r>
      <w:r>
        <w:rPr>
          <w:szCs w:val="24"/>
          <w:vertAlign w:val="subscript"/>
        </w:rPr>
        <w:t>5</w:t>
      </w:r>
      <w:r w:rsidRPr="002B5B31">
        <w:rPr>
          <w:szCs w:val="24"/>
        </w:rPr>
        <w:t xml:space="preserve">) with respect to the annual </w:t>
      </w:r>
      <w:r w:rsidR="001057C7">
        <w:rPr>
          <w:szCs w:val="24"/>
        </w:rPr>
        <w:t xml:space="preserve">form of the </w:t>
      </w:r>
      <w:r w:rsidRPr="002B5B31">
        <w:rPr>
          <w:szCs w:val="24"/>
        </w:rPr>
        <w:t>National Ambient Air Quality</w:t>
      </w:r>
      <w:r>
        <w:rPr>
          <w:szCs w:val="24"/>
        </w:rPr>
        <w:t xml:space="preserve"> </w:t>
      </w:r>
      <w:r w:rsidRPr="002B5B31">
        <w:rPr>
          <w:szCs w:val="24"/>
        </w:rPr>
        <w:t xml:space="preserve">Standards (NAAQS) </w:t>
      </w:r>
      <w:r w:rsidR="00E36255">
        <w:rPr>
          <w:szCs w:val="24"/>
        </w:rPr>
        <w:t xml:space="preserve">for the affected pollutants </w:t>
      </w:r>
      <w:r w:rsidRPr="002B5B31">
        <w:rPr>
          <w:szCs w:val="24"/>
        </w:rPr>
        <w:t>to supplement and provide a demonstration of ongoing compliance</w:t>
      </w:r>
      <w:r>
        <w:rPr>
          <w:szCs w:val="24"/>
        </w:rPr>
        <w:t xml:space="preserve"> </w:t>
      </w:r>
      <w:r w:rsidRPr="002B5B31">
        <w:rPr>
          <w:szCs w:val="24"/>
        </w:rPr>
        <w:t xml:space="preserve">with previously submitted </w:t>
      </w:r>
      <w:r w:rsidR="00E36255">
        <w:rPr>
          <w:szCs w:val="24"/>
        </w:rPr>
        <w:t>NSR-</w:t>
      </w:r>
      <w:r w:rsidRPr="002B5B31">
        <w:rPr>
          <w:szCs w:val="24"/>
        </w:rPr>
        <w:t xml:space="preserve">PSD analyses and the </w:t>
      </w:r>
      <w:r w:rsidR="00E36255">
        <w:rPr>
          <w:szCs w:val="24"/>
        </w:rPr>
        <w:t xml:space="preserve">applicable </w:t>
      </w:r>
      <w:r w:rsidRPr="002B5B31">
        <w:rPr>
          <w:szCs w:val="24"/>
        </w:rPr>
        <w:t>NAAQS.</w:t>
      </w:r>
      <w:r w:rsidR="00460DAC">
        <w:rPr>
          <w:szCs w:val="24"/>
        </w:rPr>
        <w:t xml:space="preserve"> </w:t>
      </w:r>
    </w:p>
    <w:p w14:paraId="63E1DA50" w14:textId="77777777" w:rsidR="00460DAC" w:rsidRDefault="00460DAC" w:rsidP="00460DAC">
      <w:pPr>
        <w:autoSpaceDE w:val="0"/>
        <w:autoSpaceDN w:val="0"/>
        <w:adjustRightInd w:val="0"/>
        <w:rPr>
          <w:szCs w:val="24"/>
        </w:rPr>
      </w:pPr>
    </w:p>
    <w:p w14:paraId="6A811DE1" w14:textId="70C98B3F" w:rsidR="00460DAC" w:rsidRPr="00FC7396" w:rsidRDefault="00460DAC" w:rsidP="00460DA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C7396">
        <w:rPr>
          <w:szCs w:val="24"/>
        </w:rPr>
        <w:t>Phi</w:t>
      </w:r>
      <w:r>
        <w:rPr>
          <w:szCs w:val="24"/>
        </w:rPr>
        <w:t>l</w:t>
      </w:r>
      <w:r w:rsidRPr="00FC7396">
        <w:rPr>
          <w:szCs w:val="24"/>
        </w:rPr>
        <w:t>lips 66 operates a petroleum refinery, with those operations covered under this MAQP</w:t>
      </w:r>
      <w:r>
        <w:rPr>
          <w:szCs w:val="24"/>
        </w:rPr>
        <w:t xml:space="preserve">. </w:t>
      </w:r>
      <w:r w:rsidRPr="00FC7396">
        <w:rPr>
          <w:szCs w:val="24"/>
        </w:rPr>
        <w:t>The refinery operations at the source were provided a separate Title V Operating Permit for purposes of facilitating Responsible Official responsibilities in line with management structure</w:t>
      </w:r>
      <w:r>
        <w:rPr>
          <w:szCs w:val="24"/>
        </w:rPr>
        <w:t xml:space="preserve">. </w:t>
      </w:r>
      <w:r w:rsidRPr="00FC7396">
        <w:rPr>
          <w:szCs w:val="24"/>
        </w:rPr>
        <w:t xml:space="preserve">For </w:t>
      </w:r>
      <w:r w:rsidR="001057C7">
        <w:rPr>
          <w:szCs w:val="24"/>
        </w:rPr>
        <w:t>the purposes of major NSR-PSD</w:t>
      </w:r>
      <w:r>
        <w:rPr>
          <w:szCs w:val="24"/>
        </w:rPr>
        <w:t xml:space="preserve">, New Source Performance Standards (NSPS), </w:t>
      </w:r>
      <w:r w:rsidRPr="00FC7396">
        <w:rPr>
          <w:szCs w:val="24"/>
        </w:rPr>
        <w:t xml:space="preserve">Maximum Achievable Control Technology (MACT) </w:t>
      </w:r>
      <w:r>
        <w:rPr>
          <w:szCs w:val="24"/>
        </w:rPr>
        <w:t xml:space="preserve">and Title V applicability, </w:t>
      </w:r>
      <w:r w:rsidRPr="00FC7396">
        <w:rPr>
          <w:szCs w:val="24"/>
        </w:rPr>
        <w:t xml:space="preserve">the Refinery </w:t>
      </w:r>
      <w:r w:rsidR="001057C7">
        <w:rPr>
          <w:szCs w:val="24"/>
        </w:rPr>
        <w:t>o</w:t>
      </w:r>
      <w:r w:rsidRPr="00FC7396">
        <w:rPr>
          <w:szCs w:val="24"/>
        </w:rPr>
        <w:t xml:space="preserve">perations are considered the same source as the </w:t>
      </w:r>
      <w:r>
        <w:rPr>
          <w:szCs w:val="24"/>
        </w:rPr>
        <w:t>Phillips 66 Pipeline, LLC</w:t>
      </w:r>
      <w:r w:rsidR="001057C7">
        <w:rPr>
          <w:szCs w:val="24"/>
        </w:rPr>
        <w:t xml:space="preserve">, </w:t>
      </w:r>
      <w:r w:rsidRPr="00FC7396">
        <w:rPr>
          <w:szCs w:val="24"/>
        </w:rPr>
        <w:t xml:space="preserve">Transportation </w:t>
      </w:r>
      <w:r>
        <w:rPr>
          <w:szCs w:val="24"/>
        </w:rPr>
        <w:t xml:space="preserve">Operations </w:t>
      </w:r>
      <w:r w:rsidRPr="00FC7396">
        <w:rPr>
          <w:szCs w:val="24"/>
        </w:rPr>
        <w:t xml:space="preserve">and Jupiter </w:t>
      </w:r>
      <w:r>
        <w:rPr>
          <w:szCs w:val="24"/>
        </w:rPr>
        <w:t>Sulphur, LLC O</w:t>
      </w:r>
      <w:r w:rsidRPr="00FC7396">
        <w:rPr>
          <w:szCs w:val="24"/>
        </w:rPr>
        <w:t>perations</w:t>
      </w:r>
      <w:r>
        <w:rPr>
          <w:szCs w:val="24"/>
        </w:rPr>
        <w:t xml:space="preserve">. </w:t>
      </w:r>
      <w:r w:rsidRPr="00FC7396">
        <w:rPr>
          <w:szCs w:val="24"/>
        </w:rPr>
        <w:t xml:space="preserve"> </w:t>
      </w:r>
    </w:p>
    <w:p w14:paraId="76643360" w14:textId="77777777" w:rsidR="00460DAC" w:rsidRDefault="00460DAC" w:rsidP="00460DAC">
      <w:pPr>
        <w:autoSpaceDE w:val="0"/>
        <w:autoSpaceDN w:val="0"/>
        <w:adjustRightInd w:val="0"/>
        <w:rPr>
          <w:szCs w:val="24"/>
        </w:rPr>
      </w:pPr>
    </w:p>
    <w:p w14:paraId="7D13E6A1" w14:textId="77777777" w:rsidR="00460DAC" w:rsidRPr="00562547" w:rsidRDefault="00460DAC" w:rsidP="00460DAC">
      <w:pPr>
        <w:autoSpaceDE w:val="0"/>
        <w:autoSpaceDN w:val="0"/>
        <w:adjustRightInd w:val="0"/>
        <w:rPr>
          <w:szCs w:val="24"/>
        </w:rPr>
      </w:pPr>
      <w:r w:rsidRPr="00CE7BCD">
        <w:rPr>
          <w:b/>
          <w:bCs/>
          <w:szCs w:val="24"/>
        </w:rPr>
        <w:t>MAQP #2619-46</w:t>
      </w:r>
      <w:r>
        <w:rPr>
          <w:szCs w:val="24"/>
        </w:rPr>
        <w:t xml:space="preserve"> replaces MAQP #2619-45. </w:t>
      </w:r>
    </w:p>
    <w:p w14:paraId="31912DEE" w14:textId="77777777" w:rsidR="00460DAC" w:rsidRDefault="00460DAC" w:rsidP="00595B3F">
      <w:pPr>
        <w:keepNext/>
        <w:rPr>
          <w:szCs w:val="24"/>
          <w:u w:val="single"/>
        </w:rPr>
      </w:pPr>
    </w:p>
    <w:p w14:paraId="508F44A9" w14:textId="362E842B" w:rsidR="0074420E" w:rsidRPr="00C7419B" w:rsidRDefault="0074420E" w:rsidP="00595B3F">
      <w:pPr>
        <w:keepNext/>
        <w:rPr>
          <w:szCs w:val="24"/>
          <w:u w:val="single"/>
        </w:rPr>
      </w:pPr>
      <w:r w:rsidRPr="00C7419B">
        <w:rPr>
          <w:szCs w:val="24"/>
          <w:u w:val="single"/>
        </w:rPr>
        <w:t>Title V Operating Permit</w:t>
      </w:r>
    </w:p>
    <w:p w14:paraId="2349D53F" w14:textId="77777777" w:rsidR="0074420E" w:rsidRPr="00C7419B" w:rsidRDefault="0074420E" w:rsidP="00595B3F">
      <w:pPr>
        <w:keepNext/>
        <w:rPr>
          <w:szCs w:val="24"/>
        </w:rPr>
      </w:pPr>
    </w:p>
    <w:p w14:paraId="6286A129" w14:textId="77777777" w:rsidR="0074420E" w:rsidRPr="00C7419B" w:rsidRDefault="0074420E" w:rsidP="00595B3F">
      <w:pPr>
        <w:keepNext/>
        <w:rPr>
          <w:szCs w:val="24"/>
        </w:rPr>
      </w:pPr>
      <w:r w:rsidRPr="00C7419B">
        <w:rPr>
          <w:b/>
          <w:szCs w:val="24"/>
        </w:rPr>
        <w:t>Operating Permit #OP2619-00</w:t>
      </w:r>
      <w:r w:rsidRPr="00C7419B">
        <w:rPr>
          <w:szCs w:val="24"/>
        </w:rPr>
        <w:t xml:space="preserve"> was issued final and effective on July 9, 2002.</w:t>
      </w:r>
    </w:p>
    <w:p w14:paraId="61E1827A" w14:textId="77777777" w:rsidR="0074420E" w:rsidRPr="00C7419B" w:rsidRDefault="0074420E" w:rsidP="00595B3F">
      <w:pPr>
        <w:keepNext/>
      </w:pPr>
    </w:p>
    <w:p w14:paraId="23576155" w14:textId="3F00DE7C" w:rsidR="0074420E" w:rsidRPr="00C7419B" w:rsidRDefault="0074420E" w:rsidP="00595B3F">
      <w:pPr>
        <w:keepNext/>
        <w:rPr>
          <w:szCs w:val="24"/>
        </w:rPr>
      </w:pPr>
      <w:r w:rsidRPr="00C7419B">
        <w:rPr>
          <w:szCs w:val="24"/>
        </w:rPr>
        <w:t xml:space="preserve">A letter from ConocoPhillips dated December 9, 2002, and received by </w:t>
      </w:r>
      <w:r w:rsidR="00F54677" w:rsidRPr="00C7419B">
        <w:rPr>
          <w:szCs w:val="24"/>
        </w:rPr>
        <w:t>DEQ</w:t>
      </w:r>
      <w:r w:rsidRPr="00C7419B">
        <w:rPr>
          <w:szCs w:val="24"/>
        </w:rPr>
        <w:t xml:space="preserve"> on December 10, 2002, notified </w:t>
      </w:r>
      <w:r w:rsidR="00F54677" w:rsidRPr="00C7419B">
        <w:rPr>
          <w:szCs w:val="24"/>
        </w:rPr>
        <w:t>DEQ</w:t>
      </w:r>
      <w:r w:rsidRPr="00C7419B">
        <w:rPr>
          <w:szCs w:val="24"/>
        </w:rPr>
        <w:t xml:space="preserve"> that Conoco had changed its name to ConocoPhillips.  On October 10, 2003, </w:t>
      </w:r>
      <w:r w:rsidR="00F54677" w:rsidRPr="00C7419B">
        <w:rPr>
          <w:szCs w:val="24"/>
        </w:rPr>
        <w:t>DEQ</w:t>
      </w:r>
      <w:r w:rsidRPr="00C7419B">
        <w:rPr>
          <w:szCs w:val="24"/>
        </w:rPr>
        <w:t xml:space="preserve"> received a request from ConocoPhillips for an administrative amendment of OP2619-00 to update Section V.B.3 of the General Conditions incorporating changes to federal Title V rules 40 CFR 70.6(c)(5)(iii)(B) and 70.6(c)(5)(iii)(C) (to be incorporated into Montana’s Title V rules at ARM </w:t>
      </w:r>
      <w:r w:rsidRPr="00C7419B">
        <w:rPr>
          <w:szCs w:val="24"/>
        </w:rPr>
        <w:lastRenderedPageBreak/>
        <w:t xml:space="preserve">17.8.1213) regarding Title V annual compliance certifications.  The permit action changed the name on this permit from Conoco to ConocoPhillips and updated Section V.B.3 of the General Conditions.  </w:t>
      </w:r>
      <w:r w:rsidRPr="00C7419B">
        <w:rPr>
          <w:b/>
          <w:szCs w:val="24"/>
        </w:rPr>
        <w:t>Operating Permit #</w:t>
      </w:r>
      <w:r w:rsidRPr="00C7419B">
        <w:rPr>
          <w:b/>
          <w:bCs/>
          <w:szCs w:val="24"/>
        </w:rPr>
        <w:t xml:space="preserve">OP2619-01 </w:t>
      </w:r>
      <w:r w:rsidRPr="00C7419B">
        <w:rPr>
          <w:szCs w:val="24"/>
        </w:rPr>
        <w:t>replaced Operating Permit #OP2619-00.</w:t>
      </w:r>
    </w:p>
    <w:p w14:paraId="6A3DB9A4" w14:textId="77777777" w:rsidR="0074420E" w:rsidRPr="00C7419B" w:rsidRDefault="0074420E" w:rsidP="0074420E"/>
    <w:p w14:paraId="5D07B885" w14:textId="5F650469" w:rsidR="0074420E" w:rsidRPr="00C7419B" w:rsidRDefault="0074420E" w:rsidP="0074420E">
      <w:pPr>
        <w:rPr>
          <w:szCs w:val="24"/>
        </w:rPr>
      </w:pPr>
      <w:r w:rsidRPr="00C7419B">
        <w:rPr>
          <w:szCs w:val="24"/>
        </w:rPr>
        <w:t xml:space="preserve">On January 9, 2007, </w:t>
      </w:r>
      <w:r w:rsidR="00F54677" w:rsidRPr="00C7419B">
        <w:rPr>
          <w:szCs w:val="24"/>
        </w:rPr>
        <w:t>DEQ</w:t>
      </w:r>
      <w:r w:rsidRPr="00C7419B">
        <w:rPr>
          <w:szCs w:val="24"/>
        </w:rPr>
        <w:t xml:space="preserve"> received an application for renewal of Operating Permit #OP2619-01.  The submittal included the request to remove the ConocoPhillips </w:t>
      </w:r>
      <w:proofErr w:type="gramStart"/>
      <w:r w:rsidRPr="00C7419B">
        <w:rPr>
          <w:szCs w:val="24"/>
        </w:rPr>
        <w:t>Pipe Line</w:t>
      </w:r>
      <w:proofErr w:type="gramEnd"/>
      <w:r w:rsidRPr="00C7419B">
        <w:rPr>
          <w:szCs w:val="24"/>
        </w:rPr>
        <w:t xml:space="preserve"> Company operations from this operating permit and establish a new operating permit for these transportation operations (Operating Permit #OP4056-00).  In addition, the renewal application requested the inclusion of numerous modifications made since the issuance of the original Title V permit application.  </w:t>
      </w:r>
      <w:r w:rsidRPr="00C7419B">
        <w:rPr>
          <w:b/>
          <w:szCs w:val="24"/>
        </w:rPr>
        <w:t>Operating</w:t>
      </w:r>
      <w:r w:rsidRPr="00C7419B">
        <w:rPr>
          <w:szCs w:val="24"/>
        </w:rPr>
        <w:t xml:space="preserve"> </w:t>
      </w:r>
      <w:r w:rsidRPr="00C7419B">
        <w:rPr>
          <w:b/>
          <w:szCs w:val="24"/>
        </w:rPr>
        <w:t>Permit #</w:t>
      </w:r>
      <w:r w:rsidRPr="00C7419B">
        <w:rPr>
          <w:b/>
          <w:bCs/>
          <w:szCs w:val="24"/>
        </w:rPr>
        <w:t xml:space="preserve">OP2619-02 </w:t>
      </w:r>
      <w:r w:rsidRPr="00C7419B">
        <w:rPr>
          <w:szCs w:val="24"/>
        </w:rPr>
        <w:t>replaced Operating Permit #OP2619-01.</w:t>
      </w:r>
    </w:p>
    <w:p w14:paraId="0C3EAE65" w14:textId="77777777" w:rsidR="0074420E" w:rsidRPr="00C7419B" w:rsidRDefault="0074420E" w:rsidP="0074420E"/>
    <w:p w14:paraId="5BB517A1" w14:textId="2AD5BEF6" w:rsidR="0074420E" w:rsidRPr="00C7419B" w:rsidRDefault="0074420E" w:rsidP="0074420E">
      <w:pPr>
        <w:rPr>
          <w:szCs w:val="24"/>
        </w:rPr>
      </w:pPr>
      <w:r w:rsidRPr="00C7419B">
        <w:rPr>
          <w:szCs w:val="24"/>
        </w:rPr>
        <w:t xml:space="preserve">On July 3, 2008, ConocoPhillips requested an amendment to </w:t>
      </w:r>
      <w:r w:rsidRPr="00C7419B">
        <w:rPr>
          <w:b/>
          <w:szCs w:val="24"/>
        </w:rPr>
        <w:t>Operating Permit</w:t>
      </w:r>
      <w:r w:rsidRPr="00C7419B">
        <w:rPr>
          <w:szCs w:val="24"/>
        </w:rPr>
        <w:t xml:space="preserve"> #</w:t>
      </w:r>
      <w:r w:rsidRPr="00C7419B">
        <w:rPr>
          <w:b/>
          <w:bCs/>
          <w:szCs w:val="24"/>
        </w:rPr>
        <w:t>OP2619-02</w:t>
      </w:r>
      <w:r w:rsidRPr="00C7419B">
        <w:rPr>
          <w:szCs w:val="24"/>
        </w:rPr>
        <w:t xml:space="preserve"> </w:t>
      </w:r>
      <w:proofErr w:type="gramStart"/>
      <w:r w:rsidRPr="00C7419B">
        <w:rPr>
          <w:szCs w:val="24"/>
        </w:rPr>
        <w:t>on the basis of</w:t>
      </w:r>
      <w:proofErr w:type="gramEnd"/>
      <w:r w:rsidRPr="00C7419B">
        <w:rPr>
          <w:szCs w:val="24"/>
        </w:rPr>
        <w:t xml:space="preserve"> the inclusion of the entire Consent Decree (H-01-4430 as lodged on April 30, </w:t>
      </w:r>
      <w:r w:rsidR="000E470C" w:rsidRPr="00C7419B">
        <w:rPr>
          <w:szCs w:val="24"/>
        </w:rPr>
        <w:t>2002,</w:t>
      </w:r>
      <w:r w:rsidRPr="00C7419B">
        <w:rPr>
          <w:szCs w:val="24"/>
        </w:rPr>
        <w:t xml:space="preserve"> and as subsequently amended) in that permit.  It is ConocoPhillips’ position that ARM 17.8.1211(2) only allows consent decree requirements to be included that are </w:t>
      </w:r>
      <w:proofErr w:type="gramStart"/>
      <w:r w:rsidRPr="00C7419B">
        <w:rPr>
          <w:szCs w:val="24"/>
        </w:rPr>
        <w:t>as a result of</w:t>
      </w:r>
      <w:proofErr w:type="gramEnd"/>
      <w:r w:rsidRPr="00C7419B">
        <w:rPr>
          <w:szCs w:val="24"/>
        </w:rPr>
        <w:t xml:space="preserve"> non-compliance with a specific rule or regulatory requirement.  </w:t>
      </w:r>
      <w:r w:rsidR="00F54677" w:rsidRPr="00C7419B">
        <w:rPr>
          <w:szCs w:val="24"/>
        </w:rPr>
        <w:t>DEQ</w:t>
      </w:r>
      <w:r w:rsidRPr="00C7419B">
        <w:rPr>
          <w:szCs w:val="24"/>
        </w:rPr>
        <w:t xml:space="preserve"> included the Consent Decree because it considered the Consent Decree requirements as relevant terms and conditions required to be included in the Title V Operating Permit.  The following language (and changes to the permit as described below), as requested by ConocoPhillips, satisfy both ConocoPhillips and </w:t>
      </w:r>
      <w:r w:rsidR="00F54677" w:rsidRPr="00C7419B">
        <w:rPr>
          <w:szCs w:val="24"/>
        </w:rPr>
        <w:t>DEQ</w:t>
      </w:r>
      <w:r w:rsidRPr="00C7419B">
        <w:rPr>
          <w:szCs w:val="24"/>
        </w:rPr>
        <w:t xml:space="preserve"> with respect to inclusion of Consent Decree requirement into the Title V Operating Permit:</w:t>
      </w:r>
    </w:p>
    <w:p w14:paraId="4D586B81" w14:textId="77777777" w:rsidR="0074420E" w:rsidRPr="00C7419B" w:rsidRDefault="0074420E" w:rsidP="0074420E">
      <w:pPr>
        <w:rPr>
          <w:szCs w:val="24"/>
        </w:rPr>
      </w:pPr>
    </w:p>
    <w:p w14:paraId="542122E8" w14:textId="77777777" w:rsidR="0074420E" w:rsidRPr="00C7419B" w:rsidRDefault="0074420E" w:rsidP="009C7DA1">
      <w:pPr>
        <w:pStyle w:val="Default"/>
        <w:ind w:left="720" w:right="720"/>
        <w:rPr>
          <w:rFonts w:ascii="Garamond" w:hAnsi="Garamond"/>
          <w:i/>
        </w:rPr>
      </w:pPr>
      <w:r w:rsidRPr="00C7419B">
        <w:rPr>
          <w:rFonts w:ascii="Garamond" w:hAnsi="Garamond"/>
          <w:i/>
        </w:rPr>
        <w:t xml:space="preserve">“ConocoPhillips Company (a successor to Conoco Inc.) has </w:t>
      </w:r>
      <w:proofErr w:type="gramStart"/>
      <w:r w:rsidRPr="00C7419B">
        <w:rPr>
          <w:rFonts w:ascii="Garamond" w:hAnsi="Garamond"/>
          <w:i/>
        </w:rPr>
        <w:t>entered into</w:t>
      </w:r>
      <w:proofErr w:type="gramEnd"/>
      <w:r w:rsidRPr="00C7419B">
        <w:rPr>
          <w:rFonts w:ascii="Garamond" w:hAnsi="Garamond"/>
          <w:i/>
        </w:rPr>
        <w:t xml:space="preserve"> a Consent Decree (Civil Action H-01-4430 as lodged on April 30, </w:t>
      </w:r>
      <w:proofErr w:type="gramStart"/>
      <w:r w:rsidRPr="00C7419B">
        <w:rPr>
          <w:rFonts w:ascii="Garamond" w:hAnsi="Garamond"/>
          <w:i/>
        </w:rPr>
        <w:t>2002</w:t>
      </w:r>
      <w:proofErr w:type="gramEnd"/>
      <w:r w:rsidRPr="00C7419B">
        <w:rPr>
          <w:rFonts w:ascii="Garamond" w:hAnsi="Garamond"/>
          <w:i/>
        </w:rPr>
        <w:t xml:space="preserve"> and as subsequently amended).  Certain consent decree emission limits, standards and schedules have been incorporated as terms and conditions of the permit, into the appropriate sections of this permit.  Other consent decree requirements are considered program enhancements and are not included as terms or conditions of the permit.  These requirements found in Appendix H of the permit, may be enforced by the State of Montana and the United States Environmental Protection Agency pursuant to the provisions of the consent decree.”  </w:t>
      </w:r>
    </w:p>
    <w:p w14:paraId="1644FF77" w14:textId="77777777" w:rsidR="0074420E" w:rsidRPr="00C7419B" w:rsidRDefault="0074420E" w:rsidP="0074420E">
      <w:pPr>
        <w:rPr>
          <w:szCs w:val="24"/>
        </w:rPr>
      </w:pPr>
    </w:p>
    <w:p w14:paraId="70094242" w14:textId="77777777" w:rsidR="0074420E" w:rsidRPr="00C7419B" w:rsidRDefault="0074420E" w:rsidP="0074420E">
      <w:pPr>
        <w:rPr>
          <w:szCs w:val="24"/>
        </w:rPr>
      </w:pPr>
      <w:r w:rsidRPr="00C7419B">
        <w:rPr>
          <w:szCs w:val="24"/>
        </w:rPr>
        <w:t xml:space="preserve">In addition to the amendment regarding the Consent Decree, the permit also reflected a requested change in Responsible Official (also submitted on July 3, 2008).  </w:t>
      </w:r>
      <w:r w:rsidRPr="00C7419B">
        <w:rPr>
          <w:b/>
          <w:szCs w:val="24"/>
        </w:rPr>
        <w:t>Operating Permit</w:t>
      </w:r>
      <w:r w:rsidRPr="00C7419B">
        <w:rPr>
          <w:szCs w:val="24"/>
        </w:rPr>
        <w:t xml:space="preserve"> #</w:t>
      </w:r>
      <w:r w:rsidRPr="00C7419B">
        <w:rPr>
          <w:b/>
          <w:szCs w:val="24"/>
        </w:rPr>
        <w:t>OP2619-03</w:t>
      </w:r>
      <w:r w:rsidRPr="00C7419B">
        <w:rPr>
          <w:szCs w:val="24"/>
        </w:rPr>
        <w:t xml:space="preserve"> replaced Operating Permit #OP2619-02.</w:t>
      </w:r>
    </w:p>
    <w:p w14:paraId="2E3FC980" w14:textId="77777777" w:rsidR="0074420E" w:rsidRPr="00C7419B" w:rsidRDefault="0074420E" w:rsidP="0074420E">
      <w:pPr>
        <w:rPr>
          <w:szCs w:val="24"/>
        </w:rPr>
      </w:pPr>
    </w:p>
    <w:p w14:paraId="60220026" w14:textId="5E616C1B" w:rsidR="0074420E" w:rsidRPr="00C7419B" w:rsidRDefault="0074420E" w:rsidP="0074420E">
      <w:pPr>
        <w:rPr>
          <w:b/>
          <w:color w:val="000000"/>
          <w:spacing w:val="-4"/>
          <w:szCs w:val="24"/>
        </w:rPr>
      </w:pPr>
      <w:r w:rsidRPr="00C7419B">
        <w:rPr>
          <w:color w:val="000000"/>
          <w:spacing w:val="-4"/>
          <w:szCs w:val="24"/>
        </w:rPr>
        <w:t xml:space="preserve">On August 21, 2008, </w:t>
      </w:r>
      <w:r w:rsidR="00F54677" w:rsidRPr="00C7419B">
        <w:rPr>
          <w:color w:val="000000"/>
          <w:spacing w:val="-4"/>
          <w:szCs w:val="24"/>
        </w:rPr>
        <w:t>DEQ</w:t>
      </w:r>
      <w:r w:rsidRPr="00C7419B">
        <w:rPr>
          <w:color w:val="000000"/>
          <w:spacing w:val="-4"/>
          <w:szCs w:val="24"/>
        </w:rPr>
        <w:t xml:space="preserve"> received a complete NSR-PSD permit application from ConocoPhillips.  ConocoPhillips proposed to replace the existing Small and Large Crude Units and the existing Vacuum Unit with a new, more efficient Crude and Vacuum Unit.  This project is referred to as the New Crude and Vacuum Unit (NCVU) project and was ultimately assigned Operating Permit #OP2619-04.  Due to difficulties associated with preparation of an Operating Permit (including conditions, limitations, and associated compliance demonstrations) for an unconstructed facility, this permit was put on hold until construction.  </w:t>
      </w:r>
    </w:p>
    <w:p w14:paraId="136CAB0B" w14:textId="77777777" w:rsidR="0074420E" w:rsidRPr="00C7419B" w:rsidRDefault="0074420E" w:rsidP="0074420E">
      <w:pPr>
        <w:rPr>
          <w:szCs w:val="24"/>
        </w:rPr>
      </w:pPr>
    </w:p>
    <w:p w14:paraId="4AEA746D" w14:textId="11A27F63" w:rsidR="0074420E" w:rsidRPr="00C7419B" w:rsidRDefault="0074420E" w:rsidP="0074420E">
      <w:pPr>
        <w:rPr>
          <w:color w:val="000000"/>
          <w:spacing w:val="-4"/>
          <w:szCs w:val="24"/>
        </w:rPr>
      </w:pPr>
      <w:r w:rsidRPr="00C7419B">
        <w:rPr>
          <w:color w:val="000000"/>
          <w:spacing w:val="-4"/>
          <w:szCs w:val="24"/>
        </w:rPr>
        <w:t xml:space="preserve">As a result of the requirements set forth within the CD, on August 28, 2009, </w:t>
      </w:r>
      <w:r w:rsidR="00F54677" w:rsidRPr="00C7419B">
        <w:rPr>
          <w:color w:val="000000"/>
          <w:spacing w:val="-4"/>
          <w:szCs w:val="24"/>
        </w:rPr>
        <w:t>DEQ</w:t>
      </w:r>
      <w:r w:rsidRPr="00C7419B">
        <w:rPr>
          <w:color w:val="000000"/>
          <w:spacing w:val="-4"/>
          <w:szCs w:val="24"/>
        </w:rPr>
        <w:t xml:space="preserve"> received from ConocoPhillips a request to include the following limits and standards (agreed to by EPA) to be included in Operating Permit #OP2619-03:</w:t>
      </w:r>
    </w:p>
    <w:p w14:paraId="1F81529D" w14:textId="77777777" w:rsidR="0074420E" w:rsidRPr="00C7419B" w:rsidRDefault="0074420E" w:rsidP="0074420E">
      <w:pPr>
        <w:rPr>
          <w:color w:val="000000"/>
          <w:spacing w:val="-4"/>
          <w:szCs w:val="24"/>
        </w:rPr>
      </w:pPr>
    </w:p>
    <w:p w14:paraId="3F4B22C8" w14:textId="77777777" w:rsidR="0074420E" w:rsidRPr="00C7419B" w:rsidRDefault="0074420E" w:rsidP="009C7DA1">
      <w:pPr>
        <w:ind w:left="720" w:right="720"/>
        <w:rPr>
          <w:color w:val="000000"/>
          <w:spacing w:val="-4"/>
          <w:szCs w:val="24"/>
        </w:rPr>
      </w:pPr>
      <w:r w:rsidRPr="00C7419B">
        <w:rPr>
          <w:color w:val="000000"/>
          <w:spacing w:val="-4"/>
          <w:szCs w:val="24"/>
        </w:rPr>
        <w:t>The NO</w:t>
      </w:r>
      <w:r w:rsidRPr="00C7419B">
        <w:rPr>
          <w:color w:val="000000"/>
          <w:spacing w:val="-4"/>
          <w:szCs w:val="24"/>
          <w:vertAlign w:val="subscript"/>
        </w:rPr>
        <w:t>x</w:t>
      </w:r>
      <w:r w:rsidRPr="00C7419B">
        <w:rPr>
          <w:color w:val="000000"/>
          <w:spacing w:val="-4"/>
          <w:szCs w:val="24"/>
        </w:rPr>
        <w:t xml:space="preserve"> emissions from the FCCU shall have a limit of 49.2 parts per million, volumetric dry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xml:space="preserve">, on a rolling 365-day average and 69.5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on a rolling 7-day average.  Per Paragraph 27 of the above-referenced CD, the 7-day NO</w:t>
      </w:r>
      <w:r w:rsidRPr="00C7419B">
        <w:rPr>
          <w:color w:val="000000"/>
          <w:spacing w:val="-4"/>
          <w:szCs w:val="24"/>
          <w:vertAlign w:val="subscript"/>
        </w:rPr>
        <w:t>x</w:t>
      </w:r>
      <w:r w:rsidRPr="00C7419B">
        <w:rPr>
          <w:color w:val="000000"/>
          <w:spacing w:val="-4"/>
          <w:szCs w:val="24"/>
        </w:rPr>
        <w:t xml:space="preserve"> emission limit established for the FCC shall not apply during periods of hydrotreater outages at the refinery, provided that ConocoPhillips is </w:t>
      </w:r>
      <w:r w:rsidRPr="00C7419B">
        <w:rPr>
          <w:color w:val="000000"/>
          <w:spacing w:val="-4"/>
          <w:szCs w:val="24"/>
        </w:rPr>
        <w:lastRenderedPageBreak/>
        <w:t>maintaining and operating its FCC (including associated air pollution control equipment) in a manner consistent with good air pollution control practices for minimizing emissions in accordance with the EPA-approved good air pollution control practices plan.</w:t>
      </w:r>
    </w:p>
    <w:p w14:paraId="40823304" w14:textId="77777777" w:rsidR="0074420E" w:rsidRPr="00C7419B" w:rsidRDefault="0074420E" w:rsidP="0074420E">
      <w:pPr>
        <w:rPr>
          <w:color w:val="000000"/>
          <w:spacing w:val="-4"/>
          <w:szCs w:val="24"/>
        </w:rPr>
      </w:pPr>
    </w:p>
    <w:p w14:paraId="5DEBEA8E" w14:textId="77777777" w:rsidR="0074420E" w:rsidRPr="00C7419B" w:rsidRDefault="0074420E" w:rsidP="0074420E">
      <w:pPr>
        <w:rPr>
          <w:szCs w:val="24"/>
        </w:rPr>
      </w:pPr>
      <w:r w:rsidRPr="00C7419B">
        <w:rPr>
          <w:szCs w:val="24"/>
        </w:rPr>
        <w:t xml:space="preserve">This action was ultimately put on hold until Operating Permit #OP2619-04 was issued; however, was assigned </w:t>
      </w:r>
      <w:r w:rsidRPr="00C7419B">
        <w:rPr>
          <w:b/>
          <w:szCs w:val="24"/>
        </w:rPr>
        <w:t>Operating Permit #OP2619-05</w:t>
      </w:r>
      <w:r w:rsidRPr="00C7419B">
        <w:rPr>
          <w:szCs w:val="24"/>
        </w:rPr>
        <w:t>.</w:t>
      </w:r>
    </w:p>
    <w:p w14:paraId="3E923C14" w14:textId="77777777" w:rsidR="0074420E" w:rsidRPr="00C7419B" w:rsidRDefault="0074420E" w:rsidP="0074420E">
      <w:pPr>
        <w:rPr>
          <w:szCs w:val="24"/>
        </w:rPr>
      </w:pPr>
    </w:p>
    <w:p w14:paraId="0B1793BA" w14:textId="1E6DDE76" w:rsidR="004B038F" w:rsidRPr="00C7419B" w:rsidRDefault="0074420E" w:rsidP="0074420E">
      <w:pPr>
        <w:widowControl w:val="0"/>
        <w:rPr>
          <w:color w:val="000000"/>
          <w:spacing w:val="-4"/>
          <w:szCs w:val="24"/>
        </w:rPr>
      </w:pPr>
      <w:r w:rsidRPr="00C7419B">
        <w:rPr>
          <w:color w:val="000000"/>
          <w:spacing w:val="-4"/>
          <w:szCs w:val="24"/>
        </w:rPr>
        <w:t xml:space="preserve">On December 6, 2010, </w:t>
      </w:r>
      <w:r w:rsidR="00F54677" w:rsidRPr="00C7419B">
        <w:rPr>
          <w:color w:val="000000"/>
          <w:spacing w:val="-4"/>
          <w:szCs w:val="24"/>
        </w:rPr>
        <w:t>DEQ</w:t>
      </w:r>
      <w:r w:rsidRPr="00C7419B">
        <w:rPr>
          <w:color w:val="000000"/>
          <w:spacing w:val="-4"/>
          <w:szCs w:val="24"/>
        </w:rPr>
        <w:t xml:space="preserve"> received a request from ConocoPhillips to modify Operating Permit #OP2619-03 to include certain limits, standards, and obligations in response to agency requests and the requirements of Paragraph 210(a) contained the ConocoPhillips CD.  ConocoPhillips also requested to include conditions pertaining to facility-related Supplemental Environmental Projects (SEP), although not specifically required by the ConocoPhillips CD.  ConocoPhillips later rescinded the request to include these SEP conditions within this permit action.  ConocoPhillips additionally requested </w:t>
      </w:r>
    </w:p>
    <w:p w14:paraId="228AEC7C" w14:textId="1FBE3142" w:rsidR="0074420E" w:rsidRPr="00C7419B" w:rsidRDefault="0074420E" w:rsidP="0074420E">
      <w:pPr>
        <w:widowControl w:val="0"/>
        <w:rPr>
          <w:color w:val="000000"/>
          <w:spacing w:val="-4"/>
          <w:szCs w:val="24"/>
        </w:rPr>
      </w:pPr>
      <w:r w:rsidRPr="00C7419B">
        <w:rPr>
          <w:color w:val="000000"/>
          <w:spacing w:val="-4"/>
          <w:szCs w:val="24"/>
        </w:rPr>
        <w:t xml:space="preserve">removal of references to Tank #162 (Ground Water Interceptor System (GWIS) Recovered Oil Tank) as this tank has been taken out of service.  With knowledge of forthcoming additional information and modification requests, in concurrence with ConocoPhillips, </w:t>
      </w:r>
      <w:r w:rsidR="00F54677" w:rsidRPr="00C7419B">
        <w:rPr>
          <w:color w:val="000000"/>
          <w:spacing w:val="-4"/>
          <w:szCs w:val="24"/>
        </w:rPr>
        <w:t>DEQ</w:t>
      </w:r>
      <w:r w:rsidRPr="00C7419B">
        <w:rPr>
          <w:color w:val="000000"/>
          <w:spacing w:val="-4"/>
          <w:szCs w:val="24"/>
        </w:rPr>
        <w:t xml:space="preserve"> withheld preparation and issuance of a revised Operating Permit; however, this action was assigned </w:t>
      </w:r>
      <w:r w:rsidRPr="00C7419B">
        <w:rPr>
          <w:b/>
          <w:color w:val="000000"/>
          <w:spacing w:val="-4"/>
          <w:szCs w:val="24"/>
        </w:rPr>
        <w:t>Operating Permit #OP2619-06</w:t>
      </w:r>
      <w:r w:rsidRPr="00C7419B">
        <w:rPr>
          <w:color w:val="000000"/>
          <w:spacing w:val="-4"/>
          <w:szCs w:val="24"/>
        </w:rPr>
        <w:t xml:space="preserve">. </w:t>
      </w:r>
    </w:p>
    <w:p w14:paraId="469F2770" w14:textId="77777777" w:rsidR="0074420E" w:rsidRPr="00C7419B" w:rsidRDefault="0074420E" w:rsidP="0074420E">
      <w:pPr>
        <w:rPr>
          <w:color w:val="000000"/>
          <w:spacing w:val="-4"/>
          <w:szCs w:val="24"/>
        </w:rPr>
      </w:pPr>
    </w:p>
    <w:p w14:paraId="62B8DE15" w14:textId="33247D78" w:rsidR="0074420E" w:rsidRPr="00C7419B" w:rsidRDefault="0074420E" w:rsidP="0074420E">
      <w:pPr>
        <w:rPr>
          <w:color w:val="000000"/>
          <w:spacing w:val="-4"/>
          <w:szCs w:val="24"/>
        </w:rPr>
      </w:pPr>
      <w:r w:rsidRPr="00C7419B">
        <w:rPr>
          <w:color w:val="000000"/>
          <w:spacing w:val="-4"/>
          <w:szCs w:val="24"/>
        </w:rPr>
        <w:t xml:space="preserve">Ultimately, the NCVU project was never implemented and the three-year time frame for construction to commence per ARM 17.8.762 lapsed.  On August 29, 2011, </w:t>
      </w:r>
      <w:r w:rsidR="00F54677" w:rsidRPr="00C7419B">
        <w:rPr>
          <w:color w:val="000000"/>
          <w:spacing w:val="-4"/>
          <w:szCs w:val="24"/>
        </w:rPr>
        <w:t>DEQ</w:t>
      </w:r>
      <w:r w:rsidRPr="00C7419B">
        <w:rPr>
          <w:color w:val="000000"/>
          <w:spacing w:val="-4"/>
          <w:szCs w:val="24"/>
        </w:rPr>
        <w:t xml:space="preserve"> received a request from ConocoPhillips to withdraw Operating Permit #OP2619-04, including all requested conditions pertaining to the New Crude and Vacuum Unit.</w:t>
      </w:r>
    </w:p>
    <w:p w14:paraId="692CC922" w14:textId="77777777" w:rsidR="0074420E" w:rsidRPr="00C7419B" w:rsidRDefault="0074420E" w:rsidP="0074420E">
      <w:pPr>
        <w:rPr>
          <w:color w:val="000000"/>
          <w:spacing w:val="-4"/>
          <w:szCs w:val="24"/>
        </w:rPr>
      </w:pPr>
    </w:p>
    <w:p w14:paraId="762D00B4" w14:textId="77777777" w:rsidR="0074420E" w:rsidRPr="00C7419B" w:rsidRDefault="0074420E" w:rsidP="0074420E">
      <w:pPr>
        <w:rPr>
          <w:szCs w:val="24"/>
        </w:rPr>
      </w:pPr>
      <w:r w:rsidRPr="00C7419B">
        <w:rPr>
          <w:b/>
          <w:color w:val="000000"/>
          <w:spacing w:val="-4"/>
          <w:szCs w:val="24"/>
        </w:rPr>
        <w:t>Operating Permit #OP2619-04</w:t>
      </w:r>
      <w:r w:rsidRPr="00C7419B">
        <w:rPr>
          <w:color w:val="000000"/>
          <w:spacing w:val="-4"/>
          <w:szCs w:val="24"/>
        </w:rPr>
        <w:t xml:space="preserve"> has been withdrawn.</w:t>
      </w:r>
    </w:p>
    <w:p w14:paraId="3780F40D" w14:textId="77777777" w:rsidR="0074420E" w:rsidRPr="00C7419B" w:rsidRDefault="0074420E" w:rsidP="0074420E">
      <w:pPr>
        <w:rPr>
          <w:color w:val="000000"/>
          <w:spacing w:val="-4"/>
          <w:szCs w:val="24"/>
        </w:rPr>
      </w:pPr>
    </w:p>
    <w:p w14:paraId="691F5789" w14:textId="6062E216" w:rsidR="0074420E" w:rsidRPr="00C7419B" w:rsidRDefault="0074420E" w:rsidP="0074420E">
      <w:pPr>
        <w:rPr>
          <w:color w:val="000000"/>
          <w:spacing w:val="-4"/>
          <w:szCs w:val="24"/>
        </w:rPr>
      </w:pPr>
      <w:r w:rsidRPr="00C7419B">
        <w:rPr>
          <w:color w:val="000000"/>
          <w:spacing w:val="-4"/>
          <w:szCs w:val="24"/>
        </w:rPr>
        <w:t xml:space="preserve">On September 19, 2011, </w:t>
      </w:r>
      <w:r w:rsidR="00F54677" w:rsidRPr="00C7419B">
        <w:rPr>
          <w:color w:val="000000"/>
          <w:spacing w:val="-4"/>
          <w:szCs w:val="24"/>
        </w:rPr>
        <w:t>DEQ</w:t>
      </w:r>
      <w:r w:rsidRPr="00C7419B">
        <w:rPr>
          <w:color w:val="000000"/>
          <w:spacing w:val="-4"/>
          <w:szCs w:val="24"/>
        </w:rPr>
        <w:t xml:space="preserve"> received a request from ConocoPhillips to incorporate the language from its July 28, </w:t>
      </w:r>
      <w:proofErr w:type="gramStart"/>
      <w:r w:rsidRPr="00C7419B">
        <w:rPr>
          <w:color w:val="000000"/>
          <w:spacing w:val="-4"/>
          <w:szCs w:val="24"/>
        </w:rPr>
        <w:t>2011</w:t>
      </w:r>
      <w:proofErr w:type="gramEnd"/>
      <w:r w:rsidRPr="00C7419B">
        <w:rPr>
          <w:color w:val="000000"/>
          <w:spacing w:val="-4"/>
          <w:szCs w:val="24"/>
        </w:rPr>
        <w:t xml:space="preserve"> MAQP modification request into Operating Permit #OP2613-03.  No permit number was assigned as this was treated as supplementary to previous modification requests. </w:t>
      </w:r>
    </w:p>
    <w:p w14:paraId="726E012D" w14:textId="77777777" w:rsidR="0074420E" w:rsidRPr="00C7419B" w:rsidRDefault="0074420E" w:rsidP="0074420E">
      <w:pPr>
        <w:rPr>
          <w:color w:val="000000"/>
          <w:spacing w:val="-4"/>
          <w:szCs w:val="24"/>
        </w:rPr>
      </w:pPr>
    </w:p>
    <w:p w14:paraId="01301676" w14:textId="3D0EABAE" w:rsidR="0074420E" w:rsidRPr="00C7419B" w:rsidRDefault="0074420E" w:rsidP="0074420E">
      <w:pPr>
        <w:rPr>
          <w:color w:val="000000"/>
          <w:spacing w:val="-4"/>
          <w:szCs w:val="24"/>
        </w:rPr>
      </w:pPr>
      <w:r w:rsidRPr="00C7419B">
        <w:rPr>
          <w:color w:val="000000"/>
          <w:spacing w:val="-4"/>
          <w:szCs w:val="24"/>
        </w:rPr>
        <w:t xml:space="preserve">Modifications associated with ConocoPhillips’ August 28, 2009, December 6, 2010, September 19, </w:t>
      </w:r>
      <w:r w:rsidR="009F6363" w:rsidRPr="00C7419B">
        <w:rPr>
          <w:color w:val="000000"/>
          <w:spacing w:val="-4"/>
          <w:szCs w:val="24"/>
        </w:rPr>
        <w:t>2011,</w:t>
      </w:r>
      <w:r w:rsidRPr="00C7419B">
        <w:rPr>
          <w:color w:val="000000"/>
          <w:spacing w:val="-4"/>
          <w:szCs w:val="24"/>
        </w:rPr>
        <w:t xml:space="preserve"> requests have been incorporated under one permit action as has the acknowledgment of the withdrawal of Operating Permit #OP2619-04.</w:t>
      </w:r>
    </w:p>
    <w:p w14:paraId="2CDA4AC4" w14:textId="77777777" w:rsidR="0074420E" w:rsidRPr="00C7419B" w:rsidRDefault="0074420E" w:rsidP="0074420E">
      <w:pPr>
        <w:rPr>
          <w:color w:val="000000"/>
          <w:spacing w:val="-4"/>
          <w:szCs w:val="24"/>
        </w:rPr>
      </w:pPr>
    </w:p>
    <w:p w14:paraId="4D7306E3" w14:textId="77777777" w:rsidR="0074420E" w:rsidRPr="00C7419B" w:rsidRDefault="0074420E" w:rsidP="0074420E">
      <w:pPr>
        <w:rPr>
          <w:szCs w:val="24"/>
        </w:rPr>
      </w:pPr>
      <w:r w:rsidRPr="00C7419B">
        <w:rPr>
          <w:b/>
          <w:color w:val="000000"/>
          <w:spacing w:val="-4"/>
          <w:szCs w:val="24"/>
        </w:rPr>
        <w:t>Operating Permit #OP2619-06</w:t>
      </w:r>
      <w:r w:rsidRPr="00C7419B">
        <w:rPr>
          <w:color w:val="000000"/>
          <w:spacing w:val="-4"/>
          <w:szCs w:val="24"/>
        </w:rPr>
        <w:t xml:space="preserve"> replaced Operating Permit #OP2619-03.</w:t>
      </w:r>
    </w:p>
    <w:p w14:paraId="50DC14F5"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p>
    <w:p w14:paraId="261CDF1C" w14:textId="23AF0CEA"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C7419B">
        <w:rPr>
          <w:rFonts w:ascii="Garamond" w:hAnsi="Garamond"/>
          <w:snapToGrid/>
          <w:color w:val="000000"/>
          <w:spacing w:val="-4"/>
          <w:szCs w:val="24"/>
        </w:rPr>
        <w:t xml:space="preserve">On May 3, 2012,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xml:space="preserve"> received a request to amend Operating Permit #OP2619-06 to incorporate a change in the ConocoPhillips Company name.  On May 1, 2012, the downstream portions of the ConocoPhillips Company were spun-off as a separate company named Phillips 66 Company (Phillips 66).  As a result of the spin-off, the former ConocoPhillips Billings Refinery is now the Phillips 66 Billings Refinery.  </w:t>
      </w:r>
      <w:r w:rsidRPr="00C7419B">
        <w:rPr>
          <w:rFonts w:ascii="Garamond" w:hAnsi="Garamond"/>
          <w:szCs w:val="24"/>
        </w:rPr>
        <w:t>The current permit action incorporates the name change throughout.  Additionally, Phillips 66 requested the operating permit be corrected to include Mr. Julian R. Stoll as the f</w:t>
      </w:r>
      <w:r w:rsidR="00DD060F" w:rsidRPr="00C7419B">
        <w:rPr>
          <w:rFonts w:ascii="Garamond" w:hAnsi="Garamond"/>
          <w:szCs w:val="24"/>
        </w:rPr>
        <w:t>acility’s Responsible Official.</w:t>
      </w:r>
    </w:p>
    <w:p w14:paraId="70118E12" w14:textId="77777777" w:rsidR="00800276" w:rsidRPr="00C7419B" w:rsidRDefault="00800276"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71CD7E" w14:textId="77777777" w:rsidR="007B5593" w:rsidRPr="00C7419B" w:rsidRDefault="007B5593" w:rsidP="007B5593">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r w:rsidRPr="00C7419B">
        <w:rPr>
          <w:rFonts w:ascii="Garamond" w:hAnsi="Garamond"/>
          <w:b/>
          <w:color w:val="000000"/>
          <w:spacing w:val="-4"/>
          <w:szCs w:val="24"/>
        </w:rPr>
        <w:t>Operating Permit #OP2619-07</w:t>
      </w:r>
      <w:r w:rsidRPr="00C7419B">
        <w:rPr>
          <w:rFonts w:ascii="Garamond" w:hAnsi="Garamond"/>
          <w:color w:val="000000"/>
          <w:spacing w:val="-4"/>
          <w:szCs w:val="24"/>
        </w:rPr>
        <w:t xml:space="preserve"> replaced Operating Permit #OP2619-06.</w:t>
      </w:r>
    </w:p>
    <w:p w14:paraId="6CE50F98"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A943C98" w14:textId="6729B713" w:rsidR="0074420E" w:rsidRPr="00C7419B" w:rsidRDefault="0074420E" w:rsidP="0074420E">
      <w:pPr>
        <w:rPr>
          <w:szCs w:val="24"/>
        </w:rPr>
      </w:pPr>
      <w:r w:rsidRPr="00C7419B">
        <w:rPr>
          <w:szCs w:val="24"/>
        </w:rPr>
        <w:t xml:space="preserve">On December 28, 2012, </w:t>
      </w:r>
      <w:r w:rsidR="00F54677" w:rsidRPr="00C7419B">
        <w:rPr>
          <w:szCs w:val="24"/>
        </w:rPr>
        <w:t>DEQ</w:t>
      </w:r>
      <w:r w:rsidRPr="00C7419B">
        <w:rPr>
          <w:szCs w:val="24"/>
        </w:rPr>
        <w:t xml:space="preserve"> received a Title V Renewal Application from Phillips 66.  The current action renews the Title V </w:t>
      </w:r>
      <w:r w:rsidR="009C2143" w:rsidRPr="00C7419B">
        <w:rPr>
          <w:szCs w:val="24"/>
        </w:rPr>
        <w:t>permit and</w:t>
      </w:r>
      <w:r w:rsidRPr="00C7419B">
        <w:rPr>
          <w:szCs w:val="24"/>
        </w:rPr>
        <w:t xml:space="preserve"> is assigned </w:t>
      </w:r>
      <w:r w:rsidRPr="00C7419B">
        <w:rPr>
          <w:b/>
          <w:szCs w:val="24"/>
        </w:rPr>
        <w:t>Operating Permit #OP2619-08.</w:t>
      </w:r>
      <w:r w:rsidRPr="00C7419B">
        <w:rPr>
          <w:szCs w:val="24"/>
        </w:rPr>
        <w:t xml:space="preserve">  Changes include but are not limited to updates to applicability of 40 CFR 60 Subpart Ja, GGG, and </w:t>
      </w:r>
      <w:proofErr w:type="spellStart"/>
      <w:r w:rsidRPr="00C7419B">
        <w:rPr>
          <w:szCs w:val="24"/>
        </w:rPr>
        <w:t>GGGa</w:t>
      </w:r>
      <w:proofErr w:type="spellEnd"/>
      <w:r w:rsidRPr="00C7419B">
        <w:rPr>
          <w:szCs w:val="24"/>
        </w:rPr>
        <w:t xml:space="preserve">, various updates as needed to include MAQP condition language as stated in the MAQP, update to prompt </w:t>
      </w:r>
      <w:r w:rsidRPr="00C7419B">
        <w:rPr>
          <w:szCs w:val="24"/>
        </w:rPr>
        <w:lastRenderedPageBreak/>
        <w:t xml:space="preserve">deviation language, minor administrative updates and updates to reporting requirements throughout the permit.  </w:t>
      </w:r>
    </w:p>
    <w:p w14:paraId="13E56F29" w14:textId="77777777" w:rsidR="007B5593" w:rsidRDefault="007B5593" w:rsidP="0074420E">
      <w:pPr>
        <w:rPr>
          <w:szCs w:val="24"/>
          <w:highlight w:val="yellow"/>
        </w:rPr>
      </w:pPr>
    </w:p>
    <w:p w14:paraId="63E62680" w14:textId="77777777" w:rsidR="007B5593" w:rsidRPr="00C7419B" w:rsidRDefault="007B5593" w:rsidP="0074420E">
      <w:pPr>
        <w:rPr>
          <w:szCs w:val="24"/>
        </w:rPr>
      </w:pPr>
      <w:r w:rsidRPr="00C7419B">
        <w:rPr>
          <w:b/>
          <w:szCs w:val="24"/>
        </w:rPr>
        <w:t>Operating Permit #OP2619-08</w:t>
      </w:r>
      <w:r w:rsidRPr="00C7419B">
        <w:rPr>
          <w:szCs w:val="24"/>
        </w:rPr>
        <w:t xml:space="preserve"> replaced Operating Permit #OP2619-07</w:t>
      </w:r>
      <w:r w:rsidR="004A0071" w:rsidRPr="00C7419B">
        <w:rPr>
          <w:szCs w:val="24"/>
        </w:rPr>
        <w:t>.</w:t>
      </w:r>
    </w:p>
    <w:p w14:paraId="0F5FD598" w14:textId="77777777" w:rsidR="002F2583" w:rsidRPr="00C7419B" w:rsidRDefault="002F2583" w:rsidP="002F2583">
      <w:pPr>
        <w:rPr>
          <w:szCs w:val="24"/>
        </w:rPr>
      </w:pPr>
    </w:p>
    <w:p w14:paraId="6A91DA91" w14:textId="1944275A" w:rsidR="002F2583" w:rsidRPr="00C7419B" w:rsidRDefault="002F2583" w:rsidP="002F2583">
      <w:pPr>
        <w:rPr>
          <w:szCs w:val="24"/>
        </w:rPr>
      </w:pPr>
      <w:r w:rsidRPr="00C7419B">
        <w:rPr>
          <w:szCs w:val="24"/>
        </w:rPr>
        <w:t xml:space="preserve">On August 10, 2015, </w:t>
      </w:r>
      <w:r w:rsidR="00F54677" w:rsidRPr="00C7419B">
        <w:rPr>
          <w:szCs w:val="24"/>
        </w:rPr>
        <w:t>DEQ</w:t>
      </w:r>
      <w:r w:rsidRPr="00C7419B">
        <w:rPr>
          <w:szCs w:val="24"/>
        </w:rPr>
        <w:t xml:space="preserve"> received a request for an administrative amendment. </w:t>
      </w:r>
      <w:r w:rsidR="00EE1BA7" w:rsidRPr="00C7419B">
        <w:rPr>
          <w:szCs w:val="24"/>
        </w:rPr>
        <w:t xml:space="preserve"> </w:t>
      </w:r>
      <w:r w:rsidRPr="00C7419B">
        <w:rPr>
          <w:szCs w:val="24"/>
        </w:rPr>
        <w:t xml:space="preserve">The permit action updated the alternate responsible official to Madeleine P Chernesky and updated the facility contact person to Steve Torpey. </w:t>
      </w:r>
      <w:r w:rsidR="00EE1BA7" w:rsidRPr="00C7419B">
        <w:rPr>
          <w:szCs w:val="24"/>
        </w:rPr>
        <w:t xml:space="preserve"> </w:t>
      </w:r>
      <w:r w:rsidRPr="00C7419B">
        <w:rPr>
          <w:b/>
          <w:szCs w:val="24"/>
        </w:rPr>
        <w:t>Operating Permit #OP2619-09</w:t>
      </w:r>
      <w:r w:rsidRPr="00C7419B">
        <w:rPr>
          <w:szCs w:val="24"/>
        </w:rPr>
        <w:t xml:space="preserve"> replaced Operating Permit #OP2619-08. </w:t>
      </w:r>
    </w:p>
    <w:p w14:paraId="787AEF46" w14:textId="77777777" w:rsidR="00223C3D" w:rsidRPr="00C7419B" w:rsidRDefault="00223C3D" w:rsidP="00223C3D">
      <w:pPr>
        <w:rPr>
          <w:szCs w:val="24"/>
        </w:rPr>
      </w:pPr>
    </w:p>
    <w:p w14:paraId="1F3A4146" w14:textId="19601D80" w:rsidR="00223C3D" w:rsidRPr="00C7419B" w:rsidRDefault="00223C3D" w:rsidP="00223C3D">
      <w:r w:rsidRPr="00C7419B">
        <w:t xml:space="preserve">On February 16, 2016, </w:t>
      </w:r>
      <w:r w:rsidR="00F54677" w:rsidRPr="00C7419B">
        <w:t>DEQ</w:t>
      </w:r>
      <w:r w:rsidRPr="00C7419B">
        <w:t xml:space="preserve"> received from Phillips 66 a significant modification application for the Title V operating permit to incorporate the preconstruction conditions of MAQP #2619-32, known as the Vacuum Improvement Project.  The action also incorporated changes made to the MAQP regarding consent decree related conditions.  Because the Vacuum Improvement Project had modifications to existing units as well as new units, this Title V action created operating conditions to better describe the applicability of conditions based on </w:t>
      </w:r>
      <w:r w:rsidR="00934107" w:rsidRPr="00C7419B">
        <w:t>pre and</w:t>
      </w:r>
      <w:r w:rsidRPr="00C7419B">
        <w:t xml:space="preserve"> post project conditions.  The intent is that pre-project scenarios can be deleted in their entirety upon completion of the Vacuum Improvement Project.  </w:t>
      </w:r>
      <w:r w:rsidRPr="00C7419B">
        <w:rPr>
          <w:b/>
        </w:rPr>
        <w:t>Operating Permit #OP2619-10</w:t>
      </w:r>
      <w:r w:rsidRPr="00C7419B">
        <w:t xml:space="preserve"> replaced Operating Permit #OP2619-09.</w:t>
      </w:r>
    </w:p>
    <w:p w14:paraId="18E6E330" w14:textId="77777777" w:rsidR="00E133F9" w:rsidRPr="00C7419B" w:rsidRDefault="00E133F9" w:rsidP="0074420E">
      <w:pPr>
        <w:rPr>
          <w:sz w:val="20"/>
        </w:rPr>
      </w:pPr>
    </w:p>
    <w:p w14:paraId="6CA66A39" w14:textId="181D8F18" w:rsidR="00BC552A" w:rsidRPr="00C7419B" w:rsidRDefault="00BC552A" w:rsidP="00BC552A">
      <w:r w:rsidRPr="00C7419B">
        <w:t xml:space="preserve">On August 17, 2017, </w:t>
      </w:r>
      <w:r w:rsidR="00F54677" w:rsidRPr="00C7419B">
        <w:t>DEQ</w:t>
      </w:r>
      <w:r w:rsidRPr="00C7419B">
        <w:t xml:space="preserve"> received notice from Phillips 66 that a change in alternate responsible official had occurred.  Donald Susanen, a new operations manager at this facility, was assigned as an alternate responsible official, replacing Madeleine Chernesky.  </w:t>
      </w:r>
      <w:r w:rsidR="00F54677" w:rsidRPr="00C7419B">
        <w:t>DEQ</w:t>
      </w:r>
      <w:r w:rsidRPr="00C7419B">
        <w:t xml:space="preserve"> updated the Title V permit to reflect the change in alternate responsible official via an Administrative Amendment.  </w:t>
      </w:r>
      <w:r w:rsidRPr="00C7419B">
        <w:rPr>
          <w:b/>
        </w:rPr>
        <w:t>Operating Permit #OP2619-11</w:t>
      </w:r>
      <w:r w:rsidRPr="00C7419B">
        <w:t xml:space="preserve"> replaced Operating Permit #OP2619-10.</w:t>
      </w:r>
    </w:p>
    <w:p w14:paraId="1F5E9D50" w14:textId="77777777" w:rsidR="001360E4" w:rsidRPr="00C7419B" w:rsidRDefault="001360E4" w:rsidP="001360E4"/>
    <w:p w14:paraId="3289AA72" w14:textId="509415DE" w:rsidR="001360E4" w:rsidRPr="00C7419B" w:rsidRDefault="001360E4" w:rsidP="001360E4">
      <w:r w:rsidRPr="00C7419B">
        <w:t xml:space="preserve">On August 17, 2018, </w:t>
      </w:r>
      <w:r w:rsidR="00F54677" w:rsidRPr="00C7419B">
        <w:t>DEQ</w:t>
      </w:r>
      <w:r w:rsidRPr="00C7419B">
        <w:t xml:space="preserve"> received from Phillips 66 a minor modification request to update the Title V to include provisions of the 2008 Billings/Laurel Federal Implementation Plan for SO</w:t>
      </w:r>
      <w:r w:rsidRPr="00C7419B">
        <w:rPr>
          <w:vertAlign w:val="subscript"/>
        </w:rPr>
        <w:t>2</w:t>
      </w:r>
      <w:r w:rsidRPr="00C7419B">
        <w:t xml:space="preserve">, and to remove pre-Vacuum Improvement Project operating scenarios in the permit which are no longer applicable.  </w:t>
      </w:r>
      <w:r w:rsidRPr="00C7419B">
        <w:rPr>
          <w:b/>
        </w:rPr>
        <w:t>Operating Permit #OP2619-12</w:t>
      </w:r>
      <w:r w:rsidRPr="00C7419B">
        <w:t xml:space="preserve"> replaced Operating Permit #OP2619-11.    </w:t>
      </w:r>
    </w:p>
    <w:p w14:paraId="2BF27E3A" w14:textId="5ED0EA1F" w:rsidR="009A6048" w:rsidRPr="00C7419B" w:rsidRDefault="009A6048" w:rsidP="001360E4"/>
    <w:p w14:paraId="0FB2945C" w14:textId="15ACB500" w:rsidR="009A6048" w:rsidRPr="00C7419B" w:rsidRDefault="00F54677" w:rsidP="001360E4">
      <w:r w:rsidRPr="00C7419B">
        <w:t>DEQ</w:t>
      </w:r>
      <w:r w:rsidR="009A6048" w:rsidRPr="00C7419B">
        <w:t xml:space="preserve"> currently has under review a renewal and two major modification applications.  Phillips 66 is currently operating under an application shield, and these actions will be addressed within one permit in an upcoming draft permit issuance. </w:t>
      </w:r>
    </w:p>
    <w:p w14:paraId="1A22CE08" w14:textId="77777777" w:rsidR="000711C7" w:rsidRPr="00C7419B" w:rsidRDefault="000711C7" w:rsidP="000711C7"/>
    <w:p w14:paraId="21BBCDC9" w14:textId="62F0B956" w:rsidR="000711C7" w:rsidRPr="00C7419B" w:rsidRDefault="000711C7" w:rsidP="000711C7">
      <w:r w:rsidRPr="00C7419B">
        <w:t xml:space="preserve">On November 4, 2019, </w:t>
      </w:r>
      <w:r w:rsidR="00F54677" w:rsidRPr="00C7419B">
        <w:t>DEQ</w:t>
      </w:r>
      <w:bookmarkStart w:id="6" w:name="_Hlk117146105"/>
      <w:r w:rsidRPr="00C7419B">
        <w:t xml:space="preserve"> received notice regarding a new Responsible Official and Alternate Responsible Official.  Mr. Donald Susanen became the refinery manager on November 1, 2019.  Mr. Andres Rodrigez Brito has become an alternate responsible official.  </w:t>
      </w:r>
      <w:bookmarkEnd w:id="6"/>
      <w:r w:rsidRPr="00C7419B">
        <w:rPr>
          <w:b/>
        </w:rPr>
        <w:t>Operating Permit #OP2619-13</w:t>
      </w:r>
      <w:r w:rsidRPr="00C7419B">
        <w:t xml:space="preserve"> replace</w:t>
      </w:r>
      <w:r w:rsidR="00842F7E" w:rsidRPr="00C7419B">
        <w:t>d</w:t>
      </w:r>
      <w:r w:rsidRPr="00C7419B">
        <w:t xml:space="preserve"> Operating Permit #OP2619-12 to reflect these changes as required by ARM 17.8.1210(1)(e).  </w:t>
      </w:r>
    </w:p>
    <w:p w14:paraId="7BD5F19B" w14:textId="59A2CF9A" w:rsidR="00DE51D7" w:rsidRPr="00C7419B" w:rsidRDefault="00DE51D7" w:rsidP="000711C7"/>
    <w:p w14:paraId="5603305E" w14:textId="5B26CA95" w:rsidR="00DE51D7" w:rsidRPr="00C7419B" w:rsidRDefault="00DE51D7" w:rsidP="000711C7">
      <w:r w:rsidRPr="00C7419B">
        <w:t xml:space="preserve">On October 12, 2022, </w:t>
      </w:r>
      <w:r w:rsidR="00F54677" w:rsidRPr="00C7419B">
        <w:t>DEQ</w:t>
      </w:r>
      <w:r w:rsidRPr="00C7419B">
        <w:t xml:space="preserve"> received from Phillips 66 Company an Administrative Amendment application for OP2619-16.  Subsequently, </w:t>
      </w:r>
      <w:r w:rsidR="00F54677" w:rsidRPr="00C7419B">
        <w:t>DEQ</w:t>
      </w:r>
      <w:r w:rsidRPr="00C7419B">
        <w:t xml:space="preserve"> received an application for significant modification of the Title V to incorporate conditions of the MAQP which allowed for stationary engines to remain on-site (concurrent application with an MAQP action as permitted in MAQP 2619-37) on December 20, 2018, and on July 1, 2019, received significant modification application for incorporation of consent decree terms.  The current permit action addresses all three applications.  Therefore, the permit is numbered </w:t>
      </w:r>
      <w:r w:rsidRPr="00C7419B">
        <w:rPr>
          <w:b/>
        </w:rPr>
        <w:t>#OP2619-16</w:t>
      </w:r>
      <w:r w:rsidRPr="00C7419B">
        <w:t xml:space="preserve"> to reflect the three application actions addressed within this permit which replaced Operating Permit #OP2619-13.</w:t>
      </w:r>
    </w:p>
    <w:p w14:paraId="37F7E603" w14:textId="77777777" w:rsidR="00666718" w:rsidRPr="00C7419B" w:rsidRDefault="00666718" w:rsidP="000711C7"/>
    <w:p w14:paraId="236CA864" w14:textId="6FA3427D" w:rsidR="000711C7" w:rsidRDefault="00666718" w:rsidP="000711C7">
      <w:r w:rsidRPr="00C7419B">
        <w:lastRenderedPageBreak/>
        <w:t xml:space="preserve">On October 12, 2022, DEQ received notice regarding a new Responsible Official. Mr. Duncan Crosbie became the refinery manager on October 1, 2022.  Operating Permit </w:t>
      </w:r>
      <w:r w:rsidRPr="00C7419B">
        <w:rPr>
          <w:b/>
        </w:rPr>
        <w:t>#OP2619-17</w:t>
      </w:r>
      <w:r w:rsidRPr="00C7419B">
        <w:t xml:space="preserve"> replaced Operating Permit #OP2619-16.</w:t>
      </w:r>
    </w:p>
    <w:p w14:paraId="705CD852" w14:textId="77777777" w:rsidR="00133C88" w:rsidRDefault="00133C88" w:rsidP="000711C7"/>
    <w:p w14:paraId="01D4B87A" w14:textId="475AA968" w:rsidR="00133C88" w:rsidRDefault="00133C88" w:rsidP="00133C88">
      <w:r w:rsidRPr="00C7419B">
        <w:t>On June 2, 2023, DEQ received from Phillips 66 a Title V permit modification.  The purpose of this modification is to create alignment with the MAQP.  The modification includes updates that were inadvertently missed in previous Title V actions, definitions from the closed Consent Agreement, language to clarify permit conditions, and updates related to de minimis.  On September 5</w:t>
      </w:r>
      <w:r w:rsidRPr="00C7419B">
        <w:rPr>
          <w:vertAlign w:val="superscript"/>
        </w:rPr>
        <w:t>th</w:t>
      </w:r>
      <w:r w:rsidRPr="00C7419B">
        <w:t>, 2023, DEQ received from Phillips 66 an MAQP permit modification that contained information relevant to their Title V permit.  The purpose of this modification is to reflect the Vacuum Improvement Project (VIP) that received preconstruction air quality permits for a set of changes to the existing refinery in 2015.  The submittal includes two NO</w:t>
      </w:r>
      <w:r w:rsidRPr="00C7419B">
        <w:rPr>
          <w:vertAlign w:val="subscript"/>
        </w:rPr>
        <w:t>x</w:t>
      </w:r>
      <w:r w:rsidRPr="00C7419B">
        <w:t xml:space="preserve"> and SO</w:t>
      </w:r>
      <w:r w:rsidRPr="00C7419B">
        <w:rPr>
          <w:vertAlign w:val="subscript"/>
        </w:rPr>
        <w:t>2</w:t>
      </w:r>
      <w:r w:rsidRPr="00C7419B">
        <w:t xml:space="preserve"> emission limitations for the Large Crude Unit Heater H-24 and the Vacuum Furnace H-17.  Permit conditions related to Compressor C-23 were removed as it is no longer in service.</w:t>
      </w:r>
      <w:r>
        <w:t xml:space="preserve"> </w:t>
      </w:r>
      <w:r w:rsidRPr="00C7419B">
        <w:t xml:space="preserve">Operating Permit </w:t>
      </w:r>
      <w:r w:rsidRPr="00C7419B">
        <w:rPr>
          <w:b/>
          <w:bCs/>
        </w:rPr>
        <w:t>#OP2619-18</w:t>
      </w:r>
      <w:r w:rsidRPr="00C7419B">
        <w:t xml:space="preserve"> replace</w:t>
      </w:r>
      <w:r w:rsidR="00106D35">
        <w:t>d</w:t>
      </w:r>
      <w:r w:rsidRPr="00C7419B">
        <w:t xml:space="preserve"> Operating Permit #OP2619-17.</w:t>
      </w:r>
    </w:p>
    <w:p w14:paraId="4F8386DE" w14:textId="77777777" w:rsidR="00460DAC" w:rsidRDefault="00460DAC" w:rsidP="00133C88"/>
    <w:p w14:paraId="3F5A880B" w14:textId="77777777" w:rsidR="00460DAC" w:rsidRDefault="00460DAC" w:rsidP="00460DAC">
      <w:bookmarkStart w:id="7" w:name="_Hlk210984510"/>
      <w:r>
        <w:t>O</w:t>
      </w:r>
      <w:r w:rsidRPr="00C7419B">
        <w:t>n J</w:t>
      </w:r>
      <w:r>
        <w:t xml:space="preserve">anuary 21, 2025, pursuant to ARM 17.8.1205(2)(c), </w:t>
      </w:r>
      <w:r w:rsidRPr="00C7419B">
        <w:t xml:space="preserve">DEQ received </w:t>
      </w:r>
      <w:r>
        <w:t xml:space="preserve">an application </w:t>
      </w:r>
      <w:r w:rsidRPr="00C7419B">
        <w:t>from Phillips 66</w:t>
      </w:r>
      <w:r>
        <w:t>,</w:t>
      </w:r>
      <w:r w:rsidRPr="00C61A19">
        <w:t xml:space="preserve"> </w:t>
      </w:r>
      <w:r>
        <w:t>for renewal of the Billings Refinery Title V operating permit #OP2619-18</w:t>
      </w:r>
      <w:r w:rsidRPr="00C7419B">
        <w:t>.</w:t>
      </w:r>
      <w:bookmarkEnd w:id="7"/>
      <w:r w:rsidRPr="00C7419B">
        <w:t xml:space="preserve">  The </w:t>
      </w:r>
      <w:r>
        <w:t>Title V operating permit</w:t>
      </w:r>
      <w:r w:rsidRPr="00C7419B">
        <w:t xml:space="preserve"> </w:t>
      </w:r>
      <w:r>
        <w:t>renewal</w:t>
      </w:r>
      <w:r w:rsidRPr="00C7419B">
        <w:t xml:space="preserve"> create</w:t>
      </w:r>
      <w:r>
        <w:t>s</w:t>
      </w:r>
      <w:r w:rsidRPr="00C7419B">
        <w:t xml:space="preserve"> alignment with the MAQP</w:t>
      </w:r>
      <w:r>
        <w:t xml:space="preserve"> and updates the Title V operating permit to reflect current operations</w:t>
      </w:r>
      <w:r w:rsidRPr="00C7419B">
        <w:t xml:space="preserve">.  </w:t>
      </w:r>
      <w:r>
        <w:t>More specifically, t</w:t>
      </w:r>
      <w:r w:rsidRPr="00C7419B">
        <w:t>h</w:t>
      </w:r>
      <w:r>
        <w:t>is</w:t>
      </w:r>
      <w:r w:rsidRPr="00C7419B">
        <w:t xml:space="preserve"> </w:t>
      </w:r>
      <w:r>
        <w:t>renewal incorporates the following equipment, which has been installed and operated pursuant to the applicable requirements of ARM 17.8.745 (De Minimis Rule):</w:t>
      </w:r>
    </w:p>
    <w:p w14:paraId="0F21DACD" w14:textId="77777777" w:rsidR="00460DAC" w:rsidRDefault="00460DAC" w:rsidP="00460DAC"/>
    <w:p w14:paraId="20D3A4EB" w14:textId="77777777" w:rsidR="00460DAC" w:rsidRDefault="00460DAC" w:rsidP="00460DAC">
      <w:pPr>
        <w:pStyle w:val="ListParagraph"/>
        <w:numPr>
          <w:ilvl w:val="0"/>
          <w:numId w:val="35"/>
        </w:numPr>
      </w:pPr>
      <w:r>
        <w:t xml:space="preserve">Addition of a temporary backup coke crusher, conveyor system, and associated diesel engines in response to DEQ’s concurrence with a De Minimis notice received by DEQ on June 11, 2024. </w:t>
      </w:r>
    </w:p>
    <w:p w14:paraId="726A98EB" w14:textId="77777777" w:rsidR="00460DAC" w:rsidRDefault="00460DAC" w:rsidP="00460DAC">
      <w:pPr>
        <w:pStyle w:val="ListParagraph"/>
        <w:numPr>
          <w:ilvl w:val="0"/>
          <w:numId w:val="35"/>
        </w:numPr>
      </w:pPr>
      <w:r>
        <w:t xml:space="preserve">Addition of a slop-oil tank in response to DEQ’s concurrence with a De Minimis notice received by DEQ on October 24, 2024. </w:t>
      </w:r>
    </w:p>
    <w:p w14:paraId="7E796F7F" w14:textId="77777777" w:rsidR="00460DAC" w:rsidRDefault="00460DAC" w:rsidP="00460DAC">
      <w:pPr>
        <w:pStyle w:val="ListParagraph"/>
        <w:numPr>
          <w:ilvl w:val="0"/>
          <w:numId w:val="35"/>
        </w:numPr>
      </w:pPr>
      <w:r>
        <w:t xml:space="preserve">Removal of tank T-102’s external floating roof and conversion to an internal floating roof in response to DEQ’s concurrence with a De Minimis notice received on February 16, 2024. </w:t>
      </w:r>
    </w:p>
    <w:p w14:paraId="13B74C5B" w14:textId="77777777" w:rsidR="00460DAC" w:rsidRDefault="00460DAC" w:rsidP="00460DAC">
      <w:pPr>
        <w:pStyle w:val="ListParagraph"/>
        <w:numPr>
          <w:ilvl w:val="0"/>
          <w:numId w:val="35"/>
        </w:numPr>
      </w:pPr>
      <w:r>
        <w:t xml:space="preserve">The removal of tanks T-163 and T-164, as the tanks were decommissioned and demolished in 2017 and 2018, respectively. </w:t>
      </w:r>
    </w:p>
    <w:p w14:paraId="79F90437" w14:textId="77777777" w:rsidR="00460DAC" w:rsidRDefault="00460DAC" w:rsidP="00460DAC"/>
    <w:p w14:paraId="6123A4EB" w14:textId="77777777" w:rsidR="00460DAC" w:rsidRDefault="00460DAC" w:rsidP="00460DAC">
      <w:r>
        <w:t xml:space="preserve">On December 16, 2025, DEQ received a supplement to the Administrative Amendment (AA) to OP2619-19 to change the alternate Responsible Official from Ronald Gonzalez to Shannon Dooley. Because the Administrative Amendment was received within the timeframe of the Operating Permit renewal timeline, DEQ incorporated the AA into the Title V Operating Permit Decision. No other administrative changes were requested. </w:t>
      </w:r>
    </w:p>
    <w:p w14:paraId="2F7ABDCA" w14:textId="77777777" w:rsidR="00460DAC" w:rsidRDefault="00460DAC" w:rsidP="00460DAC"/>
    <w:p w14:paraId="12CFAFE0" w14:textId="77777777" w:rsidR="00460DAC" w:rsidRPr="00C7419B" w:rsidDel="00666718" w:rsidRDefault="00460DAC" w:rsidP="00460DAC">
      <w:r w:rsidRPr="00C7419B">
        <w:t xml:space="preserve">Operating Permit </w:t>
      </w:r>
      <w:r w:rsidRPr="0000367C">
        <w:rPr>
          <w:b/>
          <w:bCs/>
        </w:rPr>
        <w:t>#OP2619-19</w:t>
      </w:r>
      <w:r w:rsidRPr="00C7419B">
        <w:t xml:space="preserve"> replaces Operating Permit #OP2619-1</w:t>
      </w:r>
      <w:r>
        <w:t>8</w:t>
      </w:r>
      <w:r w:rsidRPr="00C7419B">
        <w:t>.</w:t>
      </w:r>
    </w:p>
    <w:p w14:paraId="57C86F16" w14:textId="77777777" w:rsidR="00460DAC" w:rsidRPr="00C7419B" w:rsidDel="00666718" w:rsidRDefault="00460DAC" w:rsidP="00133C88"/>
    <w:p w14:paraId="1AF85408" w14:textId="34A66B83" w:rsidR="00460DAC" w:rsidRDefault="002F5D7E" w:rsidP="00460DAC">
      <w:pPr>
        <w:pStyle w:val="Heading2"/>
        <w:spacing w:before="0" w:beforeAutospacing="0" w:after="0" w:afterAutospacing="0"/>
        <w:ind w:left="720" w:hanging="720"/>
        <w:rPr>
          <w:rFonts w:ascii="Garamond" w:hAnsi="Garamond"/>
          <w:sz w:val="24"/>
          <w:szCs w:val="24"/>
        </w:rPr>
      </w:pPr>
      <w:bookmarkStart w:id="8" w:name="_Toc30510213"/>
      <w:bookmarkStart w:id="9" w:name="_Toc30510214"/>
      <w:bookmarkStart w:id="10" w:name="_Toc216098196"/>
      <w:bookmarkEnd w:id="8"/>
      <w:bookmarkEnd w:id="9"/>
      <w:r w:rsidRPr="00460DAC">
        <w:rPr>
          <w:rFonts w:ascii="Garamond" w:hAnsi="Garamond"/>
          <w:sz w:val="24"/>
          <w:szCs w:val="24"/>
        </w:rPr>
        <w:t>Current Permit Action</w:t>
      </w:r>
      <w:bookmarkEnd w:id="10"/>
      <w:r w:rsidRPr="00460DAC">
        <w:rPr>
          <w:rFonts w:ascii="Garamond" w:hAnsi="Garamond"/>
          <w:sz w:val="24"/>
          <w:szCs w:val="24"/>
        </w:rPr>
        <w:t xml:space="preserve"> </w:t>
      </w:r>
    </w:p>
    <w:p w14:paraId="4CFDEBDD" w14:textId="77777777" w:rsidR="00460DAC" w:rsidRDefault="00460DAC" w:rsidP="00460DAC"/>
    <w:p w14:paraId="5EB5E196" w14:textId="24FF3FCE" w:rsidR="00AB7E07" w:rsidRDefault="00460DAC" w:rsidP="00460DAC">
      <w:pPr>
        <w:rPr>
          <w:szCs w:val="24"/>
        </w:rPr>
      </w:pPr>
      <w:r>
        <w:t>O</w:t>
      </w:r>
      <w:r w:rsidRPr="00C7419B">
        <w:t>n J</w:t>
      </w:r>
      <w:r>
        <w:t xml:space="preserve">anuary 21, 2025, pursuant to ARM 17.8.1205(2)(c), </w:t>
      </w:r>
      <w:r w:rsidRPr="00C7419B">
        <w:t xml:space="preserve">DEQ received </w:t>
      </w:r>
      <w:r>
        <w:t xml:space="preserve">an application </w:t>
      </w:r>
      <w:r w:rsidRPr="00C7419B">
        <w:t xml:space="preserve">from </w:t>
      </w:r>
      <w:r>
        <w:t xml:space="preserve">Tetra Tech, on behalf of </w:t>
      </w:r>
      <w:r w:rsidRPr="00C7419B">
        <w:t>Phillips 66</w:t>
      </w:r>
      <w:r>
        <w:t>,</w:t>
      </w:r>
      <w:r w:rsidRPr="00C61A19">
        <w:t xml:space="preserve"> </w:t>
      </w:r>
      <w:r>
        <w:t>for modification of the Billings Refinery Title V operating permit #OP2619-19</w:t>
      </w:r>
      <w:r w:rsidRPr="00C7419B">
        <w:t>.</w:t>
      </w:r>
      <w:r>
        <w:t xml:space="preserve"> As </w:t>
      </w:r>
      <w:r w:rsidR="00832876">
        <w:t xml:space="preserve">detailed </w:t>
      </w:r>
      <w:r>
        <w:t xml:space="preserve">in MAQP #2619-46, </w:t>
      </w:r>
      <w:r w:rsidR="00E773CD">
        <w:t xml:space="preserve">and summarized in Section I.C. of this TRD, </w:t>
      </w:r>
      <w:r>
        <w:t xml:space="preserve">Phillips66 increased the throughput </w:t>
      </w:r>
      <w:r w:rsidR="00E773CD">
        <w:t xml:space="preserve">capacity </w:t>
      </w:r>
      <w:r>
        <w:t>of gas oil to the Fluidized catalytic cracking unit</w:t>
      </w:r>
      <w:r w:rsidRPr="00C7419B">
        <w:t xml:space="preserve"> </w:t>
      </w:r>
      <w:r w:rsidR="001057C7">
        <w:t xml:space="preserve">(FCCU) </w:t>
      </w:r>
      <w:r w:rsidR="00362968">
        <w:t xml:space="preserve">from 24,000 bpd to 26,000 </w:t>
      </w:r>
      <w:r w:rsidR="001057C7">
        <w:t>barrels per day (</w:t>
      </w:r>
      <w:r w:rsidR="00362968">
        <w:t>bpd</w:t>
      </w:r>
      <w:r w:rsidR="001057C7">
        <w:t>)</w:t>
      </w:r>
      <w:r w:rsidR="00832876">
        <w:t>,</w:t>
      </w:r>
      <w:r w:rsidR="00362968">
        <w:t xml:space="preserve"> which subsequently increased NO</w:t>
      </w:r>
      <w:r w:rsidR="00362968" w:rsidRPr="00362968">
        <w:rPr>
          <w:vertAlign w:val="subscript"/>
        </w:rPr>
        <w:t>X</w:t>
      </w:r>
      <w:r w:rsidR="00362968">
        <w:t>, CO, SO</w:t>
      </w:r>
      <w:r w:rsidR="00362968" w:rsidRPr="00362968">
        <w:rPr>
          <w:vertAlign w:val="subscript"/>
        </w:rPr>
        <w:t>2</w:t>
      </w:r>
      <w:r w:rsidR="00362968">
        <w:t>, and PM</w:t>
      </w:r>
      <w:r w:rsidR="00362968" w:rsidRPr="00362968">
        <w:rPr>
          <w:vertAlign w:val="subscript"/>
        </w:rPr>
        <w:t>10</w:t>
      </w:r>
      <w:r w:rsidR="00362968">
        <w:t>/PM</w:t>
      </w:r>
      <w:r w:rsidR="00362968" w:rsidRPr="00362968">
        <w:rPr>
          <w:vertAlign w:val="subscript"/>
        </w:rPr>
        <w:t>2.5</w:t>
      </w:r>
      <w:r w:rsidR="003E125D">
        <w:rPr>
          <w:vertAlign w:val="subscript"/>
        </w:rPr>
        <w:t xml:space="preserve"> </w:t>
      </w:r>
      <w:r w:rsidR="003E125D">
        <w:t>emissions</w:t>
      </w:r>
      <w:r w:rsidR="00362968">
        <w:t xml:space="preserve">. </w:t>
      </w:r>
      <w:r w:rsidR="00E773CD">
        <w:t>These increases in emissions did not</w:t>
      </w:r>
      <w:r w:rsidR="00E773CD" w:rsidRPr="002B5B31">
        <w:rPr>
          <w:szCs w:val="24"/>
        </w:rPr>
        <w:t xml:space="preserve"> exceed applicable significant emission rates (SER) listed</w:t>
      </w:r>
      <w:r w:rsidR="00E773CD">
        <w:rPr>
          <w:szCs w:val="24"/>
        </w:rPr>
        <w:t xml:space="preserve"> </w:t>
      </w:r>
      <w:r w:rsidR="00E773CD" w:rsidRPr="002B5B31">
        <w:rPr>
          <w:szCs w:val="24"/>
        </w:rPr>
        <w:t>in ARM 17.8.801(28)</w:t>
      </w:r>
      <w:r w:rsidR="00E773CD">
        <w:rPr>
          <w:szCs w:val="24"/>
        </w:rPr>
        <w:t>. Therefore,</w:t>
      </w:r>
      <w:r w:rsidR="00E773CD" w:rsidRPr="002B5B31">
        <w:rPr>
          <w:szCs w:val="24"/>
        </w:rPr>
        <w:t xml:space="preserve"> </w:t>
      </w:r>
      <w:r w:rsidR="00E773CD">
        <w:rPr>
          <w:szCs w:val="24"/>
        </w:rPr>
        <w:t xml:space="preserve">the permit action </w:t>
      </w:r>
      <w:r w:rsidR="00675118">
        <w:rPr>
          <w:szCs w:val="24"/>
        </w:rPr>
        <w:t>wa</w:t>
      </w:r>
      <w:r w:rsidR="00E773CD">
        <w:rPr>
          <w:szCs w:val="24"/>
        </w:rPr>
        <w:t>s</w:t>
      </w:r>
      <w:r w:rsidR="00E773CD" w:rsidRPr="002B5B31">
        <w:rPr>
          <w:szCs w:val="24"/>
        </w:rPr>
        <w:t xml:space="preserve"> not subject to </w:t>
      </w:r>
      <w:r w:rsidR="00E773CD">
        <w:rPr>
          <w:szCs w:val="24"/>
        </w:rPr>
        <w:lastRenderedPageBreak/>
        <w:t>review pursuant to the major NSR</w:t>
      </w:r>
      <w:r w:rsidR="00E36255">
        <w:rPr>
          <w:szCs w:val="24"/>
        </w:rPr>
        <w:t>-</w:t>
      </w:r>
      <w:r w:rsidR="00E773CD" w:rsidRPr="002B5B31">
        <w:rPr>
          <w:szCs w:val="24"/>
        </w:rPr>
        <w:t xml:space="preserve">PSD </w:t>
      </w:r>
      <w:r w:rsidR="00E773CD">
        <w:rPr>
          <w:szCs w:val="24"/>
        </w:rPr>
        <w:t>permitting program</w:t>
      </w:r>
      <w:r w:rsidR="00E773CD" w:rsidRPr="002B5B31">
        <w:rPr>
          <w:szCs w:val="24"/>
        </w:rPr>
        <w:t>.</w:t>
      </w:r>
      <w:r w:rsidR="005E10AB">
        <w:rPr>
          <w:szCs w:val="24"/>
        </w:rPr>
        <w:t xml:space="preserve"> A copy of MAQP #2619-46 is available electronically on DEQ’s website and in hard copy format upon request</w:t>
      </w:r>
      <w:r w:rsidR="00675118">
        <w:rPr>
          <w:szCs w:val="24"/>
        </w:rPr>
        <w:t xml:space="preserve"> from DEQ</w:t>
      </w:r>
      <w:r w:rsidR="005E10AB">
        <w:rPr>
          <w:szCs w:val="24"/>
        </w:rPr>
        <w:t xml:space="preserve">.  </w:t>
      </w:r>
    </w:p>
    <w:p w14:paraId="28B30F57" w14:textId="77777777" w:rsidR="00E1041E" w:rsidRDefault="00E1041E" w:rsidP="00460DAC">
      <w:pPr>
        <w:rPr>
          <w:szCs w:val="24"/>
        </w:rPr>
      </w:pPr>
    </w:p>
    <w:p w14:paraId="1F1870AC" w14:textId="1C32D635" w:rsidR="00E1041E" w:rsidRDefault="00E1041E" w:rsidP="00460DAC">
      <w:pPr>
        <w:rPr>
          <w:szCs w:val="24"/>
        </w:rPr>
      </w:pPr>
      <w:r>
        <w:rPr>
          <w:szCs w:val="24"/>
        </w:rPr>
        <w:t>I</w:t>
      </w:r>
      <w:r w:rsidRPr="00F1049B">
        <w:rPr>
          <w:szCs w:val="24"/>
        </w:rPr>
        <w:t xml:space="preserve">n July 2023, EPA rescinded the emergency affirmative defense </w:t>
      </w:r>
      <w:r>
        <w:rPr>
          <w:szCs w:val="24"/>
        </w:rPr>
        <w:t>rule from</w:t>
      </w:r>
      <w:r w:rsidRPr="00F1049B">
        <w:rPr>
          <w:szCs w:val="24"/>
        </w:rPr>
        <w:t xml:space="preserve"> its Title V regulations. In response, Montana was required to remove the affected provisions from their operating permit program rules and from affected title V operating permits at renewal or during permit revisions. </w:t>
      </w:r>
      <w:r w:rsidRPr="00F1049B">
        <w:rPr>
          <w:rFonts w:eastAsia="Aptos"/>
          <w:kern w:val="2"/>
          <w:szCs w:val="24"/>
          <w14:ligatures w14:val="standardContextual"/>
        </w:rPr>
        <w:t xml:space="preserve">Subsequently, in September 2025, the D.C. Circuit Court of Appeals reinstated the Clean Air Act emergency affirmative defense, reversing the EPA's 2023 rescission of the rule that provides a defense against liability for excess emissions during sudden, unforeseeable emergencies. </w:t>
      </w:r>
      <w:r>
        <w:rPr>
          <w:rFonts w:eastAsia="Aptos"/>
          <w:kern w:val="2"/>
          <w:szCs w:val="24"/>
          <w14:ligatures w14:val="standardContextual"/>
        </w:rPr>
        <w:t xml:space="preserve">It is anticipated </w:t>
      </w:r>
      <w:r w:rsidRPr="00F1049B">
        <w:rPr>
          <w:rFonts w:eastAsia="Aptos"/>
          <w:kern w:val="2"/>
          <w:szCs w:val="24"/>
          <w14:ligatures w14:val="standardContextual"/>
        </w:rPr>
        <w:t>EPA will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r w:rsidRPr="00F1049B">
        <w:rPr>
          <w:szCs w:val="24"/>
        </w:rPr>
        <w:t>.</w:t>
      </w:r>
    </w:p>
    <w:p w14:paraId="3B0C9169" w14:textId="77777777" w:rsidR="005E10AB" w:rsidRDefault="005E10AB" w:rsidP="00460DAC"/>
    <w:p w14:paraId="65FA7A56" w14:textId="32A29A5D" w:rsidR="00362968" w:rsidRDefault="00362968" w:rsidP="00460DAC">
      <w:r w:rsidRPr="00362968">
        <w:rPr>
          <w:b/>
          <w:bCs/>
        </w:rPr>
        <w:t>Operating Permit #OP2619-20</w:t>
      </w:r>
      <w:r>
        <w:t xml:space="preserve"> replaces Operating Permit #2619-19.</w:t>
      </w:r>
    </w:p>
    <w:p w14:paraId="3923DA43" w14:textId="77777777" w:rsidR="00AB7E07" w:rsidRPr="00362968" w:rsidRDefault="00AB7E07" w:rsidP="00460DAC"/>
    <w:p w14:paraId="06BA69CA" w14:textId="77777777" w:rsidR="002F5D7E" w:rsidRPr="00C7419B" w:rsidRDefault="002F5D7E" w:rsidP="00E133F9">
      <w:pPr>
        <w:pStyle w:val="Heading2"/>
        <w:spacing w:before="0" w:beforeAutospacing="0" w:after="0" w:afterAutospacing="0"/>
        <w:ind w:left="720" w:hanging="720"/>
        <w:rPr>
          <w:rFonts w:ascii="Garamond" w:hAnsi="Garamond"/>
          <w:sz w:val="24"/>
          <w:szCs w:val="24"/>
        </w:rPr>
      </w:pPr>
      <w:bookmarkStart w:id="11" w:name="_Toc30510216"/>
      <w:bookmarkStart w:id="12" w:name="_Toc30510218"/>
      <w:bookmarkStart w:id="13" w:name="_Toc216098197"/>
      <w:bookmarkEnd w:id="11"/>
      <w:bookmarkEnd w:id="12"/>
      <w:r w:rsidRPr="00C7419B">
        <w:rPr>
          <w:rFonts w:ascii="Garamond" w:hAnsi="Garamond"/>
          <w:sz w:val="24"/>
          <w:szCs w:val="24"/>
        </w:rPr>
        <w:t>Taking and Damaging Analysis</w:t>
      </w:r>
      <w:bookmarkEnd w:id="13"/>
    </w:p>
    <w:p w14:paraId="3879123F" w14:textId="77777777" w:rsidR="002F5D7E" w:rsidRPr="00C7419B" w:rsidRDefault="002F5D7E" w:rsidP="00E133F9">
      <w:pPr>
        <w:rPr>
          <w:szCs w:val="24"/>
        </w:rPr>
      </w:pPr>
    </w:p>
    <w:p w14:paraId="2F24D043" w14:textId="32A13762" w:rsidR="0085697B" w:rsidRPr="00C7419B" w:rsidRDefault="00265F81" w:rsidP="00DD060F">
      <w:pPr>
        <w:rPr>
          <w:szCs w:val="24"/>
        </w:rPr>
      </w:pPr>
      <w:r>
        <w:t>As required by 2-10-105, MCA, DEQ conducted the following private property taking and damaging assessment</w:t>
      </w:r>
      <w:r w:rsidR="002F5D7E" w:rsidRPr="00C7419B">
        <w:rPr>
          <w:szCs w:val="24"/>
        </w:rPr>
        <w:t>.</w:t>
      </w:r>
    </w:p>
    <w:p w14:paraId="667A4D8E" w14:textId="77777777" w:rsidR="002F5D7E" w:rsidRPr="00C7419B" w:rsidRDefault="002F5D7E" w:rsidP="00DD060F">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F5D7E" w:rsidRPr="00C7419B" w14:paraId="65A55ACA" w14:textId="77777777" w:rsidTr="009C7DA1">
        <w:trPr>
          <w:cantSplit/>
          <w:tblHeader/>
        </w:trPr>
        <w:tc>
          <w:tcPr>
            <w:tcW w:w="358" w:type="pct"/>
            <w:tcBorders>
              <w:bottom w:val="nil"/>
            </w:tcBorders>
            <w:shd w:val="clear" w:color="auto" w:fill="FFFFFF"/>
          </w:tcPr>
          <w:p w14:paraId="7CFE2177" w14:textId="77777777" w:rsidR="002F5D7E" w:rsidRPr="00C7419B" w:rsidRDefault="002F5D7E" w:rsidP="00C507C8">
            <w:pPr>
              <w:rPr>
                <w:b/>
                <w:sz w:val="22"/>
                <w:szCs w:val="22"/>
              </w:rPr>
            </w:pPr>
            <w:r w:rsidRPr="00C7419B">
              <w:rPr>
                <w:b/>
                <w:sz w:val="22"/>
                <w:szCs w:val="22"/>
              </w:rPr>
              <w:t>YES</w:t>
            </w:r>
          </w:p>
        </w:tc>
        <w:tc>
          <w:tcPr>
            <w:tcW w:w="350" w:type="pct"/>
            <w:shd w:val="clear" w:color="auto" w:fill="CCCCCC"/>
          </w:tcPr>
          <w:p w14:paraId="3C56CD1D" w14:textId="77777777" w:rsidR="002F5D7E" w:rsidRPr="00C7419B" w:rsidRDefault="002F5D7E" w:rsidP="00C507C8">
            <w:pPr>
              <w:rPr>
                <w:b/>
                <w:sz w:val="22"/>
                <w:szCs w:val="22"/>
              </w:rPr>
            </w:pPr>
            <w:r w:rsidRPr="00C7419B">
              <w:rPr>
                <w:b/>
                <w:sz w:val="22"/>
                <w:szCs w:val="22"/>
              </w:rPr>
              <w:t>NO</w:t>
            </w:r>
          </w:p>
        </w:tc>
        <w:tc>
          <w:tcPr>
            <w:tcW w:w="4292" w:type="pct"/>
          </w:tcPr>
          <w:p w14:paraId="6907A72D" w14:textId="77777777" w:rsidR="002F5D7E" w:rsidRPr="00C7419B" w:rsidRDefault="002F5D7E" w:rsidP="00C507C8">
            <w:pPr>
              <w:rPr>
                <w:sz w:val="22"/>
                <w:szCs w:val="22"/>
              </w:rPr>
            </w:pPr>
          </w:p>
        </w:tc>
      </w:tr>
      <w:tr w:rsidR="002F5D7E" w:rsidRPr="00C7419B" w14:paraId="40317A1F" w14:textId="77777777" w:rsidTr="003E125D">
        <w:trPr>
          <w:cantSplit/>
        </w:trPr>
        <w:tc>
          <w:tcPr>
            <w:tcW w:w="358" w:type="pct"/>
            <w:tcBorders>
              <w:bottom w:val="nil"/>
            </w:tcBorders>
            <w:shd w:val="clear" w:color="auto" w:fill="FFFFFF"/>
            <w:vAlign w:val="center"/>
          </w:tcPr>
          <w:p w14:paraId="1398D160" w14:textId="77777777" w:rsidR="002F5D7E" w:rsidRPr="00C7419B" w:rsidRDefault="007B5593" w:rsidP="005570B4">
            <w:pPr>
              <w:jc w:val="center"/>
              <w:rPr>
                <w:sz w:val="22"/>
                <w:szCs w:val="22"/>
              </w:rPr>
            </w:pPr>
            <w:r w:rsidRPr="00C7419B">
              <w:rPr>
                <w:sz w:val="22"/>
                <w:szCs w:val="22"/>
              </w:rPr>
              <w:t>X</w:t>
            </w:r>
          </w:p>
        </w:tc>
        <w:tc>
          <w:tcPr>
            <w:tcW w:w="350" w:type="pct"/>
            <w:shd w:val="clear" w:color="auto" w:fill="CCCCCC"/>
            <w:vAlign w:val="center"/>
          </w:tcPr>
          <w:p w14:paraId="68A5091E" w14:textId="77777777" w:rsidR="002F5D7E" w:rsidRPr="00C7419B" w:rsidRDefault="002F5D7E" w:rsidP="005570B4">
            <w:pPr>
              <w:jc w:val="center"/>
              <w:rPr>
                <w:sz w:val="22"/>
                <w:szCs w:val="22"/>
              </w:rPr>
            </w:pPr>
          </w:p>
        </w:tc>
        <w:tc>
          <w:tcPr>
            <w:tcW w:w="4292" w:type="pct"/>
          </w:tcPr>
          <w:p w14:paraId="1E5BBB69" w14:textId="77777777" w:rsidR="002F5D7E" w:rsidRPr="00C7419B" w:rsidRDefault="002F5D7E" w:rsidP="00C507C8">
            <w:pPr>
              <w:rPr>
                <w:sz w:val="22"/>
                <w:szCs w:val="22"/>
              </w:rPr>
            </w:pPr>
            <w:r w:rsidRPr="00C7419B">
              <w:rPr>
                <w:sz w:val="22"/>
                <w:szCs w:val="22"/>
              </w:rPr>
              <w:t>1. Does the action pertain to land or water management or environmental regulation affecting private real property or water rights?</w:t>
            </w:r>
          </w:p>
        </w:tc>
      </w:tr>
      <w:tr w:rsidR="002F5D7E" w:rsidRPr="00C7419B" w14:paraId="71A94800" w14:textId="77777777" w:rsidTr="003E125D">
        <w:trPr>
          <w:cantSplit/>
        </w:trPr>
        <w:tc>
          <w:tcPr>
            <w:tcW w:w="358" w:type="pct"/>
            <w:shd w:val="pct15" w:color="auto" w:fill="FFFFFF"/>
            <w:vAlign w:val="center"/>
          </w:tcPr>
          <w:p w14:paraId="4526BBF9" w14:textId="77777777" w:rsidR="002F5D7E" w:rsidRPr="00C7419B" w:rsidRDefault="002F5D7E" w:rsidP="005570B4">
            <w:pPr>
              <w:jc w:val="center"/>
              <w:rPr>
                <w:sz w:val="22"/>
                <w:szCs w:val="22"/>
              </w:rPr>
            </w:pPr>
          </w:p>
        </w:tc>
        <w:tc>
          <w:tcPr>
            <w:tcW w:w="350" w:type="pct"/>
            <w:vAlign w:val="center"/>
          </w:tcPr>
          <w:p w14:paraId="7A060895" w14:textId="77777777" w:rsidR="002F5D7E" w:rsidRPr="00C7419B" w:rsidRDefault="007B5593" w:rsidP="005570B4">
            <w:pPr>
              <w:jc w:val="center"/>
              <w:rPr>
                <w:sz w:val="22"/>
                <w:szCs w:val="22"/>
              </w:rPr>
            </w:pPr>
            <w:r w:rsidRPr="00C7419B">
              <w:rPr>
                <w:sz w:val="22"/>
                <w:szCs w:val="22"/>
              </w:rPr>
              <w:t>X</w:t>
            </w:r>
          </w:p>
        </w:tc>
        <w:tc>
          <w:tcPr>
            <w:tcW w:w="4292" w:type="pct"/>
          </w:tcPr>
          <w:p w14:paraId="5484471F" w14:textId="77777777" w:rsidR="002F5D7E" w:rsidRPr="00C7419B" w:rsidRDefault="002F5D7E" w:rsidP="00C507C8">
            <w:pPr>
              <w:rPr>
                <w:sz w:val="22"/>
                <w:szCs w:val="22"/>
              </w:rPr>
            </w:pPr>
            <w:r w:rsidRPr="00C7419B">
              <w:rPr>
                <w:sz w:val="22"/>
                <w:szCs w:val="22"/>
              </w:rPr>
              <w:t>2.  Does the action result in either a permanent or indefinite physical occupation of private property?</w:t>
            </w:r>
          </w:p>
        </w:tc>
      </w:tr>
      <w:tr w:rsidR="002F5D7E" w:rsidRPr="00C7419B" w14:paraId="6B8F895F" w14:textId="77777777" w:rsidTr="003E125D">
        <w:trPr>
          <w:cantSplit/>
        </w:trPr>
        <w:tc>
          <w:tcPr>
            <w:tcW w:w="358" w:type="pct"/>
            <w:shd w:val="pct15" w:color="auto" w:fill="FFFFFF"/>
            <w:vAlign w:val="center"/>
          </w:tcPr>
          <w:p w14:paraId="063C1CBE" w14:textId="77777777" w:rsidR="002F5D7E" w:rsidRPr="00C7419B" w:rsidRDefault="002F5D7E" w:rsidP="005570B4">
            <w:pPr>
              <w:jc w:val="center"/>
              <w:rPr>
                <w:sz w:val="22"/>
                <w:szCs w:val="22"/>
              </w:rPr>
            </w:pPr>
          </w:p>
        </w:tc>
        <w:tc>
          <w:tcPr>
            <w:tcW w:w="350" w:type="pct"/>
            <w:vAlign w:val="center"/>
          </w:tcPr>
          <w:p w14:paraId="4B275880" w14:textId="77777777" w:rsidR="002F5D7E" w:rsidRPr="00C7419B" w:rsidRDefault="007B5593" w:rsidP="005570B4">
            <w:pPr>
              <w:jc w:val="center"/>
              <w:rPr>
                <w:sz w:val="22"/>
                <w:szCs w:val="22"/>
              </w:rPr>
            </w:pPr>
            <w:r w:rsidRPr="00C7419B">
              <w:rPr>
                <w:sz w:val="22"/>
                <w:szCs w:val="22"/>
              </w:rPr>
              <w:t>X</w:t>
            </w:r>
          </w:p>
        </w:tc>
        <w:tc>
          <w:tcPr>
            <w:tcW w:w="4292" w:type="pct"/>
          </w:tcPr>
          <w:p w14:paraId="3F7AF82C" w14:textId="77777777" w:rsidR="002F5D7E" w:rsidRPr="00C7419B" w:rsidRDefault="002F5D7E" w:rsidP="00C507C8">
            <w:pPr>
              <w:rPr>
                <w:sz w:val="22"/>
                <w:szCs w:val="22"/>
              </w:rPr>
            </w:pPr>
            <w:r w:rsidRPr="00C7419B">
              <w:rPr>
                <w:sz w:val="22"/>
                <w:szCs w:val="22"/>
              </w:rPr>
              <w:t>3.  Does the action deny a fundamental attribute of ownership? (ex.:  right to exclude others, disposal of property)</w:t>
            </w:r>
          </w:p>
        </w:tc>
      </w:tr>
      <w:tr w:rsidR="002F5D7E" w:rsidRPr="00C7419B" w14:paraId="75158C9D" w14:textId="77777777" w:rsidTr="003E125D">
        <w:trPr>
          <w:cantSplit/>
        </w:trPr>
        <w:tc>
          <w:tcPr>
            <w:tcW w:w="358" w:type="pct"/>
            <w:shd w:val="pct15" w:color="auto" w:fill="FFFFFF"/>
            <w:vAlign w:val="center"/>
          </w:tcPr>
          <w:p w14:paraId="7C95F619" w14:textId="77777777" w:rsidR="002F5D7E" w:rsidRPr="00C7419B" w:rsidRDefault="002F5D7E" w:rsidP="005570B4">
            <w:pPr>
              <w:jc w:val="center"/>
              <w:rPr>
                <w:sz w:val="22"/>
                <w:szCs w:val="22"/>
              </w:rPr>
            </w:pPr>
          </w:p>
        </w:tc>
        <w:tc>
          <w:tcPr>
            <w:tcW w:w="350" w:type="pct"/>
            <w:vAlign w:val="center"/>
          </w:tcPr>
          <w:p w14:paraId="200F0F33" w14:textId="77777777" w:rsidR="002F5D7E" w:rsidRPr="00C7419B" w:rsidRDefault="007B5593" w:rsidP="005570B4">
            <w:pPr>
              <w:jc w:val="center"/>
              <w:rPr>
                <w:sz w:val="22"/>
                <w:szCs w:val="22"/>
              </w:rPr>
            </w:pPr>
            <w:r w:rsidRPr="00C7419B">
              <w:rPr>
                <w:sz w:val="22"/>
                <w:szCs w:val="22"/>
              </w:rPr>
              <w:t>X</w:t>
            </w:r>
          </w:p>
        </w:tc>
        <w:tc>
          <w:tcPr>
            <w:tcW w:w="4292" w:type="pct"/>
          </w:tcPr>
          <w:p w14:paraId="7CC6E394" w14:textId="77777777" w:rsidR="002F5D7E" w:rsidRPr="00C7419B" w:rsidRDefault="002F5D7E" w:rsidP="00C507C8">
            <w:pPr>
              <w:rPr>
                <w:sz w:val="22"/>
                <w:szCs w:val="22"/>
              </w:rPr>
            </w:pPr>
            <w:r w:rsidRPr="00C7419B">
              <w:rPr>
                <w:sz w:val="22"/>
                <w:szCs w:val="22"/>
              </w:rPr>
              <w:t>4.  Does the action deprive the owner of all economically viable uses of the property?</w:t>
            </w:r>
          </w:p>
        </w:tc>
      </w:tr>
      <w:tr w:rsidR="002F5D7E" w:rsidRPr="00C7419B" w14:paraId="520D648A" w14:textId="77777777" w:rsidTr="003E125D">
        <w:trPr>
          <w:cantSplit/>
        </w:trPr>
        <w:tc>
          <w:tcPr>
            <w:tcW w:w="358" w:type="pct"/>
            <w:vAlign w:val="center"/>
          </w:tcPr>
          <w:p w14:paraId="56C059F2" w14:textId="77777777" w:rsidR="002F5D7E" w:rsidRPr="00C7419B" w:rsidRDefault="002F5D7E" w:rsidP="005570B4">
            <w:pPr>
              <w:jc w:val="center"/>
              <w:rPr>
                <w:sz w:val="22"/>
                <w:szCs w:val="22"/>
              </w:rPr>
            </w:pPr>
          </w:p>
        </w:tc>
        <w:tc>
          <w:tcPr>
            <w:tcW w:w="350" w:type="pct"/>
            <w:vAlign w:val="center"/>
          </w:tcPr>
          <w:p w14:paraId="2C477CF2" w14:textId="77777777" w:rsidR="002F5D7E" w:rsidRPr="00C7419B" w:rsidRDefault="007B5593" w:rsidP="005570B4">
            <w:pPr>
              <w:jc w:val="center"/>
              <w:rPr>
                <w:sz w:val="22"/>
                <w:szCs w:val="22"/>
              </w:rPr>
            </w:pPr>
            <w:r w:rsidRPr="00C7419B">
              <w:rPr>
                <w:sz w:val="22"/>
                <w:szCs w:val="22"/>
              </w:rPr>
              <w:t>X</w:t>
            </w:r>
          </w:p>
        </w:tc>
        <w:tc>
          <w:tcPr>
            <w:tcW w:w="4292" w:type="pct"/>
          </w:tcPr>
          <w:p w14:paraId="4D911632" w14:textId="77777777" w:rsidR="002F5D7E" w:rsidRPr="00C7419B" w:rsidRDefault="002F5D7E" w:rsidP="00C507C8">
            <w:pPr>
              <w:rPr>
                <w:sz w:val="22"/>
                <w:szCs w:val="22"/>
              </w:rPr>
            </w:pPr>
            <w:r w:rsidRPr="00C7419B">
              <w:rPr>
                <w:sz w:val="22"/>
                <w:szCs w:val="22"/>
              </w:rPr>
              <w:t>5.  Does the action require a property owner to dedicate a portion of property or to grant an easement? [If no, go to (6)].</w:t>
            </w:r>
          </w:p>
        </w:tc>
      </w:tr>
      <w:tr w:rsidR="002F5D7E" w:rsidRPr="00C7419B" w14:paraId="59552219" w14:textId="77777777" w:rsidTr="003E125D">
        <w:trPr>
          <w:cantSplit/>
        </w:trPr>
        <w:tc>
          <w:tcPr>
            <w:tcW w:w="358" w:type="pct"/>
            <w:vAlign w:val="center"/>
          </w:tcPr>
          <w:p w14:paraId="66D6DCF2" w14:textId="77777777" w:rsidR="002F5D7E" w:rsidRPr="00C7419B" w:rsidRDefault="002F5D7E" w:rsidP="005570B4">
            <w:pPr>
              <w:jc w:val="center"/>
              <w:rPr>
                <w:sz w:val="22"/>
                <w:szCs w:val="22"/>
              </w:rPr>
            </w:pPr>
          </w:p>
        </w:tc>
        <w:tc>
          <w:tcPr>
            <w:tcW w:w="350" w:type="pct"/>
            <w:shd w:val="pct15" w:color="auto" w:fill="FFFFFF"/>
            <w:vAlign w:val="center"/>
          </w:tcPr>
          <w:p w14:paraId="5BE70F72" w14:textId="77777777" w:rsidR="002F5D7E" w:rsidRPr="00C7419B" w:rsidRDefault="002F5D7E" w:rsidP="005570B4">
            <w:pPr>
              <w:jc w:val="center"/>
              <w:rPr>
                <w:sz w:val="22"/>
                <w:szCs w:val="22"/>
              </w:rPr>
            </w:pPr>
          </w:p>
        </w:tc>
        <w:tc>
          <w:tcPr>
            <w:tcW w:w="4292" w:type="pct"/>
          </w:tcPr>
          <w:p w14:paraId="4A4878F5" w14:textId="77777777" w:rsidR="002F5D7E" w:rsidRPr="00C7419B" w:rsidRDefault="002F5D7E" w:rsidP="00C507C8">
            <w:pPr>
              <w:rPr>
                <w:sz w:val="22"/>
                <w:szCs w:val="22"/>
              </w:rPr>
            </w:pPr>
            <w:r w:rsidRPr="00C7419B">
              <w:rPr>
                <w:sz w:val="22"/>
                <w:szCs w:val="22"/>
              </w:rPr>
              <w:t>5a</w:t>
            </w:r>
            <w:r w:rsidR="006E2B1A" w:rsidRPr="00C7419B">
              <w:rPr>
                <w:sz w:val="22"/>
                <w:szCs w:val="22"/>
              </w:rPr>
              <w:t>. Is</w:t>
            </w:r>
            <w:r w:rsidRPr="00C7419B">
              <w:rPr>
                <w:sz w:val="22"/>
                <w:szCs w:val="22"/>
              </w:rPr>
              <w:t xml:space="preserve"> there a reasonable, specific connection between the government requirement and legitimate state interests?</w:t>
            </w:r>
          </w:p>
        </w:tc>
      </w:tr>
      <w:tr w:rsidR="002F5D7E" w:rsidRPr="00C7419B" w14:paraId="44BDD7D5" w14:textId="77777777" w:rsidTr="003E125D">
        <w:trPr>
          <w:cantSplit/>
        </w:trPr>
        <w:tc>
          <w:tcPr>
            <w:tcW w:w="358" w:type="pct"/>
            <w:vAlign w:val="center"/>
          </w:tcPr>
          <w:p w14:paraId="320A03C8" w14:textId="77777777" w:rsidR="002F5D7E" w:rsidRPr="00C7419B" w:rsidRDefault="002F5D7E" w:rsidP="005570B4">
            <w:pPr>
              <w:jc w:val="center"/>
              <w:rPr>
                <w:sz w:val="22"/>
                <w:szCs w:val="22"/>
              </w:rPr>
            </w:pPr>
          </w:p>
        </w:tc>
        <w:tc>
          <w:tcPr>
            <w:tcW w:w="350" w:type="pct"/>
            <w:shd w:val="pct15" w:color="auto" w:fill="FFFFFF"/>
            <w:vAlign w:val="center"/>
          </w:tcPr>
          <w:p w14:paraId="453FDC4F" w14:textId="77777777" w:rsidR="002F5D7E" w:rsidRPr="00C7419B" w:rsidRDefault="002F5D7E" w:rsidP="005570B4">
            <w:pPr>
              <w:jc w:val="center"/>
              <w:rPr>
                <w:sz w:val="22"/>
                <w:szCs w:val="22"/>
              </w:rPr>
            </w:pPr>
          </w:p>
        </w:tc>
        <w:tc>
          <w:tcPr>
            <w:tcW w:w="4292" w:type="pct"/>
          </w:tcPr>
          <w:p w14:paraId="3DF39592" w14:textId="77777777" w:rsidR="002F5D7E" w:rsidRPr="00C7419B" w:rsidRDefault="002F5D7E" w:rsidP="00C507C8">
            <w:pPr>
              <w:rPr>
                <w:sz w:val="22"/>
                <w:szCs w:val="22"/>
              </w:rPr>
            </w:pPr>
            <w:r w:rsidRPr="00C7419B">
              <w:rPr>
                <w:sz w:val="22"/>
                <w:szCs w:val="22"/>
              </w:rPr>
              <w:t>5b</w:t>
            </w:r>
            <w:r w:rsidR="006E2B1A" w:rsidRPr="00C7419B">
              <w:rPr>
                <w:sz w:val="22"/>
                <w:szCs w:val="22"/>
              </w:rPr>
              <w:t>. Is</w:t>
            </w:r>
            <w:r w:rsidRPr="00C7419B">
              <w:rPr>
                <w:sz w:val="22"/>
                <w:szCs w:val="22"/>
              </w:rPr>
              <w:t xml:space="preserve"> the government requirement roughly proportional to the impact of the proposed use of the property?</w:t>
            </w:r>
          </w:p>
        </w:tc>
      </w:tr>
      <w:tr w:rsidR="002F5D7E" w:rsidRPr="00C7419B" w14:paraId="417EEA77" w14:textId="77777777" w:rsidTr="003E125D">
        <w:trPr>
          <w:cantSplit/>
        </w:trPr>
        <w:tc>
          <w:tcPr>
            <w:tcW w:w="358" w:type="pct"/>
            <w:shd w:val="pct15" w:color="auto" w:fill="FFFFFF"/>
            <w:vAlign w:val="center"/>
          </w:tcPr>
          <w:p w14:paraId="420DDF65" w14:textId="77777777" w:rsidR="002F5D7E" w:rsidRPr="00C7419B" w:rsidRDefault="002F5D7E" w:rsidP="005570B4">
            <w:pPr>
              <w:jc w:val="center"/>
              <w:rPr>
                <w:sz w:val="22"/>
                <w:szCs w:val="22"/>
              </w:rPr>
            </w:pPr>
          </w:p>
        </w:tc>
        <w:tc>
          <w:tcPr>
            <w:tcW w:w="350" w:type="pct"/>
            <w:vAlign w:val="center"/>
          </w:tcPr>
          <w:p w14:paraId="293FF771" w14:textId="77777777" w:rsidR="002F5D7E" w:rsidRPr="00C7419B" w:rsidRDefault="007B5593" w:rsidP="005570B4">
            <w:pPr>
              <w:jc w:val="center"/>
              <w:rPr>
                <w:sz w:val="22"/>
                <w:szCs w:val="22"/>
              </w:rPr>
            </w:pPr>
            <w:r w:rsidRPr="00C7419B">
              <w:rPr>
                <w:sz w:val="22"/>
                <w:szCs w:val="22"/>
              </w:rPr>
              <w:t>X</w:t>
            </w:r>
          </w:p>
        </w:tc>
        <w:tc>
          <w:tcPr>
            <w:tcW w:w="4292" w:type="pct"/>
          </w:tcPr>
          <w:p w14:paraId="1604640C" w14:textId="77777777" w:rsidR="002F5D7E" w:rsidRPr="00C7419B" w:rsidRDefault="002F5D7E" w:rsidP="00C507C8">
            <w:pPr>
              <w:rPr>
                <w:sz w:val="22"/>
                <w:szCs w:val="22"/>
              </w:rPr>
            </w:pPr>
            <w:r w:rsidRPr="00C7419B">
              <w:rPr>
                <w:sz w:val="22"/>
                <w:szCs w:val="22"/>
              </w:rPr>
              <w:t>6.  Does the action have a severe impact on the value of the property?  (consider economic impact, investment-backed expectations, character of government action)</w:t>
            </w:r>
          </w:p>
        </w:tc>
      </w:tr>
      <w:tr w:rsidR="002F5D7E" w:rsidRPr="00C7419B" w14:paraId="67986BD8" w14:textId="77777777" w:rsidTr="003E125D">
        <w:trPr>
          <w:cantSplit/>
        </w:trPr>
        <w:tc>
          <w:tcPr>
            <w:tcW w:w="358" w:type="pct"/>
            <w:vAlign w:val="center"/>
          </w:tcPr>
          <w:p w14:paraId="3CF5A35C" w14:textId="77777777" w:rsidR="002F5D7E" w:rsidRPr="00C7419B" w:rsidRDefault="002F5D7E" w:rsidP="005570B4">
            <w:pPr>
              <w:jc w:val="center"/>
              <w:rPr>
                <w:sz w:val="22"/>
                <w:szCs w:val="22"/>
              </w:rPr>
            </w:pPr>
          </w:p>
        </w:tc>
        <w:tc>
          <w:tcPr>
            <w:tcW w:w="350" w:type="pct"/>
            <w:vAlign w:val="center"/>
          </w:tcPr>
          <w:p w14:paraId="3688C8E1" w14:textId="77777777" w:rsidR="002F5D7E" w:rsidRPr="00C7419B" w:rsidRDefault="007B5593" w:rsidP="005570B4">
            <w:pPr>
              <w:jc w:val="center"/>
              <w:rPr>
                <w:sz w:val="22"/>
                <w:szCs w:val="22"/>
              </w:rPr>
            </w:pPr>
            <w:r w:rsidRPr="00C7419B">
              <w:rPr>
                <w:sz w:val="22"/>
                <w:szCs w:val="22"/>
              </w:rPr>
              <w:t>X</w:t>
            </w:r>
          </w:p>
        </w:tc>
        <w:tc>
          <w:tcPr>
            <w:tcW w:w="4292" w:type="pct"/>
          </w:tcPr>
          <w:p w14:paraId="388F2C04" w14:textId="77777777" w:rsidR="002F5D7E" w:rsidRPr="00C7419B" w:rsidRDefault="002F5D7E" w:rsidP="00C507C8">
            <w:pPr>
              <w:rPr>
                <w:sz w:val="22"/>
                <w:szCs w:val="22"/>
              </w:rPr>
            </w:pPr>
            <w:r w:rsidRPr="00C7419B">
              <w:rPr>
                <w:sz w:val="22"/>
                <w:szCs w:val="22"/>
              </w:rPr>
              <w:t>7</w:t>
            </w:r>
            <w:proofErr w:type="gramStart"/>
            <w:r w:rsidRPr="00C7419B">
              <w:rPr>
                <w:sz w:val="22"/>
                <w:szCs w:val="22"/>
              </w:rPr>
              <w:t>.  Does</w:t>
            </w:r>
            <w:proofErr w:type="gramEnd"/>
            <w:r w:rsidRPr="00C7419B">
              <w:rPr>
                <w:sz w:val="22"/>
                <w:szCs w:val="22"/>
              </w:rPr>
              <w:t xml:space="preserve"> the action damage the property by causing some physical disturbance with respect to the property </w:t>
            </w:r>
            <w:proofErr w:type="gramStart"/>
            <w:r w:rsidRPr="00C7419B">
              <w:rPr>
                <w:sz w:val="22"/>
                <w:szCs w:val="22"/>
              </w:rPr>
              <w:t>in excess of</w:t>
            </w:r>
            <w:proofErr w:type="gramEnd"/>
            <w:r w:rsidRPr="00C7419B">
              <w:rPr>
                <w:sz w:val="22"/>
                <w:szCs w:val="22"/>
              </w:rPr>
              <w:t xml:space="preserve"> that sustained by the public generally?</w:t>
            </w:r>
          </w:p>
        </w:tc>
      </w:tr>
      <w:tr w:rsidR="002F5D7E" w:rsidRPr="00C7419B" w14:paraId="6E87A4F4" w14:textId="77777777" w:rsidTr="003E125D">
        <w:trPr>
          <w:cantSplit/>
        </w:trPr>
        <w:tc>
          <w:tcPr>
            <w:tcW w:w="358" w:type="pct"/>
            <w:shd w:val="pct15" w:color="auto" w:fill="FFFFFF"/>
            <w:vAlign w:val="center"/>
          </w:tcPr>
          <w:p w14:paraId="5D6E27DE" w14:textId="77777777" w:rsidR="002F5D7E" w:rsidRPr="00C7419B" w:rsidRDefault="002F5D7E" w:rsidP="005570B4">
            <w:pPr>
              <w:jc w:val="center"/>
              <w:rPr>
                <w:sz w:val="22"/>
                <w:szCs w:val="22"/>
              </w:rPr>
            </w:pPr>
          </w:p>
        </w:tc>
        <w:tc>
          <w:tcPr>
            <w:tcW w:w="350" w:type="pct"/>
            <w:vAlign w:val="center"/>
          </w:tcPr>
          <w:p w14:paraId="65FC46CA" w14:textId="77777777" w:rsidR="002F5D7E" w:rsidRPr="00C7419B" w:rsidRDefault="007B5593" w:rsidP="005570B4">
            <w:pPr>
              <w:jc w:val="center"/>
              <w:rPr>
                <w:sz w:val="22"/>
                <w:szCs w:val="22"/>
              </w:rPr>
            </w:pPr>
            <w:r w:rsidRPr="00C7419B">
              <w:rPr>
                <w:sz w:val="22"/>
                <w:szCs w:val="22"/>
              </w:rPr>
              <w:t>X</w:t>
            </w:r>
          </w:p>
        </w:tc>
        <w:tc>
          <w:tcPr>
            <w:tcW w:w="4292" w:type="pct"/>
          </w:tcPr>
          <w:p w14:paraId="1A3496BE" w14:textId="77777777" w:rsidR="002F5D7E" w:rsidRPr="00C7419B" w:rsidRDefault="002F5D7E" w:rsidP="00C507C8">
            <w:pPr>
              <w:rPr>
                <w:sz w:val="22"/>
                <w:szCs w:val="22"/>
              </w:rPr>
            </w:pPr>
            <w:r w:rsidRPr="00C7419B">
              <w:rPr>
                <w:sz w:val="22"/>
                <w:szCs w:val="22"/>
              </w:rPr>
              <w:t>7a</w:t>
            </w:r>
            <w:r w:rsidR="006E2B1A" w:rsidRPr="00C7419B">
              <w:rPr>
                <w:sz w:val="22"/>
                <w:szCs w:val="22"/>
              </w:rPr>
              <w:t>. Is</w:t>
            </w:r>
            <w:r w:rsidRPr="00C7419B">
              <w:rPr>
                <w:sz w:val="22"/>
                <w:szCs w:val="22"/>
              </w:rPr>
              <w:t xml:space="preserve"> the impact of government action direct, peculiar, and significant?  </w:t>
            </w:r>
          </w:p>
        </w:tc>
      </w:tr>
      <w:tr w:rsidR="002F5D7E" w:rsidRPr="00C7419B" w14:paraId="1831BFE5" w14:textId="77777777" w:rsidTr="003E125D">
        <w:trPr>
          <w:cantSplit/>
        </w:trPr>
        <w:tc>
          <w:tcPr>
            <w:tcW w:w="358" w:type="pct"/>
            <w:shd w:val="pct15" w:color="auto" w:fill="FFFFFF"/>
            <w:vAlign w:val="center"/>
          </w:tcPr>
          <w:p w14:paraId="64D00BBD" w14:textId="77777777" w:rsidR="002F5D7E" w:rsidRPr="00C7419B" w:rsidRDefault="002F5D7E" w:rsidP="005570B4">
            <w:pPr>
              <w:jc w:val="center"/>
              <w:rPr>
                <w:sz w:val="22"/>
                <w:szCs w:val="22"/>
              </w:rPr>
            </w:pPr>
          </w:p>
        </w:tc>
        <w:tc>
          <w:tcPr>
            <w:tcW w:w="350" w:type="pct"/>
            <w:vAlign w:val="center"/>
          </w:tcPr>
          <w:p w14:paraId="1C5F4F78" w14:textId="77777777" w:rsidR="002F5D7E" w:rsidRPr="00C7419B" w:rsidRDefault="007B5593" w:rsidP="005570B4">
            <w:pPr>
              <w:jc w:val="center"/>
              <w:rPr>
                <w:sz w:val="22"/>
                <w:szCs w:val="22"/>
              </w:rPr>
            </w:pPr>
            <w:r w:rsidRPr="00C7419B">
              <w:rPr>
                <w:sz w:val="22"/>
                <w:szCs w:val="22"/>
              </w:rPr>
              <w:t>X</w:t>
            </w:r>
          </w:p>
        </w:tc>
        <w:tc>
          <w:tcPr>
            <w:tcW w:w="4292" w:type="pct"/>
          </w:tcPr>
          <w:p w14:paraId="0F786119" w14:textId="77777777" w:rsidR="002F5D7E" w:rsidRPr="00C7419B" w:rsidRDefault="002F5D7E" w:rsidP="00C507C8">
            <w:pPr>
              <w:rPr>
                <w:sz w:val="22"/>
                <w:szCs w:val="22"/>
              </w:rPr>
            </w:pPr>
            <w:r w:rsidRPr="00C7419B">
              <w:rPr>
                <w:sz w:val="22"/>
                <w:szCs w:val="22"/>
              </w:rPr>
              <w:t>7b</w:t>
            </w:r>
            <w:r w:rsidR="006E2B1A" w:rsidRPr="00C7419B">
              <w:rPr>
                <w:sz w:val="22"/>
                <w:szCs w:val="22"/>
              </w:rPr>
              <w:t>. Has</w:t>
            </w:r>
            <w:r w:rsidRPr="00C7419B">
              <w:rPr>
                <w:sz w:val="22"/>
                <w:szCs w:val="22"/>
              </w:rPr>
              <w:t xml:space="preserve"> government action resulted in the property becoming practically inaccessible, waterlogged or flooded?</w:t>
            </w:r>
          </w:p>
        </w:tc>
      </w:tr>
      <w:tr w:rsidR="002F5D7E" w:rsidRPr="00C7419B" w14:paraId="24DE91E3" w14:textId="77777777" w:rsidTr="003E125D">
        <w:trPr>
          <w:cantSplit/>
        </w:trPr>
        <w:tc>
          <w:tcPr>
            <w:tcW w:w="358" w:type="pct"/>
            <w:shd w:val="pct15" w:color="auto" w:fill="FFFFFF"/>
            <w:vAlign w:val="center"/>
          </w:tcPr>
          <w:p w14:paraId="479B766E" w14:textId="77777777" w:rsidR="002F5D7E" w:rsidRPr="00C7419B" w:rsidRDefault="002F5D7E" w:rsidP="005570B4">
            <w:pPr>
              <w:jc w:val="center"/>
              <w:rPr>
                <w:sz w:val="22"/>
                <w:szCs w:val="22"/>
              </w:rPr>
            </w:pPr>
          </w:p>
        </w:tc>
        <w:tc>
          <w:tcPr>
            <w:tcW w:w="350" w:type="pct"/>
            <w:vAlign w:val="center"/>
          </w:tcPr>
          <w:p w14:paraId="321B2351" w14:textId="77777777" w:rsidR="002F5D7E" w:rsidRPr="00C7419B" w:rsidRDefault="007B5593" w:rsidP="005570B4">
            <w:pPr>
              <w:jc w:val="center"/>
              <w:rPr>
                <w:sz w:val="22"/>
                <w:szCs w:val="22"/>
              </w:rPr>
            </w:pPr>
            <w:r w:rsidRPr="00C7419B">
              <w:rPr>
                <w:sz w:val="22"/>
                <w:szCs w:val="22"/>
              </w:rPr>
              <w:t>X</w:t>
            </w:r>
          </w:p>
        </w:tc>
        <w:tc>
          <w:tcPr>
            <w:tcW w:w="4292" w:type="pct"/>
          </w:tcPr>
          <w:p w14:paraId="5626AD98" w14:textId="77777777" w:rsidR="002F5D7E" w:rsidRPr="00C7419B" w:rsidRDefault="002F5D7E" w:rsidP="00C507C8">
            <w:pPr>
              <w:rPr>
                <w:sz w:val="22"/>
                <w:szCs w:val="22"/>
              </w:rPr>
            </w:pPr>
            <w:r w:rsidRPr="00C7419B">
              <w:rPr>
                <w:sz w:val="22"/>
                <w:szCs w:val="22"/>
              </w:rPr>
              <w:t>7c</w:t>
            </w:r>
            <w:r w:rsidR="006E2B1A" w:rsidRPr="00C7419B">
              <w:rPr>
                <w:sz w:val="22"/>
                <w:szCs w:val="22"/>
              </w:rPr>
              <w:t>. Has</w:t>
            </w:r>
            <w:r w:rsidRPr="00C7419B">
              <w:rPr>
                <w:sz w:val="22"/>
                <w:szCs w:val="22"/>
              </w:rPr>
              <w:t xml:space="preserve"> government action lowered property values by more than 30% and necessitated the physical taking of adjacent property or property across a public way from the property in question?</w:t>
            </w:r>
          </w:p>
        </w:tc>
      </w:tr>
      <w:tr w:rsidR="002F5D7E" w:rsidRPr="00C7419B" w14:paraId="2A3D8549" w14:textId="77777777" w:rsidTr="003E125D">
        <w:trPr>
          <w:cantSplit/>
        </w:trPr>
        <w:tc>
          <w:tcPr>
            <w:tcW w:w="358" w:type="pct"/>
            <w:vAlign w:val="center"/>
          </w:tcPr>
          <w:p w14:paraId="098F7A00" w14:textId="77777777" w:rsidR="002F5D7E" w:rsidRPr="00C7419B" w:rsidRDefault="002F5D7E" w:rsidP="005570B4">
            <w:pPr>
              <w:jc w:val="center"/>
              <w:rPr>
                <w:sz w:val="22"/>
                <w:szCs w:val="22"/>
              </w:rPr>
            </w:pPr>
          </w:p>
        </w:tc>
        <w:tc>
          <w:tcPr>
            <w:tcW w:w="350" w:type="pct"/>
            <w:vAlign w:val="center"/>
          </w:tcPr>
          <w:p w14:paraId="6047FEE1" w14:textId="77777777" w:rsidR="002F5D7E" w:rsidRPr="00C7419B" w:rsidRDefault="007B5593" w:rsidP="005570B4">
            <w:pPr>
              <w:jc w:val="center"/>
              <w:rPr>
                <w:sz w:val="22"/>
                <w:szCs w:val="22"/>
              </w:rPr>
            </w:pPr>
            <w:r w:rsidRPr="00C7419B">
              <w:rPr>
                <w:sz w:val="22"/>
                <w:szCs w:val="22"/>
              </w:rPr>
              <w:t>X</w:t>
            </w:r>
          </w:p>
        </w:tc>
        <w:tc>
          <w:tcPr>
            <w:tcW w:w="4292" w:type="pct"/>
          </w:tcPr>
          <w:p w14:paraId="4509F65F" w14:textId="77777777" w:rsidR="002F5D7E" w:rsidRPr="00C7419B" w:rsidRDefault="002F5D7E" w:rsidP="00C507C8">
            <w:pPr>
              <w:rPr>
                <w:sz w:val="22"/>
                <w:szCs w:val="22"/>
              </w:rPr>
            </w:pPr>
            <w:r w:rsidRPr="00C7419B">
              <w:rPr>
                <w:sz w:val="22"/>
                <w:szCs w:val="22"/>
              </w:rPr>
              <w:t xml:space="preserve">Takings or damaging implications?  (Taking or damaging implications exist if YES is checked in response to question 1 </w:t>
            </w:r>
            <w:proofErr w:type="gramStart"/>
            <w:r w:rsidRPr="00C7419B">
              <w:rPr>
                <w:sz w:val="22"/>
                <w:szCs w:val="22"/>
              </w:rPr>
              <w:t>and also</w:t>
            </w:r>
            <w:proofErr w:type="gramEnd"/>
            <w:r w:rsidRPr="00C7419B">
              <w:rPr>
                <w:sz w:val="22"/>
                <w:szCs w:val="22"/>
              </w:rPr>
              <w:t xml:space="preserve"> to any one or more of the following questions</w:t>
            </w:r>
            <w:proofErr w:type="gramStart"/>
            <w:r w:rsidRPr="00C7419B">
              <w:rPr>
                <w:sz w:val="22"/>
                <w:szCs w:val="22"/>
              </w:rPr>
              <w:t>:  2</w:t>
            </w:r>
            <w:proofErr w:type="gramEnd"/>
            <w:r w:rsidRPr="00C7419B">
              <w:rPr>
                <w:sz w:val="22"/>
                <w:szCs w:val="22"/>
              </w:rPr>
              <w:t>, 3, 4, 6, 7a, 7b, 7c; or if NO is checked in response to questions 5a or 5b; the shaded areas)</w:t>
            </w:r>
          </w:p>
        </w:tc>
      </w:tr>
    </w:tbl>
    <w:p w14:paraId="152F1524" w14:textId="77777777" w:rsidR="002F5D7E" w:rsidRPr="00C7419B" w:rsidRDefault="002F5D7E" w:rsidP="004B038F">
      <w:pPr>
        <w:pStyle w:val="BodyTextIndent2"/>
        <w:spacing w:after="0" w:line="240" w:lineRule="auto"/>
        <w:ind w:left="0"/>
        <w:rPr>
          <w:szCs w:val="24"/>
        </w:rPr>
      </w:pPr>
    </w:p>
    <w:p w14:paraId="4A4AD4D4" w14:textId="1F01410F" w:rsidR="002F5D7E" w:rsidRPr="00C7419B" w:rsidRDefault="002F5D7E" w:rsidP="00E133F9">
      <w:pPr>
        <w:pStyle w:val="BodyTextIndent2"/>
        <w:spacing w:after="0" w:line="240" w:lineRule="auto"/>
        <w:rPr>
          <w:szCs w:val="24"/>
        </w:rPr>
      </w:pPr>
      <w:r w:rsidRPr="00C7419B">
        <w:rPr>
          <w:szCs w:val="24"/>
        </w:rPr>
        <w:t xml:space="preserve">Based on this analysis, </w:t>
      </w:r>
      <w:r w:rsidR="00F54677" w:rsidRPr="00C7419B">
        <w:rPr>
          <w:szCs w:val="24"/>
        </w:rPr>
        <w:t>DEQ</w:t>
      </w:r>
      <w:r w:rsidRPr="00C7419B">
        <w:rPr>
          <w:szCs w:val="24"/>
        </w:rPr>
        <w:t xml:space="preserve"> determined there are no taking or damaging implications associated with this permit action.</w:t>
      </w:r>
    </w:p>
    <w:p w14:paraId="76FA5ED4" w14:textId="77777777" w:rsidR="00FC3933" w:rsidRPr="00C7419B" w:rsidRDefault="00FC3933" w:rsidP="00E133F9">
      <w:pPr>
        <w:pStyle w:val="BodyTextIndent2"/>
        <w:spacing w:after="0" w:line="240" w:lineRule="auto"/>
        <w:rPr>
          <w:szCs w:val="24"/>
        </w:rPr>
      </w:pPr>
    </w:p>
    <w:p w14:paraId="588EA391" w14:textId="77777777" w:rsidR="002F5D7E" w:rsidRPr="00C7419B" w:rsidRDefault="002F5D7E" w:rsidP="001971CA">
      <w:pPr>
        <w:pStyle w:val="Heading2"/>
        <w:spacing w:before="0" w:beforeAutospacing="0" w:after="0" w:afterAutospacing="0"/>
        <w:rPr>
          <w:rFonts w:ascii="Garamond" w:hAnsi="Garamond"/>
          <w:sz w:val="24"/>
          <w:szCs w:val="24"/>
        </w:rPr>
      </w:pPr>
      <w:bookmarkStart w:id="14" w:name="_Toc216098198"/>
      <w:r w:rsidRPr="00C7419B">
        <w:rPr>
          <w:rFonts w:ascii="Garamond" w:hAnsi="Garamond"/>
          <w:sz w:val="24"/>
          <w:szCs w:val="24"/>
        </w:rPr>
        <w:t>Compliance Designation</w:t>
      </w:r>
      <w:bookmarkEnd w:id="14"/>
    </w:p>
    <w:p w14:paraId="77240138" w14:textId="77777777" w:rsidR="00BC552A" w:rsidRPr="00C7419B" w:rsidRDefault="00BC552A">
      <w:pPr>
        <w:rPr>
          <w:szCs w:val="24"/>
        </w:rPr>
      </w:pPr>
    </w:p>
    <w:p w14:paraId="3B4FAE84" w14:textId="373C5317" w:rsidR="002F5D7E" w:rsidRPr="00C7419B" w:rsidRDefault="00B76370">
      <w:pPr>
        <w:rPr>
          <w:szCs w:val="24"/>
        </w:rPr>
      </w:pPr>
      <w:r w:rsidRPr="00C7419B">
        <w:rPr>
          <w:szCs w:val="24"/>
        </w:rPr>
        <w:t>DEQ prepared a compliance report on September 26</w:t>
      </w:r>
      <w:r w:rsidRPr="00C7419B">
        <w:rPr>
          <w:szCs w:val="24"/>
          <w:vertAlign w:val="superscript"/>
        </w:rPr>
        <w:t>th</w:t>
      </w:r>
      <w:r w:rsidRPr="00C7419B">
        <w:rPr>
          <w:szCs w:val="24"/>
        </w:rPr>
        <w:t xml:space="preserve">, 2022, that found that Phillips 66 Billings Refinery </w:t>
      </w:r>
      <w:proofErr w:type="gramStart"/>
      <w:r w:rsidRPr="00C7419B">
        <w:rPr>
          <w:szCs w:val="24"/>
        </w:rPr>
        <w:t>was in compliance with</w:t>
      </w:r>
      <w:proofErr w:type="gramEnd"/>
      <w:r w:rsidRPr="00C7419B">
        <w:rPr>
          <w:szCs w:val="24"/>
        </w:rPr>
        <w:t xml:space="preserve"> the applicable requirements for the period from August 2019 through August 2022, with </w:t>
      </w:r>
      <w:r w:rsidR="00031D19" w:rsidRPr="00C7419B">
        <w:rPr>
          <w:szCs w:val="24"/>
        </w:rPr>
        <w:t>five</w:t>
      </w:r>
      <w:r w:rsidRPr="00C7419B">
        <w:rPr>
          <w:szCs w:val="24"/>
        </w:rPr>
        <w:t xml:space="preserve"> exceptions as follows:</w:t>
      </w:r>
    </w:p>
    <w:p w14:paraId="34870BAF" w14:textId="77777777" w:rsidR="00B76370" w:rsidRPr="00C7419B" w:rsidRDefault="00B76370">
      <w:pPr>
        <w:rPr>
          <w:szCs w:val="24"/>
        </w:rPr>
      </w:pPr>
    </w:p>
    <w:p w14:paraId="71562A98" w14:textId="7C224A87" w:rsidR="00B76370" w:rsidRPr="00C7419B" w:rsidRDefault="00B76370" w:rsidP="00B76370">
      <w:pPr>
        <w:pStyle w:val="ListParagraph"/>
        <w:numPr>
          <w:ilvl w:val="0"/>
          <w:numId w:val="32"/>
        </w:numPr>
        <w:rPr>
          <w:szCs w:val="24"/>
        </w:rPr>
      </w:pPr>
      <w:r w:rsidRPr="00C7419B">
        <w:rPr>
          <w:szCs w:val="24"/>
        </w:rPr>
        <w:t>November 2019 warning letter for three monitoring violations and two emissions exceedances.  These violations were resolved and considered closed on the same date as the letter.</w:t>
      </w:r>
    </w:p>
    <w:p w14:paraId="3DE0559F" w14:textId="5966A6C9" w:rsidR="003E125D" w:rsidRPr="00832876" w:rsidRDefault="00B76370" w:rsidP="00832876">
      <w:pPr>
        <w:pStyle w:val="ListParagraph"/>
        <w:numPr>
          <w:ilvl w:val="0"/>
          <w:numId w:val="32"/>
        </w:numPr>
        <w:rPr>
          <w:szCs w:val="24"/>
        </w:rPr>
      </w:pPr>
      <w:r w:rsidRPr="00C7419B">
        <w:rPr>
          <w:szCs w:val="24"/>
        </w:rPr>
        <w:t>April 2020 violation letter for failure to maintain emissions of CO from sulfur recovery unit #3 in compliance with permit limits.  These violations were resolved and considered closed on the same date as the letter.</w:t>
      </w:r>
    </w:p>
    <w:p w14:paraId="6E7378C6" w14:textId="4D0ED6F6" w:rsidR="00B76370" w:rsidRPr="00C7419B" w:rsidRDefault="00B76370" w:rsidP="00B76370">
      <w:pPr>
        <w:pStyle w:val="ListParagraph"/>
        <w:numPr>
          <w:ilvl w:val="0"/>
          <w:numId w:val="32"/>
        </w:numPr>
        <w:rPr>
          <w:szCs w:val="24"/>
        </w:rPr>
      </w:pPr>
      <w:r w:rsidRPr="00C7419B">
        <w:rPr>
          <w:szCs w:val="24"/>
        </w:rPr>
        <w:t>October 2020 warning letter for failure to provide a group 1 storage vessel refilling notification and failure to maintain emissions of SO</w:t>
      </w:r>
      <w:r w:rsidRPr="00C7419B">
        <w:rPr>
          <w:szCs w:val="24"/>
          <w:vertAlign w:val="subscript"/>
        </w:rPr>
        <w:t>2</w:t>
      </w:r>
      <w:r w:rsidRPr="00C7419B">
        <w:rPr>
          <w:szCs w:val="24"/>
        </w:rPr>
        <w:t xml:space="preserve"> from the refinery main plant relief flare in compliance with permit limits.  These violations were resolved and considered closed on the same date as the letter.</w:t>
      </w:r>
    </w:p>
    <w:p w14:paraId="3343470D" w14:textId="4B7163EB" w:rsidR="00B76370" w:rsidRPr="00C7419B" w:rsidRDefault="00B76370" w:rsidP="00B76370">
      <w:pPr>
        <w:pStyle w:val="ListParagraph"/>
        <w:numPr>
          <w:ilvl w:val="0"/>
          <w:numId w:val="32"/>
        </w:numPr>
        <w:rPr>
          <w:szCs w:val="24"/>
        </w:rPr>
      </w:pPr>
      <w:r w:rsidRPr="00C7419B">
        <w:rPr>
          <w:szCs w:val="24"/>
        </w:rPr>
        <w:t>February 2021 violation letter for failure to maintain H</w:t>
      </w:r>
      <w:r w:rsidRPr="00C7419B">
        <w:rPr>
          <w:szCs w:val="24"/>
          <w:vertAlign w:val="subscript"/>
        </w:rPr>
        <w:t>2</w:t>
      </w:r>
      <w:r w:rsidRPr="00C7419B">
        <w:rPr>
          <w:szCs w:val="24"/>
        </w:rPr>
        <w:t>S concentration in refinery fuel gas in compliance with permit limits on two occasions, failure to maintain H</w:t>
      </w:r>
      <w:r w:rsidRPr="00C7419B">
        <w:rPr>
          <w:szCs w:val="24"/>
          <w:vertAlign w:val="subscript"/>
        </w:rPr>
        <w:t>2</w:t>
      </w:r>
      <w:r w:rsidRPr="00C7419B">
        <w:rPr>
          <w:szCs w:val="24"/>
        </w:rPr>
        <w:t xml:space="preserve">S concentration in refinery fuel </w:t>
      </w:r>
      <w:r w:rsidR="00031D19" w:rsidRPr="00C7419B">
        <w:rPr>
          <w:szCs w:val="24"/>
        </w:rPr>
        <w:t>gas directed to the flare in compliance with permit limits, failure to maintain emissions of SO</w:t>
      </w:r>
      <w:r w:rsidR="00031D19" w:rsidRPr="00C7419B">
        <w:rPr>
          <w:szCs w:val="24"/>
          <w:vertAlign w:val="subscript"/>
        </w:rPr>
        <w:t xml:space="preserve">2 </w:t>
      </w:r>
      <w:r w:rsidR="00031D19" w:rsidRPr="00C7419B">
        <w:rPr>
          <w:szCs w:val="24"/>
        </w:rPr>
        <w:t>from the refinery main plant relief flare in compliance with permit limits.  DEQ referred three of the violations for Enforcement in February 2022.</w:t>
      </w:r>
    </w:p>
    <w:p w14:paraId="6CBF6212" w14:textId="3F11C9CB" w:rsidR="00031D19" w:rsidRPr="00C7419B" w:rsidRDefault="00031D19" w:rsidP="00B76370">
      <w:pPr>
        <w:pStyle w:val="ListParagraph"/>
        <w:numPr>
          <w:ilvl w:val="0"/>
          <w:numId w:val="32"/>
        </w:numPr>
        <w:rPr>
          <w:szCs w:val="24"/>
        </w:rPr>
      </w:pPr>
      <w:r w:rsidRPr="00C7419B">
        <w:rPr>
          <w:szCs w:val="24"/>
        </w:rPr>
        <w:t>July 2021 violation letter for failure to maintain emissions of NO</w:t>
      </w:r>
      <w:r w:rsidRPr="00C7419B">
        <w:rPr>
          <w:szCs w:val="24"/>
          <w:vertAlign w:val="subscript"/>
        </w:rPr>
        <w:t>x</w:t>
      </w:r>
      <w:r w:rsidRPr="00C7419B">
        <w:rPr>
          <w:szCs w:val="24"/>
        </w:rPr>
        <w:t xml:space="preserve"> from Heater H-17 below permitted emission limits.  This violation was resolved and considered closed on the same date as the letter.</w:t>
      </w:r>
    </w:p>
    <w:p w14:paraId="33031D90" w14:textId="77777777" w:rsidR="00B76370" w:rsidRPr="00C7419B" w:rsidRDefault="00B76370" w:rsidP="00B76370">
      <w:pPr>
        <w:rPr>
          <w:szCs w:val="24"/>
        </w:rPr>
      </w:pPr>
    </w:p>
    <w:p w14:paraId="7C756B23" w14:textId="6FCFF6EE" w:rsidR="00B76370" w:rsidRPr="00C7419B" w:rsidRDefault="00B76370" w:rsidP="00B76370">
      <w:pPr>
        <w:rPr>
          <w:szCs w:val="24"/>
        </w:rPr>
      </w:pPr>
      <w:r w:rsidRPr="00C7419B">
        <w:rPr>
          <w:szCs w:val="24"/>
        </w:rPr>
        <w:t>No other air quality enforcement activity has occurred at this facility during the review period.  Violation and enforcement actions conducted by DEQ are documented and submitted to EPA’s ICIS-Air database.</w:t>
      </w:r>
    </w:p>
    <w:p w14:paraId="7AE6CA74" w14:textId="77777777" w:rsidR="002F2583" w:rsidRPr="00C7419B" w:rsidRDefault="002F2583">
      <w:pPr>
        <w:rPr>
          <w:szCs w:val="24"/>
        </w:rPr>
      </w:pPr>
    </w:p>
    <w:p w14:paraId="02F1AF71" w14:textId="77777777" w:rsidR="002F5D7E" w:rsidRPr="00C7419B" w:rsidRDefault="002F5D7E">
      <w:pPr>
        <w:pStyle w:val="Heading1"/>
        <w:rPr>
          <w:rFonts w:ascii="Garamond" w:hAnsi="Garamond"/>
          <w:sz w:val="21"/>
        </w:rPr>
        <w:sectPr w:rsidR="002F5D7E" w:rsidRPr="00C7419B" w:rsidSect="00546C5A">
          <w:footerReference w:type="even" r:id="rId7"/>
          <w:footerReference w:type="default" r:id="rId8"/>
          <w:pgSz w:w="12240" w:h="15840"/>
          <w:pgMar w:top="1152" w:right="1440" w:bottom="1008" w:left="1440" w:header="720" w:footer="288" w:gutter="0"/>
          <w:cols w:space="720"/>
          <w:docGrid w:linePitch="326"/>
        </w:sectPr>
      </w:pPr>
    </w:p>
    <w:p w14:paraId="0CE439BA" w14:textId="77777777" w:rsidR="002F5D7E" w:rsidRPr="00C7419B" w:rsidRDefault="00E133F9" w:rsidP="00E133F9">
      <w:pPr>
        <w:pStyle w:val="Heading1"/>
        <w:rPr>
          <w:rFonts w:ascii="Garamond" w:hAnsi="Garamond"/>
          <w:sz w:val="24"/>
          <w:szCs w:val="24"/>
        </w:rPr>
      </w:pPr>
      <w:r w:rsidRPr="00C7419B">
        <w:rPr>
          <w:rFonts w:ascii="Garamond" w:hAnsi="Garamond"/>
          <w:sz w:val="24"/>
          <w:szCs w:val="24"/>
        </w:rPr>
        <w:lastRenderedPageBreak/>
        <w:t xml:space="preserve">  </w:t>
      </w:r>
      <w:bookmarkStart w:id="15" w:name="_Toc216098199"/>
      <w:r w:rsidR="002F5D7E" w:rsidRPr="00C7419B">
        <w:rPr>
          <w:rFonts w:ascii="Garamond" w:hAnsi="Garamond"/>
          <w:sz w:val="24"/>
          <w:szCs w:val="24"/>
        </w:rPr>
        <w:t>SUMMARY OF EMISSIONS UNITS</w:t>
      </w:r>
      <w:bookmarkEnd w:id="15"/>
    </w:p>
    <w:p w14:paraId="2A87467A" w14:textId="77777777" w:rsidR="002F5D7E" w:rsidRPr="00C7419B" w:rsidRDefault="002F5D7E" w:rsidP="00E133F9">
      <w:pPr>
        <w:rPr>
          <w:szCs w:val="24"/>
        </w:rPr>
      </w:pPr>
    </w:p>
    <w:p w14:paraId="22A77FBE" w14:textId="77777777" w:rsidR="002F5D7E" w:rsidRPr="00C7419B" w:rsidRDefault="002F5D7E" w:rsidP="00E133F9">
      <w:pPr>
        <w:pStyle w:val="Heading2"/>
        <w:numPr>
          <w:ilvl w:val="0"/>
          <w:numId w:val="21"/>
        </w:numPr>
        <w:spacing w:before="0" w:beforeAutospacing="0" w:after="0" w:afterAutospacing="0"/>
        <w:rPr>
          <w:rFonts w:ascii="Garamond" w:hAnsi="Garamond"/>
          <w:sz w:val="24"/>
          <w:szCs w:val="24"/>
        </w:rPr>
      </w:pPr>
      <w:bookmarkStart w:id="16" w:name="_Toc216098200"/>
      <w:r w:rsidRPr="00C7419B">
        <w:rPr>
          <w:rFonts w:ascii="Garamond" w:hAnsi="Garamond"/>
          <w:sz w:val="24"/>
          <w:szCs w:val="24"/>
        </w:rPr>
        <w:t>Facility Process Description</w:t>
      </w:r>
      <w:bookmarkEnd w:id="16"/>
    </w:p>
    <w:p w14:paraId="0EDC66EB" w14:textId="77777777" w:rsidR="00E133F9" w:rsidRPr="00C7419B" w:rsidRDefault="00E133F9" w:rsidP="00E133F9">
      <w:pPr>
        <w:rPr>
          <w:szCs w:val="24"/>
        </w:rPr>
      </w:pPr>
    </w:p>
    <w:p w14:paraId="3864FAC2" w14:textId="4205F409" w:rsidR="007B5593" w:rsidRPr="00C7419B" w:rsidRDefault="007B5593" w:rsidP="007B5593">
      <w:pPr>
        <w:rPr>
          <w:szCs w:val="24"/>
        </w:rPr>
      </w:pPr>
      <w:r w:rsidRPr="00C7419B">
        <w:rPr>
          <w:szCs w:val="24"/>
        </w:rPr>
        <w:t xml:space="preserve">The Billings Refinery consists of the main refinery area, where crude is broken down into various petroleum products; a wastewater treatment facility; a tank farm; a coker unit; and the sulfur recovery facility.  The truck loading rack, where gasoline and distillate </w:t>
      </w:r>
      <w:r w:rsidR="0085697B" w:rsidRPr="00C7419B">
        <w:rPr>
          <w:szCs w:val="24"/>
        </w:rPr>
        <w:t>are</w:t>
      </w:r>
      <w:r w:rsidRPr="00C7419B">
        <w:rPr>
          <w:szCs w:val="24"/>
        </w:rPr>
        <w:t xml:space="preserve"> loaded into tank trucks, has been separated into a stand-alone Title V permit (OP4056-0</w:t>
      </w:r>
      <w:r w:rsidR="00442307" w:rsidRPr="00C7419B">
        <w:rPr>
          <w:szCs w:val="24"/>
        </w:rPr>
        <w:t>5</w:t>
      </w:r>
      <w:r w:rsidRPr="00C7419B">
        <w:rPr>
          <w:szCs w:val="24"/>
        </w:rPr>
        <w:t>).</w:t>
      </w:r>
    </w:p>
    <w:p w14:paraId="14F4BB36" w14:textId="77777777" w:rsidR="007B5593" w:rsidRPr="00C7419B" w:rsidRDefault="007B5593" w:rsidP="00E133F9">
      <w:pPr>
        <w:rPr>
          <w:szCs w:val="24"/>
        </w:rPr>
      </w:pPr>
    </w:p>
    <w:p w14:paraId="0BBEB06E" w14:textId="77777777" w:rsidR="002F5D7E" w:rsidRPr="00C7419B" w:rsidRDefault="002F5D7E" w:rsidP="00E133F9">
      <w:pPr>
        <w:pStyle w:val="Heading2"/>
        <w:spacing w:before="0" w:beforeAutospacing="0" w:after="0" w:afterAutospacing="0"/>
        <w:rPr>
          <w:rFonts w:ascii="Garamond" w:hAnsi="Garamond"/>
          <w:sz w:val="24"/>
          <w:szCs w:val="24"/>
        </w:rPr>
      </w:pPr>
      <w:bookmarkStart w:id="17" w:name="_Toc216098201"/>
      <w:r w:rsidRPr="00C7419B">
        <w:rPr>
          <w:rFonts w:ascii="Garamond" w:hAnsi="Garamond"/>
          <w:sz w:val="24"/>
          <w:szCs w:val="24"/>
        </w:rPr>
        <w:t>Emissions Units and Pollution Control Device Identification</w:t>
      </w:r>
      <w:bookmarkEnd w:id="17"/>
    </w:p>
    <w:p w14:paraId="2D832D13" w14:textId="77777777" w:rsidR="00E133F9" w:rsidRPr="00C7419B" w:rsidRDefault="00E133F9" w:rsidP="00E133F9">
      <w:pPr>
        <w:rPr>
          <w:szCs w:val="24"/>
        </w:rPr>
      </w:pPr>
    </w:p>
    <w:p w14:paraId="1C6505D3" w14:textId="77777777" w:rsidR="00BC75FF" w:rsidRPr="00C7419B" w:rsidRDefault="007B5593" w:rsidP="00E133F9">
      <w:pPr>
        <w:rPr>
          <w:szCs w:val="24"/>
        </w:rPr>
      </w:pPr>
      <w:r w:rsidRPr="00C7419B">
        <w:rPr>
          <w:szCs w:val="24"/>
        </w:rPr>
        <w:t>Emission Unit 001 is the Boilers.  The main boiler house stack brings together the emission gas streams from Boilers #1, #2, B-5, and B-6.  This stack does not have control equipment, but it does have a CEMS for SO</w:t>
      </w:r>
      <w:r w:rsidRPr="00C7419B">
        <w:rPr>
          <w:szCs w:val="24"/>
          <w:vertAlign w:val="subscript"/>
        </w:rPr>
        <w:t>2</w:t>
      </w:r>
      <w:r w:rsidRPr="00C7419B">
        <w:rPr>
          <w:szCs w:val="24"/>
        </w:rPr>
        <w:t xml:space="preserve"> and a volumetric flow rate monitor on the main stack, and NO</w:t>
      </w:r>
      <w:r w:rsidRPr="00C7419B">
        <w:rPr>
          <w:szCs w:val="24"/>
          <w:vertAlign w:val="subscript"/>
        </w:rPr>
        <w:t>x</w:t>
      </w:r>
      <w:r w:rsidRPr="00C7419B">
        <w:rPr>
          <w:szCs w:val="24"/>
        </w:rPr>
        <w:t>, CO and O</w:t>
      </w:r>
      <w:r w:rsidRPr="00C7419B">
        <w:rPr>
          <w:szCs w:val="24"/>
          <w:vertAlign w:val="subscript"/>
        </w:rPr>
        <w:t>2</w:t>
      </w:r>
      <w:r w:rsidRPr="00C7419B">
        <w:rPr>
          <w:szCs w:val="24"/>
        </w:rPr>
        <w:t xml:space="preserve"> CEMS for boilers B-5 and B-6.  In addition, Phillips 66 is permitted to operate a temporary boiler, which is included in this emitting unit.</w:t>
      </w:r>
      <w:r w:rsidR="00D17105" w:rsidRPr="00C7419B">
        <w:rPr>
          <w:szCs w:val="24"/>
        </w:rPr>
        <w:t xml:space="preserve">  The temporary boiler is for use during refinery turnarounds</w:t>
      </w:r>
      <w:r w:rsidR="00FF37FE" w:rsidRPr="00C7419B">
        <w:rPr>
          <w:szCs w:val="24"/>
        </w:rPr>
        <w:t xml:space="preserve"> only</w:t>
      </w:r>
      <w:r w:rsidR="00D17105" w:rsidRPr="00C7419B">
        <w:rPr>
          <w:szCs w:val="24"/>
        </w:rPr>
        <w:t>.</w:t>
      </w:r>
      <w:r w:rsidR="00551375" w:rsidRPr="00C7419B">
        <w:rPr>
          <w:szCs w:val="24"/>
        </w:rPr>
        <w:t xml:space="preserve">  </w:t>
      </w:r>
      <w:r w:rsidR="00BC75FF" w:rsidRPr="00C7419B">
        <w:rPr>
          <w:szCs w:val="24"/>
        </w:rPr>
        <w:t>Refinery Fuel Gas burned in these boilers is treated to remove reduced sulfur compounds via amine treatment.  NSPS Db is applicable to the B-5 and B-6 Boilers.  MACT DDDDD is applicable to all the boilers.</w:t>
      </w:r>
    </w:p>
    <w:p w14:paraId="6A9D33E9" w14:textId="77777777" w:rsidR="007B5593" w:rsidRPr="00C7419B" w:rsidRDefault="007B5593" w:rsidP="007B5593">
      <w:pPr>
        <w:rPr>
          <w:szCs w:val="24"/>
        </w:rPr>
      </w:pPr>
    </w:p>
    <w:p w14:paraId="2BDD5DB1" w14:textId="77777777" w:rsidR="007B5593" w:rsidRPr="00C7419B" w:rsidRDefault="007B5593" w:rsidP="007B5593">
      <w:pPr>
        <w:rPr>
          <w:szCs w:val="24"/>
        </w:rPr>
      </w:pPr>
      <w:r w:rsidRPr="00C7419B">
        <w:rPr>
          <w:szCs w:val="24"/>
        </w:rPr>
        <w:t xml:space="preserve">Emission Unit 002 is the Fluid Catalytic Cracking Unit (FCCU) Stack.  This stack carries emissions from the FCCU, which includes a regenerator.  The FCCU </w:t>
      </w:r>
      <w:r w:rsidR="00F27C0D" w:rsidRPr="00C7419B">
        <w:rPr>
          <w:szCs w:val="24"/>
        </w:rPr>
        <w:t>has an</w:t>
      </w:r>
      <w:r w:rsidRPr="00C7419B">
        <w:rPr>
          <w:szCs w:val="24"/>
        </w:rPr>
        <w:t xml:space="preserve"> SO</w:t>
      </w:r>
      <w:r w:rsidRPr="00C7419B">
        <w:rPr>
          <w:szCs w:val="24"/>
          <w:vertAlign w:val="subscript"/>
        </w:rPr>
        <w:t>2</w:t>
      </w:r>
      <w:r w:rsidRPr="00C7419B">
        <w:rPr>
          <w:szCs w:val="24"/>
        </w:rPr>
        <w:t>, CO, and O</w:t>
      </w:r>
      <w:r w:rsidRPr="00C7419B">
        <w:rPr>
          <w:szCs w:val="24"/>
          <w:vertAlign w:val="subscript"/>
        </w:rPr>
        <w:t>2</w:t>
      </w:r>
      <w:r w:rsidRPr="00C7419B">
        <w:rPr>
          <w:szCs w:val="24"/>
        </w:rPr>
        <w:t xml:space="preserve"> CEMS, volumetric flow rate monitor and an opacity monitor.</w:t>
      </w:r>
      <w:r w:rsidR="00551375" w:rsidRPr="00C7419B">
        <w:rPr>
          <w:szCs w:val="24"/>
        </w:rPr>
        <w:t xml:space="preserve">  NSPS J PM, CO, and SO</w:t>
      </w:r>
      <w:r w:rsidR="00551375" w:rsidRPr="00C7419B">
        <w:rPr>
          <w:szCs w:val="24"/>
          <w:vertAlign w:val="subscript"/>
        </w:rPr>
        <w:t>2</w:t>
      </w:r>
      <w:r w:rsidR="00551375" w:rsidRPr="00C7419B">
        <w:rPr>
          <w:szCs w:val="24"/>
        </w:rPr>
        <w:t xml:space="preserve"> limits apply.  MACT UUU which utilizes PM a</w:t>
      </w:r>
      <w:r w:rsidR="00B61E48" w:rsidRPr="00C7419B">
        <w:rPr>
          <w:szCs w:val="24"/>
        </w:rPr>
        <w:t>s</w:t>
      </w:r>
      <w:r w:rsidR="00551375" w:rsidRPr="00C7419B">
        <w:rPr>
          <w:szCs w:val="24"/>
        </w:rPr>
        <w:t xml:space="preserve"> a surrogate for metal HAPS, and CO as a surrogate for organic HAPs, applies.</w:t>
      </w:r>
    </w:p>
    <w:p w14:paraId="6660264A" w14:textId="77777777" w:rsidR="007B5593" w:rsidRPr="00C7419B" w:rsidRDefault="007B5593" w:rsidP="007B5593">
      <w:pPr>
        <w:pStyle w:val="Header"/>
        <w:tabs>
          <w:tab w:val="clear" w:pos="4320"/>
          <w:tab w:val="clear" w:pos="8640"/>
        </w:tabs>
        <w:rPr>
          <w:rFonts w:ascii="Garamond" w:hAnsi="Garamond"/>
          <w:szCs w:val="24"/>
        </w:rPr>
      </w:pPr>
    </w:p>
    <w:p w14:paraId="11A9E0AB" w14:textId="2F949C0F" w:rsidR="007B5593" w:rsidRPr="00C7419B" w:rsidRDefault="007B5593" w:rsidP="007B5593">
      <w:pPr>
        <w:rPr>
          <w:szCs w:val="24"/>
        </w:rPr>
      </w:pPr>
      <w:r w:rsidRPr="00C7419B">
        <w:rPr>
          <w:szCs w:val="24"/>
        </w:rPr>
        <w:t>Emission Unit 003 is a combination of the fuel gas combustion units at the refinery.  The control on some of these units is Low and Ultra-Low NO</w:t>
      </w:r>
      <w:r w:rsidRPr="00C7419B">
        <w:rPr>
          <w:szCs w:val="24"/>
          <w:vertAlign w:val="subscript"/>
        </w:rPr>
        <w:t>x</w:t>
      </w:r>
      <w:r w:rsidRPr="00C7419B">
        <w:rPr>
          <w:szCs w:val="24"/>
        </w:rPr>
        <w:t xml:space="preserve"> burners.  These units are also required to have a H</w:t>
      </w:r>
      <w:r w:rsidRPr="00C7419B">
        <w:rPr>
          <w:szCs w:val="24"/>
          <w:vertAlign w:val="subscript"/>
        </w:rPr>
        <w:t>2</w:t>
      </w:r>
      <w:r w:rsidRPr="00C7419B">
        <w:rPr>
          <w:szCs w:val="24"/>
        </w:rPr>
        <w:t>S CEMS on the refinery fuel gas</w:t>
      </w:r>
      <w:r w:rsidR="00D17105" w:rsidRPr="00C7419B">
        <w:rPr>
          <w:szCs w:val="24"/>
        </w:rPr>
        <w:t>, and the refinery fuel gas H</w:t>
      </w:r>
      <w:r w:rsidR="00D17105" w:rsidRPr="00C7419B">
        <w:rPr>
          <w:szCs w:val="24"/>
          <w:vertAlign w:val="subscript"/>
        </w:rPr>
        <w:t>2</w:t>
      </w:r>
      <w:r w:rsidR="00D17105" w:rsidRPr="00C7419B">
        <w:rPr>
          <w:szCs w:val="24"/>
        </w:rPr>
        <w:t>S is controlled via amine treatment.</w:t>
      </w:r>
      <w:r w:rsidR="00887AC2" w:rsidRPr="00C7419B">
        <w:rPr>
          <w:szCs w:val="24"/>
        </w:rPr>
        <w:t xml:space="preserve">  NSPS J and/or NSPS Ja is applicable as indicated in the permit. </w:t>
      </w:r>
    </w:p>
    <w:p w14:paraId="3D1CB64B" w14:textId="77777777" w:rsidR="007B5593" w:rsidRPr="00C7419B" w:rsidRDefault="007B5593" w:rsidP="007B5593">
      <w:pPr>
        <w:pStyle w:val="Header"/>
        <w:tabs>
          <w:tab w:val="clear" w:pos="4320"/>
          <w:tab w:val="clear" w:pos="8640"/>
        </w:tabs>
        <w:rPr>
          <w:rFonts w:ascii="Garamond" w:hAnsi="Garamond"/>
          <w:szCs w:val="24"/>
        </w:rPr>
      </w:pPr>
    </w:p>
    <w:p w14:paraId="118A419A" w14:textId="098CA3CC" w:rsidR="007B5593" w:rsidRPr="00C7419B" w:rsidRDefault="007B5593" w:rsidP="007B5593">
      <w:pPr>
        <w:rPr>
          <w:szCs w:val="24"/>
        </w:rPr>
      </w:pPr>
      <w:r w:rsidRPr="00C7419B">
        <w:rPr>
          <w:szCs w:val="24"/>
        </w:rPr>
        <w:t>Emission Unit 00</w:t>
      </w:r>
      <w:r w:rsidR="00551375" w:rsidRPr="00C7419B">
        <w:rPr>
          <w:szCs w:val="24"/>
        </w:rPr>
        <w:t>4</w:t>
      </w:r>
      <w:r w:rsidRPr="00C7419B">
        <w:rPr>
          <w:szCs w:val="24"/>
        </w:rPr>
        <w:t xml:space="preserve"> is the Refinery Flare.  This unit is a control device </w:t>
      </w:r>
      <w:r w:rsidR="00887AC2" w:rsidRPr="00C7419B">
        <w:rPr>
          <w:szCs w:val="24"/>
        </w:rPr>
        <w:t>for thousands of emitting units</w:t>
      </w:r>
      <w:r w:rsidRPr="00C7419B">
        <w:rPr>
          <w:szCs w:val="24"/>
        </w:rPr>
        <w:t>.  Th</w:t>
      </w:r>
      <w:r w:rsidR="00887AC2" w:rsidRPr="00C7419B">
        <w:rPr>
          <w:szCs w:val="24"/>
        </w:rPr>
        <w:t xml:space="preserve">e </w:t>
      </w:r>
      <w:r w:rsidRPr="00C7419B">
        <w:rPr>
          <w:szCs w:val="24"/>
        </w:rPr>
        <w:t>flare is equipped with a steam injection system</w:t>
      </w:r>
      <w:r w:rsidR="00887AC2" w:rsidRPr="00C7419B">
        <w:rPr>
          <w:szCs w:val="24"/>
        </w:rPr>
        <w:t xml:space="preserve"> to ensure appropriate mixing in the combustion zone</w:t>
      </w:r>
      <w:r w:rsidRPr="00C7419B">
        <w:rPr>
          <w:szCs w:val="24"/>
        </w:rPr>
        <w:t>.</w:t>
      </w:r>
      <w:r w:rsidR="00D17105" w:rsidRPr="00C7419B">
        <w:rPr>
          <w:szCs w:val="24"/>
        </w:rPr>
        <w:t xml:space="preserve">  The flare is subject to NSPS Ja </w:t>
      </w:r>
      <w:r w:rsidR="00887AC2" w:rsidRPr="00C7419B">
        <w:rPr>
          <w:szCs w:val="24"/>
        </w:rPr>
        <w:t xml:space="preserve">and MACT CC </w:t>
      </w:r>
      <w:r w:rsidR="00D17105" w:rsidRPr="00C7419B">
        <w:rPr>
          <w:szCs w:val="24"/>
        </w:rPr>
        <w:t xml:space="preserve">standards.  Amine treatment is used to control flare gas sulfur content.  Zero opacity serves as </w:t>
      </w:r>
      <w:r w:rsidR="00887AC2" w:rsidRPr="00C7419B">
        <w:rPr>
          <w:szCs w:val="24"/>
        </w:rPr>
        <w:t xml:space="preserve">one </w:t>
      </w:r>
      <w:r w:rsidR="00D17105" w:rsidRPr="00C7419B">
        <w:rPr>
          <w:szCs w:val="24"/>
        </w:rPr>
        <w:t>indication that appropriate destruction efficiency is occurring.</w:t>
      </w:r>
      <w:r w:rsidR="00551375" w:rsidRPr="00C7419B">
        <w:rPr>
          <w:szCs w:val="24"/>
        </w:rPr>
        <w:t xml:space="preserve">  Refinery Fuel Gas recovery takes gasses that would otherwise go to the </w:t>
      </w:r>
      <w:r w:rsidR="000E470C" w:rsidRPr="00C7419B">
        <w:rPr>
          <w:szCs w:val="24"/>
        </w:rPr>
        <w:t>flare and</w:t>
      </w:r>
      <w:r w:rsidR="00551375" w:rsidRPr="00C7419B">
        <w:rPr>
          <w:szCs w:val="24"/>
        </w:rPr>
        <w:t xml:space="preserve"> sends it as fuel gas to be burned in process heaters to offset natural gas usage.  This gas is treated via amine treatment.</w:t>
      </w:r>
    </w:p>
    <w:p w14:paraId="00036912" w14:textId="77777777" w:rsidR="00551375" w:rsidRPr="00C7419B" w:rsidRDefault="00551375" w:rsidP="007B5593">
      <w:pPr>
        <w:rPr>
          <w:szCs w:val="24"/>
        </w:rPr>
      </w:pPr>
    </w:p>
    <w:p w14:paraId="1DE28CE4" w14:textId="53670661" w:rsidR="00551375" w:rsidRPr="00C7419B" w:rsidRDefault="00551375" w:rsidP="007B5593">
      <w:pPr>
        <w:rPr>
          <w:szCs w:val="24"/>
        </w:rPr>
      </w:pPr>
      <w:r w:rsidRPr="00C7419B">
        <w:rPr>
          <w:szCs w:val="24"/>
        </w:rPr>
        <w:t xml:space="preserve">Emission Unit 005 is the Cooling Towers associated with the Vacuum Improvement Project and </w:t>
      </w:r>
      <w:proofErr w:type="spellStart"/>
      <w:r w:rsidRPr="00C7419B">
        <w:rPr>
          <w:szCs w:val="24"/>
        </w:rPr>
        <w:t>NaHS</w:t>
      </w:r>
      <w:proofErr w:type="spellEnd"/>
      <w:r w:rsidRPr="00C7419B">
        <w:rPr>
          <w:szCs w:val="24"/>
        </w:rPr>
        <w:t xml:space="preserve"> project.  The cooling towers are equipped with drift eliminators.  MACT CC requirements are applicable to watch for leaks of organics into the cooling water.  Conductivity limits of t</w:t>
      </w:r>
      <w:r w:rsidR="009C48EA" w:rsidRPr="00C7419B">
        <w:rPr>
          <w:szCs w:val="24"/>
        </w:rPr>
        <w:t xml:space="preserve">he cooling tower water, in conjunction with the drift eliminators, serve to limit PM emissions.  Conductivity is maintained </w:t>
      </w:r>
      <w:r w:rsidR="00F526B5" w:rsidRPr="00C7419B">
        <w:rPr>
          <w:szCs w:val="24"/>
        </w:rPr>
        <w:t>b</w:t>
      </w:r>
      <w:r w:rsidR="009C48EA" w:rsidRPr="00C7419B">
        <w:rPr>
          <w:szCs w:val="24"/>
        </w:rPr>
        <w:t>y maintaining water quality to specified levels.</w:t>
      </w:r>
      <w:r w:rsidR="00887AC2" w:rsidRPr="00C7419B">
        <w:rPr>
          <w:szCs w:val="24"/>
        </w:rPr>
        <w:t xml:space="preserve">  MACT Q requires that the cooling towers not be operated with chromium-based water treatment chemicals. </w:t>
      </w:r>
    </w:p>
    <w:p w14:paraId="1743C6E5" w14:textId="77777777" w:rsidR="007B5593" w:rsidRPr="00C7419B" w:rsidRDefault="007B5593" w:rsidP="007B5593">
      <w:pPr>
        <w:rPr>
          <w:szCs w:val="24"/>
        </w:rPr>
      </w:pPr>
    </w:p>
    <w:p w14:paraId="1E320C1C" w14:textId="73748BB8" w:rsidR="007B5593" w:rsidRPr="00C7419B" w:rsidRDefault="007B5593" w:rsidP="007B5593">
      <w:pPr>
        <w:rPr>
          <w:szCs w:val="24"/>
        </w:rPr>
      </w:pPr>
      <w:r w:rsidRPr="00C7419B">
        <w:rPr>
          <w:szCs w:val="24"/>
        </w:rPr>
        <w:t xml:space="preserve">Emission Unit 006 is the Refinery Fugitive Emissions.  This includes numerous units and is, for the most part, concerned with leaks.  </w:t>
      </w:r>
      <w:r w:rsidR="00D17105" w:rsidRPr="00C7419B">
        <w:rPr>
          <w:szCs w:val="24"/>
        </w:rPr>
        <w:t>LDAR programs through various NSPS and MACT requirements apply and serve as a work practice which minimizes emissions</w:t>
      </w:r>
      <w:r w:rsidR="009C48EA" w:rsidRPr="00C7419B">
        <w:rPr>
          <w:szCs w:val="24"/>
        </w:rPr>
        <w:t xml:space="preserve"> via actively inspecting and promptly fixing leaking components</w:t>
      </w:r>
      <w:r w:rsidRPr="00C7419B">
        <w:rPr>
          <w:szCs w:val="24"/>
        </w:rPr>
        <w:t>.</w:t>
      </w:r>
    </w:p>
    <w:p w14:paraId="0E2AC205" w14:textId="77777777" w:rsidR="007B5593" w:rsidRPr="00C7419B" w:rsidRDefault="007B5593" w:rsidP="007B5593">
      <w:pPr>
        <w:rPr>
          <w:szCs w:val="24"/>
        </w:rPr>
      </w:pPr>
      <w:r w:rsidRPr="00C7419B">
        <w:rPr>
          <w:szCs w:val="24"/>
        </w:rPr>
        <w:lastRenderedPageBreak/>
        <w:t>Emission Unit 007 is the SRU</w:t>
      </w:r>
      <w:r w:rsidR="00D17105" w:rsidRPr="00C7419B">
        <w:rPr>
          <w:szCs w:val="24"/>
        </w:rPr>
        <w:t>(s)</w:t>
      </w:r>
      <w:r w:rsidRPr="00C7419B">
        <w:rPr>
          <w:szCs w:val="24"/>
        </w:rPr>
        <w:t xml:space="preserve"> and associated equipment.  This includes the Jupiter SRU flare, Claus units, and SRU incinerator.  The flare is steam injected and the incinerator is equipped with low-NO</w:t>
      </w:r>
      <w:r w:rsidRPr="00C7419B">
        <w:rPr>
          <w:szCs w:val="24"/>
          <w:vertAlign w:val="subscript"/>
        </w:rPr>
        <w:t>x</w:t>
      </w:r>
      <w:r w:rsidRPr="00C7419B">
        <w:rPr>
          <w:szCs w:val="24"/>
        </w:rPr>
        <w:t xml:space="preserve"> burners.  These units have a SO</w:t>
      </w:r>
      <w:r w:rsidRPr="00C7419B">
        <w:rPr>
          <w:szCs w:val="24"/>
          <w:vertAlign w:val="subscript"/>
        </w:rPr>
        <w:t>2</w:t>
      </w:r>
      <w:r w:rsidRPr="00C7419B">
        <w:rPr>
          <w:szCs w:val="24"/>
        </w:rPr>
        <w:t xml:space="preserve"> CEMS, O</w:t>
      </w:r>
      <w:r w:rsidRPr="00C7419B">
        <w:rPr>
          <w:szCs w:val="24"/>
          <w:vertAlign w:val="subscript"/>
        </w:rPr>
        <w:t>2</w:t>
      </w:r>
      <w:r w:rsidRPr="00C7419B">
        <w:rPr>
          <w:szCs w:val="24"/>
        </w:rPr>
        <w:t>, and volumetric flow rate monitor.</w:t>
      </w:r>
      <w:r w:rsidR="009C48EA" w:rsidRPr="00C7419B">
        <w:rPr>
          <w:szCs w:val="24"/>
        </w:rPr>
        <w:t xml:space="preserve">  NSPS Ja, MACT UUU, and a CAM plan are applicable requirements.</w:t>
      </w:r>
    </w:p>
    <w:p w14:paraId="1961EDC8" w14:textId="77777777" w:rsidR="007B5593" w:rsidRPr="00C7419B" w:rsidRDefault="007B5593" w:rsidP="007B5593">
      <w:pPr>
        <w:rPr>
          <w:szCs w:val="24"/>
        </w:rPr>
      </w:pPr>
    </w:p>
    <w:p w14:paraId="5CEBE294" w14:textId="09A2E632" w:rsidR="007B5593" w:rsidRPr="00C7419B" w:rsidRDefault="007B5593" w:rsidP="007B5593">
      <w:pPr>
        <w:rPr>
          <w:szCs w:val="24"/>
        </w:rPr>
      </w:pPr>
      <w:r w:rsidRPr="00C7419B">
        <w:rPr>
          <w:szCs w:val="24"/>
        </w:rPr>
        <w:t xml:space="preserve">Emission Unit 008 is Storage Tanks.  These tanks must meet </w:t>
      </w:r>
      <w:r w:rsidR="0085697B" w:rsidRPr="00C7419B">
        <w:rPr>
          <w:szCs w:val="24"/>
        </w:rPr>
        <w:t>the requirements</w:t>
      </w:r>
      <w:r w:rsidRPr="00C7419B">
        <w:rPr>
          <w:szCs w:val="24"/>
        </w:rPr>
        <w:t xml:space="preserve"> of floating roofs with seal systems, or fixed roofs with rooftop vacuum breaker vents.  These units undergo regular inspections.</w:t>
      </w:r>
      <w:r w:rsidR="009C48EA" w:rsidRPr="00C7419B">
        <w:rPr>
          <w:szCs w:val="24"/>
        </w:rPr>
        <w:t xml:space="preserve">  Various NSPS and/or MACTs apply – NSPS K, Ka, </w:t>
      </w:r>
      <w:proofErr w:type="spellStart"/>
      <w:r w:rsidR="009C48EA" w:rsidRPr="00C7419B">
        <w:rPr>
          <w:szCs w:val="24"/>
        </w:rPr>
        <w:t>Kb</w:t>
      </w:r>
      <w:proofErr w:type="spellEnd"/>
      <w:r w:rsidR="009C48EA" w:rsidRPr="00C7419B">
        <w:rPr>
          <w:szCs w:val="24"/>
        </w:rPr>
        <w:t>, UU and MACT CC and EEEE.</w:t>
      </w:r>
    </w:p>
    <w:p w14:paraId="60602832" w14:textId="77777777" w:rsidR="007B5593" w:rsidRPr="00C7419B" w:rsidRDefault="007B5593" w:rsidP="007B5593">
      <w:pPr>
        <w:rPr>
          <w:szCs w:val="24"/>
        </w:rPr>
      </w:pPr>
    </w:p>
    <w:p w14:paraId="63F2FD99" w14:textId="77777777" w:rsidR="007B5593" w:rsidRPr="00C7419B" w:rsidRDefault="007B5593" w:rsidP="007B5593">
      <w:pPr>
        <w:rPr>
          <w:szCs w:val="24"/>
        </w:rPr>
      </w:pPr>
      <w:r w:rsidRPr="00C7419B">
        <w:rPr>
          <w:szCs w:val="24"/>
        </w:rPr>
        <w:t xml:space="preserve">Emission Unit 009 was the Product Bulk Loading, which has been removed from the refinery’s </w:t>
      </w:r>
      <w:r w:rsidR="00D17105" w:rsidRPr="00C7419B">
        <w:rPr>
          <w:szCs w:val="24"/>
        </w:rPr>
        <w:t xml:space="preserve">permit </w:t>
      </w:r>
      <w:r w:rsidRPr="00C7419B">
        <w:rPr>
          <w:szCs w:val="24"/>
        </w:rPr>
        <w:t>and moved to the Transportation Operation’s permit (OP4056-0</w:t>
      </w:r>
      <w:r w:rsidR="002B2593" w:rsidRPr="00C7419B">
        <w:rPr>
          <w:szCs w:val="24"/>
        </w:rPr>
        <w:t>5</w:t>
      </w:r>
      <w:r w:rsidRPr="00C7419B">
        <w:rPr>
          <w:szCs w:val="24"/>
        </w:rPr>
        <w:t>).</w:t>
      </w:r>
      <w:r w:rsidR="009C48EA" w:rsidRPr="00C7419B">
        <w:rPr>
          <w:szCs w:val="24"/>
        </w:rPr>
        <w:t xml:space="preserve">  For purposes of NSPS, MACT, PSD/NSR, </w:t>
      </w:r>
      <w:r w:rsidR="00F825AB" w:rsidRPr="00C7419B">
        <w:rPr>
          <w:szCs w:val="24"/>
        </w:rPr>
        <w:t xml:space="preserve">and Title V, </w:t>
      </w:r>
      <w:r w:rsidR="009C48EA" w:rsidRPr="00C7419B">
        <w:rPr>
          <w:szCs w:val="24"/>
        </w:rPr>
        <w:t>the transportation permit and the refinery permit regulate one combined facility.</w:t>
      </w:r>
    </w:p>
    <w:p w14:paraId="7BF7C4F3" w14:textId="77777777" w:rsidR="007B5593" w:rsidRPr="00C7419B" w:rsidRDefault="007B5593" w:rsidP="007B5593">
      <w:pPr>
        <w:rPr>
          <w:szCs w:val="24"/>
        </w:rPr>
      </w:pPr>
    </w:p>
    <w:p w14:paraId="6B4B8D78" w14:textId="77777777" w:rsidR="007B5593" w:rsidRPr="00C7419B" w:rsidRDefault="007B5593" w:rsidP="007B5593">
      <w:pPr>
        <w:rPr>
          <w:szCs w:val="24"/>
        </w:rPr>
      </w:pPr>
      <w:r w:rsidRPr="00C7419B">
        <w:rPr>
          <w:szCs w:val="24"/>
        </w:rPr>
        <w:t>Emission Unit 010 is the Wastewater Treatment.  This unit consists of various units and requires a CPI Separator with carbon canisters to reduce VOC emissions by 95%.</w:t>
      </w:r>
      <w:r w:rsidR="009C48EA" w:rsidRPr="00C7419B">
        <w:rPr>
          <w:szCs w:val="24"/>
        </w:rPr>
        <w:t xml:space="preserve">  NSPS </w:t>
      </w:r>
      <w:proofErr w:type="spellStart"/>
      <w:r w:rsidR="009C48EA" w:rsidRPr="00C7419B">
        <w:rPr>
          <w:szCs w:val="24"/>
        </w:rPr>
        <w:t>Kb</w:t>
      </w:r>
      <w:proofErr w:type="spellEnd"/>
      <w:r w:rsidR="009C48EA" w:rsidRPr="00C7419B">
        <w:rPr>
          <w:szCs w:val="24"/>
        </w:rPr>
        <w:t xml:space="preserve"> and QQQ, MACT CC, and NESHAP FF apply.</w:t>
      </w:r>
    </w:p>
    <w:p w14:paraId="4C7F23B6" w14:textId="77777777" w:rsidR="007B5593" w:rsidRPr="00C7419B" w:rsidRDefault="007B5593" w:rsidP="007B5593">
      <w:pPr>
        <w:rPr>
          <w:szCs w:val="24"/>
        </w:rPr>
      </w:pPr>
    </w:p>
    <w:p w14:paraId="4489E558" w14:textId="77777777" w:rsidR="007B5593" w:rsidRPr="00C7419B" w:rsidRDefault="007B5593" w:rsidP="007B5593">
      <w:pPr>
        <w:rPr>
          <w:szCs w:val="24"/>
        </w:rPr>
      </w:pPr>
      <w:r w:rsidRPr="00C7419B">
        <w:rPr>
          <w:szCs w:val="24"/>
        </w:rPr>
        <w:t>Emission Unit 011 is Miscellaneous Process Vents.  This includes various units.  Controls depend on the type of vent and include the use of a flare or combustion device</w:t>
      </w:r>
      <w:r w:rsidR="009C48EA" w:rsidRPr="00C7419B">
        <w:rPr>
          <w:szCs w:val="24"/>
        </w:rPr>
        <w:t>.  MACT CC applies.</w:t>
      </w:r>
    </w:p>
    <w:p w14:paraId="79302DD8" w14:textId="77777777" w:rsidR="007B5593" w:rsidRPr="00C7419B" w:rsidRDefault="007B5593" w:rsidP="007B5593">
      <w:pPr>
        <w:rPr>
          <w:szCs w:val="24"/>
        </w:rPr>
      </w:pPr>
    </w:p>
    <w:p w14:paraId="485B9F3F" w14:textId="77777777" w:rsidR="007B5593" w:rsidRPr="00C7419B" w:rsidRDefault="007B5593" w:rsidP="007B5593">
      <w:pPr>
        <w:rPr>
          <w:szCs w:val="24"/>
        </w:rPr>
      </w:pPr>
      <w:r w:rsidRPr="00C7419B">
        <w:rPr>
          <w:szCs w:val="24"/>
        </w:rPr>
        <w:t>Emission Unit 012 is the Catalytic Reforming Units #1 &amp; #2.</w:t>
      </w:r>
      <w:r w:rsidR="009C48EA" w:rsidRPr="00C7419B">
        <w:rPr>
          <w:szCs w:val="24"/>
        </w:rPr>
        <w:t xml:space="preserve">  MACT UUU applies.</w:t>
      </w:r>
    </w:p>
    <w:p w14:paraId="7DF8FD63" w14:textId="77777777" w:rsidR="007B5593" w:rsidRPr="00C7419B" w:rsidRDefault="007B5593" w:rsidP="007B5593">
      <w:pPr>
        <w:rPr>
          <w:szCs w:val="24"/>
        </w:rPr>
      </w:pPr>
    </w:p>
    <w:p w14:paraId="541DC66F" w14:textId="77777777" w:rsidR="007B5593" w:rsidRPr="00C7419B" w:rsidRDefault="007B5593" w:rsidP="007B5593">
      <w:pPr>
        <w:rPr>
          <w:szCs w:val="24"/>
        </w:rPr>
      </w:pPr>
      <w:r w:rsidRPr="00C7419B">
        <w:rPr>
          <w:szCs w:val="24"/>
        </w:rPr>
        <w:t>Emissions Unit 013 is the Backup Coke Crusher</w:t>
      </w:r>
      <w:r w:rsidR="009C48EA" w:rsidRPr="00C7419B">
        <w:rPr>
          <w:szCs w:val="24"/>
        </w:rPr>
        <w:t>.</w:t>
      </w:r>
    </w:p>
    <w:p w14:paraId="17C9F58E" w14:textId="77777777" w:rsidR="00127809" w:rsidRPr="00C7419B" w:rsidRDefault="00127809" w:rsidP="007B5593">
      <w:pPr>
        <w:rPr>
          <w:szCs w:val="24"/>
        </w:rPr>
      </w:pPr>
    </w:p>
    <w:p w14:paraId="18158408" w14:textId="084438C0" w:rsidR="007B5593" w:rsidRPr="00C7419B" w:rsidRDefault="007B5593" w:rsidP="00127809">
      <w:pPr>
        <w:rPr>
          <w:szCs w:val="24"/>
        </w:rPr>
      </w:pPr>
      <w:r w:rsidRPr="00C7419B">
        <w:rPr>
          <w:szCs w:val="24"/>
        </w:rPr>
        <w:t xml:space="preserve">Emissions Unit 014 is the following Reciprocating Internal Combustion Engines:  Backup Coke Crusher Engine, </w:t>
      </w:r>
      <w:proofErr w:type="spellStart"/>
      <w:r w:rsidRPr="00C7419B">
        <w:rPr>
          <w:szCs w:val="24"/>
        </w:rPr>
        <w:t>Cryo</w:t>
      </w:r>
      <w:proofErr w:type="spellEnd"/>
      <w:r w:rsidRPr="00C7419B">
        <w:rPr>
          <w:szCs w:val="24"/>
        </w:rPr>
        <w:t xml:space="preserve"> Backup Air Compressor Engine, Boiler House Air Compressor Engine, Storm Water to Holding Pond Pump Engine, the Boiler House Backup Air Compressor</w:t>
      </w:r>
      <w:r w:rsidR="00127809" w:rsidRPr="00C7419B">
        <w:rPr>
          <w:szCs w:val="24"/>
        </w:rPr>
        <w:t>,</w:t>
      </w:r>
      <w:r w:rsidR="00031D19" w:rsidRPr="00C7419B">
        <w:rPr>
          <w:szCs w:val="24"/>
        </w:rPr>
        <w:t xml:space="preserve"> the Boiler House Emergency Generator,</w:t>
      </w:r>
      <w:r w:rsidR="00127809" w:rsidRPr="00C7419B">
        <w:rPr>
          <w:szCs w:val="24"/>
        </w:rPr>
        <w:t xml:space="preserve"> the 665 horsepower Backup Fire Pump Engine, and the 300 horsepower Backup HDS Flare Drum Pump Engine</w:t>
      </w:r>
      <w:r w:rsidR="004A0071" w:rsidRPr="00C7419B">
        <w:rPr>
          <w:szCs w:val="24"/>
        </w:rPr>
        <w:t>.</w:t>
      </w:r>
    </w:p>
    <w:p w14:paraId="0C76F31D" w14:textId="77777777" w:rsidR="007B5593" w:rsidRPr="00C7419B" w:rsidRDefault="007B5593" w:rsidP="007B5593"/>
    <w:p w14:paraId="4A594898" w14:textId="77777777" w:rsidR="002F5D7E" w:rsidRPr="00C7419B" w:rsidRDefault="002F5D7E">
      <w:pPr>
        <w:rPr>
          <w:sz w:val="21"/>
        </w:rPr>
      </w:pPr>
    </w:p>
    <w:p w14:paraId="5E42DDBD" w14:textId="77777777" w:rsidR="002F5D7E" w:rsidRPr="00C7419B" w:rsidRDefault="002F5D7E">
      <w:pPr>
        <w:pStyle w:val="Heading1"/>
        <w:rPr>
          <w:rFonts w:ascii="Garamond" w:hAnsi="Garamond"/>
          <w:sz w:val="24"/>
          <w:szCs w:val="24"/>
        </w:rPr>
        <w:sectPr w:rsidR="002F5D7E" w:rsidRPr="00C7419B" w:rsidSect="00800276">
          <w:pgSz w:w="12240" w:h="15840"/>
          <w:pgMar w:top="1152" w:right="1440" w:bottom="1008" w:left="1440" w:header="720" w:footer="288" w:gutter="0"/>
          <w:cols w:space="720"/>
          <w:docGrid w:linePitch="326"/>
        </w:sectPr>
      </w:pPr>
    </w:p>
    <w:p w14:paraId="4641726D" w14:textId="77777777" w:rsidR="002F5D7E" w:rsidRPr="00C7419B" w:rsidRDefault="00E133F9" w:rsidP="00E133F9">
      <w:pPr>
        <w:pStyle w:val="Heading1"/>
        <w:rPr>
          <w:rFonts w:ascii="Garamond" w:hAnsi="Garamond"/>
          <w:sz w:val="24"/>
          <w:szCs w:val="24"/>
        </w:rPr>
      </w:pPr>
      <w:r w:rsidRPr="00C7419B">
        <w:rPr>
          <w:rFonts w:ascii="Garamond" w:hAnsi="Garamond"/>
          <w:sz w:val="24"/>
          <w:szCs w:val="24"/>
        </w:rPr>
        <w:lastRenderedPageBreak/>
        <w:t xml:space="preserve">  </w:t>
      </w:r>
      <w:bookmarkStart w:id="18" w:name="_Toc216098202"/>
      <w:r w:rsidR="002F5D7E" w:rsidRPr="00C7419B">
        <w:rPr>
          <w:rFonts w:ascii="Garamond" w:hAnsi="Garamond"/>
          <w:sz w:val="24"/>
          <w:szCs w:val="24"/>
        </w:rPr>
        <w:t>PERMIT CONDITIONS</w:t>
      </w:r>
      <w:bookmarkEnd w:id="18"/>
    </w:p>
    <w:p w14:paraId="57CFA679" w14:textId="77777777" w:rsidR="002F5D7E" w:rsidRPr="00C7419B" w:rsidRDefault="002F5D7E" w:rsidP="00E133F9">
      <w:pPr>
        <w:rPr>
          <w:szCs w:val="24"/>
        </w:rPr>
      </w:pPr>
    </w:p>
    <w:p w14:paraId="543258DB" w14:textId="77777777" w:rsidR="002F5D7E" w:rsidRPr="00C7419B" w:rsidRDefault="002F5D7E" w:rsidP="00E133F9">
      <w:pPr>
        <w:pStyle w:val="Heading2"/>
        <w:numPr>
          <w:ilvl w:val="0"/>
          <w:numId w:val="22"/>
        </w:numPr>
        <w:spacing w:before="0" w:beforeAutospacing="0" w:after="0" w:afterAutospacing="0"/>
        <w:rPr>
          <w:rFonts w:ascii="Garamond" w:hAnsi="Garamond"/>
          <w:sz w:val="24"/>
          <w:szCs w:val="24"/>
        </w:rPr>
      </w:pPr>
      <w:bookmarkStart w:id="19" w:name="_Toc216098203"/>
      <w:r w:rsidRPr="00C7419B">
        <w:rPr>
          <w:rFonts w:ascii="Garamond" w:hAnsi="Garamond"/>
          <w:sz w:val="24"/>
          <w:szCs w:val="24"/>
        </w:rPr>
        <w:t>Emission Limits and Standards</w:t>
      </w:r>
      <w:bookmarkEnd w:id="19"/>
    </w:p>
    <w:p w14:paraId="2A87AECA" w14:textId="77777777" w:rsidR="00E133F9" w:rsidRPr="00C7419B" w:rsidRDefault="00E133F9" w:rsidP="00E133F9">
      <w:pPr>
        <w:rPr>
          <w:szCs w:val="24"/>
        </w:rPr>
      </w:pPr>
    </w:p>
    <w:p w14:paraId="32493E12" w14:textId="77777777" w:rsidR="007B5593" w:rsidRPr="00C7419B" w:rsidRDefault="007B5593" w:rsidP="00E133F9">
      <w:pPr>
        <w:rPr>
          <w:szCs w:val="24"/>
        </w:rPr>
      </w:pPr>
      <w:r w:rsidRPr="00C7419B">
        <w:rPr>
          <w:szCs w:val="24"/>
        </w:rPr>
        <w:t xml:space="preserve">Emission limits and standards in the Title V permit were established from the preconstruction permit, the Billings/Laurel SIP, NSPS requirements, NESHAP requirements, MACT requirements, and Supplemental Environmental Projects (SEPs).  </w:t>
      </w:r>
    </w:p>
    <w:p w14:paraId="3EDF0557" w14:textId="77777777" w:rsidR="007B5593" w:rsidRPr="00C7419B" w:rsidRDefault="007B5593" w:rsidP="00E133F9">
      <w:pPr>
        <w:rPr>
          <w:szCs w:val="24"/>
        </w:rPr>
      </w:pPr>
    </w:p>
    <w:p w14:paraId="0CDCBB6B" w14:textId="77777777" w:rsidR="002F5D7E" w:rsidRPr="00C7419B" w:rsidRDefault="002F5D7E" w:rsidP="00E133F9">
      <w:pPr>
        <w:pStyle w:val="Heading2"/>
        <w:spacing w:before="0" w:beforeAutospacing="0" w:after="0" w:afterAutospacing="0"/>
        <w:rPr>
          <w:rFonts w:ascii="Garamond" w:hAnsi="Garamond"/>
          <w:sz w:val="24"/>
          <w:szCs w:val="24"/>
        </w:rPr>
      </w:pPr>
      <w:bookmarkStart w:id="20" w:name="_Toc216098204"/>
      <w:r w:rsidRPr="00C7419B">
        <w:rPr>
          <w:rFonts w:ascii="Garamond" w:hAnsi="Garamond"/>
          <w:sz w:val="24"/>
          <w:szCs w:val="24"/>
        </w:rPr>
        <w:t>Monitoring Requirements</w:t>
      </w:r>
      <w:bookmarkEnd w:id="20"/>
    </w:p>
    <w:p w14:paraId="0B0E9F10" w14:textId="77777777" w:rsidR="002F5D7E" w:rsidRPr="00C7419B" w:rsidRDefault="002F5D7E" w:rsidP="00E133F9">
      <w:pPr>
        <w:rPr>
          <w:szCs w:val="24"/>
        </w:rPr>
      </w:pPr>
    </w:p>
    <w:p w14:paraId="4AF8DC37" w14:textId="0B3AD50F" w:rsidR="002F5D7E" w:rsidRPr="00C7419B" w:rsidRDefault="002F5D7E" w:rsidP="009C7DA1">
      <w:pPr>
        <w:pStyle w:val="BodyText"/>
        <w:rPr>
          <w:sz w:val="24"/>
          <w:szCs w:val="24"/>
        </w:rPr>
      </w:pPr>
      <w:r w:rsidRPr="00C7419B">
        <w:rPr>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r w:rsidR="00800859" w:rsidRPr="00C7419B">
        <w:rPr>
          <w:sz w:val="24"/>
          <w:szCs w:val="24"/>
        </w:rPr>
        <w:t>period</w:t>
      </w:r>
      <w:r w:rsidRPr="00C7419B">
        <w:rPr>
          <w:sz w:val="24"/>
          <w:szCs w:val="24"/>
        </w:rPr>
        <w:t xml:space="preserve"> that is representative of the source's compliance with the permit.</w:t>
      </w:r>
    </w:p>
    <w:p w14:paraId="4824F4AF" w14:textId="77777777" w:rsidR="002F5D7E" w:rsidRPr="00C7419B" w:rsidRDefault="002F5D7E">
      <w:pPr>
        <w:rPr>
          <w:szCs w:val="24"/>
        </w:rPr>
      </w:pPr>
    </w:p>
    <w:p w14:paraId="4CCBBB16" w14:textId="77777777" w:rsidR="002F5D7E" w:rsidRPr="00C7419B" w:rsidRDefault="002F5D7E" w:rsidP="009C7DA1">
      <w:pPr>
        <w:rPr>
          <w:szCs w:val="24"/>
        </w:rPr>
      </w:pPr>
      <w:r w:rsidRPr="00C7419B">
        <w:rPr>
          <w:szCs w:val="24"/>
        </w:rPr>
        <w:t>The requirements for testing, monitoring, recordkeeping, reporting, and compliance certification sufficient to assure compliance do not require the permit to impose the same level of rigor for all emissions units.  Furthermore, they do not require extensive testing or monitoring to assure compliance with the applicable requirements for emissions units that do not have significant potential to violate emission limitations or other requirements under normal operating conditions.  When compliance with the underlying applicable requirement for a</w:t>
      </w:r>
      <w:r w:rsidR="009C48EA" w:rsidRPr="00C7419B">
        <w:rPr>
          <w:szCs w:val="24"/>
        </w:rPr>
        <w:t>n</w:t>
      </w:r>
      <w:r w:rsidRPr="00C7419B">
        <w:rPr>
          <w:szCs w:val="24"/>
        </w:rPr>
        <w:t xml:space="preserve"> insignificant emissions unit is not threatened by lack of regular monitoring and when periodic testing or monitoring is not otherwise required by the applicable requirement, the status quo </w:t>
      </w:r>
      <w:r w:rsidRPr="00C7419B">
        <w:rPr>
          <w:b/>
          <w:szCs w:val="24"/>
        </w:rPr>
        <w:t>(i.e., no monitoring)</w:t>
      </w:r>
      <w:r w:rsidRPr="00C7419B">
        <w:rPr>
          <w:szCs w:val="24"/>
        </w:rPr>
        <w:t xml:space="preserve"> will meet the requirements of ARM 17.8.1212(1).  Therefore, the permit does not include monitoring for insignificant emissions units.</w:t>
      </w:r>
    </w:p>
    <w:p w14:paraId="3ED508D8" w14:textId="77777777" w:rsidR="002F5D7E" w:rsidRPr="00C7419B" w:rsidRDefault="002F5D7E">
      <w:pPr>
        <w:rPr>
          <w:szCs w:val="24"/>
        </w:rPr>
      </w:pPr>
    </w:p>
    <w:p w14:paraId="0DC115BF" w14:textId="2C2A573A" w:rsidR="002F5D7E" w:rsidRPr="00C7419B" w:rsidRDefault="002F5D7E" w:rsidP="009C7DA1">
      <w:pPr>
        <w:rPr>
          <w:szCs w:val="24"/>
        </w:rPr>
      </w:pPr>
      <w:r w:rsidRPr="00C7419B">
        <w:rPr>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F54677" w:rsidRPr="00C7419B">
        <w:rPr>
          <w:szCs w:val="24"/>
        </w:rPr>
        <w:t>DEQ</w:t>
      </w:r>
      <w:r w:rsidRPr="00C7419B">
        <w:rPr>
          <w:szCs w:val="24"/>
        </w:rPr>
        <w:t xml:space="preserve"> may request additional testing to determine compliance with the emission limits and standards.</w:t>
      </w:r>
    </w:p>
    <w:p w14:paraId="436BFA9B" w14:textId="77777777" w:rsidR="002F5D7E" w:rsidRPr="00C7419B" w:rsidRDefault="002F5D7E" w:rsidP="007B5593">
      <w:pPr>
        <w:tabs>
          <w:tab w:val="left" w:pos="2925"/>
        </w:tabs>
        <w:rPr>
          <w:szCs w:val="24"/>
        </w:rPr>
      </w:pPr>
    </w:p>
    <w:p w14:paraId="2079EB52" w14:textId="2D41D465" w:rsidR="007B5593" w:rsidRPr="00C7419B" w:rsidRDefault="006E2B1A" w:rsidP="007B5593">
      <w:pPr>
        <w:rPr>
          <w:szCs w:val="24"/>
        </w:rPr>
      </w:pPr>
      <w:r w:rsidRPr="00C7419B">
        <w:rPr>
          <w:szCs w:val="24"/>
        </w:rPr>
        <w:t>I</w:t>
      </w:r>
      <w:r w:rsidR="007B5593" w:rsidRPr="00C7419B">
        <w:rPr>
          <w:szCs w:val="24"/>
        </w:rPr>
        <w:t xml:space="preserve">n the case of </w:t>
      </w:r>
      <w:r w:rsidR="00100BB4" w:rsidRPr="00C7419B">
        <w:rPr>
          <w:szCs w:val="24"/>
        </w:rPr>
        <w:t>CEMS and</w:t>
      </w:r>
      <w:r w:rsidR="007B5593" w:rsidRPr="00C7419B">
        <w:rPr>
          <w:szCs w:val="24"/>
        </w:rPr>
        <w:t xml:space="preserve"> required back-up or alternative methods when the CEMS are not running, the permit states “</w:t>
      </w:r>
      <w:r w:rsidR="00F54677" w:rsidRPr="00C7419B">
        <w:rPr>
          <w:szCs w:val="24"/>
        </w:rPr>
        <w:t>DEQ</w:t>
      </w:r>
      <w:r w:rsidR="007B5593" w:rsidRPr="00C7419B">
        <w:rPr>
          <w:szCs w:val="24"/>
        </w:rPr>
        <w:t xml:space="preserve"> shall approve such contingency plans.”  When such contingency plans are in use and have been submitted, the source will </w:t>
      </w:r>
      <w:proofErr w:type="gramStart"/>
      <w:r w:rsidR="007B5593" w:rsidRPr="00C7419B">
        <w:rPr>
          <w:szCs w:val="24"/>
        </w:rPr>
        <w:t>be considered to be</w:t>
      </w:r>
      <w:proofErr w:type="gramEnd"/>
      <w:r w:rsidR="007B5593" w:rsidRPr="00C7419B">
        <w:rPr>
          <w:szCs w:val="24"/>
        </w:rPr>
        <w:t xml:space="preserve"> in compliance with the contingency plan requirement until </w:t>
      </w:r>
      <w:r w:rsidR="00F54677" w:rsidRPr="00C7419B">
        <w:rPr>
          <w:szCs w:val="24"/>
        </w:rPr>
        <w:t>DEQ</w:t>
      </w:r>
      <w:r w:rsidR="007B5593" w:rsidRPr="00C7419B">
        <w:rPr>
          <w:szCs w:val="24"/>
        </w:rPr>
        <w:t xml:space="preserve"> informs Phillips 66 otherwise.</w:t>
      </w:r>
    </w:p>
    <w:p w14:paraId="0045688F" w14:textId="77777777" w:rsidR="00686015" w:rsidRPr="00C7419B" w:rsidRDefault="00686015" w:rsidP="007B5593">
      <w:pPr>
        <w:rPr>
          <w:szCs w:val="24"/>
        </w:rPr>
      </w:pPr>
    </w:p>
    <w:p w14:paraId="01C8D92B" w14:textId="77777777" w:rsidR="002F5D7E" w:rsidRPr="00C7419B" w:rsidRDefault="002F5D7E" w:rsidP="00E133F9">
      <w:pPr>
        <w:pStyle w:val="Heading2"/>
        <w:spacing w:before="0" w:beforeAutospacing="0" w:after="0" w:afterAutospacing="0"/>
        <w:rPr>
          <w:rFonts w:ascii="Garamond" w:hAnsi="Garamond"/>
          <w:sz w:val="24"/>
          <w:szCs w:val="24"/>
        </w:rPr>
      </w:pPr>
      <w:bookmarkStart w:id="21" w:name="_Toc216098205"/>
      <w:r w:rsidRPr="00C7419B">
        <w:rPr>
          <w:rFonts w:ascii="Garamond" w:hAnsi="Garamond"/>
          <w:sz w:val="24"/>
          <w:szCs w:val="24"/>
        </w:rPr>
        <w:t>Test Methods and Procedures</w:t>
      </w:r>
      <w:bookmarkEnd w:id="21"/>
    </w:p>
    <w:p w14:paraId="11400856" w14:textId="77777777" w:rsidR="002F5D7E" w:rsidRPr="00C7419B" w:rsidRDefault="002F5D7E" w:rsidP="00E133F9">
      <w:pPr>
        <w:rPr>
          <w:szCs w:val="24"/>
        </w:rPr>
      </w:pPr>
    </w:p>
    <w:p w14:paraId="608C988E" w14:textId="2F27FE5F" w:rsidR="002F5D7E" w:rsidRPr="00C7419B" w:rsidRDefault="002F5D7E" w:rsidP="00745D11">
      <w:pPr>
        <w:rPr>
          <w:szCs w:val="24"/>
        </w:rPr>
      </w:pPr>
      <w:r w:rsidRPr="00C7419B">
        <w:rPr>
          <w:szCs w:val="24"/>
        </w:rPr>
        <w:t xml:space="preserve">The operating permit may not require testing for all sources if routine monitoring is used to determine compliance, but </w:t>
      </w:r>
      <w:r w:rsidR="00F54677" w:rsidRPr="00C7419B">
        <w:rPr>
          <w:szCs w:val="24"/>
        </w:rPr>
        <w:t>DEQ</w:t>
      </w:r>
      <w:r w:rsidRPr="00C7419B">
        <w:rPr>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0CC56AED" w14:textId="77777777" w:rsidR="002F5D7E" w:rsidRPr="00C7419B" w:rsidRDefault="002F5D7E" w:rsidP="00E133F9">
      <w:pPr>
        <w:rPr>
          <w:szCs w:val="24"/>
        </w:rPr>
      </w:pPr>
    </w:p>
    <w:p w14:paraId="0CA3AE1D" w14:textId="77777777" w:rsidR="002F5D7E" w:rsidRPr="00C7419B" w:rsidRDefault="002F5D7E" w:rsidP="00E133F9">
      <w:pPr>
        <w:pStyle w:val="Heading2"/>
        <w:spacing w:before="0" w:beforeAutospacing="0" w:after="0" w:afterAutospacing="0"/>
        <w:rPr>
          <w:rFonts w:ascii="Garamond" w:hAnsi="Garamond"/>
          <w:sz w:val="24"/>
          <w:szCs w:val="24"/>
        </w:rPr>
      </w:pPr>
      <w:bookmarkStart w:id="22" w:name="_Toc216098206"/>
      <w:r w:rsidRPr="00C7419B">
        <w:rPr>
          <w:rFonts w:ascii="Garamond" w:hAnsi="Garamond"/>
          <w:sz w:val="24"/>
          <w:szCs w:val="24"/>
        </w:rPr>
        <w:t>Recordkeeping Requirements</w:t>
      </w:r>
      <w:bookmarkEnd w:id="22"/>
    </w:p>
    <w:p w14:paraId="7E5B41DC" w14:textId="77777777" w:rsidR="002F5D7E" w:rsidRPr="00C7419B" w:rsidRDefault="002F5D7E">
      <w:pPr>
        <w:rPr>
          <w:szCs w:val="24"/>
        </w:rPr>
      </w:pPr>
    </w:p>
    <w:p w14:paraId="0DFA7F06" w14:textId="77777777" w:rsidR="002F5D7E" w:rsidRPr="00C7419B" w:rsidRDefault="002F5D7E" w:rsidP="00745D11">
      <w:pPr>
        <w:pStyle w:val="BodyText"/>
        <w:rPr>
          <w:sz w:val="24"/>
          <w:szCs w:val="24"/>
        </w:rPr>
      </w:pPr>
      <w:r w:rsidRPr="00C7419B">
        <w:rPr>
          <w:sz w:val="24"/>
          <w:szCs w:val="24"/>
        </w:rPr>
        <w:t>The permittee is required to keep all records listed in the operating permit as a permanent business record for at least five years following the date of the generation of the record.</w:t>
      </w:r>
    </w:p>
    <w:p w14:paraId="5DE7C472" w14:textId="77777777" w:rsidR="002F5D7E" w:rsidRPr="00C7419B" w:rsidRDefault="002F5D7E" w:rsidP="00E133F9">
      <w:pPr>
        <w:rPr>
          <w:szCs w:val="24"/>
        </w:rPr>
      </w:pPr>
    </w:p>
    <w:p w14:paraId="1F683D41" w14:textId="77777777" w:rsidR="002F5D7E" w:rsidRPr="00C7419B" w:rsidRDefault="002F5D7E" w:rsidP="00E133F9">
      <w:pPr>
        <w:pStyle w:val="Heading2"/>
        <w:spacing w:before="0" w:beforeAutospacing="0" w:after="0" w:afterAutospacing="0"/>
        <w:rPr>
          <w:rFonts w:ascii="Garamond" w:hAnsi="Garamond"/>
          <w:sz w:val="24"/>
          <w:szCs w:val="24"/>
        </w:rPr>
      </w:pPr>
      <w:bookmarkStart w:id="23" w:name="_Toc216098207"/>
      <w:r w:rsidRPr="00C7419B">
        <w:rPr>
          <w:rFonts w:ascii="Garamond" w:hAnsi="Garamond"/>
          <w:sz w:val="24"/>
          <w:szCs w:val="24"/>
        </w:rPr>
        <w:lastRenderedPageBreak/>
        <w:t>Reporting Requirements</w:t>
      </w:r>
      <w:bookmarkEnd w:id="23"/>
    </w:p>
    <w:p w14:paraId="7D02B968" w14:textId="77777777" w:rsidR="002F5D7E" w:rsidRPr="00C7419B" w:rsidRDefault="002F5D7E" w:rsidP="00E133F9">
      <w:pPr>
        <w:rPr>
          <w:szCs w:val="24"/>
        </w:rPr>
      </w:pPr>
    </w:p>
    <w:p w14:paraId="6C8FBFF7" w14:textId="084158F3" w:rsidR="002F5D7E" w:rsidRPr="00C7419B" w:rsidRDefault="002F5D7E" w:rsidP="00745D11">
      <w:pPr>
        <w:rPr>
          <w:szCs w:val="24"/>
        </w:rPr>
      </w:pPr>
      <w:r w:rsidRPr="00C7419B">
        <w:rPr>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w:t>
      </w:r>
      <w:r w:rsidR="00F54677" w:rsidRPr="00C7419B">
        <w:rPr>
          <w:szCs w:val="24"/>
        </w:rPr>
        <w:t>DEQ</w:t>
      </w:r>
      <w:r w:rsidRPr="00C7419B">
        <w:rPr>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C7419B">
        <w:rPr>
          <w:szCs w:val="24"/>
        </w:rPr>
        <w:t>as a result of</w:t>
      </w:r>
      <w:proofErr w:type="gramEnd"/>
      <w:r w:rsidRPr="00C7419B">
        <w:rPr>
          <w:szCs w:val="24"/>
        </w:rPr>
        <w:t xml:space="preserve"> any deviation.</w:t>
      </w:r>
    </w:p>
    <w:p w14:paraId="61C46A3A" w14:textId="77777777" w:rsidR="00B302C1" w:rsidRPr="00C7419B" w:rsidRDefault="00B302C1" w:rsidP="00B302C1">
      <w:pPr>
        <w:pStyle w:val="Heading2"/>
        <w:rPr>
          <w:rFonts w:ascii="Garamond" w:hAnsi="Garamond"/>
          <w:sz w:val="24"/>
          <w:szCs w:val="24"/>
        </w:rPr>
      </w:pPr>
      <w:bookmarkStart w:id="24" w:name="_Toc287002108"/>
      <w:bookmarkStart w:id="25" w:name="_Toc216098208"/>
      <w:r w:rsidRPr="00C7419B">
        <w:rPr>
          <w:rFonts w:ascii="Garamond" w:hAnsi="Garamond"/>
          <w:sz w:val="24"/>
          <w:szCs w:val="24"/>
        </w:rPr>
        <w:t>Public Notice</w:t>
      </w:r>
      <w:bookmarkEnd w:id="24"/>
      <w:bookmarkEnd w:id="25"/>
    </w:p>
    <w:p w14:paraId="34A21CEA" w14:textId="7AD4689B" w:rsidR="00EC5628" w:rsidRPr="00C7419B" w:rsidRDefault="00EC5628" w:rsidP="00EC5628">
      <w:pPr>
        <w:rPr>
          <w:szCs w:val="24"/>
        </w:rPr>
      </w:pPr>
      <w:r w:rsidRPr="00C7419B">
        <w:rPr>
          <w:szCs w:val="24"/>
        </w:rPr>
        <w:t xml:space="preserve">In accordance with ARM 17.8.1232, a public notice was published in the </w:t>
      </w:r>
      <w:r w:rsidRPr="00C7419B">
        <w:rPr>
          <w:i/>
          <w:szCs w:val="24"/>
        </w:rPr>
        <w:t>Billings Gazette</w:t>
      </w:r>
      <w:r w:rsidRPr="00C7419B">
        <w:rPr>
          <w:szCs w:val="24"/>
        </w:rPr>
        <w:t xml:space="preserve"> newspaper on or before </w:t>
      </w:r>
      <w:r w:rsidR="000C5172">
        <w:rPr>
          <w:szCs w:val="24"/>
        </w:rPr>
        <w:t xml:space="preserve">March </w:t>
      </w:r>
      <w:r w:rsidR="00AB7E07">
        <w:rPr>
          <w:szCs w:val="24"/>
        </w:rPr>
        <w:t>27</w:t>
      </w:r>
      <w:r w:rsidR="000C5172">
        <w:rPr>
          <w:szCs w:val="24"/>
        </w:rPr>
        <w:t>, 2026</w:t>
      </w:r>
      <w:r w:rsidRPr="00C7419B">
        <w:rPr>
          <w:szCs w:val="24"/>
        </w:rPr>
        <w:t xml:space="preserve">.  </w:t>
      </w:r>
      <w:r w:rsidR="00F54677" w:rsidRPr="00C7419B">
        <w:rPr>
          <w:szCs w:val="24"/>
        </w:rPr>
        <w:t>DEQ</w:t>
      </w:r>
      <w:r w:rsidRPr="00C7419B">
        <w:rPr>
          <w:szCs w:val="24"/>
        </w:rPr>
        <w:t xml:space="preserve"> provided a 30-day public comment period on the draft operating permit from </w:t>
      </w:r>
      <w:r w:rsidR="000C5172">
        <w:rPr>
          <w:szCs w:val="24"/>
        </w:rPr>
        <w:t xml:space="preserve">March </w:t>
      </w:r>
      <w:r w:rsidR="00AB7E07">
        <w:rPr>
          <w:szCs w:val="24"/>
        </w:rPr>
        <w:t>27</w:t>
      </w:r>
      <w:r w:rsidR="000C5172">
        <w:rPr>
          <w:szCs w:val="24"/>
        </w:rPr>
        <w:t>, 2026</w:t>
      </w:r>
      <w:r w:rsidR="00100BB4" w:rsidRPr="00C7419B">
        <w:rPr>
          <w:szCs w:val="24"/>
        </w:rPr>
        <w:t>,</w:t>
      </w:r>
      <w:r w:rsidR="00AC2B9D" w:rsidRPr="00C7419B">
        <w:rPr>
          <w:szCs w:val="24"/>
        </w:rPr>
        <w:t xml:space="preserve"> to </w:t>
      </w:r>
      <w:r w:rsidR="000C5172">
        <w:rPr>
          <w:szCs w:val="24"/>
        </w:rPr>
        <w:t xml:space="preserve">April </w:t>
      </w:r>
      <w:r w:rsidR="00AB7E07">
        <w:rPr>
          <w:szCs w:val="24"/>
        </w:rPr>
        <w:t>27</w:t>
      </w:r>
      <w:r w:rsidR="000C5172">
        <w:rPr>
          <w:szCs w:val="24"/>
        </w:rPr>
        <w:t>, 2026</w:t>
      </w:r>
      <w:r w:rsidR="00595B3F" w:rsidRPr="00C7419B">
        <w:rPr>
          <w:szCs w:val="24"/>
        </w:rPr>
        <w:t>.</w:t>
      </w:r>
      <w:r w:rsidRPr="00C7419B">
        <w:rPr>
          <w:szCs w:val="24"/>
        </w:rPr>
        <w:t xml:space="preserve">  ARM 17.8.1232 requires </w:t>
      </w:r>
      <w:r w:rsidR="00F54677" w:rsidRPr="00C7419B">
        <w:rPr>
          <w:szCs w:val="24"/>
        </w:rPr>
        <w:t>DEQ</w:t>
      </w:r>
      <w:r w:rsidRPr="00C7419B">
        <w:rPr>
          <w:szCs w:val="24"/>
        </w:rPr>
        <w:t xml:space="preserve"> to keep a record of both comments and issues raised during the public participation process.</w:t>
      </w:r>
      <w:r w:rsidR="009262F6">
        <w:rPr>
          <w:szCs w:val="24"/>
        </w:rPr>
        <w:t xml:space="preserve"> </w:t>
      </w:r>
    </w:p>
    <w:p w14:paraId="7EF38595" w14:textId="77777777" w:rsidR="009262F6" w:rsidRPr="009262F6" w:rsidRDefault="009262F6" w:rsidP="009262F6">
      <w:pPr>
        <w:rPr>
          <w:szCs w:val="24"/>
        </w:rPr>
      </w:pPr>
    </w:p>
    <w:p w14:paraId="5F58930C" w14:textId="77777777" w:rsidR="009262F6" w:rsidRPr="009262F6" w:rsidRDefault="009262F6" w:rsidP="009262F6">
      <w:pPr>
        <w:keepNext/>
        <w:jc w:val="center"/>
        <w:outlineLvl w:val="2"/>
        <w:rPr>
          <w:b/>
          <w:szCs w:val="24"/>
        </w:rPr>
      </w:pPr>
      <w:r w:rsidRPr="009262F6">
        <w:rPr>
          <w:b/>
          <w:szCs w:val="24"/>
        </w:rPr>
        <w:t>Summary of Public Comments</w:t>
      </w:r>
    </w:p>
    <w:p w14:paraId="640E1F2E" w14:textId="77777777" w:rsidR="009262F6" w:rsidRPr="009262F6" w:rsidRDefault="009262F6" w:rsidP="009262F6">
      <w:pPr>
        <w:rPr>
          <w:b/>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9262F6" w:rsidRPr="009262F6" w14:paraId="35C682E5" w14:textId="77777777" w:rsidTr="000C5172">
        <w:tc>
          <w:tcPr>
            <w:tcW w:w="1980" w:type="dxa"/>
            <w:tcBorders>
              <w:top w:val="double" w:sz="4" w:space="0" w:color="auto"/>
              <w:left w:val="double" w:sz="4" w:space="0" w:color="auto"/>
            </w:tcBorders>
          </w:tcPr>
          <w:p w14:paraId="0CCF102A" w14:textId="77777777" w:rsidR="009262F6" w:rsidRPr="009262F6" w:rsidRDefault="009262F6" w:rsidP="009262F6">
            <w:pPr>
              <w:jc w:val="center"/>
              <w:rPr>
                <w:sz w:val="22"/>
                <w:szCs w:val="22"/>
              </w:rPr>
            </w:pPr>
            <w:r w:rsidRPr="009262F6">
              <w:rPr>
                <w:sz w:val="22"/>
                <w:szCs w:val="22"/>
              </w:rPr>
              <w:t>Person/Group Commenting</w:t>
            </w:r>
          </w:p>
        </w:tc>
        <w:tc>
          <w:tcPr>
            <w:tcW w:w="3510" w:type="dxa"/>
            <w:tcBorders>
              <w:top w:val="double" w:sz="4" w:space="0" w:color="auto"/>
            </w:tcBorders>
          </w:tcPr>
          <w:p w14:paraId="7EABD6AC" w14:textId="77777777" w:rsidR="009262F6" w:rsidRPr="009262F6" w:rsidRDefault="009262F6" w:rsidP="009262F6">
            <w:pPr>
              <w:jc w:val="center"/>
              <w:rPr>
                <w:sz w:val="22"/>
                <w:szCs w:val="22"/>
              </w:rPr>
            </w:pPr>
            <w:r w:rsidRPr="009262F6">
              <w:rPr>
                <w:sz w:val="22"/>
                <w:szCs w:val="22"/>
              </w:rPr>
              <w:t>Comment</w:t>
            </w:r>
          </w:p>
        </w:tc>
        <w:tc>
          <w:tcPr>
            <w:tcW w:w="3240" w:type="dxa"/>
            <w:tcBorders>
              <w:top w:val="double" w:sz="4" w:space="0" w:color="auto"/>
              <w:right w:val="double" w:sz="4" w:space="0" w:color="auto"/>
            </w:tcBorders>
          </w:tcPr>
          <w:p w14:paraId="21578643" w14:textId="77777777" w:rsidR="009262F6" w:rsidRPr="009262F6" w:rsidRDefault="009262F6" w:rsidP="009262F6">
            <w:pPr>
              <w:jc w:val="center"/>
              <w:rPr>
                <w:sz w:val="22"/>
                <w:szCs w:val="22"/>
              </w:rPr>
            </w:pPr>
            <w:r w:rsidRPr="009262F6">
              <w:rPr>
                <w:sz w:val="22"/>
                <w:szCs w:val="22"/>
              </w:rPr>
              <w:t>DEQ Response</w:t>
            </w:r>
          </w:p>
        </w:tc>
      </w:tr>
      <w:tr w:rsidR="000C5172" w:rsidRPr="009262F6" w14:paraId="541E7E9B" w14:textId="77777777" w:rsidTr="000C5172">
        <w:tc>
          <w:tcPr>
            <w:tcW w:w="1980" w:type="dxa"/>
            <w:tcBorders>
              <w:top w:val="single" w:sz="4" w:space="0" w:color="auto"/>
              <w:left w:val="double" w:sz="4" w:space="0" w:color="auto"/>
              <w:bottom w:val="double" w:sz="4" w:space="0" w:color="auto"/>
            </w:tcBorders>
          </w:tcPr>
          <w:p w14:paraId="677CD3D4" w14:textId="77777777" w:rsidR="000C5172" w:rsidRPr="009262F6" w:rsidRDefault="000C5172" w:rsidP="009262F6">
            <w:pPr>
              <w:jc w:val="center"/>
              <w:rPr>
                <w:sz w:val="22"/>
                <w:szCs w:val="22"/>
              </w:rPr>
            </w:pPr>
          </w:p>
        </w:tc>
        <w:tc>
          <w:tcPr>
            <w:tcW w:w="3510" w:type="dxa"/>
            <w:tcBorders>
              <w:top w:val="single" w:sz="4" w:space="0" w:color="auto"/>
              <w:bottom w:val="double" w:sz="4" w:space="0" w:color="auto"/>
            </w:tcBorders>
          </w:tcPr>
          <w:p w14:paraId="3AD766E6" w14:textId="77777777" w:rsidR="000C5172" w:rsidRPr="009262F6" w:rsidRDefault="000C5172" w:rsidP="009262F6">
            <w:pPr>
              <w:jc w:val="center"/>
              <w:rPr>
                <w:sz w:val="22"/>
                <w:szCs w:val="22"/>
              </w:rPr>
            </w:pPr>
          </w:p>
        </w:tc>
        <w:tc>
          <w:tcPr>
            <w:tcW w:w="3240" w:type="dxa"/>
            <w:tcBorders>
              <w:top w:val="single" w:sz="4" w:space="0" w:color="auto"/>
              <w:bottom w:val="double" w:sz="4" w:space="0" w:color="auto"/>
              <w:right w:val="double" w:sz="4" w:space="0" w:color="auto"/>
            </w:tcBorders>
          </w:tcPr>
          <w:p w14:paraId="74935B32" w14:textId="77777777" w:rsidR="000C5172" w:rsidRPr="009262F6" w:rsidRDefault="000C5172" w:rsidP="009262F6">
            <w:pPr>
              <w:jc w:val="center"/>
              <w:rPr>
                <w:sz w:val="22"/>
                <w:szCs w:val="22"/>
              </w:rPr>
            </w:pPr>
          </w:p>
        </w:tc>
      </w:tr>
    </w:tbl>
    <w:p w14:paraId="5151C0AD" w14:textId="77777777" w:rsidR="009262F6" w:rsidRPr="009262F6" w:rsidRDefault="009262F6" w:rsidP="009262F6">
      <w:pPr>
        <w:rPr>
          <w:b/>
          <w:szCs w:val="24"/>
        </w:rPr>
      </w:pPr>
    </w:p>
    <w:p w14:paraId="48598F3A" w14:textId="322C4EDC" w:rsidR="009262F6" w:rsidRPr="009262F6" w:rsidRDefault="009262F6" w:rsidP="009262F6">
      <w:pPr>
        <w:keepNext/>
        <w:numPr>
          <w:ilvl w:val="0"/>
          <w:numId w:val="20"/>
        </w:numPr>
        <w:tabs>
          <w:tab w:val="left" w:pos="720"/>
        </w:tabs>
        <w:spacing w:before="100" w:beforeAutospacing="1" w:after="100" w:afterAutospacing="1"/>
        <w:outlineLvl w:val="1"/>
        <w:rPr>
          <w:szCs w:val="24"/>
        </w:rPr>
      </w:pPr>
      <w:bookmarkStart w:id="26" w:name="_Toc287002109"/>
      <w:r w:rsidRPr="009262F6">
        <w:rPr>
          <w:b/>
          <w:szCs w:val="24"/>
        </w:rPr>
        <w:t xml:space="preserve">Draft Permit Comments </w:t>
      </w:r>
      <w:bookmarkEnd w:id="26"/>
    </w:p>
    <w:p w14:paraId="453A6499" w14:textId="77777777" w:rsidR="009262F6" w:rsidRPr="009262F6" w:rsidRDefault="009262F6" w:rsidP="009262F6">
      <w:pPr>
        <w:keepNext/>
        <w:jc w:val="center"/>
        <w:outlineLvl w:val="2"/>
        <w:rPr>
          <w:b/>
          <w:szCs w:val="24"/>
        </w:rPr>
      </w:pPr>
      <w:r w:rsidRPr="009262F6">
        <w:rPr>
          <w:b/>
          <w:szCs w:val="24"/>
        </w:rPr>
        <w:t>Summary of Permittee Comments</w:t>
      </w:r>
    </w:p>
    <w:p w14:paraId="6C321427" w14:textId="77777777" w:rsidR="009262F6" w:rsidRPr="009262F6" w:rsidRDefault="009262F6" w:rsidP="009262F6">
      <w:pPr>
        <w:rPr>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262F6" w:rsidRPr="009262F6" w14:paraId="4D19F4F8" w14:textId="77777777" w:rsidTr="004F14D9">
        <w:trPr>
          <w:tblHeader/>
        </w:trPr>
        <w:tc>
          <w:tcPr>
            <w:tcW w:w="1980" w:type="dxa"/>
            <w:tcBorders>
              <w:top w:val="double" w:sz="4" w:space="0" w:color="auto"/>
              <w:left w:val="double" w:sz="4" w:space="0" w:color="auto"/>
            </w:tcBorders>
          </w:tcPr>
          <w:p w14:paraId="583BFC73" w14:textId="77777777" w:rsidR="009262F6" w:rsidRPr="009262F6" w:rsidRDefault="009262F6" w:rsidP="009262F6">
            <w:pPr>
              <w:jc w:val="center"/>
              <w:rPr>
                <w:sz w:val="22"/>
                <w:szCs w:val="22"/>
              </w:rPr>
            </w:pPr>
            <w:r w:rsidRPr="009262F6">
              <w:rPr>
                <w:sz w:val="22"/>
                <w:szCs w:val="22"/>
              </w:rPr>
              <w:t>Permit Reference</w:t>
            </w:r>
          </w:p>
        </w:tc>
        <w:tc>
          <w:tcPr>
            <w:tcW w:w="3420" w:type="dxa"/>
            <w:tcBorders>
              <w:top w:val="double" w:sz="4" w:space="0" w:color="auto"/>
            </w:tcBorders>
          </w:tcPr>
          <w:p w14:paraId="1050B15B" w14:textId="77777777" w:rsidR="009262F6" w:rsidRPr="009262F6" w:rsidRDefault="009262F6" w:rsidP="009262F6">
            <w:pPr>
              <w:jc w:val="center"/>
              <w:rPr>
                <w:sz w:val="22"/>
                <w:szCs w:val="22"/>
              </w:rPr>
            </w:pPr>
            <w:r w:rsidRPr="009262F6">
              <w:rPr>
                <w:sz w:val="22"/>
                <w:szCs w:val="22"/>
              </w:rPr>
              <w:t>Permittee Comment</w:t>
            </w:r>
          </w:p>
        </w:tc>
        <w:tc>
          <w:tcPr>
            <w:tcW w:w="3330" w:type="dxa"/>
            <w:tcBorders>
              <w:top w:val="double" w:sz="4" w:space="0" w:color="auto"/>
              <w:right w:val="double" w:sz="4" w:space="0" w:color="auto"/>
            </w:tcBorders>
          </w:tcPr>
          <w:p w14:paraId="02B0A0EA" w14:textId="77777777" w:rsidR="009262F6" w:rsidRPr="009262F6" w:rsidRDefault="009262F6" w:rsidP="009262F6">
            <w:pPr>
              <w:jc w:val="center"/>
              <w:rPr>
                <w:sz w:val="22"/>
                <w:szCs w:val="22"/>
              </w:rPr>
            </w:pPr>
            <w:r w:rsidRPr="009262F6">
              <w:rPr>
                <w:sz w:val="22"/>
                <w:szCs w:val="22"/>
              </w:rPr>
              <w:t>DEQ Response</w:t>
            </w:r>
          </w:p>
        </w:tc>
      </w:tr>
      <w:tr w:rsidR="009262F6" w:rsidRPr="009262F6" w14:paraId="5B8FCD8B" w14:textId="77777777" w:rsidTr="000C5172">
        <w:tc>
          <w:tcPr>
            <w:tcW w:w="1980" w:type="dxa"/>
            <w:tcBorders>
              <w:left w:val="double" w:sz="4" w:space="0" w:color="auto"/>
              <w:bottom w:val="double" w:sz="4" w:space="0" w:color="auto"/>
            </w:tcBorders>
          </w:tcPr>
          <w:p w14:paraId="77D79E44" w14:textId="7D119DC1" w:rsidR="009262F6" w:rsidRPr="009262F6" w:rsidRDefault="009262F6" w:rsidP="009262F6">
            <w:pPr>
              <w:rPr>
                <w:sz w:val="22"/>
                <w:szCs w:val="22"/>
              </w:rPr>
            </w:pPr>
          </w:p>
        </w:tc>
        <w:tc>
          <w:tcPr>
            <w:tcW w:w="3420" w:type="dxa"/>
            <w:tcBorders>
              <w:bottom w:val="double" w:sz="4" w:space="0" w:color="auto"/>
            </w:tcBorders>
          </w:tcPr>
          <w:p w14:paraId="25DF952F" w14:textId="77777777" w:rsidR="009262F6" w:rsidRPr="009262F6" w:rsidRDefault="009262F6" w:rsidP="009262F6">
            <w:pPr>
              <w:rPr>
                <w:sz w:val="22"/>
                <w:szCs w:val="22"/>
              </w:rPr>
            </w:pPr>
          </w:p>
        </w:tc>
        <w:tc>
          <w:tcPr>
            <w:tcW w:w="3330" w:type="dxa"/>
            <w:tcBorders>
              <w:bottom w:val="double" w:sz="4" w:space="0" w:color="auto"/>
              <w:right w:val="double" w:sz="4" w:space="0" w:color="auto"/>
            </w:tcBorders>
          </w:tcPr>
          <w:p w14:paraId="0D6AF6EE" w14:textId="37E1BF08" w:rsidR="009262F6" w:rsidRPr="009262F6" w:rsidRDefault="009262F6" w:rsidP="009262F6">
            <w:pPr>
              <w:rPr>
                <w:sz w:val="22"/>
                <w:szCs w:val="22"/>
              </w:rPr>
            </w:pPr>
          </w:p>
        </w:tc>
      </w:tr>
    </w:tbl>
    <w:p w14:paraId="0E953CE1" w14:textId="77777777" w:rsidR="00D7453F" w:rsidRPr="009262F6" w:rsidRDefault="00D7453F" w:rsidP="009262F6">
      <w:pPr>
        <w:rPr>
          <w:b/>
          <w:szCs w:val="24"/>
        </w:rPr>
      </w:pPr>
    </w:p>
    <w:p w14:paraId="18AD06F1" w14:textId="77777777" w:rsidR="009262F6" w:rsidRPr="009262F6" w:rsidRDefault="009262F6" w:rsidP="009262F6">
      <w:pPr>
        <w:keepNext/>
        <w:jc w:val="center"/>
        <w:outlineLvl w:val="2"/>
        <w:rPr>
          <w:b/>
          <w:szCs w:val="24"/>
        </w:rPr>
      </w:pPr>
      <w:r w:rsidRPr="009262F6">
        <w:rPr>
          <w:b/>
          <w:szCs w:val="24"/>
        </w:rPr>
        <w:t>Summary of EPA Comments</w:t>
      </w:r>
    </w:p>
    <w:p w14:paraId="40F0016D" w14:textId="77777777" w:rsidR="009262F6" w:rsidRPr="009262F6" w:rsidRDefault="009262F6" w:rsidP="009262F6">
      <w:pPr>
        <w:rPr>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262F6" w:rsidRPr="009262F6" w14:paraId="145A4039" w14:textId="77777777" w:rsidTr="00547BE4">
        <w:tc>
          <w:tcPr>
            <w:tcW w:w="1980" w:type="dxa"/>
            <w:tcBorders>
              <w:top w:val="double" w:sz="4" w:space="0" w:color="auto"/>
              <w:left w:val="double" w:sz="4" w:space="0" w:color="auto"/>
            </w:tcBorders>
          </w:tcPr>
          <w:p w14:paraId="52737D13" w14:textId="77777777" w:rsidR="009262F6" w:rsidRPr="009262F6" w:rsidRDefault="009262F6" w:rsidP="009262F6">
            <w:pPr>
              <w:jc w:val="center"/>
              <w:rPr>
                <w:sz w:val="22"/>
                <w:szCs w:val="22"/>
              </w:rPr>
            </w:pPr>
            <w:r w:rsidRPr="009262F6">
              <w:rPr>
                <w:sz w:val="22"/>
                <w:szCs w:val="22"/>
              </w:rPr>
              <w:t>Permit Reference</w:t>
            </w:r>
          </w:p>
        </w:tc>
        <w:tc>
          <w:tcPr>
            <w:tcW w:w="3420" w:type="dxa"/>
            <w:tcBorders>
              <w:top w:val="double" w:sz="4" w:space="0" w:color="auto"/>
            </w:tcBorders>
          </w:tcPr>
          <w:p w14:paraId="339230DF" w14:textId="77777777" w:rsidR="009262F6" w:rsidRPr="009262F6" w:rsidRDefault="009262F6" w:rsidP="009262F6">
            <w:pPr>
              <w:jc w:val="center"/>
              <w:rPr>
                <w:sz w:val="22"/>
                <w:szCs w:val="22"/>
              </w:rPr>
            </w:pPr>
            <w:r w:rsidRPr="009262F6">
              <w:rPr>
                <w:sz w:val="22"/>
                <w:szCs w:val="22"/>
              </w:rPr>
              <w:t>EPA Comment</w:t>
            </w:r>
          </w:p>
        </w:tc>
        <w:tc>
          <w:tcPr>
            <w:tcW w:w="3330" w:type="dxa"/>
            <w:tcBorders>
              <w:top w:val="double" w:sz="4" w:space="0" w:color="auto"/>
              <w:right w:val="double" w:sz="4" w:space="0" w:color="auto"/>
            </w:tcBorders>
          </w:tcPr>
          <w:p w14:paraId="0A69B53B" w14:textId="77777777" w:rsidR="009262F6" w:rsidRPr="009262F6" w:rsidRDefault="009262F6" w:rsidP="009262F6">
            <w:pPr>
              <w:jc w:val="center"/>
              <w:rPr>
                <w:sz w:val="22"/>
                <w:szCs w:val="22"/>
              </w:rPr>
            </w:pPr>
            <w:r w:rsidRPr="009262F6">
              <w:rPr>
                <w:sz w:val="22"/>
                <w:szCs w:val="22"/>
              </w:rPr>
              <w:t>DEQ Response</w:t>
            </w:r>
          </w:p>
        </w:tc>
      </w:tr>
      <w:tr w:rsidR="000C5172" w:rsidRPr="009262F6" w14:paraId="536B2F91" w14:textId="77777777" w:rsidTr="000C5172">
        <w:tc>
          <w:tcPr>
            <w:tcW w:w="1980" w:type="dxa"/>
            <w:tcBorders>
              <w:top w:val="double" w:sz="4" w:space="0" w:color="auto"/>
              <w:left w:val="double" w:sz="4" w:space="0" w:color="auto"/>
              <w:bottom w:val="double" w:sz="4" w:space="0" w:color="auto"/>
            </w:tcBorders>
          </w:tcPr>
          <w:p w14:paraId="54A1D58F" w14:textId="77777777" w:rsidR="000C5172" w:rsidRPr="009262F6" w:rsidRDefault="000C5172" w:rsidP="009262F6">
            <w:pPr>
              <w:jc w:val="center"/>
              <w:rPr>
                <w:sz w:val="22"/>
                <w:szCs w:val="22"/>
              </w:rPr>
            </w:pPr>
          </w:p>
        </w:tc>
        <w:tc>
          <w:tcPr>
            <w:tcW w:w="3420" w:type="dxa"/>
            <w:tcBorders>
              <w:top w:val="double" w:sz="4" w:space="0" w:color="auto"/>
              <w:bottom w:val="double" w:sz="4" w:space="0" w:color="auto"/>
            </w:tcBorders>
          </w:tcPr>
          <w:p w14:paraId="5F8AC423" w14:textId="77777777" w:rsidR="000C5172" w:rsidRPr="009262F6" w:rsidRDefault="000C5172" w:rsidP="009262F6">
            <w:pPr>
              <w:jc w:val="center"/>
              <w:rPr>
                <w:sz w:val="22"/>
                <w:szCs w:val="22"/>
              </w:rPr>
            </w:pPr>
          </w:p>
        </w:tc>
        <w:tc>
          <w:tcPr>
            <w:tcW w:w="3330" w:type="dxa"/>
            <w:tcBorders>
              <w:top w:val="double" w:sz="4" w:space="0" w:color="auto"/>
              <w:bottom w:val="double" w:sz="4" w:space="0" w:color="auto"/>
              <w:right w:val="double" w:sz="4" w:space="0" w:color="auto"/>
            </w:tcBorders>
          </w:tcPr>
          <w:p w14:paraId="69934FD9" w14:textId="77777777" w:rsidR="000C5172" w:rsidRPr="009262F6" w:rsidRDefault="000C5172" w:rsidP="009262F6">
            <w:pPr>
              <w:jc w:val="center"/>
              <w:rPr>
                <w:sz w:val="22"/>
                <w:szCs w:val="22"/>
              </w:rPr>
            </w:pPr>
          </w:p>
        </w:tc>
      </w:tr>
    </w:tbl>
    <w:p w14:paraId="2FBD028E" w14:textId="77777777" w:rsidR="001C55BA" w:rsidRDefault="001C55BA" w:rsidP="00C7419B"/>
    <w:p w14:paraId="035A3CEE" w14:textId="77777777" w:rsidR="00547BE4" w:rsidRPr="00547BE4" w:rsidRDefault="00547BE4" w:rsidP="00547BE4">
      <w:pPr>
        <w:sectPr w:rsidR="00547BE4" w:rsidRPr="00547BE4" w:rsidSect="00547BE4">
          <w:pgSz w:w="12240" w:h="15840"/>
          <w:pgMar w:top="1152" w:right="1440" w:bottom="1008" w:left="1440" w:header="720" w:footer="432" w:gutter="0"/>
          <w:cols w:space="720"/>
          <w:docGrid w:linePitch="326"/>
        </w:sectPr>
      </w:pPr>
    </w:p>
    <w:p w14:paraId="09C5FC17" w14:textId="77777777" w:rsidR="00C7419B" w:rsidRPr="00C7419B" w:rsidRDefault="00C7419B" w:rsidP="00C7419B"/>
    <w:p w14:paraId="568754C2" w14:textId="13CFC51F" w:rsidR="002F5D7E" w:rsidRPr="00C7419B" w:rsidRDefault="00E133F9">
      <w:pPr>
        <w:pStyle w:val="Heading1"/>
        <w:rPr>
          <w:rFonts w:ascii="Garamond" w:hAnsi="Garamond"/>
          <w:sz w:val="24"/>
          <w:szCs w:val="24"/>
        </w:rPr>
      </w:pPr>
      <w:r w:rsidRPr="00C7419B">
        <w:rPr>
          <w:rFonts w:ascii="Garamond" w:hAnsi="Garamond"/>
          <w:sz w:val="24"/>
          <w:szCs w:val="24"/>
        </w:rPr>
        <w:t xml:space="preserve">  </w:t>
      </w:r>
      <w:bookmarkStart w:id="27" w:name="_Toc216098209"/>
      <w:r w:rsidR="002F5D7E" w:rsidRPr="00C7419B">
        <w:rPr>
          <w:rFonts w:ascii="Garamond" w:hAnsi="Garamond"/>
          <w:sz w:val="24"/>
          <w:szCs w:val="24"/>
        </w:rPr>
        <w:t>NON-APPLICABLE REQUIREMENT ANALYSIS</w:t>
      </w:r>
      <w:bookmarkEnd w:id="27"/>
    </w:p>
    <w:p w14:paraId="20CB8A18" w14:textId="77777777" w:rsidR="00E133F9" w:rsidRPr="00C7419B" w:rsidRDefault="00E133F9" w:rsidP="00E133F9">
      <w:pPr>
        <w:rPr>
          <w:szCs w:val="24"/>
        </w:rPr>
      </w:pPr>
    </w:p>
    <w:p w14:paraId="3B7D789C" w14:textId="2B1CD141" w:rsidR="007B5593" w:rsidRPr="00C7419B" w:rsidRDefault="00A7153E" w:rsidP="007B5593">
      <w:pPr>
        <w:rPr>
          <w:szCs w:val="24"/>
        </w:rPr>
      </w:pPr>
      <w:r>
        <w:rPr>
          <w:szCs w:val="24"/>
        </w:rPr>
        <w:t xml:space="preserve">Phillips 66 </w:t>
      </w:r>
      <w:r w:rsidR="00E36255">
        <w:rPr>
          <w:szCs w:val="24"/>
        </w:rPr>
        <w:t xml:space="preserve">provided </w:t>
      </w:r>
      <w:r w:rsidR="0025750A">
        <w:rPr>
          <w:szCs w:val="24"/>
        </w:rPr>
        <w:t xml:space="preserve">no additional non-applicable requirements with the application </w:t>
      </w:r>
      <w:r w:rsidR="00E36255">
        <w:rPr>
          <w:szCs w:val="24"/>
        </w:rPr>
        <w:t>for</w:t>
      </w:r>
      <w:r w:rsidR="0025750A">
        <w:rPr>
          <w:szCs w:val="24"/>
        </w:rPr>
        <w:t xml:space="preserve"> </w:t>
      </w:r>
      <w:r w:rsidR="00E36255">
        <w:rPr>
          <w:szCs w:val="24"/>
        </w:rPr>
        <w:t xml:space="preserve">modification of </w:t>
      </w:r>
      <w:r w:rsidR="0025750A">
        <w:rPr>
          <w:szCs w:val="24"/>
        </w:rPr>
        <w:t xml:space="preserve">Title V operating permit </w:t>
      </w:r>
      <w:r w:rsidR="00E36255">
        <w:rPr>
          <w:szCs w:val="24"/>
        </w:rPr>
        <w:t>#</w:t>
      </w:r>
      <w:r>
        <w:rPr>
          <w:szCs w:val="24"/>
        </w:rPr>
        <w:t>OP2619-</w:t>
      </w:r>
      <w:r w:rsidR="00E36255">
        <w:rPr>
          <w:szCs w:val="24"/>
        </w:rPr>
        <w:t>19</w:t>
      </w:r>
      <w:r>
        <w:rPr>
          <w:szCs w:val="24"/>
        </w:rPr>
        <w:t>. The listed non-applicable requirements</w:t>
      </w:r>
      <w:r w:rsidR="009E1A20">
        <w:rPr>
          <w:szCs w:val="24"/>
        </w:rPr>
        <w:t>,</w:t>
      </w:r>
      <w:r>
        <w:rPr>
          <w:szCs w:val="24"/>
        </w:rPr>
        <w:t xml:space="preserve"> with which </w:t>
      </w:r>
      <w:r w:rsidR="00F54677" w:rsidRPr="00C7419B">
        <w:rPr>
          <w:szCs w:val="24"/>
        </w:rPr>
        <w:t>DEQ</w:t>
      </w:r>
      <w:r w:rsidR="004933F8" w:rsidRPr="00C7419B">
        <w:rPr>
          <w:szCs w:val="24"/>
        </w:rPr>
        <w:t xml:space="preserve"> agreed</w:t>
      </w:r>
      <w:r w:rsidR="009E1A20">
        <w:rPr>
          <w:szCs w:val="24"/>
        </w:rPr>
        <w:t>,</w:t>
      </w:r>
      <w:r w:rsidR="004933F8" w:rsidRPr="00C7419B">
        <w:rPr>
          <w:szCs w:val="24"/>
        </w:rPr>
        <w:t xml:space="preserve"> are </w:t>
      </w:r>
      <w:r>
        <w:rPr>
          <w:szCs w:val="24"/>
        </w:rPr>
        <w:t>included</w:t>
      </w:r>
      <w:r w:rsidRPr="00C7419B">
        <w:rPr>
          <w:szCs w:val="24"/>
        </w:rPr>
        <w:t xml:space="preserve"> </w:t>
      </w:r>
      <w:r w:rsidR="004933F8" w:rsidRPr="00C7419B">
        <w:rPr>
          <w:szCs w:val="24"/>
        </w:rPr>
        <w:t>in Section IV – Non-applicable Requirements</w:t>
      </w:r>
      <w:r>
        <w:rPr>
          <w:szCs w:val="24"/>
        </w:rPr>
        <w:t>, of this operating permit</w:t>
      </w:r>
      <w:r w:rsidR="00CA1A45" w:rsidRPr="00C7419B">
        <w:rPr>
          <w:szCs w:val="24"/>
        </w:rPr>
        <w:t>.</w:t>
      </w:r>
      <w:r w:rsidR="004933F8" w:rsidRPr="00C7419B">
        <w:rPr>
          <w:szCs w:val="24"/>
        </w:rPr>
        <w:t xml:space="preserve">  The table </w:t>
      </w:r>
      <w:r w:rsidR="009E1A20">
        <w:rPr>
          <w:szCs w:val="24"/>
        </w:rPr>
        <w:t xml:space="preserve">in Section IV </w:t>
      </w:r>
      <w:r w:rsidR="004933F8" w:rsidRPr="00C7419B">
        <w:rPr>
          <w:szCs w:val="24"/>
        </w:rPr>
        <w:t>provides rule citation</w:t>
      </w:r>
      <w:r>
        <w:rPr>
          <w:szCs w:val="24"/>
        </w:rPr>
        <w:t>s</w:t>
      </w:r>
      <w:r w:rsidR="004933F8" w:rsidRPr="00C7419B">
        <w:rPr>
          <w:szCs w:val="24"/>
        </w:rPr>
        <w:t xml:space="preserve"> and explanation</w:t>
      </w:r>
      <w:r>
        <w:rPr>
          <w:szCs w:val="24"/>
        </w:rPr>
        <w:t>s</w:t>
      </w:r>
      <w:r w:rsidR="004933F8" w:rsidRPr="00C7419B">
        <w:rPr>
          <w:szCs w:val="24"/>
        </w:rPr>
        <w:t xml:space="preserve"> of the reason the </w:t>
      </w:r>
      <w:r>
        <w:rPr>
          <w:szCs w:val="24"/>
        </w:rPr>
        <w:t xml:space="preserve">affected </w:t>
      </w:r>
      <w:r w:rsidR="004933F8" w:rsidRPr="00C7419B">
        <w:rPr>
          <w:szCs w:val="24"/>
        </w:rPr>
        <w:t xml:space="preserve">rule is not applicable.  </w:t>
      </w:r>
      <w:r w:rsidR="00CA1A45" w:rsidRPr="00C7419B">
        <w:rPr>
          <w:szCs w:val="24"/>
        </w:rPr>
        <w:t xml:space="preserve"> </w:t>
      </w:r>
    </w:p>
    <w:p w14:paraId="5788D3DC" w14:textId="77777777" w:rsidR="002F5D7E" w:rsidRPr="00C7419B" w:rsidRDefault="002F5D7E"/>
    <w:p w14:paraId="37347AEF" w14:textId="77777777" w:rsidR="002F5D7E" w:rsidRPr="00C7419B" w:rsidRDefault="002F5D7E">
      <w:pPr>
        <w:pStyle w:val="Header"/>
        <w:tabs>
          <w:tab w:val="clear" w:pos="4320"/>
          <w:tab w:val="clear" w:pos="8640"/>
        </w:tabs>
        <w:rPr>
          <w:rFonts w:ascii="Garamond" w:hAnsi="Garamond"/>
        </w:rPr>
        <w:sectPr w:rsidR="002F5D7E" w:rsidRPr="00C7419B" w:rsidSect="00EB78AF">
          <w:pgSz w:w="12240" w:h="15840"/>
          <w:pgMar w:top="1152" w:right="1440" w:bottom="1008" w:left="1440" w:header="720" w:footer="720" w:gutter="0"/>
          <w:cols w:space="720"/>
        </w:sectPr>
      </w:pPr>
    </w:p>
    <w:p w14:paraId="735CFEC2" w14:textId="77777777" w:rsidR="002F5D7E" w:rsidRPr="00C7419B" w:rsidRDefault="002F5D7E" w:rsidP="00E133F9">
      <w:pPr>
        <w:pStyle w:val="Heading1"/>
        <w:rPr>
          <w:rFonts w:ascii="Garamond" w:hAnsi="Garamond"/>
          <w:sz w:val="24"/>
          <w:szCs w:val="24"/>
        </w:rPr>
      </w:pPr>
      <w:bookmarkStart w:id="28" w:name="_Toc216098210"/>
      <w:r w:rsidRPr="00C7419B">
        <w:rPr>
          <w:rFonts w:ascii="Garamond" w:hAnsi="Garamond"/>
          <w:sz w:val="24"/>
          <w:szCs w:val="24"/>
        </w:rPr>
        <w:lastRenderedPageBreak/>
        <w:t>FUTURE PERMIT CONSIDERATIONS</w:t>
      </w:r>
      <w:bookmarkEnd w:id="28"/>
    </w:p>
    <w:p w14:paraId="51A653CF" w14:textId="77777777" w:rsidR="002F5D7E" w:rsidRPr="00C7419B" w:rsidRDefault="002F5D7E" w:rsidP="00E133F9">
      <w:pPr>
        <w:rPr>
          <w:szCs w:val="24"/>
        </w:rPr>
      </w:pPr>
    </w:p>
    <w:p w14:paraId="74EA0570" w14:textId="074D7EB2" w:rsidR="002F5D7E" w:rsidRPr="00C7419B" w:rsidRDefault="002F5D7E" w:rsidP="00E133F9">
      <w:pPr>
        <w:pStyle w:val="Heading2"/>
        <w:numPr>
          <w:ilvl w:val="0"/>
          <w:numId w:val="23"/>
        </w:numPr>
        <w:spacing w:before="0" w:beforeAutospacing="0" w:after="0" w:afterAutospacing="0"/>
        <w:rPr>
          <w:rFonts w:ascii="Garamond" w:hAnsi="Garamond"/>
          <w:sz w:val="24"/>
          <w:szCs w:val="24"/>
        </w:rPr>
      </w:pPr>
      <w:bookmarkStart w:id="29" w:name="_Toc216098211"/>
      <w:r w:rsidRPr="00C7419B">
        <w:rPr>
          <w:rFonts w:ascii="Garamond" w:hAnsi="Garamond"/>
          <w:sz w:val="24"/>
          <w:szCs w:val="24"/>
        </w:rPr>
        <w:t>MACT Standards</w:t>
      </w:r>
      <w:r w:rsidR="004933F8" w:rsidRPr="00C7419B">
        <w:rPr>
          <w:rFonts w:ascii="Garamond" w:hAnsi="Garamond"/>
          <w:sz w:val="24"/>
          <w:szCs w:val="24"/>
        </w:rPr>
        <w:t xml:space="preserve"> (40 CFR Part 63)</w:t>
      </w:r>
      <w:bookmarkEnd w:id="29"/>
    </w:p>
    <w:p w14:paraId="50DF8057" w14:textId="77777777" w:rsidR="00CA1A45" w:rsidRPr="00C7419B" w:rsidRDefault="00CA1A45" w:rsidP="00E133F9">
      <w:pPr>
        <w:rPr>
          <w:szCs w:val="24"/>
        </w:rPr>
      </w:pPr>
    </w:p>
    <w:p w14:paraId="294B5DC0" w14:textId="2997C7AC" w:rsidR="00BC552A" w:rsidRPr="00C7419B" w:rsidRDefault="00EC5628" w:rsidP="00BC552A">
      <w:pPr>
        <w:pStyle w:val="Default"/>
        <w:rPr>
          <w:rFonts w:ascii="Garamond" w:hAnsi="Garamond"/>
          <w:color w:val="auto"/>
        </w:rPr>
      </w:pPr>
      <w:r w:rsidRPr="00C7419B">
        <w:rPr>
          <w:rFonts w:ascii="Garamond" w:hAnsi="Garamond"/>
          <w:color w:val="auto"/>
        </w:rPr>
        <w:t xml:space="preserve">EPA addressed </w:t>
      </w:r>
      <w:r w:rsidR="00100BB4" w:rsidRPr="00C7419B">
        <w:rPr>
          <w:rFonts w:ascii="Garamond" w:hAnsi="Garamond"/>
          <w:color w:val="auto"/>
        </w:rPr>
        <w:t>the final</w:t>
      </w:r>
      <w:r w:rsidRPr="00C7419B">
        <w:rPr>
          <w:rFonts w:ascii="Garamond" w:hAnsi="Garamond"/>
          <w:color w:val="auto"/>
        </w:rPr>
        <w:t xml:space="preserve"> decision regarding additional reconsiderations </w:t>
      </w:r>
      <w:r w:rsidR="005D63DA" w:rsidRPr="00C7419B">
        <w:rPr>
          <w:rFonts w:ascii="Garamond" w:hAnsi="Garamond"/>
          <w:color w:val="auto"/>
        </w:rPr>
        <w:t>of</w:t>
      </w:r>
      <w:r w:rsidRPr="00C7419B">
        <w:rPr>
          <w:rFonts w:ascii="Garamond" w:hAnsi="Garamond"/>
          <w:color w:val="auto"/>
        </w:rPr>
        <w:t xml:space="preserve"> the refinery sector rules </w:t>
      </w:r>
      <w:r w:rsidR="00595B3F" w:rsidRPr="00C7419B">
        <w:rPr>
          <w:rFonts w:ascii="Garamond" w:hAnsi="Garamond"/>
          <w:color w:val="auto"/>
        </w:rPr>
        <w:t xml:space="preserve">(MACT CC, UUU) </w:t>
      </w:r>
      <w:r w:rsidRPr="00C7419B">
        <w:rPr>
          <w:rFonts w:ascii="Garamond" w:hAnsi="Garamond"/>
          <w:color w:val="auto"/>
        </w:rPr>
        <w:t xml:space="preserve">on January 14, 2020.  The rule is considered final. </w:t>
      </w:r>
    </w:p>
    <w:p w14:paraId="19975BB2" w14:textId="77777777" w:rsidR="00CA1A45" w:rsidRPr="00C7419B" w:rsidRDefault="00CA1A45" w:rsidP="00BC552A">
      <w:pPr>
        <w:pStyle w:val="Default"/>
        <w:rPr>
          <w:rFonts w:ascii="Garamond" w:hAnsi="Garamond"/>
        </w:rPr>
      </w:pPr>
    </w:p>
    <w:p w14:paraId="5EA56D6A" w14:textId="7C70686E" w:rsidR="002F5D7E" w:rsidRPr="00C7419B" w:rsidRDefault="002F5D7E" w:rsidP="00E133F9">
      <w:pPr>
        <w:pStyle w:val="Heading2"/>
        <w:spacing w:before="0" w:beforeAutospacing="0" w:after="0" w:afterAutospacing="0"/>
        <w:rPr>
          <w:rFonts w:ascii="Garamond" w:hAnsi="Garamond"/>
          <w:sz w:val="24"/>
          <w:szCs w:val="24"/>
        </w:rPr>
      </w:pPr>
      <w:bookmarkStart w:id="30" w:name="_Toc216098212"/>
      <w:r w:rsidRPr="00C7419B">
        <w:rPr>
          <w:rFonts w:ascii="Garamond" w:hAnsi="Garamond"/>
          <w:sz w:val="24"/>
          <w:szCs w:val="24"/>
        </w:rPr>
        <w:t>NESHAP Standards</w:t>
      </w:r>
      <w:r w:rsidR="004933F8" w:rsidRPr="00C7419B">
        <w:rPr>
          <w:rFonts w:ascii="Garamond" w:hAnsi="Garamond"/>
          <w:sz w:val="24"/>
          <w:szCs w:val="24"/>
        </w:rPr>
        <w:t xml:space="preserve"> (40 CFR Part 61)</w:t>
      </w:r>
      <w:bookmarkEnd w:id="30"/>
    </w:p>
    <w:p w14:paraId="0B636CBA" w14:textId="77777777" w:rsidR="00CA1A45" w:rsidRPr="00C7419B" w:rsidRDefault="00CA1A45" w:rsidP="00E133F9">
      <w:pPr>
        <w:rPr>
          <w:szCs w:val="24"/>
        </w:rPr>
      </w:pPr>
    </w:p>
    <w:p w14:paraId="004EE0A9" w14:textId="4FA19230" w:rsidR="00CA1A45" w:rsidRPr="00C7419B" w:rsidRDefault="00F54677" w:rsidP="00E133F9">
      <w:pPr>
        <w:rPr>
          <w:szCs w:val="24"/>
        </w:rPr>
      </w:pPr>
      <w:r w:rsidRPr="00C7419B">
        <w:rPr>
          <w:szCs w:val="24"/>
        </w:rPr>
        <w:t>DEQ</w:t>
      </w:r>
      <w:r w:rsidR="00CA1A45" w:rsidRPr="00C7419B">
        <w:rPr>
          <w:szCs w:val="24"/>
        </w:rPr>
        <w:t xml:space="preserve"> is not aware of any proposed or pending NESHAP standards that may be applicable.</w:t>
      </w:r>
    </w:p>
    <w:p w14:paraId="6D0D52A3" w14:textId="77777777" w:rsidR="00CA1A45" w:rsidRPr="00C7419B" w:rsidRDefault="00CA1A45" w:rsidP="00E133F9">
      <w:pPr>
        <w:rPr>
          <w:szCs w:val="24"/>
        </w:rPr>
      </w:pPr>
    </w:p>
    <w:p w14:paraId="33282D9B" w14:textId="6B67DA1E" w:rsidR="002F5D7E" w:rsidRPr="00C7419B" w:rsidRDefault="002F5D7E" w:rsidP="00E133F9">
      <w:pPr>
        <w:pStyle w:val="Heading2"/>
        <w:spacing w:before="0" w:beforeAutospacing="0" w:after="0" w:afterAutospacing="0"/>
        <w:rPr>
          <w:rFonts w:ascii="Garamond" w:hAnsi="Garamond"/>
          <w:sz w:val="24"/>
          <w:szCs w:val="24"/>
        </w:rPr>
      </w:pPr>
      <w:bookmarkStart w:id="31" w:name="_Toc216098213"/>
      <w:r w:rsidRPr="00C7419B">
        <w:rPr>
          <w:rFonts w:ascii="Garamond" w:hAnsi="Garamond"/>
          <w:sz w:val="24"/>
          <w:szCs w:val="24"/>
        </w:rPr>
        <w:t>NSPS Standards</w:t>
      </w:r>
      <w:r w:rsidR="004933F8" w:rsidRPr="00C7419B">
        <w:rPr>
          <w:rFonts w:ascii="Garamond" w:hAnsi="Garamond"/>
          <w:sz w:val="24"/>
          <w:szCs w:val="24"/>
        </w:rPr>
        <w:t xml:space="preserve"> (40 CFR Part 60)</w:t>
      </w:r>
      <w:bookmarkEnd w:id="31"/>
    </w:p>
    <w:p w14:paraId="276A54DF" w14:textId="77777777" w:rsidR="00CA1A45" w:rsidRPr="00C7419B" w:rsidRDefault="00CA1A45" w:rsidP="00E133F9">
      <w:pPr>
        <w:rPr>
          <w:szCs w:val="24"/>
        </w:rPr>
      </w:pPr>
    </w:p>
    <w:p w14:paraId="7A16086A" w14:textId="6DE98DB7" w:rsidR="00EC5628" w:rsidRDefault="00EC5628" w:rsidP="00EC5628">
      <w:pPr>
        <w:pStyle w:val="Default"/>
        <w:rPr>
          <w:rFonts w:ascii="Garamond" w:hAnsi="Garamond"/>
          <w:color w:val="auto"/>
        </w:rPr>
      </w:pPr>
      <w:r w:rsidRPr="00C7419B">
        <w:rPr>
          <w:rFonts w:ascii="Garamond" w:hAnsi="Garamond"/>
          <w:color w:val="auto"/>
        </w:rPr>
        <w:t xml:space="preserve">NSPS J and Ja revisions were made as part of the refinery sector rulemaking.  EPA addressed final decision regarding additional reconsiderations regarding the refinery sector rules on January 14, 2020.  The rule is considered final. </w:t>
      </w:r>
    </w:p>
    <w:p w14:paraId="77E4C573" w14:textId="77777777" w:rsidR="0025750A" w:rsidRDefault="0025750A" w:rsidP="00EC5628">
      <w:pPr>
        <w:pStyle w:val="Default"/>
        <w:rPr>
          <w:rFonts w:ascii="Garamond" w:hAnsi="Garamond"/>
          <w:color w:val="auto"/>
        </w:rPr>
      </w:pPr>
    </w:p>
    <w:p w14:paraId="2BCFBAC3" w14:textId="77777777" w:rsidR="0025750A" w:rsidRPr="00C7419B" w:rsidRDefault="0025750A" w:rsidP="0025750A">
      <w:pPr>
        <w:pStyle w:val="Heading2"/>
        <w:spacing w:before="0" w:beforeAutospacing="0" w:after="0" w:afterAutospacing="0"/>
        <w:rPr>
          <w:rFonts w:ascii="Garamond" w:hAnsi="Garamond"/>
          <w:sz w:val="24"/>
          <w:szCs w:val="24"/>
        </w:rPr>
      </w:pPr>
      <w:bookmarkStart w:id="32" w:name="_Toc216098214"/>
      <w:r w:rsidRPr="00C7419B">
        <w:rPr>
          <w:rFonts w:ascii="Garamond" w:hAnsi="Garamond"/>
          <w:sz w:val="24"/>
          <w:szCs w:val="24"/>
        </w:rPr>
        <w:t>Risk Management Plan (40 CFR Part 68)</w:t>
      </w:r>
      <w:bookmarkEnd w:id="32"/>
    </w:p>
    <w:p w14:paraId="5B3C9132" w14:textId="77777777" w:rsidR="0025750A" w:rsidRPr="00C7419B" w:rsidRDefault="0025750A" w:rsidP="0025750A">
      <w:pPr>
        <w:rPr>
          <w:szCs w:val="24"/>
        </w:rPr>
      </w:pPr>
    </w:p>
    <w:p w14:paraId="08ECEE48" w14:textId="638F3A8C" w:rsidR="0025750A" w:rsidRPr="00C7419B" w:rsidRDefault="0025750A" w:rsidP="0025750A">
      <w:pPr>
        <w:rPr>
          <w:szCs w:val="24"/>
        </w:rPr>
      </w:pPr>
      <w:r>
        <w:rPr>
          <w:szCs w:val="24"/>
        </w:rPr>
        <w:t>Phillips 66 is subject to this requirement and maintains a Risk Management Plan, pursuant to 40 CFR 68.</w:t>
      </w:r>
    </w:p>
    <w:p w14:paraId="047E06D2" w14:textId="77777777" w:rsidR="0025750A" w:rsidRPr="00C7419B" w:rsidRDefault="0025750A" w:rsidP="0025750A">
      <w:pPr>
        <w:rPr>
          <w:szCs w:val="24"/>
        </w:rPr>
      </w:pPr>
    </w:p>
    <w:p w14:paraId="71D85568" w14:textId="77777777" w:rsidR="0025750A" w:rsidRPr="00C7419B" w:rsidRDefault="0025750A" w:rsidP="0025750A">
      <w:pPr>
        <w:pStyle w:val="Heading2"/>
        <w:spacing w:before="0" w:beforeAutospacing="0" w:after="0" w:afterAutospacing="0"/>
        <w:rPr>
          <w:rFonts w:ascii="Garamond" w:hAnsi="Garamond"/>
          <w:sz w:val="24"/>
          <w:szCs w:val="24"/>
        </w:rPr>
      </w:pPr>
      <w:bookmarkStart w:id="33" w:name="_Toc216098215"/>
      <w:r w:rsidRPr="00C7419B">
        <w:rPr>
          <w:rFonts w:ascii="Garamond" w:hAnsi="Garamond"/>
          <w:sz w:val="24"/>
          <w:szCs w:val="24"/>
        </w:rPr>
        <w:t>CAM Applicability</w:t>
      </w:r>
      <w:bookmarkEnd w:id="33"/>
    </w:p>
    <w:p w14:paraId="13517165" w14:textId="77777777" w:rsidR="0025750A" w:rsidRPr="00C7419B" w:rsidRDefault="0025750A" w:rsidP="0025750A">
      <w:pPr>
        <w:rPr>
          <w:color w:val="000000"/>
          <w:szCs w:val="24"/>
        </w:rPr>
      </w:pPr>
    </w:p>
    <w:p w14:paraId="3677F0F4" w14:textId="77777777" w:rsidR="0025750A" w:rsidRPr="00C7419B" w:rsidRDefault="0025750A" w:rsidP="0025750A">
      <w:pPr>
        <w:rPr>
          <w:color w:val="000000"/>
          <w:szCs w:val="24"/>
        </w:rPr>
      </w:pPr>
      <w:r w:rsidRPr="00C7419B">
        <w:rPr>
          <w:color w:val="000000"/>
          <w:szCs w:val="24"/>
        </w:rPr>
        <w:t xml:space="preserve">An emitting unit located at a Title V facility that meets the following criteria listed in ARM 17.8.1503 is subject to Subchapter 15 and must develop a CAM Plan for that unit: </w:t>
      </w:r>
    </w:p>
    <w:p w14:paraId="3263A280" w14:textId="77777777" w:rsidR="0025750A" w:rsidRPr="00C7419B" w:rsidRDefault="0025750A" w:rsidP="0025750A">
      <w:pPr>
        <w:rPr>
          <w:color w:val="000000"/>
          <w:szCs w:val="24"/>
        </w:rPr>
      </w:pPr>
    </w:p>
    <w:p w14:paraId="335DC485" w14:textId="77777777" w:rsidR="0025750A" w:rsidRPr="00C7419B" w:rsidRDefault="0025750A" w:rsidP="0025750A">
      <w:pPr>
        <w:numPr>
          <w:ilvl w:val="0"/>
          <w:numId w:val="24"/>
        </w:numPr>
        <w:tabs>
          <w:tab w:val="clear" w:pos="1440"/>
        </w:tabs>
        <w:autoSpaceDE w:val="0"/>
        <w:autoSpaceDN w:val="0"/>
        <w:adjustRightInd w:val="0"/>
        <w:ind w:left="360"/>
        <w:rPr>
          <w:color w:val="000000"/>
          <w:szCs w:val="24"/>
        </w:rPr>
      </w:pPr>
      <w:r w:rsidRPr="00C7419B">
        <w:rPr>
          <w:color w:val="000000"/>
          <w:szCs w:val="24"/>
        </w:rPr>
        <w:t>The emitting unit is subject to an emission limitation or standard for the applicable regulated air pollutant (unless the limitation or standard that is exempt under ARM 17.8.1503(2)</w:t>
      </w:r>
      <w:proofErr w:type="gramStart"/>
      <w:r w:rsidRPr="00C7419B">
        <w:rPr>
          <w:color w:val="000000"/>
          <w:szCs w:val="24"/>
        </w:rPr>
        <w:t>);</w:t>
      </w:r>
      <w:proofErr w:type="gramEnd"/>
    </w:p>
    <w:p w14:paraId="2F48E8C0" w14:textId="77777777" w:rsidR="0025750A" w:rsidRPr="00C7419B" w:rsidRDefault="0025750A" w:rsidP="0025750A">
      <w:pPr>
        <w:autoSpaceDE w:val="0"/>
        <w:autoSpaceDN w:val="0"/>
        <w:adjustRightInd w:val="0"/>
        <w:ind w:left="360"/>
        <w:rPr>
          <w:color w:val="000000"/>
          <w:szCs w:val="24"/>
        </w:rPr>
      </w:pPr>
      <w:r w:rsidRPr="00C7419B">
        <w:rPr>
          <w:color w:val="000000"/>
          <w:szCs w:val="24"/>
        </w:rPr>
        <w:t xml:space="preserve"> </w:t>
      </w:r>
    </w:p>
    <w:p w14:paraId="1B15DDB3" w14:textId="77777777" w:rsidR="0025750A" w:rsidRPr="00C7419B" w:rsidRDefault="0025750A" w:rsidP="0025750A">
      <w:pPr>
        <w:numPr>
          <w:ilvl w:val="0"/>
          <w:numId w:val="24"/>
        </w:numPr>
        <w:tabs>
          <w:tab w:val="clear" w:pos="1440"/>
        </w:tabs>
        <w:autoSpaceDE w:val="0"/>
        <w:autoSpaceDN w:val="0"/>
        <w:adjustRightInd w:val="0"/>
        <w:ind w:left="360"/>
        <w:rPr>
          <w:color w:val="000000"/>
          <w:szCs w:val="24"/>
        </w:rPr>
      </w:pPr>
      <w:r w:rsidRPr="00C7419B">
        <w:rPr>
          <w:color w:val="000000"/>
          <w:szCs w:val="24"/>
        </w:rPr>
        <w:t xml:space="preserve">The emitting unit uses a control device to achieve compliance with such limit; and </w:t>
      </w:r>
    </w:p>
    <w:p w14:paraId="30E6EE99" w14:textId="77777777" w:rsidR="0025750A" w:rsidRPr="00C7419B" w:rsidRDefault="0025750A" w:rsidP="0025750A">
      <w:pPr>
        <w:autoSpaceDE w:val="0"/>
        <w:autoSpaceDN w:val="0"/>
        <w:adjustRightInd w:val="0"/>
        <w:ind w:left="360"/>
        <w:rPr>
          <w:color w:val="000000"/>
          <w:szCs w:val="24"/>
        </w:rPr>
      </w:pPr>
    </w:p>
    <w:p w14:paraId="265C43DE" w14:textId="77777777" w:rsidR="0025750A" w:rsidRPr="00C7419B" w:rsidRDefault="0025750A" w:rsidP="0025750A">
      <w:pPr>
        <w:pStyle w:val="Default"/>
        <w:numPr>
          <w:ilvl w:val="0"/>
          <w:numId w:val="24"/>
        </w:numPr>
        <w:tabs>
          <w:tab w:val="clear" w:pos="1440"/>
        </w:tabs>
        <w:ind w:left="360"/>
        <w:rPr>
          <w:rFonts w:ascii="Garamond" w:hAnsi="Garamond"/>
        </w:rPr>
      </w:pPr>
      <w:r w:rsidRPr="00C7419B">
        <w:rPr>
          <w:rFonts w:ascii="Garamond" w:hAnsi="Garamond"/>
        </w:rPr>
        <w:t>The emitting unit has potential pre-control device emission of the applicable regulated air pollutant that is greater than major source thresholds.</w:t>
      </w:r>
    </w:p>
    <w:p w14:paraId="3CA45EC9" w14:textId="77777777" w:rsidR="0025750A" w:rsidRPr="00C7419B" w:rsidRDefault="0025750A" w:rsidP="0025750A">
      <w:pPr>
        <w:rPr>
          <w:szCs w:val="24"/>
        </w:rPr>
      </w:pPr>
    </w:p>
    <w:p w14:paraId="08D51545" w14:textId="77777777" w:rsidR="0025750A" w:rsidRPr="00C7419B" w:rsidRDefault="0025750A" w:rsidP="0025750A">
      <w:pPr>
        <w:rPr>
          <w:color w:val="000000"/>
          <w:szCs w:val="24"/>
        </w:rPr>
      </w:pPr>
      <w:r>
        <w:rPr>
          <w:szCs w:val="24"/>
        </w:rPr>
        <w:t xml:space="preserve">The </w:t>
      </w:r>
      <w:r w:rsidRPr="00C7419B">
        <w:rPr>
          <w:szCs w:val="24"/>
        </w:rPr>
        <w:t>Jupiter Sulfur Plant</w:t>
      </w:r>
      <w:r w:rsidRPr="00245E3D">
        <w:rPr>
          <w:szCs w:val="24"/>
        </w:rPr>
        <w:t xml:space="preserve"> </w:t>
      </w:r>
      <w:r>
        <w:rPr>
          <w:szCs w:val="24"/>
        </w:rPr>
        <w:t>(</w:t>
      </w:r>
      <w:r w:rsidRPr="00C7419B">
        <w:rPr>
          <w:szCs w:val="24"/>
        </w:rPr>
        <w:t>EU007)</w:t>
      </w:r>
      <w:r>
        <w:rPr>
          <w:szCs w:val="24"/>
        </w:rPr>
        <w:t xml:space="preserve"> </w:t>
      </w:r>
      <w:r w:rsidRPr="00C7419B">
        <w:rPr>
          <w:szCs w:val="24"/>
        </w:rPr>
        <w:t xml:space="preserve">meets the </w:t>
      </w:r>
      <w:r>
        <w:rPr>
          <w:szCs w:val="24"/>
        </w:rPr>
        <w:t xml:space="preserve">CAM </w:t>
      </w:r>
      <w:r w:rsidRPr="00C7419B">
        <w:rPr>
          <w:szCs w:val="24"/>
        </w:rPr>
        <w:t xml:space="preserve">applicability criteria </w:t>
      </w:r>
      <w:r>
        <w:rPr>
          <w:szCs w:val="24"/>
        </w:rPr>
        <w:t>of</w:t>
      </w:r>
      <w:r w:rsidRPr="00C7419B">
        <w:rPr>
          <w:szCs w:val="24"/>
        </w:rPr>
        <w:t xml:space="preserve"> ARM </w:t>
      </w:r>
      <w:proofErr w:type="gramStart"/>
      <w:r w:rsidRPr="00C7419B">
        <w:rPr>
          <w:szCs w:val="24"/>
        </w:rPr>
        <w:t>17.8.1503:.</w:t>
      </w:r>
      <w:proofErr w:type="gramEnd"/>
      <w:r w:rsidRPr="00C7419B">
        <w:rPr>
          <w:szCs w:val="24"/>
        </w:rPr>
        <w:t xml:space="preserve">  The SRU/ATS unit is required to meet PM</w:t>
      </w:r>
      <w:r w:rsidRPr="00C7419B">
        <w:rPr>
          <w:szCs w:val="24"/>
          <w:vertAlign w:val="subscript"/>
        </w:rPr>
        <w:t>10</w:t>
      </w:r>
      <w:r w:rsidRPr="00C7419B">
        <w:rPr>
          <w:szCs w:val="24"/>
        </w:rPr>
        <w:t xml:space="preserve"> emission limitations.  Filters on the SRU and ATS are used for </w:t>
      </w:r>
      <w:r>
        <w:rPr>
          <w:szCs w:val="24"/>
        </w:rPr>
        <w:t>PM</w:t>
      </w:r>
      <w:r w:rsidRPr="00245E3D">
        <w:rPr>
          <w:szCs w:val="24"/>
          <w:vertAlign w:val="subscript"/>
        </w:rPr>
        <w:t>2.5</w:t>
      </w:r>
      <w:r>
        <w:rPr>
          <w:szCs w:val="24"/>
        </w:rPr>
        <w:t xml:space="preserve"> and </w:t>
      </w:r>
      <w:r w:rsidRPr="00C7419B">
        <w:rPr>
          <w:szCs w:val="24"/>
        </w:rPr>
        <w:t>PM</w:t>
      </w:r>
      <w:r w:rsidRPr="00C7419B">
        <w:rPr>
          <w:szCs w:val="24"/>
          <w:vertAlign w:val="subscript"/>
        </w:rPr>
        <w:t>10</w:t>
      </w:r>
      <w:r w:rsidRPr="00C7419B">
        <w:rPr>
          <w:szCs w:val="24"/>
        </w:rPr>
        <w:t xml:space="preserve"> control.  Phillips 66 proposes to use pressure drop across the filters as the on-going method of assuring compliance.  The CAM plan for EU007 can be found in Appendix F</w:t>
      </w:r>
      <w:r>
        <w:rPr>
          <w:szCs w:val="24"/>
        </w:rPr>
        <w:t xml:space="preserve"> to this operating permit</w:t>
      </w:r>
      <w:r w:rsidRPr="00C7419B">
        <w:rPr>
          <w:szCs w:val="24"/>
        </w:rPr>
        <w:t xml:space="preserve">. </w:t>
      </w:r>
    </w:p>
    <w:p w14:paraId="786062EF" w14:textId="77777777" w:rsidR="00EC5628" w:rsidRPr="00C7419B" w:rsidRDefault="00EC5628" w:rsidP="00E133F9">
      <w:pPr>
        <w:rPr>
          <w:szCs w:val="24"/>
        </w:rPr>
      </w:pPr>
    </w:p>
    <w:p w14:paraId="4BE4C12F" w14:textId="77777777" w:rsidR="00CA1A45" w:rsidRPr="00C7419B" w:rsidRDefault="00CA1A45" w:rsidP="00EC5628">
      <w:pPr>
        <w:pStyle w:val="Heading2"/>
        <w:spacing w:before="0" w:beforeAutospacing="0" w:after="0" w:afterAutospacing="0"/>
        <w:rPr>
          <w:rFonts w:ascii="Garamond" w:hAnsi="Garamond"/>
          <w:sz w:val="24"/>
          <w:szCs w:val="24"/>
        </w:rPr>
      </w:pPr>
      <w:bookmarkStart w:id="34" w:name="_Toc192299280"/>
      <w:bookmarkStart w:id="35" w:name="_Toc192300934"/>
      <w:bookmarkStart w:id="36" w:name="_Toc192404735"/>
      <w:bookmarkStart w:id="37" w:name="_Toc216098216"/>
      <w:r w:rsidRPr="00C7419B">
        <w:rPr>
          <w:rFonts w:ascii="Garamond" w:hAnsi="Garamond"/>
          <w:sz w:val="24"/>
          <w:szCs w:val="24"/>
        </w:rPr>
        <w:t>Alternate Operating Scenario</w:t>
      </w:r>
      <w:bookmarkEnd w:id="34"/>
      <w:bookmarkEnd w:id="35"/>
      <w:bookmarkEnd w:id="36"/>
      <w:bookmarkEnd w:id="37"/>
    </w:p>
    <w:p w14:paraId="21D40523" w14:textId="77777777" w:rsidR="00CA1A45" w:rsidRPr="00C7419B" w:rsidRDefault="00CA1A45" w:rsidP="00595B3F">
      <w:pPr>
        <w:keepNext/>
        <w:rPr>
          <w:szCs w:val="24"/>
        </w:rPr>
      </w:pPr>
    </w:p>
    <w:p w14:paraId="5DD5DA1E" w14:textId="77777777" w:rsidR="00CA1A45" w:rsidRPr="00C7419B" w:rsidRDefault="00CA1A45" w:rsidP="00595B3F">
      <w:pPr>
        <w:keepNext/>
        <w:rPr>
          <w:szCs w:val="24"/>
        </w:rPr>
      </w:pPr>
      <w:r w:rsidRPr="00C7419B">
        <w:rPr>
          <w:szCs w:val="24"/>
        </w:rPr>
        <w:t>In accordance with the Consent Decree between Phillips 66 and the EPA (Civil Action H-01-4430, as amended and entered on August 2, 2003), Phillips 66 submitted Gas Oil Hydrotreater (GOH) outage plans for the Billings Refinery to minimize emissions of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during GOH outages from the FCC Unit.</w:t>
      </w:r>
    </w:p>
    <w:p w14:paraId="701D98E5" w14:textId="77777777" w:rsidR="00CA1A45" w:rsidRPr="00C7419B" w:rsidRDefault="00CA1A45" w:rsidP="00CA1A45">
      <w:pPr>
        <w:rPr>
          <w:szCs w:val="24"/>
        </w:rPr>
      </w:pPr>
    </w:p>
    <w:p w14:paraId="3A7F8DE4" w14:textId="77777777" w:rsidR="00CA1A45" w:rsidRPr="00C7419B" w:rsidRDefault="00CA1A45" w:rsidP="00CA1A45">
      <w:pPr>
        <w:rPr>
          <w:szCs w:val="24"/>
        </w:rPr>
      </w:pPr>
      <w:r w:rsidRPr="00C7419B">
        <w:rPr>
          <w:szCs w:val="24"/>
        </w:rPr>
        <w:lastRenderedPageBreak/>
        <w:t>Appendix G of the Title V permit contains the Gas Oil Hydrotreater Outage Plan, Revision 5.1, dated March 15, 2006.  This plan is incorporated into the Title V operating permit as an alternate operating scenario.</w:t>
      </w:r>
    </w:p>
    <w:p w14:paraId="4A7331AE" w14:textId="77777777" w:rsidR="00CA1A45" w:rsidRPr="00C7419B" w:rsidRDefault="00CA1A45" w:rsidP="00E133F9">
      <w:pPr>
        <w:rPr>
          <w:color w:val="000000"/>
          <w:szCs w:val="24"/>
        </w:rPr>
      </w:pPr>
    </w:p>
    <w:p w14:paraId="4045AF7C" w14:textId="77777777" w:rsidR="002F5D7E" w:rsidRPr="00C7419B" w:rsidRDefault="002F5D7E" w:rsidP="00CF049B">
      <w:pPr>
        <w:pStyle w:val="Heading2"/>
        <w:spacing w:before="0" w:beforeAutospacing="0" w:after="0" w:afterAutospacing="0"/>
        <w:rPr>
          <w:rFonts w:ascii="Garamond" w:hAnsi="Garamond"/>
          <w:sz w:val="24"/>
          <w:szCs w:val="24"/>
        </w:rPr>
      </w:pPr>
      <w:bookmarkStart w:id="38" w:name="_Toc277676895"/>
      <w:bookmarkStart w:id="39" w:name="_Toc278272488"/>
      <w:bookmarkStart w:id="40" w:name="_Toc216098217"/>
      <w:r w:rsidRPr="00C7419B">
        <w:rPr>
          <w:rFonts w:ascii="Garamond" w:hAnsi="Garamond"/>
          <w:sz w:val="24"/>
          <w:szCs w:val="24"/>
        </w:rPr>
        <w:t>PSD and Title V Greenhouse Gas Tailoring Rule</w:t>
      </w:r>
      <w:bookmarkEnd w:id="38"/>
      <w:bookmarkEnd w:id="39"/>
      <w:bookmarkEnd w:id="40"/>
    </w:p>
    <w:p w14:paraId="4C6A08A1" w14:textId="77777777" w:rsidR="002F5D7E" w:rsidRPr="00C7419B" w:rsidRDefault="002F5D7E" w:rsidP="00CF049B">
      <w:pPr>
        <w:rPr>
          <w:szCs w:val="24"/>
        </w:rPr>
      </w:pPr>
    </w:p>
    <w:p w14:paraId="1AD9E780" w14:textId="77777777" w:rsidR="002F5D7E" w:rsidRPr="00C7419B" w:rsidRDefault="002F5D7E" w:rsidP="005E449A">
      <w:pPr>
        <w:rPr>
          <w:szCs w:val="24"/>
        </w:rPr>
      </w:pPr>
      <w:r w:rsidRPr="00C7419B">
        <w:rPr>
          <w:szCs w:val="24"/>
        </w:rPr>
        <w:t>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w:t>
      </w:r>
    </w:p>
    <w:p w14:paraId="3492D944" w14:textId="77777777" w:rsidR="002F5D7E" w:rsidRPr="00C7419B" w:rsidRDefault="002F5D7E" w:rsidP="00E133F9">
      <w:pPr>
        <w:rPr>
          <w:szCs w:val="24"/>
        </w:rPr>
      </w:pPr>
    </w:p>
    <w:p w14:paraId="00A5CF49" w14:textId="77777777" w:rsidR="002F5D7E" w:rsidRPr="00C7419B" w:rsidRDefault="002F5D7E" w:rsidP="005E449A">
      <w:pPr>
        <w:rPr>
          <w:szCs w:val="24"/>
        </w:rPr>
      </w:pPr>
      <w:r w:rsidRPr="00C7419B">
        <w:rPr>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C7419B">
        <w:rPr>
          <w:szCs w:val="24"/>
          <w:vertAlign w:val="subscript"/>
        </w:rPr>
        <w:t>2</w:t>
      </w:r>
      <w:r w:rsidRPr="00C7419B">
        <w:rPr>
          <w:szCs w:val="24"/>
        </w:rPr>
        <w:t>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w:t>
      </w:r>
    </w:p>
    <w:p w14:paraId="740DE53B" w14:textId="77777777" w:rsidR="002F5D7E" w:rsidRPr="00C7419B" w:rsidRDefault="002F5D7E" w:rsidP="00E133F9">
      <w:pPr>
        <w:rPr>
          <w:szCs w:val="24"/>
        </w:rPr>
      </w:pPr>
    </w:p>
    <w:p w14:paraId="541FEDBD" w14:textId="77777777" w:rsidR="002F5D7E" w:rsidRPr="00C7419B" w:rsidRDefault="002F5D7E" w:rsidP="005E449A">
      <w:pPr>
        <w:rPr>
          <w:szCs w:val="24"/>
        </w:rPr>
      </w:pPr>
      <w:r w:rsidRPr="00C7419B">
        <w:rPr>
          <w:szCs w:val="24"/>
        </w:rPr>
        <w:t>Starting on July 1, 2011, PSD permitting requirements would be triggered for modifications that were determined to be major under PSD based on GHG emissions alone, even if no other pollutant triggered a major modification.</w:t>
      </w:r>
      <w:r w:rsidR="00DE5C4F" w:rsidRPr="00C7419B">
        <w:rPr>
          <w:szCs w:val="24"/>
        </w:rPr>
        <w:t xml:space="preserve"> </w:t>
      </w:r>
      <w:r w:rsidR="00E95136" w:rsidRPr="00C7419B">
        <w:rPr>
          <w:szCs w:val="24"/>
        </w:rPr>
        <w:t xml:space="preserve"> </w:t>
      </w:r>
      <w:r w:rsidRPr="00C7419B">
        <w:rPr>
          <w:szCs w:val="24"/>
        </w:rPr>
        <w:t>In addition, sources that are not considered PSD major sources based on criteria pollutant emissions would become subject to PSD review if their facility-wide potential emissions equaled or exceeded 100,000 TPY of CO</w:t>
      </w:r>
      <w:r w:rsidRPr="00C7419B">
        <w:rPr>
          <w:szCs w:val="24"/>
          <w:vertAlign w:val="subscript"/>
        </w:rPr>
        <w:t>2</w:t>
      </w:r>
      <w:r w:rsidRPr="00C7419B">
        <w:rPr>
          <w:szCs w:val="24"/>
        </w:rPr>
        <w:t>e and 100 or 250 TPY of GHG on a mass basis depending on their listed status in ARM 17.8.801(22) and they undertook a permitting action with increases of 75,000 TPY or more of CO</w:t>
      </w:r>
      <w:r w:rsidRPr="00C7419B">
        <w:rPr>
          <w:szCs w:val="24"/>
          <w:vertAlign w:val="subscript"/>
        </w:rPr>
        <w:t>2</w:t>
      </w:r>
      <w:r w:rsidRPr="00C7419B">
        <w:rPr>
          <w:szCs w:val="24"/>
        </w:rPr>
        <w:t xml:space="preserve">e and greater than 0 TPY of GHG on a mass basis. </w:t>
      </w:r>
      <w:r w:rsidR="00745D11" w:rsidRPr="00C7419B">
        <w:rPr>
          <w:szCs w:val="24"/>
        </w:rPr>
        <w:t xml:space="preserve"> </w:t>
      </w:r>
      <w:r w:rsidRPr="00C7419B">
        <w:rPr>
          <w:szCs w:val="24"/>
        </w:rPr>
        <w:t>With respect to Title V, sources not currently holding a Title V permit that have potential facility-wide emissions equal to or exceeding 100,000 TPY of CO</w:t>
      </w:r>
      <w:r w:rsidRPr="00C7419B">
        <w:rPr>
          <w:szCs w:val="24"/>
          <w:vertAlign w:val="subscript"/>
        </w:rPr>
        <w:t>2</w:t>
      </w:r>
      <w:r w:rsidRPr="00C7419B">
        <w:rPr>
          <w:szCs w:val="24"/>
        </w:rPr>
        <w:t>e and 100 TPY of GHG on a mass basis would be required to obtain a Title V Operating Permit.</w:t>
      </w:r>
    </w:p>
    <w:p w14:paraId="67F040DA" w14:textId="77777777" w:rsidR="002F5D7E" w:rsidRPr="00C7419B" w:rsidRDefault="002F5D7E" w:rsidP="00E133F9">
      <w:pPr>
        <w:rPr>
          <w:szCs w:val="24"/>
        </w:rPr>
      </w:pPr>
    </w:p>
    <w:p w14:paraId="06F4D932" w14:textId="77777777" w:rsidR="002F5D7E" w:rsidRPr="00C7419B" w:rsidRDefault="002F5D7E" w:rsidP="005E449A">
      <w:pPr>
        <w:pStyle w:val="Default"/>
        <w:rPr>
          <w:rFonts w:ascii="Garamond" w:hAnsi="Garamond"/>
        </w:rPr>
      </w:pPr>
      <w:r w:rsidRPr="00C7419B">
        <w:rPr>
          <w:rFonts w:ascii="Garamond" w:hAnsi="Garamond"/>
        </w:rPr>
        <w:t xml:space="preserve">Based on information provided by </w:t>
      </w:r>
      <w:r w:rsidR="00CA1A45" w:rsidRPr="00C7419B">
        <w:rPr>
          <w:rFonts w:ascii="Garamond" w:hAnsi="Garamond"/>
        </w:rPr>
        <w:t>Phillips 66</w:t>
      </w:r>
      <w:r w:rsidRPr="00C7419B">
        <w:rPr>
          <w:rFonts w:ascii="Garamond" w:hAnsi="Garamond"/>
        </w:rPr>
        <w:t xml:space="preserve">, </w:t>
      </w:r>
      <w:r w:rsidR="00CA1A45" w:rsidRPr="00C7419B">
        <w:rPr>
          <w:rFonts w:ascii="Garamond" w:hAnsi="Garamond"/>
        </w:rPr>
        <w:t>the Billings Refinery</w:t>
      </w:r>
      <w:r w:rsidRPr="00C7419B">
        <w:rPr>
          <w:rFonts w:ascii="Garamond" w:hAnsi="Garamond"/>
        </w:rPr>
        <w:t xml:space="preserve"> potential emissions </w:t>
      </w:r>
      <w:r w:rsidR="00CA1A45" w:rsidRPr="00C7419B">
        <w:rPr>
          <w:rFonts w:ascii="Garamond" w:hAnsi="Garamond"/>
        </w:rPr>
        <w:t>exceed</w:t>
      </w:r>
      <w:r w:rsidRPr="00C7419B">
        <w:rPr>
          <w:rFonts w:ascii="Garamond" w:hAnsi="Garamond"/>
        </w:rPr>
        <w:t xml:space="preserve"> the GHG major source threshold of 100,000 TPY of CO</w:t>
      </w:r>
      <w:r w:rsidRPr="00C7419B">
        <w:rPr>
          <w:rFonts w:ascii="Garamond" w:hAnsi="Garamond"/>
          <w:vertAlign w:val="subscript"/>
        </w:rPr>
        <w:t>2</w:t>
      </w:r>
      <w:r w:rsidRPr="00C7419B">
        <w:rPr>
          <w:rFonts w:ascii="Garamond" w:hAnsi="Garamond"/>
        </w:rPr>
        <w:t xml:space="preserve">e for both Title V and PSD under the Tailoring Rule.  </w:t>
      </w:r>
      <w:r w:rsidR="00CA1A45" w:rsidRPr="00C7419B">
        <w:rPr>
          <w:rFonts w:ascii="Garamond" w:hAnsi="Garamond"/>
        </w:rPr>
        <w:t>Therefore, Phillips 66 may be subject to GHG permitting requirements in the future.</w:t>
      </w:r>
    </w:p>
    <w:p w14:paraId="7A3CF926" w14:textId="77777777" w:rsidR="00E95136" w:rsidRPr="00C7419B" w:rsidRDefault="00E95136" w:rsidP="005E449A">
      <w:pPr>
        <w:pStyle w:val="Default"/>
        <w:rPr>
          <w:rFonts w:ascii="Garamond" w:hAnsi="Garamond"/>
        </w:rPr>
      </w:pPr>
    </w:p>
    <w:p w14:paraId="102F2A88" w14:textId="77777777" w:rsidR="002F5D7E" w:rsidRPr="00C7419B" w:rsidRDefault="00F82CFD" w:rsidP="00E133F9">
      <w:pPr>
        <w:rPr>
          <w:szCs w:val="24"/>
        </w:rPr>
      </w:pPr>
      <w:r w:rsidRPr="00C7419B">
        <w:rPr>
          <w:szCs w:val="24"/>
        </w:rPr>
        <w:t xml:space="preserve">The Supreme Court of the United States (SCOTUS), in its </w:t>
      </w:r>
      <w:r w:rsidRPr="00C7419B">
        <w:rPr>
          <w:i/>
          <w:iCs/>
          <w:szCs w:val="24"/>
        </w:rPr>
        <w:t>Utility Air Regulatory Group v. EPA</w:t>
      </w:r>
      <w:r w:rsidRPr="00C7419B">
        <w:rPr>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C7419B">
        <w:rPr>
          <w:szCs w:val="24"/>
          <w:vertAlign w:val="subscript"/>
        </w:rPr>
        <w:t>2</w:t>
      </w:r>
      <w:r w:rsidRPr="00C7419B">
        <w:rPr>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w:t>
      </w:r>
      <w:r w:rsidRPr="00C7419B">
        <w:rPr>
          <w:szCs w:val="24"/>
        </w:rPr>
        <w:lastRenderedPageBreak/>
        <w:t xml:space="preserve">PSD permitting due to pollutant emissions other than </w:t>
      </w:r>
      <w:r w:rsidR="000708C5" w:rsidRPr="00C7419B">
        <w:rPr>
          <w:szCs w:val="24"/>
        </w:rPr>
        <w:t>GHG</w:t>
      </w:r>
      <w:r w:rsidRPr="00C7419B">
        <w:rPr>
          <w:szCs w:val="24"/>
        </w:rPr>
        <w:t xml:space="preserve"> may still be required to comply with BACT for GHG emissions.</w:t>
      </w:r>
    </w:p>
    <w:p w14:paraId="7C7F6377" w14:textId="77777777" w:rsidR="00CA1A45" w:rsidRPr="00C7419B" w:rsidRDefault="00CA1A45" w:rsidP="00E133F9">
      <w:pPr>
        <w:rPr>
          <w:szCs w:val="24"/>
        </w:rPr>
      </w:pPr>
    </w:p>
    <w:p w14:paraId="3E17D80C" w14:textId="290A8736" w:rsidR="008722CF" w:rsidRPr="00C7419B" w:rsidRDefault="008722CF" w:rsidP="00E133F9">
      <w:pPr>
        <w:pStyle w:val="Heading2"/>
        <w:spacing w:before="0" w:beforeAutospacing="0" w:after="0" w:afterAutospacing="0"/>
        <w:rPr>
          <w:rFonts w:ascii="Garamond" w:hAnsi="Garamond"/>
          <w:sz w:val="24"/>
          <w:szCs w:val="24"/>
        </w:rPr>
      </w:pPr>
      <w:bookmarkStart w:id="41" w:name="_Toc216098218"/>
      <w:r w:rsidRPr="00C7419B">
        <w:rPr>
          <w:rFonts w:ascii="Garamond" w:hAnsi="Garamond"/>
          <w:sz w:val="24"/>
          <w:szCs w:val="24"/>
        </w:rPr>
        <w:t>Consent Decree</w:t>
      </w:r>
      <w:r w:rsidR="00EB5A4A">
        <w:rPr>
          <w:rFonts w:ascii="Garamond" w:hAnsi="Garamond"/>
          <w:sz w:val="24"/>
          <w:szCs w:val="24"/>
        </w:rPr>
        <w:t>s</w:t>
      </w:r>
      <w:bookmarkEnd w:id="41"/>
    </w:p>
    <w:p w14:paraId="33C81C1A" w14:textId="77777777" w:rsidR="008722CF" w:rsidRPr="00C7419B" w:rsidRDefault="008722CF" w:rsidP="009C7DA1">
      <w:pPr>
        <w:rPr>
          <w:szCs w:val="24"/>
        </w:rPr>
      </w:pPr>
    </w:p>
    <w:p w14:paraId="024C72F1" w14:textId="77777777" w:rsidR="00AE39C5" w:rsidRDefault="005B2DF3" w:rsidP="009C7DA1">
      <w:pPr>
        <w:rPr>
          <w:szCs w:val="24"/>
        </w:rPr>
      </w:pPr>
      <w:r>
        <w:rPr>
          <w:szCs w:val="24"/>
        </w:rPr>
        <w:t>On</w:t>
      </w:r>
      <w:r w:rsidRPr="00910BCC">
        <w:rPr>
          <w:szCs w:val="24"/>
        </w:rPr>
        <w:t xml:space="preserve"> June 12, 1998</w:t>
      </w:r>
      <w:r>
        <w:rPr>
          <w:szCs w:val="24"/>
        </w:rPr>
        <w:t>, the</w:t>
      </w:r>
      <w:r w:rsidRPr="00910BCC">
        <w:rPr>
          <w:szCs w:val="24"/>
        </w:rPr>
        <w:t xml:space="preserve"> </w:t>
      </w:r>
      <w:r>
        <w:rPr>
          <w:szCs w:val="24"/>
        </w:rPr>
        <w:t xml:space="preserve">Montana </w:t>
      </w:r>
      <w:r w:rsidRPr="00910BCC">
        <w:rPr>
          <w:szCs w:val="24"/>
        </w:rPr>
        <w:t>Board</w:t>
      </w:r>
      <w:r>
        <w:rPr>
          <w:szCs w:val="24"/>
        </w:rPr>
        <w:t xml:space="preserve"> of Environmental Review (Board)</w:t>
      </w:r>
      <w:r w:rsidRPr="00910BCC">
        <w:rPr>
          <w:szCs w:val="24"/>
        </w:rPr>
        <w:t xml:space="preserve"> </w:t>
      </w:r>
      <w:r>
        <w:rPr>
          <w:szCs w:val="24"/>
        </w:rPr>
        <w:t xml:space="preserve">issued an </w:t>
      </w:r>
      <w:r w:rsidRPr="00910BCC">
        <w:rPr>
          <w:szCs w:val="24"/>
        </w:rPr>
        <w:t xml:space="preserve">Order </w:t>
      </w:r>
      <w:r>
        <w:rPr>
          <w:szCs w:val="24"/>
        </w:rPr>
        <w:t>a</w:t>
      </w:r>
      <w:r w:rsidRPr="00910BCC">
        <w:rPr>
          <w:szCs w:val="24"/>
        </w:rPr>
        <w:t>dopting an SO</w:t>
      </w:r>
      <w:r w:rsidRPr="00910BCC">
        <w:rPr>
          <w:szCs w:val="24"/>
          <w:vertAlign w:val="subscript"/>
        </w:rPr>
        <w:t>2</w:t>
      </w:r>
      <w:r w:rsidRPr="00910BCC">
        <w:rPr>
          <w:szCs w:val="24"/>
        </w:rPr>
        <w:t xml:space="preserve"> Control Plan </w:t>
      </w:r>
      <w:r>
        <w:rPr>
          <w:szCs w:val="24"/>
        </w:rPr>
        <w:t xml:space="preserve">for the Phillips 66 </w:t>
      </w:r>
      <w:r w:rsidR="00B30BA4">
        <w:rPr>
          <w:szCs w:val="24"/>
        </w:rPr>
        <w:t xml:space="preserve">- </w:t>
      </w:r>
      <w:r>
        <w:rPr>
          <w:szCs w:val="24"/>
        </w:rPr>
        <w:t>Billings Refinery</w:t>
      </w:r>
      <w:r w:rsidRPr="00910BCC">
        <w:rPr>
          <w:szCs w:val="24"/>
        </w:rPr>
        <w:t xml:space="preserve">. </w:t>
      </w:r>
      <w:r w:rsidR="008722CF" w:rsidRPr="00C7419B">
        <w:rPr>
          <w:szCs w:val="24"/>
        </w:rPr>
        <w:t>On October 6, 2016, a joint motion</w:t>
      </w:r>
      <w:r>
        <w:rPr>
          <w:szCs w:val="24"/>
        </w:rPr>
        <w:t xml:space="preserve"> between </w:t>
      </w:r>
      <w:r w:rsidR="0078776D" w:rsidRPr="00C61A19">
        <w:rPr>
          <w:szCs w:val="24"/>
        </w:rPr>
        <w:t>The United States Environmental Protection Agency (EPA)</w:t>
      </w:r>
      <w:r w:rsidR="00C44A59" w:rsidRPr="00C61A19">
        <w:rPr>
          <w:szCs w:val="24"/>
        </w:rPr>
        <w:t>, the state of Montana,</w:t>
      </w:r>
      <w:r w:rsidRPr="00C61A19">
        <w:rPr>
          <w:szCs w:val="24"/>
        </w:rPr>
        <w:t xml:space="preserve"> and </w:t>
      </w:r>
      <w:r w:rsidR="0078776D">
        <w:rPr>
          <w:szCs w:val="24"/>
        </w:rPr>
        <w:t>Phillips 66 – Billings Refinery (then Conoco Incorporated)</w:t>
      </w:r>
      <w:r>
        <w:rPr>
          <w:szCs w:val="24"/>
        </w:rPr>
        <w:t xml:space="preserve"> was filed</w:t>
      </w:r>
      <w:r w:rsidR="008722CF" w:rsidRPr="00C7419B">
        <w:rPr>
          <w:szCs w:val="24"/>
        </w:rPr>
        <w:t xml:space="preserve"> to terminate</w:t>
      </w:r>
      <w:r w:rsidR="0078776D">
        <w:rPr>
          <w:szCs w:val="24"/>
        </w:rPr>
        <w:t>, in part,</w:t>
      </w:r>
      <w:r w:rsidR="008722CF" w:rsidRPr="00C7419B">
        <w:rPr>
          <w:szCs w:val="24"/>
        </w:rPr>
        <w:t xml:space="preserve"> the </w:t>
      </w:r>
      <w:r>
        <w:rPr>
          <w:szCs w:val="24"/>
        </w:rPr>
        <w:t xml:space="preserve">1998 </w:t>
      </w:r>
      <w:r w:rsidR="008722CF" w:rsidRPr="00C7419B">
        <w:rPr>
          <w:szCs w:val="24"/>
        </w:rPr>
        <w:t xml:space="preserve">consent decree for the Phillips 66 </w:t>
      </w:r>
      <w:r>
        <w:rPr>
          <w:szCs w:val="24"/>
        </w:rPr>
        <w:t xml:space="preserve">- </w:t>
      </w:r>
      <w:r w:rsidR="008722CF" w:rsidRPr="00C7419B">
        <w:rPr>
          <w:szCs w:val="24"/>
        </w:rPr>
        <w:t>Billings Refinery</w:t>
      </w:r>
      <w:r>
        <w:rPr>
          <w:szCs w:val="24"/>
        </w:rPr>
        <w:t xml:space="preserve">. </w:t>
      </w:r>
    </w:p>
    <w:p w14:paraId="273945B3" w14:textId="77777777" w:rsidR="00AE39C5" w:rsidRDefault="00AE39C5" w:rsidP="009C7DA1">
      <w:pPr>
        <w:rPr>
          <w:szCs w:val="24"/>
        </w:rPr>
      </w:pPr>
    </w:p>
    <w:p w14:paraId="1EEADFD3" w14:textId="48CC49BB" w:rsidR="008722CF" w:rsidRPr="00C7419B" w:rsidRDefault="00AE39C5" w:rsidP="009C7DA1">
      <w:pPr>
        <w:rPr>
          <w:szCs w:val="24"/>
        </w:rPr>
      </w:pPr>
      <w:r>
        <w:rPr>
          <w:szCs w:val="24"/>
        </w:rPr>
        <w:t>On October 16, 2016, t</w:t>
      </w:r>
      <w:r w:rsidR="005B2DF3">
        <w:rPr>
          <w:szCs w:val="24"/>
        </w:rPr>
        <w:t>he motion</w:t>
      </w:r>
      <w:r w:rsidR="008722CF" w:rsidRPr="00C7419B">
        <w:rPr>
          <w:szCs w:val="24"/>
        </w:rPr>
        <w:t xml:space="preserve"> was granted</w:t>
      </w:r>
      <w:r w:rsidR="005B2DF3">
        <w:rPr>
          <w:szCs w:val="24"/>
        </w:rPr>
        <w:t xml:space="preserve"> and the 1998 consent decree was </w:t>
      </w:r>
      <w:r w:rsidR="0078776D">
        <w:rPr>
          <w:szCs w:val="24"/>
        </w:rPr>
        <w:t xml:space="preserve">partially </w:t>
      </w:r>
      <w:r w:rsidR="005B2DF3">
        <w:rPr>
          <w:szCs w:val="24"/>
        </w:rPr>
        <w:t>terminated</w:t>
      </w:r>
      <w:r w:rsidR="00416F1C">
        <w:rPr>
          <w:szCs w:val="24"/>
        </w:rPr>
        <w:t xml:space="preserve"> under </w:t>
      </w:r>
      <w:r>
        <w:rPr>
          <w:szCs w:val="24"/>
        </w:rPr>
        <w:t>Civil Action No. 4:01-CV-4430,</w:t>
      </w:r>
      <w:r w:rsidR="005B2DF3">
        <w:rPr>
          <w:szCs w:val="24"/>
        </w:rPr>
        <w:t xml:space="preserve"> because t</w:t>
      </w:r>
      <w:r w:rsidR="005B2DF3" w:rsidRPr="00C7419B">
        <w:rPr>
          <w:szCs w:val="24"/>
        </w:rPr>
        <w:t xml:space="preserve">he </w:t>
      </w:r>
      <w:r w:rsidR="008722CF" w:rsidRPr="00C7419B">
        <w:rPr>
          <w:szCs w:val="24"/>
        </w:rPr>
        <w:t xml:space="preserve">conditions of the consent decree </w:t>
      </w:r>
      <w:r w:rsidR="005B2DF3">
        <w:rPr>
          <w:szCs w:val="24"/>
        </w:rPr>
        <w:t>had been made federally enforceable through</w:t>
      </w:r>
      <w:r w:rsidR="009C7DA1" w:rsidRPr="00C7419B">
        <w:rPr>
          <w:szCs w:val="24"/>
        </w:rPr>
        <w:t xml:space="preserve"> incorporation into </w:t>
      </w:r>
      <w:r w:rsidR="00B30BA4">
        <w:rPr>
          <w:szCs w:val="24"/>
        </w:rPr>
        <w:t xml:space="preserve">the </w:t>
      </w:r>
      <w:r w:rsidR="005B2DF3">
        <w:rPr>
          <w:szCs w:val="24"/>
        </w:rPr>
        <w:t>Phillips 6</w:t>
      </w:r>
      <w:r w:rsidR="00B30BA4">
        <w:rPr>
          <w:szCs w:val="24"/>
        </w:rPr>
        <w:t>6 – Billings Refinery</w:t>
      </w:r>
      <w:r w:rsidR="005B2DF3">
        <w:rPr>
          <w:szCs w:val="24"/>
        </w:rPr>
        <w:t xml:space="preserve"> </w:t>
      </w:r>
      <w:r w:rsidR="008722CF" w:rsidRPr="00C7419B">
        <w:rPr>
          <w:szCs w:val="24"/>
        </w:rPr>
        <w:t>MAQP</w:t>
      </w:r>
      <w:r w:rsidR="00B30BA4">
        <w:rPr>
          <w:szCs w:val="24"/>
        </w:rPr>
        <w:t xml:space="preserve"> and Title V operating permit</w:t>
      </w:r>
      <w:r w:rsidR="0078776D">
        <w:rPr>
          <w:szCs w:val="24"/>
        </w:rPr>
        <w:t>s</w:t>
      </w:r>
      <w:r w:rsidR="008722CF" w:rsidRPr="00C7419B">
        <w:rPr>
          <w:szCs w:val="24"/>
        </w:rPr>
        <w:t xml:space="preserve">.  </w:t>
      </w:r>
    </w:p>
    <w:p w14:paraId="46FF2D63" w14:textId="4D218B99" w:rsidR="001A3F75" w:rsidRPr="00C7419B" w:rsidRDefault="001A3F75" w:rsidP="009C7DA1">
      <w:pPr>
        <w:rPr>
          <w:szCs w:val="24"/>
        </w:rPr>
      </w:pPr>
    </w:p>
    <w:p w14:paraId="1AF53A49" w14:textId="3784BB32" w:rsidR="001A3F75" w:rsidRDefault="001A3F75" w:rsidP="009C7DA1">
      <w:pPr>
        <w:rPr>
          <w:szCs w:val="24"/>
        </w:rPr>
      </w:pPr>
      <w:r w:rsidRPr="00C7419B">
        <w:rPr>
          <w:szCs w:val="24"/>
        </w:rPr>
        <w:t xml:space="preserve">On April 8, 2019, </w:t>
      </w:r>
      <w:r w:rsidR="0078776D">
        <w:rPr>
          <w:szCs w:val="24"/>
        </w:rPr>
        <w:t xml:space="preserve">EPA issued a </w:t>
      </w:r>
      <w:r w:rsidRPr="00C7419B">
        <w:rPr>
          <w:szCs w:val="24"/>
        </w:rPr>
        <w:t xml:space="preserve">final order regarding a new consent decree, Docket No. CAA-08-2019-0008.  The </w:t>
      </w:r>
      <w:r w:rsidR="0078776D">
        <w:rPr>
          <w:szCs w:val="24"/>
        </w:rPr>
        <w:t xml:space="preserve">2019 </w:t>
      </w:r>
      <w:r w:rsidRPr="00C7419B">
        <w:rPr>
          <w:szCs w:val="24"/>
        </w:rPr>
        <w:t xml:space="preserve">consent decree required Phillips 66 to </w:t>
      </w:r>
      <w:r w:rsidR="0078776D">
        <w:rPr>
          <w:szCs w:val="24"/>
        </w:rPr>
        <w:t>incorporate</w:t>
      </w:r>
      <w:r w:rsidR="0078776D" w:rsidRPr="00C7419B">
        <w:rPr>
          <w:szCs w:val="24"/>
        </w:rPr>
        <w:t xml:space="preserve"> </w:t>
      </w:r>
      <w:r w:rsidRPr="00C7419B">
        <w:rPr>
          <w:szCs w:val="24"/>
        </w:rPr>
        <w:t>certain terms and conditions of the consent decree in the</w:t>
      </w:r>
      <w:r w:rsidR="0078776D">
        <w:rPr>
          <w:szCs w:val="24"/>
        </w:rPr>
        <w:t>ir</w:t>
      </w:r>
      <w:r w:rsidRPr="00C7419B">
        <w:rPr>
          <w:szCs w:val="24"/>
        </w:rPr>
        <w:t xml:space="preserve"> Title V Operating Permit</w:t>
      </w:r>
      <w:r w:rsidR="0078776D">
        <w:rPr>
          <w:szCs w:val="24"/>
        </w:rPr>
        <w:t xml:space="preserve"> to ensure federal enforceability</w:t>
      </w:r>
      <w:r w:rsidRPr="00C7419B">
        <w:rPr>
          <w:szCs w:val="24"/>
        </w:rPr>
        <w:t xml:space="preserve">.  OP2619-16 incorporated </w:t>
      </w:r>
      <w:r w:rsidR="00416F1C" w:rsidRPr="00C7419B">
        <w:rPr>
          <w:szCs w:val="24"/>
        </w:rPr>
        <w:t>th</w:t>
      </w:r>
      <w:r w:rsidR="00416F1C">
        <w:rPr>
          <w:szCs w:val="24"/>
        </w:rPr>
        <w:t>ose</w:t>
      </w:r>
      <w:r w:rsidR="00416F1C" w:rsidRPr="00C7419B">
        <w:rPr>
          <w:szCs w:val="24"/>
        </w:rPr>
        <w:t xml:space="preserve"> </w:t>
      </w:r>
      <w:r w:rsidRPr="00C7419B">
        <w:rPr>
          <w:szCs w:val="24"/>
        </w:rPr>
        <w:t>conditions</w:t>
      </w:r>
      <w:r w:rsidR="00416F1C">
        <w:rPr>
          <w:szCs w:val="24"/>
        </w:rPr>
        <w:t>.</w:t>
      </w:r>
    </w:p>
    <w:p w14:paraId="03443E98" w14:textId="77777777" w:rsidR="00416F1C" w:rsidRDefault="00416F1C" w:rsidP="009C7DA1">
      <w:pPr>
        <w:rPr>
          <w:szCs w:val="24"/>
        </w:rPr>
      </w:pPr>
    </w:p>
    <w:p w14:paraId="59658464" w14:textId="7AED1AB2" w:rsidR="00416F1C" w:rsidRDefault="00416F1C" w:rsidP="009C7DA1">
      <w:pPr>
        <w:rPr>
          <w:szCs w:val="24"/>
        </w:rPr>
      </w:pPr>
      <w:r>
        <w:rPr>
          <w:szCs w:val="24"/>
        </w:rPr>
        <w:t xml:space="preserve">On August 27, 2021, Phillips 66 submitted a Statement of Completion pursuant to paragraphs 91 and 92 of the </w:t>
      </w:r>
      <w:r w:rsidR="00AE39C5">
        <w:rPr>
          <w:szCs w:val="24"/>
        </w:rPr>
        <w:t>above-named</w:t>
      </w:r>
      <w:r>
        <w:rPr>
          <w:szCs w:val="24"/>
        </w:rPr>
        <w:t xml:space="preserve"> consent decree, Docket No. CAA-08-2019-008. The EPA determined that Phillips 66 had satisfied the requirements listed in paragraph 91 of the Agreement and provided Phillips 66 with a Certification of Termination pursuant to paragraph 93 of the Agreement.</w:t>
      </w:r>
    </w:p>
    <w:p w14:paraId="10B51E1E" w14:textId="77777777" w:rsidR="00AE39C5" w:rsidRDefault="00AE39C5" w:rsidP="009C7DA1">
      <w:pPr>
        <w:rPr>
          <w:szCs w:val="24"/>
        </w:rPr>
      </w:pPr>
    </w:p>
    <w:p w14:paraId="6BD2F675" w14:textId="31D7BC85" w:rsidR="00AE39C5" w:rsidRPr="00C7419B" w:rsidRDefault="00AE39C5" w:rsidP="009C7DA1">
      <w:pPr>
        <w:rPr>
          <w:szCs w:val="24"/>
        </w:rPr>
      </w:pPr>
      <w:r w:rsidRPr="00C7419B">
        <w:rPr>
          <w:szCs w:val="24"/>
        </w:rPr>
        <w:t>The permit analysis of MAQP</w:t>
      </w:r>
      <w:r>
        <w:rPr>
          <w:szCs w:val="24"/>
        </w:rPr>
        <w:t xml:space="preserve"> #2619-45</w:t>
      </w:r>
      <w:r w:rsidRPr="00C7419B">
        <w:rPr>
          <w:szCs w:val="24"/>
        </w:rPr>
        <w:t xml:space="preserve"> provides a table listing th</w:t>
      </w:r>
      <w:r>
        <w:rPr>
          <w:szCs w:val="24"/>
        </w:rPr>
        <w:t>ese</w:t>
      </w:r>
      <w:r w:rsidRPr="00C7419B">
        <w:rPr>
          <w:szCs w:val="24"/>
        </w:rPr>
        <w:t xml:space="preserve"> conditions.</w:t>
      </w:r>
    </w:p>
    <w:p w14:paraId="339954FB" w14:textId="77777777" w:rsidR="008722CF" w:rsidRPr="00C7419B" w:rsidRDefault="008722CF" w:rsidP="009C7DA1">
      <w:pPr>
        <w:rPr>
          <w:szCs w:val="24"/>
        </w:rPr>
      </w:pPr>
    </w:p>
    <w:p w14:paraId="1C5DE4EC" w14:textId="77777777" w:rsidR="00CA1A45" w:rsidRPr="00C7419B" w:rsidRDefault="00CA1A45" w:rsidP="00E133F9">
      <w:pPr>
        <w:pStyle w:val="Heading2"/>
        <w:spacing w:before="0" w:beforeAutospacing="0" w:after="0" w:afterAutospacing="0"/>
        <w:rPr>
          <w:rFonts w:ascii="Garamond" w:hAnsi="Garamond"/>
          <w:sz w:val="24"/>
          <w:szCs w:val="24"/>
        </w:rPr>
      </w:pPr>
      <w:bookmarkStart w:id="42" w:name="_Toc216098219"/>
      <w:r w:rsidRPr="00C7419B">
        <w:rPr>
          <w:rFonts w:ascii="Garamond" w:hAnsi="Garamond"/>
          <w:sz w:val="24"/>
          <w:szCs w:val="24"/>
        </w:rPr>
        <w:t>Other Considerations</w:t>
      </w:r>
      <w:bookmarkEnd w:id="42"/>
    </w:p>
    <w:p w14:paraId="5923ED00" w14:textId="77777777" w:rsidR="00CA1A45" w:rsidRPr="00C7419B" w:rsidRDefault="00CA1A45" w:rsidP="00E133F9">
      <w:pPr>
        <w:rPr>
          <w:szCs w:val="24"/>
        </w:rPr>
      </w:pPr>
    </w:p>
    <w:p w14:paraId="52480CD7" w14:textId="0FCA07B6" w:rsidR="00CA1A45" w:rsidRPr="00C7419B" w:rsidRDefault="00F54677" w:rsidP="00E133F9">
      <w:pPr>
        <w:rPr>
          <w:szCs w:val="24"/>
        </w:rPr>
      </w:pPr>
      <w:r w:rsidRPr="00C7419B">
        <w:rPr>
          <w:szCs w:val="24"/>
        </w:rPr>
        <w:t>DEQ</w:t>
      </w:r>
      <w:r w:rsidR="00CA1A45" w:rsidRPr="00C7419B">
        <w:rPr>
          <w:szCs w:val="24"/>
        </w:rPr>
        <w:t xml:space="preserve"> has reviewed the refinery (OP2619) and the bulk marketing terminal (OP4056) and has determined that</w:t>
      </w:r>
      <w:r w:rsidR="00E04E9F">
        <w:rPr>
          <w:szCs w:val="24"/>
        </w:rPr>
        <w:t>,</w:t>
      </w:r>
      <w:r w:rsidR="00CA1A45" w:rsidRPr="00C7419B">
        <w:rPr>
          <w:szCs w:val="24"/>
        </w:rPr>
        <w:t xml:space="preserve"> for the purposes of MACT and New Source Review permitting, these facilities are one source.  The refinery and the bulk marketing terminal are contiguous and adjacent, under common ownership and control and the terminal is a support facility to the refinery.  Because the facilities meet these criteria, they meet the definition of </w:t>
      </w:r>
      <w:r w:rsidR="00E04E9F">
        <w:rPr>
          <w:szCs w:val="24"/>
        </w:rPr>
        <w:t xml:space="preserve">a single </w:t>
      </w:r>
      <w:r w:rsidR="00CA1A45" w:rsidRPr="00C7419B">
        <w:rPr>
          <w:szCs w:val="24"/>
        </w:rPr>
        <w:t xml:space="preserve">source and </w:t>
      </w:r>
      <w:r w:rsidR="00E04E9F">
        <w:rPr>
          <w:szCs w:val="24"/>
        </w:rPr>
        <w:t>thus are</w:t>
      </w:r>
      <w:r w:rsidR="00CA1A45" w:rsidRPr="00C7419B">
        <w:rPr>
          <w:szCs w:val="24"/>
        </w:rPr>
        <w:t xml:space="preserve"> considered one source under the requirements of ARM 17.8.749 and ARM 17.8.801(7).  The emissions from both facilities will need to be considered when either facility makes a change.</w:t>
      </w:r>
    </w:p>
    <w:p w14:paraId="312166E7" w14:textId="77777777" w:rsidR="00CA1A45" w:rsidRPr="00C7419B" w:rsidRDefault="00CA1A45" w:rsidP="00E133F9">
      <w:pPr>
        <w:rPr>
          <w:szCs w:val="24"/>
        </w:rPr>
      </w:pPr>
    </w:p>
    <w:sectPr w:rsidR="00CA1A45" w:rsidRPr="00C7419B" w:rsidSect="00800276">
      <w:pgSz w:w="12240" w:h="15840"/>
      <w:pgMar w:top="1152" w:right="1440" w:bottom="1008"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BF74" w14:textId="77777777" w:rsidR="00AE33C0" w:rsidRDefault="00AE33C0">
      <w:r>
        <w:separator/>
      </w:r>
    </w:p>
  </w:endnote>
  <w:endnote w:type="continuationSeparator" w:id="0">
    <w:p w14:paraId="0EAA85F2" w14:textId="77777777" w:rsidR="00AE33C0" w:rsidRDefault="00AE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0EC2" w14:textId="092B4D90" w:rsidR="006A3B1C" w:rsidRDefault="006A3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1D7">
      <w:rPr>
        <w:rStyle w:val="PageNumber"/>
        <w:noProof/>
      </w:rPr>
      <w:t>5</w:t>
    </w:r>
    <w:r>
      <w:rPr>
        <w:rStyle w:val="PageNumber"/>
      </w:rPr>
      <w:fldChar w:fldCharType="end"/>
    </w:r>
  </w:p>
  <w:p w14:paraId="460FCC5E" w14:textId="77777777" w:rsidR="006A3B1C" w:rsidRDefault="006A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039" w14:textId="22BC8968" w:rsidR="00C7419B" w:rsidRPr="000C5172" w:rsidRDefault="00AE33C0" w:rsidP="00C7419B">
    <w:pPr>
      <w:tabs>
        <w:tab w:val="left" w:pos="420"/>
        <w:tab w:val="center" w:pos="4320"/>
        <w:tab w:val="center" w:pos="4680"/>
        <w:tab w:val="right" w:pos="9360"/>
      </w:tabs>
      <w:rPr>
        <w:noProof/>
        <w:sz w:val="18"/>
        <w:szCs w:val="18"/>
      </w:rPr>
    </w:pPr>
    <w:sdt>
      <w:sdtPr>
        <w:rPr>
          <w:sz w:val="18"/>
          <w:szCs w:val="18"/>
        </w:rPr>
        <w:id w:val="1897386440"/>
        <w:docPartObj>
          <w:docPartGallery w:val="Page Numbers (Bottom of Page)"/>
          <w:docPartUnique/>
        </w:docPartObj>
      </w:sdtPr>
      <w:sdtEndPr>
        <w:rPr>
          <w:noProof/>
        </w:rPr>
      </w:sdtEndPr>
      <w:sdtContent>
        <w:r w:rsidR="00C7419B" w:rsidRPr="000C5172">
          <w:rPr>
            <w:sz w:val="18"/>
            <w:szCs w:val="18"/>
          </w:rPr>
          <w:t>TRD2619-</w:t>
        </w:r>
        <w:r w:rsidR="00460DAC" w:rsidRPr="000C5172">
          <w:rPr>
            <w:sz w:val="18"/>
            <w:szCs w:val="18"/>
          </w:rPr>
          <w:t>20</w:t>
        </w:r>
        <w:r w:rsidR="00C7419B" w:rsidRPr="000C5172">
          <w:rPr>
            <w:sz w:val="18"/>
            <w:szCs w:val="18"/>
          </w:rPr>
          <w:tab/>
        </w:r>
        <w:r w:rsidR="00C7419B" w:rsidRPr="000C5172">
          <w:rPr>
            <w:sz w:val="18"/>
            <w:szCs w:val="18"/>
          </w:rPr>
          <w:tab/>
        </w:r>
        <w:r w:rsidR="00C7419B" w:rsidRPr="000C5172">
          <w:rPr>
            <w:sz w:val="18"/>
            <w:szCs w:val="18"/>
          </w:rPr>
          <w:fldChar w:fldCharType="begin"/>
        </w:r>
        <w:r w:rsidR="00C7419B" w:rsidRPr="000C5172">
          <w:rPr>
            <w:sz w:val="18"/>
            <w:szCs w:val="18"/>
          </w:rPr>
          <w:instrText xml:space="preserve"> PAGE   \* MERGEFORMAT </w:instrText>
        </w:r>
        <w:r w:rsidR="00C7419B" w:rsidRPr="000C5172">
          <w:rPr>
            <w:sz w:val="18"/>
            <w:szCs w:val="18"/>
          </w:rPr>
          <w:fldChar w:fldCharType="separate"/>
        </w:r>
        <w:r w:rsidR="00C7419B" w:rsidRPr="000C5172">
          <w:rPr>
            <w:sz w:val="18"/>
            <w:szCs w:val="18"/>
          </w:rPr>
          <w:t>1</w:t>
        </w:r>
        <w:r w:rsidR="00C7419B" w:rsidRPr="000C5172">
          <w:rPr>
            <w:noProof/>
            <w:sz w:val="18"/>
            <w:szCs w:val="18"/>
          </w:rPr>
          <w:fldChar w:fldCharType="end"/>
        </w:r>
      </w:sdtContent>
    </w:sdt>
    <w:r w:rsidR="00C7419B" w:rsidRPr="000C5172">
      <w:rPr>
        <w:noProof/>
        <w:sz w:val="18"/>
        <w:szCs w:val="18"/>
      </w:rPr>
      <w:tab/>
    </w:r>
    <w:r w:rsidR="00547BE4" w:rsidRPr="000C5172">
      <w:rPr>
        <w:noProof/>
        <w:sz w:val="18"/>
        <w:szCs w:val="18"/>
      </w:rPr>
      <w:t>D</w:t>
    </w:r>
    <w:r w:rsidR="00460DAC" w:rsidRPr="000C5172">
      <w:rPr>
        <w:noProof/>
        <w:sz w:val="18"/>
        <w:szCs w:val="18"/>
      </w:rPr>
      <w:t>raft</w:t>
    </w:r>
    <w:r w:rsidR="00904C7B" w:rsidRPr="000C5172">
      <w:rPr>
        <w:noProof/>
        <w:sz w:val="18"/>
        <w:szCs w:val="18"/>
      </w:rPr>
      <w:t xml:space="preserve">: </w:t>
    </w:r>
    <w:r w:rsidR="00547BE4" w:rsidRPr="000C5172">
      <w:rPr>
        <w:noProof/>
        <w:sz w:val="18"/>
        <w:szCs w:val="18"/>
      </w:rPr>
      <w:t>0</w:t>
    </w:r>
    <w:r w:rsidR="00460DAC" w:rsidRPr="000C5172">
      <w:rPr>
        <w:noProof/>
        <w:sz w:val="18"/>
        <w:szCs w:val="18"/>
      </w:rPr>
      <w:t>3</w:t>
    </w:r>
    <w:r w:rsidR="00C61A19" w:rsidRPr="000C5172">
      <w:rPr>
        <w:noProof/>
        <w:sz w:val="18"/>
        <w:szCs w:val="18"/>
      </w:rPr>
      <w:t>/</w:t>
    </w:r>
    <w:r w:rsidR="006244EF">
      <w:rPr>
        <w:noProof/>
        <w:sz w:val="18"/>
        <w:szCs w:val="18"/>
      </w:rPr>
      <w:t>30</w:t>
    </w:r>
    <w:r w:rsidR="00904C7B" w:rsidRPr="000C5172">
      <w:rPr>
        <w:noProof/>
        <w:sz w:val="18"/>
        <w:szCs w:val="18"/>
      </w:rPr>
      <w:t>/202</w:t>
    </w:r>
    <w:r w:rsidR="00547BE4" w:rsidRPr="000C5172">
      <w:rPr>
        <w:noProof/>
        <w:sz w:val="18"/>
        <w:szCs w:val="18"/>
      </w:rPr>
      <w:t>6</w:t>
    </w:r>
  </w:p>
  <w:p w14:paraId="2764C1FE" w14:textId="6CC8BF0A" w:rsidR="00547BE4" w:rsidRPr="00C7419B" w:rsidRDefault="00547BE4" w:rsidP="00C7419B">
    <w:pPr>
      <w:tabs>
        <w:tab w:val="left" w:pos="420"/>
        <w:tab w:val="center" w:pos="4320"/>
        <w:tab w:val="center" w:pos="4680"/>
        <w:tab w:val="right" w:pos="9360"/>
      </w:tabs>
      <w:rPr>
        <w:noProof/>
        <w:sz w:val="20"/>
      </w:rPr>
    </w:pPr>
    <w:r>
      <w:rPr>
        <w:noProof/>
        <w:sz w:val="20"/>
      </w:rPr>
      <w:tab/>
    </w:r>
    <w:r>
      <w:rPr>
        <w:noProof/>
        <w:sz w:val="20"/>
      </w:rPr>
      <w:tab/>
    </w:r>
    <w:r>
      <w:rPr>
        <w:noProof/>
        <w:sz w:val="20"/>
      </w:rPr>
      <w:tab/>
    </w:r>
    <w:r>
      <w:rPr>
        <w:noProof/>
        <w:sz w:val="20"/>
      </w:rPr>
      <w:tab/>
    </w:r>
  </w:p>
  <w:p w14:paraId="4F75D62D" w14:textId="6B46D6C3" w:rsidR="005C07DC" w:rsidRPr="002A69F1" w:rsidRDefault="005C07DC" w:rsidP="00C7419B">
    <w:pPr>
      <w:pStyle w:val="Footer"/>
      <w:tabs>
        <w:tab w:val="clear" w:pos="8640"/>
      </w:tabs>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D061" w14:textId="77777777" w:rsidR="00AE33C0" w:rsidRDefault="00AE33C0">
      <w:r>
        <w:separator/>
      </w:r>
    </w:p>
  </w:footnote>
  <w:footnote w:type="continuationSeparator" w:id="0">
    <w:p w14:paraId="5E6B85F4" w14:textId="77777777" w:rsidR="00AE33C0" w:rsidRDefault="00AE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1350"/>
        </w:tabs>
        <w:ind w:left="1350" w:hanging="360"/>
      </w:pPr>
      <w:rPr>
        <w:rFonts w:cs="Times New Roman"/>
        <w:color w:val="000000"/>
        <w:u w:val="none"/>
      </w:rPr>
    </w:lvl>
  </w:abstractNum>
  <w:abstractNum w:abstractNumId="1" w15:restartNumberingAfterBreak="0">
    <w:nsid w:val="07C54F65"/>
    <w:multiLevelType w:val="multilevel"/>
    <w:tmpl w:val="11BEEF4A"/>
    <w:lvl w:ilvl="0">
      <w:start w:val="1"/>
      <w:numFmt w:val="upperRoman"/>
      <w:pStyle w:val="Heading1"/>
      <w:suff w:val="space"/>
      <w:lvlText w:val="SECTION %1."/>
      <w:lvlJc w:val="left"/>
      <w:rPr>
        <w:rFonts w:ascii="Garamond" w:hAnsi="Garamond" w:cs="Times New Roman" w:hint="default"/>
        <w:b/>
        <w:i w:val="0"/>
        <w:sz w:val="24"/>
        <w:szCs w:val="24"/>
      </w:rPr>
    </w:lvl>
    <w:lvl w:ilvl="1">
      <w:start w:val="1"/>
      <w:numFmt w:val="upperLetter"/>
      <w:lvlText w:val="%2"/>
      <w:lvlJc w:val="left"/>
      <w:pPr>
        <w:tabs>
          <w:tab w:val="num" w:pos="360"/>
        </w:tabs>
      </w:pPr>
      <w:rPr>
        <w:rFonts w:ascii="Univers" w:hAnsi="Univer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rFonts w:cs="Times New Roman"/>
        <w:color w:val="000000"/>
        <w:u w:val="none"/>
      </w:rPr>
    </w:lvl>
  </w:abstractNum>
  <w:abstractNum w:abstractNumId="3" w15:restartNumberingAfterBreak="0">
    <w:nsid w:val="102A5AD1"/>
    <w:multiLevelType w:val="hybridMultilevel"/>
    <w:tmpl w:val="A9161A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2AB64FD"/>
    <w:multiLevelType w:val="hybridMultilevel"/>
    <w:tmpl w:val="154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462EE"/>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6" w15:restartNumberingAfterBreak="0">
    <w:nsid w:val="16893AEF"/>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7" w15:restartNumberingAfterBreak="0">
    <w:nsid w:val="1FB35A6D"/>
    <w:multiLevelType w:val="multilevel"/>
    <w:tmpl w:val="C318E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A1F55"/>
    <w:multiLevelType w:val="hybridMultilevel"/>
    <w:tmpl w:val="943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424C"/>
    <w:multiLevelType w:val="hybridMultilevel"/>
    <w:tmpl w:val="33885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54260"/>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1" w15:restartNumberingAfterBreak="0">
    <w:nsid w:val="2ED55972"/>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12" w15:restartNumberingAfterBreak="0">
    <w:nsid w:val="31E277DE"/>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13" w15:restartNumberingAfterBreak="0">
    <w:nsid w:val="327D16D0"/>
    <w:multiLevelType w:val="multilevel"/>
    <w:tmpl w:val="AFF83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C5CD1"/>
    <w:multiLevelType w:val="hybridMultilevel"/>
    <w:tmpl w:val="FF9A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F40"/>
    <w:multiLevelType w:val="multilevel"/>
    <w:tmpl w:val="70EA4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F48F5"/>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7" w15:restartNumberingAfterBreak="0">
    <w:nsid w:val="436245A3"/>
    <w:multiLevelType w:val="hybridMultilevel"/>
    <w:tmpl w:val="601EE2BA"/>
    <w:lvl w:ilvl="0" w:tplc="FE0E24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C65C7"/>
    <w:multiLevelType w:val="singleLevel"/>
    <w:tmpl w:val="6A0CD654"/>
    <w:lvl w:ilvl="0">
      <w:start w:val="1"/>
      <w:numFmt w:val="decimal"/>
      <w:lvlText w:val="B.%1."/>
      <w:lvlJc w:val="left"/>
      <w:pPr>
        <w:tabs>
          <w:tab w:val="num" w:pos="720"/>
        </w:tabs>
        <w:ind w:left="36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F17D20"/>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20" w15:restartNumberingAfterBreak="0">
    <w:nsid w:val="4CC85727"/>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1" w15:restartNumberingAfterBreak="0">
    <w:nsid w:val="4E0D1DE5"/>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2" w15:restartNumberingAfterBreak="0">
    <w:nsid w:val="4E3A3F6F"/>
    <w:multiLevelType w:val="hybridMultilevel"/>
    <w:tmpl w:val="725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cs="Times New Roman" w:hint="default"/>
        <w:b/>
        <w:i w:val="0"/>
        <w:color w:val="000000"/>
        <w:sz w:val="22"/>
        <w:u w:val="none"/>
      </w:rPr>
    </w:lvl>
  </w:abstractNum>
  <w:abstractNum w:abstractNumId="24" w15:restartNumberingAfterBreak="0">
    <w:nsid w:val="525A159E"/>
    <w:multiLevelType w:val="hybridMultilevel"/>
    <w:tmpl w:val="7E32C39C"/>
    <w:lvl w:ilvl="0" w:tplc="198C77DA">
      <w:start w:val="1"/>
      <w:numFmt w:val="bullet"/>
      <w:lvlText w:val=""/>
      <w:lvlJc w:val="left"/>
      <w:pPr>
        <w:tabs>
          <w:tab w:val="num" w:pos="2448"/>
        </w:tabs>
        <w:ind w:left="2448" w:hanging="288"/>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3DD0C0F"/>
    <w:multiLevelType w:val="hybridMultilevel"/>
    <w:tmpl w:val="5C8CE7CC"/>
    <w:lvl w:ilvl="0" w:tplc="3E20A89E">
      <w:start w:val="1"/>
      <w:numFmt w:val="bullet"/>
      <w:lvlText w:val=""/>
      <w:lvlJc w:val="left"/>
      <w:pPr>
        <w:tabs>
          <w:tab w:val="num" w:pos="1800"/>
        </w:tabs>
        <w:ind w:left="1800" w:hanging="360"/>
      </w:pPr>
      <w:rPr>
        <w:rFonts w:ascii="Symbol" w:hAnsi="Symbol" w:hint="default"/>
        <w:strike w:val="0"/>
        <w:dstrike w:val="0"/>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9364823"/>
    <w:multiLevelType w:val="multilevel"/>
    <w:tmpl w:val="5D0C2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9CF35F5"/>
    <w:multiLevelType w:val="hybridMultilevel"/>
    <w:tmpl w:val="25386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F7EFC"/>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30" w15:restartNumberingAfterBreak="0">
    <w:nsid w:val="69940F9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31" w15:restartNumberingAfterBreak="0">
    <w:nsid w:val="69C04498"/>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32" w15:restartNumberingAfterBreak="0">
    <w:nsid w:val="69DB56FB"/>
    <w:multiLevelType w:val="hybridMultilevel"/>
    <w:tmpl w:val="BEF423A8"/>
    <w:lvl w:ilvl="0" w:tplc="6F70816C">
      <w:start w:val="1"/>
      <w:numFmt w:val="upperLetter"/>
      <w:pStyle w:val="Heading2"/>
      <w:lvlText w:val="%1."/>
      <w:lvlJc w:val="left"/>
      <w:pPr>
        <w:tabs>
          <w:tab w:val="num" w:pos="360"/>
        </w:tabs>
        <w:ind w:left="360" w:hanging="360"/>
      </w:pPr>
      <w:rPr>
        <w:rFonts w:ascii="Garamond" w:hAnsi="Garamon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64054"/>
    <w:multiLevelType w:val="multilevel"/>
    <w:tmpl w:val="22080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607452"/>
    <w:multiLevelType w:val="hybridMultilevel"/>
    <w:tmpl w:val="843EE1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cs="Times New Roman" w:hint="default"/>
        <w:b/>
        <w:i w:val="0"/>
        <w:color w:val="000000"/>
        <w:u w:val="none"/>
      </w:rPr>
    </w:lvl>
  </w:abstractNum>
  <w:abstractNum w:abstractNumId="36" w15:restartNumberingAfterBreak="0">
    <w:nsid w:val="7C3D0E49"/>
    <w:multiLevelType w:val="singleLevel"/>
    <w:tmpl w:val="89F6480A"/>
    <w:lvl w:ilvl="0">
      <w:start w:val="1"/>
      <w:numFmt w:val="upperLetter"/>
      <w:pStyle w:val="Heading4"/>
      <w:lvlText w:val="%1."/>
      <w:lvlJc w:val="left"/>
      <w:pPr>
        <w:tabs>
          <w:tab w:val="num" w:pos="360"/>
        </w:tabs>
        <w:ind w:left="360" w:hanging="360"/>
      </w:pPr>
      <w:rPr>
        <w:rFonts w:cs="Times New Roman"/>
        <w:color w:val="000000"/>
        <w:u w:val="none"/>
      </w:rPr>
    </w:lvl>
  </w:abstractNum>
  <w:abstractNum w:abstractNumId="37" w15:restartNumberingAfterBreak="0">
    <w:nsid w:val="7C424F84"/>
    <w:multiLevelType w:val="hybridMultilevel"/>
    <w:tmpl w:val="9670ED6C"/>
    <w:lvl w:ilvl="0" w:tplc="1B9A3D7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011602">
    <w:abstractNumId w:val="1"/>
  </w:num>
  <w:num w:numId="2" w16cid:durableId="969169803">
    <w:abstractNumId w:val="16"/>
  </w:num>
  <w:num w:numId="3" w16cid:durableId="832528881">
    <w:abstractNumId w:val="10"/>
  </w:num>
  <w:num w:numId="4" w16cid:durableId="737048962">
    <w:abstractNumId w:val="23"/>
  </w:num>
  <w:num w:numId="5" w16cid:durableId="915893817">
    <w:abstractNumId w:val="6"/>
  </w:num>
  <w:num w:numId="6" w16cid:durableId="2093312999">
    <w:abstractNumId w:val="11"/>
  </w:num>
  <w:num w:numId="7" w16cid:durableId="524832894">
    <w:abstractNumId w:val="12"/>
  </w:num>
  <w:num w:numId="8" w16cid:durableId="1668365032">
    <w:abstractNumId w:val="1"/>
  </w:num>
  <w:num w:numId="9" w16cid:durableId="506402430">
    <w:abstractNumId w:val="36"/>
  </w:num>
  <w:num w:numId="10" w16cid:durableId="1695108914">
    <w:abstractNumId w:val="5"/>
  </w:num>
  <w:num w:numId="11" w16cid:durableId="82462067">
    <w:abstractNumId w:val="0"/>
  </w:num>
  <w:num w:numId="12" w16cid:durableId="1725637429">
    <w:abstractNumId w:val="30"/>
  </w:num>
  <w:num w:numId="13" w16cid:durableId="1201362168">
    <w:abstractNumId w:val="29"/>
  </w:num>
  <w:num w:numId="14" w16cid:durableId="67506743">
    <w:abstractNumId w:val="31"/>
  </w:num>
  <w:num w:numId="15" w16cid:durableId="617839829">
    <w:abstractNumId w:val="19"/>
  </w:num>
  <w:num w:numId="16" w16cid:durableId="1070428152">
    <w:abstractNumId w:val="35"/>
  </w:num>
  <w:num w:numId="17" w16cid:durableId="1342197479">
    <w:abstractNumId w:val="2"/>
  </w:num>
  <w:num w:numId="18" w16cid:durableId="1086194179">
    <w:abstractNumId w:val="20"/>
  </w:num>
  <w:num w:numId="19" w16cid:durableId="1607619617">
    <w:abstractNumId w:val="21"/>
  </w:num>
  <w:num w:numId="20" w16cid:durableId="1920291718">
    <w:abstractNumId w:val="32"/>
  </w:num>
  <w:num w:numId="21" w16cid:durableId="1982687699">
    <w:abstractNumId w:val="32"/>
    <w:lvlOverride w:ilvl="0">
      <w:startOverride w:val="1"/>
    </w:lvlOverride>
  </w:num>
  <w:num w:numId="22" w16cid:durableId="1159229002">
    <w:abstractNumId w:val="32"/>
    <w:lvlOverride w:ilvl="0">
      <w:startOverride w:val="1"/>
    </w:lvlOverride>
  </w:num>
  <w:num w:numId="23" w16cid:durableId="1097017064">
    <w:abstractNumId w:val="32"/>
    <w:lvlOverride w:ilvl="0">
      <w:startOverride w:val="1"/>
    </w:lvlOverride>
  </w:num>
  <w:num w:numId="24" w16cid:durableId="965235774">
    <w:abstractNumId w:val="27"/>
  </w:num>
  <w:num w:numId="25" w16cid:durableId="1791894048">
    <w:abstractNumId w:val="37"/>
  </w:num>
  <w:num w:numId="26" w16cid:durableId="673069506">
    <w:abstractNumId w:val="25"/>
  </w:num>
  <w:num w:numId="27" w16cid:durableId="1819687457">
    <w:abstractNumId w:val="24"/>
  </w:num>
  <w:num w:numId="28" w16cid:durableId="946699056">
    <w:abstractNumId w:val="17"/>
  </w:num>
  <w:num w:numId="29" w16cid:durableId="1244148887">
    <w:abstractNumId w:val="18"/>
  </w:num>
  <w:num w:numId="30" w16cid:durableId="457456939">
    <w:abstractNumId w:val="28"/>
  </w:num>
  <w:num w:numId="31" w16cid:durableId="1440757065">
    <w:abstractNumId w:val="22"/>
  </w:num>
  <w:num w:numId="32" w16cid:durableId="263542720">
    <w:abstractNumId w:val="14"/>
  </w:num>
  <w:num w:numId="33" w16cid:durableId="1847868536">
    <w:abstractNumId w:val="4"/>
  </w:num>
  <w:num w:numId="34" w16cid:durableId="1990595147">
    <w:abstractNumId w:val="9"/>
  </w:num>
  <w:num w:numId="35" w16cid:durableId="1756054335">
    <w:abstractNumId w:val="3"/>
  </w:num>
  <w:num w:numId="36" w16cid:durableId="1275790662">
    <w:abstractNumId w:val="34"/>
  </w:num>
  <w:num w:numId="37" w16cid:durableId="1211192445">
    <w:abstractNumId w:val="7"/>
  </w:num>
  <w:num w:numId="38" w16cid:durableId="2069571108">
    <w:abstractNumId w:val="15"/>
  </w:num>
  <w:num w:numId="39" w16cid:durableId="1523744764">
    <w:abstractNumId w:val="33"/>
  </w:num>
  <w:num w:numId="40" w16cid:durableId="1154762446">
    <w:abstractNumId w:val="13"/>
  </w:num>
  <w:num w:numId="41" w16cid:durableId="2077851513">
    <w:abstractNumId w:val="26"/>
  </w:num>
  <w:num w:numId="42" w16cid:durableId="677930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aIUdA/FNlTFrIixROo8SzVv53q1thqRA3KsqI4oxm369gmlKnHIRzmkzBL/Vuh8SnzcpQv4QNielOXnL+haBQ==" w:salt="JewxJGcwjnCkQjR0H1//l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F8"/>
    <w:rsid w:val="00001BE3"/>
    <w:rsid w:val="0000272A"/>
    <w:rsid w:val="0000367C"/>
    <w:rsid w:val="000217A6"/>
    <w:rsid w:val="00023ED2"/>
    <w:rsid w:val="00030B7B"/>
    <w:rsid w:val="0003142E"/>
    <w:rsid w:val="00031D19"/>
    <w:rsid w:val="0003275D"/>
    <w:rsid w:val="00034B86"/>
    <w:rsid w:val="00052509"/>
    <w:rsid w:val="000527D3"/>
    <w:rsid w:val="00054416"/>
    <w:rsid w:val="000554AA"/>
    <w:rsid w:val="00063436"/>
    <w:rsid w:val="000708C5"/>
    <w:rsid w:val="000711C7"/>
    <w:rsid w:val="00085E5A"/>
    <w:rsid w:val="00091D50"/>
    <w:rsid w:val="0009728E"/>
    <w:rsid w:val="000A2C23"/>
    <w:rsid w:val="000B4B1C"/>
    <w:rsid w:val="000B662E"/>
    <w:rsid w:val="000C079C"/>
    <w:rsid w:val="000C33FB"/>
    <w:rsid w:val="000C5172"/>
    <w:rsid w:val="000C6551"/>
    <w:rsid w:val="000D27F1"/>
    <w:rsid w:val="000E2D72"/>
    <w:rsid w:val="000E470C"/>
    <w:rsid w:val="00100BB4"/>
    <w:rsid w:val="00104640"/>
    <w:rsid w:val="001057C7"/>
    <w:rsid w:val="0010677C"/>
    <w:rsid w:val="00106D35"/>
    <w:rsid w:val="00110F52"/>
    <w:rsid w:val="00115B71"/>
    <w:rsid w:val="00122DC8"/>
    <w:rsid w:val="00123710"/>
    <w:rsid w:val="00123890"/>
    <w:rsid w:val="00125314"/>
    <w:rsid w:val="0012683E"/>
    <w:rsid w:val="00127809"/>
    <w:rsid w:val="00131596"/>
    <w:rsid w:val="00131A55"/>
    <w:rsid w:val="00133C88"/>
    <w:rsid w:val="001360E4"/>
    <w:rsid w:val="001367DE"/>
    <w:rsid w:val="00142178"/>
    <w:rsid w:val="0014381A"/>
    <w:rsid w:val="001476F1"/>
    <w:rsid w:val="001573F8"/>
    <w:rsid w:val="00162F02"/>
    <w:rsid w:val="00164A07"/>
    <w:rsid w:val="001651B7"/>
    <w:rsid w:val="0016578E"/>
    <w:rsid w:val="001717FB"/>
    <w:rsid w:val="00173CF4"/>
    <w:rsid w:val="00194556"/>
    <w:rsid w:val="001971CA"/>
    <w:rsid w:val="001A232F"/>
    <w:rsid w:val="001A3F75"/>
    <w:rsid w:val="001A7971"/>
    <w:rsid w:val="001C2BED"/>
    <w:rsid w:val="001C55BA"/>
    <w:rsid w:val="001C6D19"/>
    <w:rsid w:val="001D1483"/>
    <w:rsid w:val="001D2A34"/>
    <w:rsid w:val="001D5953"/>
    <w:rsid w:val="001E0D67"/>
    <w:rsid w:val="001E114E"/>
    <w:rsid w:val="001E258D"/>
    <w:rsid w:val="001E3921"/>
    <w:rsid w:val="001F6291"/>
    <w:rsid w:val="00201DC0"/>
    <w:rsid w:val="00203C98"/>
    <w:rsid w:val="002070BB"/>
    <w:rsid w:val="00212A91"/>
    <w:rsid w:val="00213434"/>
    <w:rsid w:val="002166F4"/>
    <w:rsid w:val="002209C1"/>
    <w:rsid w:val="002220A0"/>
    <w:rsid w:val="00223C3D"/>
    <w:rsid w:val="002311D2"/>
    <w:rsid w:val="00240FC2"/>
    <w:rsid w:val="00244639"/>
    <w:rsid w:val="00244E3D"/>
    <w:rsid w:val="00245E3D"/>
    <w:rsid w:val="00253C07"/>
    <w:rsid w:val="0025750A"/>
    <w:rsid w:val="00257B14"/>
    <w:rsid w:val="002602C2"/>
    <w:rsid w:val="0026126C"/>
    <w:rsid w:val="00261871"/>
    <w:rsid w:val="00265F81"/>
    <w:rsid w:val="00267763"/>
    <w:rsid w:val="00284D40"/>
    <w:rsid w:val="00284EFD"/>
    <w:rsid w:val="002A0CC5"/>
    <w:rsid w:val="002A449A"/>
    <w:rsid w:val="002A5DED"/>
    <w:rsid w:val="002A69F1"/>
    <w:rsid w:val="002B2593"/>
    <w:rsid w:val="002B5030"/>
    <w:rsid w:val="002C186C"/>
    <w:rsid w:val="002C2823"/>
    <w:rsid w:val="002D6943"/>
    <w:rsid w:val="002E348A"/>
    <w:rsid w:val="002E6F07"/>
    <w:rsid w:val="002F1133"/>
    <w:rsid w:val="002F1972"/>
    <w:rsid w:val="002F2583"/>
    <w:rsid w:val="002F5D7E"/>
    <w:rsid w:val="003057B2"/>
    <w:rsid w:val="0031580C"/>
    <w:rsid w:val="00317684"/>
    <w:rsid w:val="00331F60"/>
    <w:rsid w:val="00343265"/>
    <w:rsid w:val="0035167B"/>
    <w:rsid w:val="003517AE"/>
    <w:rsid w:val="0035289E"/>
    <w:rsid w:val="0035566B"/>
    <w:rsid w:val="00355E2B"/>
    <w:rsid w:val="003618C2"/>
    <w:rsid w:val="00362968"/>
    <w:rsid w:val="0036617F"/>
    <w:rsid w:val="00367693"/>
    <w:rsid w:val="003676E0"/>
    <w:rsid w:val="003800FD"/>
    <w:rsid w:val="00385024"/>
    <w:rsid w:val="00385D11"/>
    <w:rsid w:val="00395453"/>
    <w:rsid w:val="003A1487"/>
    <w:rsid w:val="003A745A"/>
    <w:rsid w:val="003B21FF"/>
    <w:rsid w:val="003C2024"/>
    <w:rsid w:val="003E058E"/>
    <w:rsid w:val="003E125D"/>
    <w:rsid w:val="003E48B8"/>
    <w:rsid w:val="003E4A98"/>
    <w:rsid w:val="003F0184"/>
    <w:rsid w:val="003F1D78"/>
    <w:rsid w:val="003F53C1"/>
    <w:rsid w:val="003F5EB4"/>
    <w:rsid w:val="00415F92"/>
    <w:rsid w:val="00416F1C"/>
    <w:rsid w:val="00417224"/>
    <w:rsid w:val="0043604E"/>
    <w:rsid w:val="00442307"/>
    <w:rsid w:val="00446894"/>
    <w:rsid w:val="00453D78"/>
    <w:rsid w:val="00460DAC"/>
    <w:rsid w:val="004619C4"/>
    <w:rsid w:val="00464C15"/>
    <w:rsid w:val="0046727B"/>
    <w:rsid w:val="00467333"/>
    <w:rsid w:val="004711BE"/>
    <w:rsid w:val="004848F6"/>
    <w:rsid w:val="00491ECF"/>
    <w:rsid w:val="004933F8"/>
    <w:rsid w:val="004A0071"/>
    <w:rsid w:val="004A2C4D"/>
    <w:rsid w:val="004A4B07"/>
    <w:rsid w:val="004B038F"/>
    <w:rsid w:val="004B33D1"/>
    <w:rsid w:val="004B4FFD"/>
    <w:rsid w:val="004C0B02"/>
    <w:rsid w:val="004C28A2"/>
    <w:rsid w:val="004C532F"/>
    <w:rsid w:val="004D3934"/>
    <w:rsid w:val="004E6788"/>
    <w:rsid w:val="004E6A14"/>
    <w:rsid w:val="004F14D9"/>
    <w:rsid w:val="005363F9"/>
    <w:rsid w:val="00540345"/>
    <w:rsid w:val="00542707"/>
    <w:rsid w:val="00543242"/>
    <w:rsid w:val="00544F7E"/>
    <w:rsid w:val="00546C5A"/>
    <w:rsid w:val="00547BE4"/>
    <w:rsid w:val="00551375"/>
    <w:rsid w:val="00552E0A"/>
    <w:rsid w:val="005570B4"/>
    <w:rsid w:val="0056164B"/>
    <w:rsid w:val="00562560"/>
    <w:rsid w:val="00562879"/>
    <w:rsid w:val="00571CFE"/>
    <w:rsid w:val="00573C23"/>
    <w:rsid w:val="00586922"/>
    <w:rsid w:val="00593151"/>
    <w:rsid w:val="00594402"/>
    <w:rsid w:val="00595B3F"/>
    <w:rsid w:val="005A0F6F"/>
    <w:rsid w:val="005A0FD6"/>
    <w:rsid w:val="005B2DF3"/>
    <w:rsid w:val="005B670D"/>
    <w:rsid w:val="005C07DC"/>
    <w:rsid w:val="005C0A75"/>
    <w:rsid w:val="005C3BD5"/>
    <w:rsid w:val="005C4011"/>
    <w:rsid w:val="005D078C"/>
    <w:rsid w:val="005D5792"/>
    <w:rsid w:val="005D596F"/>
    <w:rsid w:val="005D63DA"/>
    <w:rsid w:val="005E10AB"/>
    <w:rsid w:val="005E449A"/>
    <w:rsid w:val="005F0EC0"/>
    <w:rsid w:val="005F45C7"/>
    <w:rsid w:val="005F5661"/>
    <w:rsid w:val="005F5EEC"/>
    <w:rsid w:val="006037F2"/>
    <w:rsid w:val="006061B6"/>
    <w:rsid w:val="00611D7F"/>
    <w:rsid w:val="00616405"/>
    <w:rsid w:val="0061714E"/>
    <w:rsid w:val="006244EF"/>
    <w:rsid w:val="006328BF"/>
    <w:rsid w:val="00633285"/>
    <w:rsid w:val="00635AAA"/>
    <w:rsid w:val="00636917"/>
    <w:rsid w:val="00637DA5"/>
    <w:rsid w:val="00652847"/>
    <w:rsid w:val="006543D1"/>
    <w:rsid w:val="00661247"/>
    <w:rsid w:val="006649CB"/>
    <w:rsid w:val="00664BF4"/>
    <w:rsid w:val="00666718"/>
    <w:rsid w:val="0067037E"/>
    <w:rsid w:val="0067458A"/>
    <w:rsid w:val="00675118"/>
    <w:rsid w:val="006768D3"/>
    <w:rsid w:val="00685351"/>
    <w:rsid w:val="00686015"/>
    <w:rsid w:val="00687B9D"/>
    <w:rsid w:val="00690854"/>
    <w:rsid w:val="00691B75"/>
    <w:rsid w:val="006A3B1C"/>
    <w:rsid w:val="006A721F"/>
    <w:rsid w:val="006B431E"/>
    <w:rsid w:val="006D3511"/>
    <w:rsid w:val="006D79CB"/>
    <w:rsid w:val="006E269C"/>
    <w:rsid w:val="006E2B1A"/>
    <w:rsid w:val="006F71A8"/>
    <w:rsid w:val="00701113"/>
    <w:rsid w:val="007019E8"/>
    <w:rsid w:val="00716558"/>
    <w:rsid w:val="00717538"/>
    <w:rsid w:val="0072396A"/>
    <w:rsid w:val="007317EF"/>
    <w:rsid w:val="00731822"/>
    <w:rsid w:val="0074420E"/>
    <w:rsid w:val="00745D11"/>
    <w:rsid w:val="00747DD2"/>
    <w:rsid w:val="00751A7F"/>
    <w:rsid w:val="00755BDC"/>
    <w:rsid w:val="00775FFF"/>
    <w:rsid w:val="007836A6"/>
    <w:rsid w:val="0078393D"/>
    <w:rsid w:val="0078776D"/>
    <w:rsid w:val="00793068"/>
    <w:rsid w:val="0079354C"/>
    <w:rsid w:val="007950A8"/>
    <w:rsid w:val="007A46D5"/>
    <w:rsid w:val="007A495A"/>
    <w:rsid w:val="007A4BC1"/>
    <w:rsid w:val="007A6485"/>
    <w:rsid w:val="007B5593"/>
    <w:rsid w:val="007B6749"/>
    <w:rsid w:val="007C59AD"/>
    <w:rsid w:val="007D14A9"/>
    <w:rsid w:val="007D23FD"/>
    <w:rsid w:val="007D4B09"/>
    <w:rsid w:val="007D5907"/>
    <w:rsid w:val="007E0FB9"/>
    <w:rsid w:val="007F1590"/>
    <w:rsid w:val="007F46D9"/>
    <w:rsid w:val="00800276"/>
    <w:rsid w:val="00800859"/>
    <w:rsid w:val="00804C5B"/>
    <w:rsid w:val="00806130"/>
    <w:rsid w:val="008219BB"/>
    <w:rsid w:val="00832876"/>
    <w:rsid w:val="00837CBE"/>
    <w:rsid w:val="00842F7E"/>
    <w:rsid w:val="0085697B"/>
    <w:rsid w:val="0086181D"/>
    <w:rsid w:val="008621D0"/>
    <w:rsid w:val="008700A2"/>
    <w:rsid w:val="00871C4D"/>
    <w:rsid w:val="008722CF"/>
    <w:rsid w:val="0088456C"/>
    <w:rsid w:val="008851A1"/>
    <w:rsid w:val="00887AC2"/>
    <w:rsid w:val="00892C06"/>
    <w:rsid w:val="00895F7C"/>
    <w:rsid w:val="008A08B6"/>
    <w:rsid w:val="008A1B27"/>
    <w:rsid w:val="008A36FC"/>
    <w:rsid w:val="008B193E"/>
    <w:rsid w:val="008C1AC6"/>
    <w:rsid w:val="008C1D8E"/>
    <w:rsid w:val="008D3A09"/>
    <w:rsid w:val="008D4461"/>
    <w:rsid w:val="008D5181"/>
    <w:rsid w:val="008E1564"/>
    <w:rsid w:val="008E4A1C"/>
    <w:rsid w:val="008F1663"/>
    <w:rsid w:val="008F2C40"/>
    <w:rsid w:val="009030F6"/>
    <w:rsid w:val="00904947"/>
    <w:rsid w:val="00904C7B"/>
    <w:rsid w:val="009055D6"/>
    <w:rsid w:val="0090591E"/>
    <w:rsid w:val="00912BFF"/>
    <w:rsid w:val="00921E5D"/>
    <w:rsid w:val="009239FD"/>
    <w:rsid w:val="009262F6"/>
    <w:rsid w:val="009270C9"/>
    <w:rsid w:val="00934107"/>
    <w:rsid w:val="0095023F"/>
    <w:rsid w:val="00953C84"/>
    <w:rsid w:val="00956156"/>
    <w:rsid w:val="00963AE7"/>
    <w:rsid w:val="00964864"/>
    <w:rsid w:val="00967766"/>
    <w:rsid w:val="00974611"/>
    <w:rsid w:val="00995080"/>
    <w:rsid w:val="0099708A"/>
    <w:rsid w:val="009A6048"/>
    <w:rsid w:val="009C1569"/>
    <w:rsid w:val="009C2143"/>
    <w:rsid w:val="009C48EA"/>
    <w:rsid w:val="009C7DA1"/>
    <w:rsid w:val="009D4C30"/>
    <w:rsid w:val="009E114F"/>
    <w:rsid w:val="009E1A20"/>
    <w:rsid w:val="009E44C1"/>
    <w:rsid w:val="009E51EB"/>
    <w:rsid w:val="009E52E7"/>
    <w:rsid w:val="009F6363"/>
    <w:rsid w:val="00A01198"/>
    <w:rsid w:val="00A073F0"/>
    <w:rsid w:val="00A1372F"/>
    <w:rsid w:val="00A15780"/>
    <w:rsid w:val="00A2224F"/>
    <w:rsid w:val="00A30555"/>
    <w:rsid w:val="00A321B7"/>
    <w:rsid w:val="00A4088B"/>
    <w:rsid w:val="00A4653B"/>
    <w:rsid w:val="00A7153E"/>
    <w:rsid w:val="00A75BD9"/>
    <w:rsid w:val="00A77679"/>
    <w:rsid w:val="00A8328F"/>
    <w:rsid w:val="00A91FBC"/>
    <w:rsid w:val="00A9293A"/>
    <w:rsid w:val="00AA4A90"/>
    <w:rsid w:val="00AB5939"/>
    <w:rsid w:val="00AB7E07"/>
    <w:rsid w:val="00AC2B9D"/>
    <w:rsid w:val="00AC3CC8"/>
    <w:rsid w:val="00AD4AE6"/>
    <w:rsid w:val="00AE33C0"/>
    <w:rsid w:val="00AE39C5"/>
    <w:rsid w:val="00AF4C68"/>
    <w:rsid w:val="00AF5782"/>
    <w:rsid w:val="00B00CD4"/>
    <w:rsid w:val="00B0757B"/>
    <w:rsid w:val="00B078CD"/>
    <w:rsid w:val="00B15604"/>
    <w:rsid w:val="00B302C1"/>
    <w:rsid w:val="00B30BA4"/>
    <w:rsid w:val="00B35526"/>
    <w:rsid w:val="00B4017E"/>
    <w:rsid w:val="00B50C38"/>
    <w:rsid w:val="00B51790"/>
    <w:rsid w:val="00B53DD9"/>
    <w:rsid w:val="00B54C05"/>
    <w:rsid w:val="00B60735"/>
    <w:rsid w:val="00B61E48"/>
    <w:rsid w:val="00B64821"/>
    <w:rsid w:val="00B64B40"/>
    <w:rsid w:val="00B66C8B"/>
    <w:rsid w:val="00B76370"/>
    <w:rsid w:val="00B869F5"/>
    <w:rsid w:val="00B87158"/>
    <w:rsid w:val="00B9181C"/>
    <w:rsid w:val="00B91A45"/>
    <w:rsid w:val="00B93C55"/>
    <w:rsid w:val="00BA6C37"/>
    <w:rsid w:val="00BA7003"/>
    <w:rsid w:val="00BB2502"/>
    <w:rsid w:val="00BC2724"/>
    <w:rsid w:val="00BC3370"/>
    <w:rsid w:val="00BC5271"/>
    <w:rsid w:val="00BC552A"/>
    <w:rsid w:val="00BC75FF"/>
    <w:rsid w:val="00BE40A9"/>
    <w:rsid w:val="00BF3CBB"/>
    <w:rsid w:val="00BF5E72"/>
    <w:rsid w:val="00BF7EE2"/>
    <w:rsid w:val="00C01962"/>
    <w:rsid w:val="00C12A4E"/>
    <w:rsid w:val="00C15002"/>
    <w:rsid w:val="00C17989"/>
    <w:rsid w:val="00C20466"/>
    <w:rsid w:val="00C255E2"/>
    <w:rsid w:val="00C25E8B"/>
    <w:rsid w:val="00C30FC7"/>
    <w:rsid w:val="00C41247"/>
    <w:rsid w:val="00C42481"/>
    <w:rsid w:val="00C4299D"/>
    <w:rsid w:val="00C44A59"/>
    <w:rsid w:val="00C46F39"/>
    <w:rsid w:val="00C507C8"/>
    <w:rsid w:val="00C515D5"/>
    <w:rsid w:val="00C525BB"/>
    <w:rsid w:val="00C61692"/>
    <w:rsid w:val="00C61A19"/>
    <w:rsid w:val="00C62AAB"/>
    <w:rsid w:val="00C64D18"/>
    <w:rsid w:val="00C70D07"/>
    <w:rsid w:val="00C7419B"/>
    <w:rsid w:val="00C74D2E"/>
    <w:rsid w:val="00C762E1"/>
    <w:rsid w:val="00C81BB0"/>
    <w:rsid w:val="00C83808"/>
    <w:rsid w:val="00C844DA"/>
    <w:rsid w:val="00C93DC9"/>
    <w:rsid w:val="00CA0FF7"/>
    <w:rsid w:val="00CA1A45"/>
    <w:rsid w:val="00CA20D0"/>
    <w:rsid w:val="00CA5584"/>
    <w:rsid w:val="00CC335D"/>
    <w:rsid w:val="00CC7884"/>
    <w:rsid w:val="00CD65C1"/>
    <w:rsid w:val="00CD71EC"/>
    <w:rsid w:val="00CD75C1"/>
    <w:rsid w:val="00CD7A3C"/>
    <w:rsid w:val="00CF049B"/>
    <w:rsid w:val="00CF05BE"/>
    <w:rsid w:val="00D03FBD"/>
    <w:rsid w:val="00D13BB9"/>
    <w:rsid w:val="00D17105"/>
    <w:rsid w:val="00D20846"/>
    <w:rsid w:val="00D24EBA"/>
    <w:rsid w:val="00D3569D"/>
    <w:rsid w:val="00D47136"/>
    <w:rsid w:val="00D55707"/>
    <w:rsid w:val="00D622D5"/>
    <w:rsid w:val="00D70078"/>
    <w:rsid w:val="00D72040"/>
    <w:rsid w:val="00D7453F"/>
    <w:rsid w:val="00D81574"/>
    <w:rsid w:val="00D82C30"/>
    <w:rsid w:val="00D82E3D"/>
    <w:rsid w:val="00D86A48"/>
    <w:rsid w:val="00D91195"/>
    <w:rsid w:val="00DC0AD3"/>
    <w:rsid w:val="00DC3377"/>
    <w:rsid w:val="00DC3F25"/>
    <w:rsid w:val="00DC58BA"/>
    <w:rsid w:val="00DC6A36"/>
    <w:rsid w:val="00DD060F"/>
    <w:rsid w:val="00DD485E"/>
    <w:rsid w:val="00DE0451"/>
    <w:rsid w:val="00DE51D7"/>
    <w:rsid w:val="00DE5C4F"/>
    <w:rsid w:val="00DE6321"/>
    <w:rsid w:val="00DF5190"/>
    <w:rsid w:val="00DF6385"/>
    <w:rsid w:val="00DF730A"/>
    <w:rsid w:val="00E037CF"/>
    <w:rsid w:val="00E04E9F"/>
    <w:rsid w:val="00E1041E"/>
    <w:rsid w:val="00E11183"/>
    <w:rsid w:val="00E133F9"/>
    <w:rsid w:val="00E2126D"/>
    <w:rsid w:val="00E262C6"/>
    <w:rsid w:val="00E2771C"/>
    <w:rsid w:val="00E27AE5"/>
    <w:rsid w:val="00E30239"/>
    <w:rsid w:val="00E32E97"/>
    <w:rsid w:val="00E333A4"/>
    <w:rsid w:val="00E36255"/>
    <w:rsid w:val="00E42C54"/>
    <w:rsid w:val="00E47E4C"/>
    <w:rsid w:val="00E611D2"/>
    <w:rsid w:val="00E61C33"/>
    <w:rsid w:val="00E63899"/>
    <w:rsid w:val="00E6477E"/>
    <w:rsid w:val="00E6510D"/>
    <w:rsid w:val="00E733A2"/>
    <w:rsid w:val="00E773CD"/>
    <w:rsid w:val="00E95136"/>
    <w:rsid w:val="00EA5A86"/>
    <w:rsid w:val="00EA6034"/>
    <w:rsid w:val="00EB3872"/>
    <w:rsid w:val="00EB5A4A"/>
    <w:rsid w:val="00EB78AF"/>
    <w:rsid w:val="00EC1B3E"/>
    <w:rsid w:val="00EC5628"/>
    <w:rsid w:val="00ED21D2"/>
    <w:rsid w:val="00ED728E"/>
    <w:rsid w:val="00EE1BA7"/>
    <w:rsid w:val="00F1707C"/>
    <w:rsid w:val="00F27C0D"/>
    <w:rsid w:val="00F31057"/>
    <w:rsid w:val="00F342D8"/>
    <w:rsid w:val="00F3746F"/>
    <w:rsid w:val="00F4037B"/>
    <w:rsid w:val="00F42A33"/>
    <w:rsid w:val="00F44575"/>
    <w:rsid w:val="00F523A9"/>
    <w:rsid w:val="00F526B5"/>
    <w:rsid w:val="00F542F4"/>
    <w:rsid w:val="00F54677"/>
    <w:rsid w:val="00F77093"/>
    <w:rsid w:val="00F77321"/>
    <w:rsid w:val="00F7748F"/>
    <w:rsid w:val="00F825AB"/>
    <w:rsid w:val="00F82CFD"/>
    <w:rsid w:val="00F8479A"/>
    <w:rsid w:val="00F86524"/>
    <w:rsid w:val="00FA0B11"/>
    <w:rsid w:val="00FA0B53"/>
    <w:rsid w:val="00FA2B44"/>
    <w:rsid w:val="00FA47B7"/>
    <w:rsid w:val="00FB47A4"/>
    <w:rsid w:val="00FC3933"/>
    <w:rsid w:val="00FC6329"/>
    <w:rsid w:val="00FD1A13"/>
    <w:rsid w:val="00FD2199"/>
    <w:rsid w:val="00FD45D4"/>
    <w:rsid w:val="00FE3919"/>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35151"/>
  <w15:docId w15:val="{84D9D980-7F4F-4B7F-AEDA-18C3458D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593"/>
    <w:rPr>
      <w:rFonts w:ascii="Garamond" w:hAnsi="Garamond"/>
      <w:sz w:val="24"/>
    </w:rPr>
  </w:style>
  <w:style w:type="paragraph" w:styleId="Heading1">
    <w:name w:val="heading 1"/>
    <w:basedOn w:val="Normal"/>
    <w:next w:val="Normal"/>
    <w:link w:val="Heading1Char"/>
    <w:uiPriority w:val="9"/>
    <w:qFormat/>
    <w:pPr>
      <w:keepNext/>
      <w:numPr>
        <w:numId w:val="8"/>
      </w:numPr>
      <w:jc w:val="center"/>
      <w:outlineLvl w:val="0"/>
    </w:pPr>
    <w:rPr>
      <w:rFonts w:ascii="Times New Roman Bold" w:hAnsi="Times New Roman Bold"/>
      <w:b/>
      <w:sz w:val="22"/>
    </w:rPr>
  </w:style>
  <w:style w:type="paragraph" w:styleId="Heading2">
    <w:name w:val="heading 2"/>
    <w:basedOn w:val="Normal"/>
    <w:next w:val="Normal"/>
    <w:link w:val="Heading2Char"/>
    <w:uiPriority w:val="9"/>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link w:val="Heading4Char"/>
    <w:uiPriority w:val="9"/>
    <w:qFormat/>
    <w:pPr>
      <w:keepNext/>
      <w:numPr>
        <w:numId w:val="9"/>
      </w:numPr>
      <w:outlineLvl w:val="3"/>
    </w:pPr>
    <w:rPr>
      <w:rFonts w:ascii="Univers" w:hAnsi="Univers"/>
      <w:b/>
    </w:rPr>
  </w:style>
  <w:style w:type="paragraph" w:styleId="Heading5">
    <w:name w:val="heading 5"/>
    <w:basedOn w:val="Normal"/>
    <w:next w:val="Normal"/>
    <w:link w:val="Heading5Char"/>
    <w:uiPriority w:val="9"/>
    <w:qFormat/>
    <w:pPr>
      <w:keepNext/>
      <w:numPr>
        <w:numId w:val="16"/>
      </w:numPr>
      <w:outlineLvl w:val="4"/>
    </w:pPr>
    <w:rPr>
      <w:rFonts w:ascii="Univers" w:hAnsi="Univers"/>
      <w:b/>
    </w:rPr>
  </w:style>
  <w:style w:type="paragraph" w:styleId="Heading6">
    <w:name w:val="heading 6"/>
    <w:basedOn w:val="Normal"/>
    <w:next w:val="Normal"/>
    <w:link w:val="Heading6Char"/>
    <w:uiPriority w:val="9"/>
    <w:qFormat/>
    <w:pPr>
      <w:keepNext/>
      <w:numPr>
        <w:numId w:val="4"/>
      </w:numPr>
      <w:tabs>
        <w:tab w:val="left" w:pos="720"/>
      </w:tabs>
      <w:outlineLvl w:val="5"/>
    </w:pPr>
    <w:rPr>
      <w:b/>
      <w:bCs/>
      <w:sz w:val="21"/>
    </w:rPr>
  </w:style>
  <w:style w:type="paragraph" w:styleId="Heading7">
    <w:name w:val="heading 7"/>
    <w:basedOn w:val="Normal"/>
    <w:next w:val="Normal"/>
    <w:link w:val="Heading7Char"/>
    <w:uiPriority w:val="9"/>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A5B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A5B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A5BF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A5BF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A5BF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A5BF4"/>
    <w:rPr>
      <w:rFonts w:asciiTheme="minorHAnsi" w:eastAsiaTheme="minorEastAsia" w:hAnsiTheme="minorHAnsi" w:cstheme="minorBidi"/>
      <w:sz w:val="24"/>
      <w:szCs w:val="24"/>
    </w:rPr>
  </w:style>
  <w:style w:type="paragraph" w:styleId="Title">
    <w:name w:val="Title"/>
    <w:basedOn w:val="Normal"/>
    <w:link w:val="TitleChar"/>
    <w:uiPriority w:val="10"/>
    <w:qFormat/>
    <w:pPr>
      <w:jc w:val="center"/>
    </w:pPr>
    <w:rPr>
      <w:rFonts w:ascii="Univers" w:hAnsi="Univers"/>
      <w:b/>
    </w:rPr>
  </w:style>
  <w:style w:type="character" w:customStyle="1" w:styleId="TitleChar">
    <w:name w:val="Title Char"/>
    <w:basedOn w:val="DefaultParagraphFont"/>
    <w:link w:val="Title"/>
    <w:uiPriority w:val="10"/>
    <w:rsid w:val="001A5BF4"/>
    <w:rPr>
      <w:rFonts w:asciiTheme="majorHAnsi" w:eastAsiaTheme="majorEastAsia" w:hAnsiTheme="majorHAnsi" w:cstheme="majorBidi"/>
      <w:b/>
      <w:bCs/>
      <w:kern w:val="28"/>
      <w:sz w:val="32"/>
      <w:szCs w:val="32"/>
    </w:rPr>
  </w:style>
  <w:style w:type="paragraph" w:styleId="Header">
    <w:name w:val="header"/>
    <w:basedOn w:val="Normal"/>
    <w:link w:val="HeaderChar"/>
    <w:pPr>
      <w:tabs>
        <w:tab w:val="center" w:pos="4320"/>
        <w:tab w:val="right" w:pos="8640"/>
      </w:tabs>
    </w:pPr>
    <w:rPr>
      <w:rFonts w:ascii="Univers" w:hAnsi="Univers"/>
    </w:rPr>
  </w:style>
  <w:style w:type="character" w:customStyle="1" w:styleId="HeaderChar">
    <w:name w:val="Header Char"/>
    <w:basedOn w:val="DefaultParagraphFont"/>
    <w:link w:val="Header"/>
    <w:uiPriority w:val="99"/>
    <w:semiHidden/>
    <w:rsid w:val="001A5BF4"/>
  </w:style>
  <w:style w:type="paragraph" w:styleId="TOC1">
    <w:name w:val="toc 1"/>
    <w:basedOn w:val="Normal"/>
    <w:next w:val="Normal"/>
    <w:autoRedefine/>
    <w:uiPriority w:val="39"/>
    <w:rsid w:val="00542707"/>
    <w:pPr>
      <w:tabs>
        <w:tab w:val="right" w:leader="dot" w:pos="9350"/>
      </w:tabs>
      <w:spacing w:before="120" w:after="120"/>
    </w:pPr>
    <w:rPr>
      <w:b/>
      <w:caps/>
    </w:rPr>
  </w:style>
  <w:style w:type="paragraph" w:styleId="TOC2">
    <w:name w:val="toc 2"/>
    <w:basedOn w:val="Normal"/>
    <w:next w:val="Normal"/>
    <w:autoRedefine/>
    <w:uiPriority w:val="39"/>
    <w:rsid w:val="00131596"/>
    <w:pPr>
      <w:tabs>
        <w:tab w:val="left" w:pos="600"/>
        <w:tab w:val="right" w:leader="dot" w:pos="936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A5BF4"/>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rsid w:val="001A5BF4"/>
  </w:style>
  <w:style w:type="paragraph" w:styleId="BodyTextIndent2">
    <w:name w:val="Body Text Indent 2"/>
    <w:basedOn w:val="Normal"/>
    <w:link w:val="BodyTextIndent2Char"/>
    <w:uiPriority w:val="99"/>
    <w:rsid w:val="00467333"/>
    <w:pPr>
      <w:spacing w:after="120" w:line="480" w:lineRule="auto"/>
      <w:ind w:left="360"/>
    </w:pPr>
  </w:style>
  <w:style w:type="character" w:customStyle="1" w:styleId="BodyTextIndent2Char">
    <w:name w:val="Body Text Indent 2 Char"/>
    <w:basedOn w:val="DefaultParagraphFont"/>
    <w:link w:val="BodyTextIndent2"/>
    <w:uiPriority w:val="99"/>
    <w:semiHidden/>
    <w:rsid w:val="001A5BF4"/>
  </w:style>
  <w:style w:type="paragraph" w:customStyle="1" w:styleId="Default">
    <w:name w:val="Default"/>
    <w:rsid w:val="00CF049B"/>
    <w:pPr>
      <w:autoSpaceDE w:val="0"/>
      <w:autoSpaceDN w:val="0"/>
      <w:adjustRightInd w:val="0"/>
    </w:pPr>
    <w:rPr>
      <w:color w:val="000000"/>
      <w:sz w:val="24"/>
      <w:szCs w:val="24"/>
    </w:rPr>
  </w:style>
  <w:style w:type="paragraph" w:styleId="BodyTextIndent">
    <w:name w:val="Body Text Indent"/>
    <w:basedOn w:val="Normal"/>
    <w:link w:val="BodyTextIndentChar"/>
    <w:rsid w:val="0074420E"/>
    <w:pPr>
      <w:spacing w:after="120"/>
      <w:ind w:left="360"/>
    </w:pPr>
  </w:style>
  <w:style w:type="character" w:customStyle="1" w:styleId="BodyTextIndentChar">
    <w:name w:val="Body Text Indent Char"/>
    <w:basedOn w:val="DefaultParagraphFont"/>
    <w:link w:val="BodyTextIndent"/>
    <w:rsid w:val="0074420E"/>
  </w:style>
  <w:style w:type="paragraph" w:styleId="FootnoteText">
    <w:name w:val="footnote text"/>
    <w:basedOn w:val="Normal"/>
    <w:link w:val="FootnoteTextChar"/>
    <w:rsid w:val="0074420E"/>
    <w:pPr>
      <w:widowControl w:val="0"/>
    </w:pPr>
    <w:rPr>
      <w:rFonts w:ascii="Courier" w:hAnsi="Courier"/>
      <w:snapToGrid w:val="0"/>
    </w:rPr>
  </w:style>
  <w:style w:type="character" w:customStyle="1" w:styleId="FootnoteTextChar">
    <w:name w:val="Footnote Text Char"/>
    <w:basedOn w:val="DefaultParagraphFont"/>
    <w:link w:val="FootnoteText"/>
    <w:rsid w:val="0074420E"/>
    <w:rPr>
      <w:rFonts w:ascii="Courier" w:hAnsi="Courier"/>
      <w:snapToGrid w:val="0"/>
    </w:rPr>
  </w:style>
  <w:style w:type="paragraph" w:styleId="BalloonText">
    <w:name w:val="Balloon Text"/>
    <w:basedOn w:val="Normal"/>
    <w:link w:val="BalloonTextChar"/>
    <w:rsid w:val="00BF7EE2"/>
    <w:rPr>
      <w:rFonts w:ascii="Tahoma" w:hAnsi="Tahoma" w:cs="Tahoma"/>
      <w:sz w:val="16"/>
      <w:szCs w:val="16"/>
    </w:rPr>
  </w:style>
  <w:style w:type="character" w:customStyle="1" w:styleId="BalloonTextChar">
    <w:name w:val="Balloon Text Char"/>
    <w:basedOn w:val="DefaultParagraphFont"/>
    <w:link w:val="BalloonText"/>
    <w:rsid w:val="00BF7EE2"/>
    <w:rPr>
      <w:rFonts w:ascii="Tahoma" w:hAnsi="Tahoma" w:cs="Tahoma"/>
      <w:sz w:val="16"/>
      <w:szCs w:val="16"/>
    </w:rPr>
  </w:style>
  <w:style w:type="character" w:styleId="CommentReference">
    <w:name w:val="annotation reference"/>
    <w:basedOn w:val="DefaultParagraphFont"/>
    <w:rsid w:val="00104640"/>
    <w:rPr>
      <w:sz w:val="16"/>
      <w:szCs w:val="16"/>
    </w:rPr>
  </w:style>
  <w:style w:type="paragraph" w:styleId="CommentText">
    <w:name w:val="annotation text"/>
    <w:basedOn w:val="Normal"/>
    <w:link w:val="CommentTextChar"/>
    <w:rsid w:val="00104640"/>
    <w:rPr>
      <w:sz w:val="20"/>
    </w:rPr>
  </w:style>
  <w:style w:type="character" w:customStyle="1" w:styleId="CommentTextChar">
    <w:name w:val="Comment Text Char"/>
    <w:basedOn w:val="DefaultParagraphFont"/>
    <w:link w:val="CommentText"/>
    <w:rsid w:val="00104640"/>
    <w:rPr>
      <w:rFonts w:ascii="Garamond" w:hAnsi="Garamond"/>
    </w:rPr>
  </w:style>
  <w:style w:type="paragraph" w:styleId="CommentSubject">
    <w:name w:val="annotation subject"/>
    <w:basedOn w:val="CommentText"/>
    <w:next w:val="CommentText"/>
    <w:link w:val="CommentSubjectChar"/>
    <w:rsid w:val="00104640"/>
    <w:rPr>
      <w:b/>
      <w:bCs/>
    </w:rPr>
  </w:style>
  <w:style w:type="character" w:customStyle="1" w:styleId="CommentSubjectChar">
    <w:name w:val="Comment Subject Char"/>
    <w:basedOn w:val="CommentTextChar"/>
    <w:link w:val="CommentSubject"/>
    <w:rsid w:val="00104640"/>
    <w:rPr>
      <w:rFonts w:ascii="Garamond" w:hAnsi="Garamond"/>
      <w:b/>
      <w:bCs/>
    </w:rPr>
  </w:style>
  <w:style w:type="paragraph" w:styleId="ListParagraph">
    <w:name w:val="List Paragraph"/>
    <w:basedOn w:val="Normal"/>
    <w:link w:val="ListParagraphChar"/>
    <w:uiPriority w:val="34"/>
    <w:qFormat/>
    <w:rsid w:val="00B00CD4"/>
    <w:pPr>
      <w:ind w:left="720"/>
      <w:contextualSpacing/>
    </w:pPr>
  </w:style>
  <w:style w:type="table" w:styleId="TableGrid">
    <w:name w:val="Table Grid"/>
    <w:basedOn w:val="TableNormal"/>
    <w:rsid w:val="0093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FD"/>
    <w:rPr>
      <w:rFonts w:ascii="Garamond" w:hAnsi="Garamond"/>
      <w:sz w:val="24"/>
    </w:rPr>
  </w:style>
  <w:style w:type="character" w:customStyle="1" w:styleId="ListParagraphChar">
    <w:name w:val="List Paragraph Char"/>
    <w:basedOn w:val="DefaultParagraphFont"/>
    <w:link w:val="ListParagraph"/>
    <w:uiPriority w:val="34"/>
    <w:rsid w:val="00FA47B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16584</Words>
  <Characters>94531</Characters>
  <Application>Microsoft Office Word</Application>
  <DocSecurity>8</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Rina</dc:creator>
  <cp:lastModifiedBy>Velasquez, Rina</cp:lastModifiedBy>
  <cp:revision>2</cp:revision>
  <dcterms:created xsi:type="dcterms:W3CDTF">2026-03-30T19:21:00Z</dcterms:created>
  <dcterms:modified xsi:type="dcterms:W3CDTF">2026-03-30T19:21:00Z</dcterms:modified>
</cp:coreProperties>
</file>