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2183" w14:textId="77777777" w:rsidR="0011127E" w:rsidRPr="006124D6" w:rsidRDefault="0011127E">
      <w:pPr>
        <w:pStyle w:val="Title"/>
        <w:rPr>
          <w:rFonts w:ascii="Garamond" w:hAnsi="Garamond"/>
          <w:sz w:val="24"/>
          <w:szCs w:val="24"/>
        </w:rPr>
      </w:pPr>
      <w:r w:rsidRPr="006124D6">
        <w:rPr>
          <w:rFonts w:ascii="Garamond" w:hAnsi="Garamond"/>
          <w:sz w:val="24"/>
          <w:szCs w:val="24"/>
        </w:rPr>
        <w:t>MONTANA DEPARTMENT OF ENVIRONMENTAL QUALITY</w:t>
      </w:r>
    </w:p>
    <w:p w14:paraId="72DD8DEE" w14:textId="77777777" w:rsidR="0011127E" w:rsidRPr="006124D6" w:rsidRDefault="0011127E">
      <w:pPr>
        <w:jc w:val="center"/>
        <w:rPr>
          <w:rFonts w:ascii="Garamond" w:hAnsi="Garamond"/>
          <w:b/>
        </w:rPr>
      </w:pPr>
      <w:r w:rsidRPr="006124D6">
        <w:rPr>
          <w:rFonts w:ascii="Garamond" w:hAnsi="Garamond"/>
          <w:b/>
        </w:rPr>
        <w:t>OPERATING PERMIT TECHNICAL REVIEW DOCUMENT</w:t>
      </w:r>
    </w:p>
    <w:p w14:paraId="389AE0AB" w14:textId="77777777" w:rsidR="0011127E" w:rsidRPr="006124D6" w:rsidRDefault="0011127E">
      <w:pPr>
        <w:jc w:val="center"/>
        <w:rPr>
          <w:rFonts w:ascii="Garamond" w:hAnsi="Garamond"/>
          <w:b/>
        </w:rPr>
      </w:pPr>
    </w:p>
    <w:p w14:paraId="28A9C7AE" w14:textId="1B056FA5" w:rsidR="0011127E" w:rsidRPr="006124D6" w:rsidRDefault="00861CD4">
      <w:pPr>
        <w:jc w:val="center"/>
        <w:rPr>
          <w:rFonts w:ascii="Garamond" w:hAnsi="Garamond"/>
          <w:b/>
        </w:rPr>
      </w:pPr>
      <w:r>
        <w:rPr>
          <w:rFonts w:ascii="Garamond" w:hAnsi="Garamond"/>
          <w:b/>
        </w:rPr>
        <w:t>Air, Energy and Mining</w:t>
      </w:r>
      <w:r w:rsidR="0011127E" w:rsidRPr="006124D6">
        <w:rPr>
          <w:rFonts w:ascii="Garamond" w:hAnsi="Garamond"/>
          <w:b/>
        </w:rPr>
        <w:t xml:space="preserve"> Division</w:t>
      </w:r>
    </w:p>
    <w:p w14:paraId="145E2399" w14:textId="77777777" w:rsidR="0011127E" w:rsidRPr="006124D6" w:rsidRDefault="0011127E">
      <w:pPr>
        <w:jc w:val="center"/>
        <w:rPr>
          <w:rFonts w:ascii="Garamond" w:hAnsi="Garamond"/>
          <w:b/>
        </w:rPr>
      </w:pPr>
      <w:r w:rsidRPr="006124D6">
        <w:rPr>
          <w:rFonts w:ascii="Garamond" w:hAnsi="Garamond"/>
          <w:b/>
        </w:rPr>
        <w:t>1520 E. Sixth Avenue</w:t>
      </w:r>
    </w:p>
    <w:p w14:paraId="7A885FB2" w14:textId="77777777" w:rsidR="0011127E" w:rsidRPr="006124D6" w:rsidRDefault="0011127E">
      <w:pPr>
        <w:jc w:val="center"/>
        <w:rPr>
          <w:rFonts w:ascii="Garamond" w:hAnsi="Garamond"/>
          <w:b/>
        </w:rPr>
      </w:pPr>
      <w:r w:rsidRPr="006124D6">
        <w:rPr>
          <w:rFonts w:ascii="Garamond" w:hAnsi="Garamond"/>
          <w:b/>
        </w:rPr>
        <w:t>P.O. Box 200901</w:t>
      </w:r>
    </w:p>
    <w:p w14:paraId="5CCC3BEE" w14:textId="77777777" w:rsidR="0011127E" w:rsidRPr="006124D6" w:rsidRDefault="0011127E">
      <w:pPr>
        <w:jc w:val="center"/>
        <w:rPr>
          <w:rFonts w:ascii="Garamond" w:hAnsi="Garamond"/>
          <w:b/>
        </w:rPr>
      </w:pPr>
      <w:r w:rsidRPr="006124D6">
        <w:rPr>
          <w:rFonts w:ascii="Garamond" w:hAnsi="Garamond"/>
          <w:b/>
        </w:rPr>
        <w:t>Helena, Montana 59620-0901</w:t>
      </w:r>
    </w:p>
    <w:p w14:paraId="2223F480" w14:textId="77777777" w:rsidR="0011127E" w:rsidRPr="006124D6" w:rsidRDefault="0011127E" w:rsidP="006124D6">
      <w:pPr>
        <w:tabs>
          <w:tab w:val="left" w:pos="5723"/>
        </w:tabs>
        <w:rPr>
          <w:rFonts w:ascii="Garamond" w:hAnsi="Garamond"/>
          <w:b/>
        </w:rPr>
      </w:pPr>
    </w:p>
    <w:p w14:paraId="5867A093" w14:textId="77777777" w:rsidR="0011127E" w:rsidRPr="006124D6" w:rsidRDefault="0011127E">
      <w:pPr>
        <w:tabs>
          <w:tab w:val="left" w:pos="-1440"/>
        </w:tabs>
        <w:ind w:left="1440" w:hanging="1440"/>
        <w:jc w:val="center"/>
        <w:rPr>
          <w:rFonts w:ascii="Garamond" w:hAnsi="Garamond"/>
          <w:b/>
        </w:rPr>
      </w:pPr>
      <w:r w:rsidRPr="006124D6">
        <w:rPr>
          <w:rFonts w:ascii="Garamond" w:hAnsi="Garamond"/>
          <w:b/>
          <w:bCs/>
        </w:rPr>
        <w:t>Colstrip Energy Limited Partnership</w:t>
      </w:r>
    </w:p>
    <w:p w14:paraId="1A880B96" w14:textId="77777777" w:rsidR="0011127E" w:rsidRPr="006124D6" w:rsidRDefault="0011127E">
      <w:pPr>
        <w:jc w:val="center"/>
        <w:rPr>
          <w:rFonts w:ascii="Garamond" w:hAnsi="Garamond"/>
          <w:b/>
        </w:rPr>
      </w:pPr>
      <w:r w:rsidRPr="006124D6">
        <w:rPr>
          <w:rFonts w:ascii="Garamond" w:hAnsi="Garamond"/>
          <w:b/>
        </w:rPr>
        <w:t>1087 West River Street, Suite 200</w:t>
      </w:r>
    </w:p>
    <w:p w14:paraId="70312758" w14:textId="77777777" w:rsidR="0011127E" w:rsidRPr="006124D6" w:rsidRDefault="0011127E">
      <w:pPr>
        <w:jc w:val="center"/>
        <w:rPr>
          <w:rFonts w:ascii="Garamond" w:hAnsi="Garamond"/>
          <w:b/>
        </w:rPr>
      </w:pPr>
      <w:r w:rsidRPr="006124D6">
        <w:rPr>
          <w:rFonts w:ascii="Garamond" w:hAnsi="Garamond"/>
          <w:b/>
        </w:rPr>
        <w:t>Boise, Idaho 83702</w:t>
      </w:r>
    </w:p>
    <w:p w14:paraId="28BF6177" w14:textId="77777777" w:rsidR="0011127E" w:rsidRPr="006124D6" w:rsidRDefault="0011127E">
      <w:pPr>
        <w:rPr>
          <w:rFonts w:ascii="Garamond" w:hAnsi="Garamond"/>
          <w:b/>
          <w:bCs/>
        </w:rPr>
      </w:pPr>
    </w:p>
    <w:p w14:paraId="510AEDDE" w14:textId="77777777" w:rsidR="0011127E" w:rsidRPr="006124D6" w:rsidRDefault="0011127E" w:rsidP="006124D6">
      <w:pPr>
        <w:ind w:left="-270"/>
        <w:rPr>
          <w:rFonts w:ascii="Garamond" w:hAnsi="Garamond"/>
        </w:rPr>
      </w:pPr>
      <w:r w:rsidRPr="006124D6">
        <w:rPr>
          <w:rFonts w:ascii="Garamond" w:hAnsi="Garamond"/>
        </w:rPr>
        <w:t>The following table summarizes the air quality programs testing, monitoring, and reporting requirements applicable to this facility.</w:t>
      </w:r>
    </w:p>
    <w:p w14:paraId="2B543D1C" w14:textId="77777777" w:rsidR="0011127E" w:rsidRPr="006124D6" w:rsidRDefault="0011127E">
      <w:pPr>
        <w:jc w:val="center"/>
        <w:rPr>
          <w:rFonts w:ascii="Garamond" w:hAnsi="Garamond"/>
        </w:rPr>
      </w:pPr>
    </w:p>
    <w:tbl>
      <w:tblPr>
        <w:tblW w:w="9501" w:type="dxa"/>
        <w:tblInd w:w="-105" w:type="dxa"/>
        <w:tblLayout w:type="fixed"/>
        <w:tblCellMar>
          <w:left w:w="120" w:type="dxa"/>
          <w:right w:w="120" w:type="dxa"/>
        </w:tblCellMar>
        <w:tblLook w:val="0000" w:firstRow="0" w:lastRow="0" w:firstColumn="0" w:lastColumn="0" w:noHBand="0" w:noVBand="0"/>
      </w:tblPr>
      <w:tblGrid>
        <w:gridCol w:w="5955"/>
        <w:gridCol w:w="564"/>
        <w:gridCol w:w="564"/>
        <w:gridCol w:w="2418"/>
      </w:tblGrid>
      <w:tr w:rsidR="0011127E" w:rsidRPr="0000543F" w14:paraId="7CFEB9B5" w14:textId="77777777" w:rsidTr="00F700D4">
        <w:trPr>
          <w:trHeight w:val="319"/>
        </w:trPr>
        <w:tc>
          <w:tcPr>
            <w:tcW w:w="5955" w:type="dxa"/>
            <w:tcBorders>
              <w:top w:val="single" w:sz="12" w:space="0" w:color="auto"/>
              <w:left w:val="single" w:sz="12" w:space="0" w:color="auto"/>
              <w:bottom w:val="single" w:sz="12" w:space="0" w:color="auto"/>
              <w:right w:val="single" w:sz="7" w:space="0" w:color="000000"/>
            </w:tcBorders>
            <w:tcMar>
              <w:left w:w="43" w:type="dxa"/>
              <w:right w:w="43" w:type="dxa"/>
            </w:tcMar>
            <w:vAlign w:val="center"/>
          </w:tcPr>
          <w:p w14:paraId="59B91E62" w14:textId="77777777" w:rsidR="0011127E" w:rsidRPr="006124D6" w:rsidRDefault="0011127E" w:rsidP="006124D6">
            <w:pPr>
              <w:spacing w:after="58"/>
              <w:rPr>
                <w:rFonts w:ascii="Garamond" w:hAnsi="Garamond"/>
                <w:b/>
                <w:sz w:val="22"/>
                <w:szCs w:val="22"/>
              </w:rPr>
            </w:pPr>
            <w:r w:rsidRPr="006124D6">
              <w:rPr>
                <w:rFonts w:ascii="Garamond" w:hAnsi="Garamond"/>
                <w:b/>
                <w:sz w:val="22"/>
                <w:szCs w:val="22"/>
              </w:rPr>
              <w:t>Facility Compliance Requirements</w:t>
            </w:r>
          </w:p>
        </w:tc>
        <w:tc>
          <w:tcPr>
            <w:tcW w:w="564" w:type="dxa"/>
            <w:tcBorders>
              <w:top w:val="single" w:sz="12" w:space="0" w:color="auto"/>
              <w:left w:val="single" w:sz="7" w:space="0" w:color="000000"/>
              <w:bottom w:val="single" w:sz="12" w:space="0" w:color="auto"/>
              <w:right w:val="single" w:sz="4" w:space="0" w:color="auto"/>
            </w:tcBorders>
            <w:tcMar>
              <w:left w:w="43" w:type="dxa"/>
              <w:right w:w="43" w:type="dxa"/>
            </w:tcMar>
            <w:vAlign w:val="bottom"/>
          </w:tcPr>
          <w:p w14:paraId="2DCF6CD2"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Yes</w:t>
            </w:r>
          </w:p>
        </w:tc>
        <w:tc>
          <w:tcPr>
            <w:tcW w:w="564" w:type="dxa"/>
            <w:tcBorders>
              <w:top w:val="single" w:sz="12" w:space="0" w:color="auto"/>
              <w:left w:val="single" w:sz="4" w:space="0" w:color="auto"/>
              <w:bottom w:val="single" w:sz="12" w:space="0" w:color="auto"/>
              <w:right w:val="single" w:sz="4" w:space="0" w:color="auto"/>
            </w:tcBorders>
            <w:tcMar>
              <w:left w:w="43" w:type="dxa"/>
              <w:right w:w="43" w:type="dxa"/>
            </w:tcMar>
            <w:vAlign w:val="bottom"/>
          </w:tcPr>
          <w:p w14:paraId="098E7841"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No</w:t>
            </w:r>
          </w:p>
        </w:tc>
        <w:tc>
          <w:tcPr>
            <w:tcW w:w="2418" w:type="dxa"/>
            <w:tcBorders>
              <w:top w:val="single" w:sz="12" w:space="0" w:color="auto"/>
              <w:left w:val="single" w:sz="4" w:space="0" w:color="auto"/>
              <w:bottom w:val="single" w:sz="12" w:space="0" w:color="auto"/>
              <w:right w:val="single" w:sz="12" w:space="0" w:color="auto"/>
            </w:tcBorders>
            <w:tcMar>
              <w:left w:w="43" w:type="dxa"/>
              <w:right w:w="43" w:type="dxa"/>
            </w:tcMar>
            <w:vAlign w:val="bottom"/>
          </w:tcPr>
          <w:p w14:paraId="39A7FF6D"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Comments</w:t>
            </w:r>
          </w:p>
        </w:tc>
      </w:tr>
      <w:tr w:rsidR="0011127E" w:rsidRPr="0000543F" w14:paraId="5C1CC791" w14:textId="77777777" w:rsidTr="00F700D4">
        <w:trPr>
          <w:trHeight w:val="418"/>
        </w:trPr>
        <w:tc>
          <w:tcPr>
            <w:tcW w:w="5955" w:type="dxa"/>
            <w:tcBorders>
              <w:top w:val="single" w:sz="12" w:space="0" w:color="auto"/>
              <w:left w:val="single" w:sz="12" w:space="0" w:color="auto"/>
              <w:bottom w:val="single" w:sz="7" w:space="0" w:color="000000"/>
              <w:right w:val="single" w:sz="7" w:space="0" w:color="000000"/>
            </w:tcBorders>
            <w:tcMar>
              <w:left w:w="43" w:type="dxa"/>
              <w:right w:w="43" w:type="dxa"/>
            </w:tcMar>
          </w:tcPr>
          <w:p w14:paraId="53274F09" w14:textId="77777777" w:rsidR="0011127E" w:rsidRPr="006124D6" w:rsidRDefault="0011127E">
            <w:pPr>
              <w:spacing w:after="58"/>
              <w:rPr>
                <w:rFonts w:ascii="Garamond" w:hAnsi="Garamond"/>
                <w:sz w:val="22"/>
                <w:szCs w:val="22"/>
              </w:rPr>
            </w:pPr>
            <w:r w:rsidRPr="006124D6">
              <w:rPr>
                <w:rFonts w:ascii="Garamond" w:hAnsi="Garamond"/>
                <w:sz w:val="22"/>
                <w:szCs w:val="22"/>
              </w:rPr>
              <w:t>Source Tests Required</w:t>
            </w:r>
          </w:p>
        </w:tc>
        <w:tc>
          <w:tcPr>
            <w:tcW w:w="564" w:type="dxa"/>
            <w:tcBorders>
              <w:top w:val="single" w:sz="12" w:space="0" w:color="auto"/>
              <w:left w:val="single" w:sz="7" w:space="0" w:color="000000"/>
              <w:bottom w:val="single" w:sz="7" w:space="0" w:color="000000"/>
              <w:right w:val="single" w:sz="4" w:space="0" w:color="auto"/>
            </w:tcBorders>
            <w:tcMar>
              <w:left w:w="43" w:type="dxa"/>
              <w:right w:w="43" w:type="dxa"/>
            </w:tcMar>
          </w:tcPr>
          <w:p w14:paraId="260FF6E5"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12" w:space="0" w:color="auto"/>
              <w:left w:val="single" w:sz="4" w:space="0" w:color="auto"/>
              <w:bottom w:val="single" w:sz="4" w:space="0" w:color="auto"/>
              <w:right w:val="single" w:sz="4" w:space="0" w:color="auto"/>
            </w:tcBorders>
            <w:tcMar>
              <w:left w:w="43" w:type="dxa"/>
              <w:right w:w="43" w:type="dxa"/>
            </w:tcMar>
          </w:tcPr>
          <w:p w14:paraId="4D7F74E0" w14:textId="77777777" w:rsidR="0011127E" w:rsidRPr="006124D6" w:rsidRDefault="0011127E">
            <w:pPr>
              <w:spacing w:after="58"/>
              <w:jc w:val="center"/>
              <w:rPr>
                <w:rFonts w:ascii="Garamond" w:hAnsi="Garamond"/>
                <w:sz w:val="22"/>
                <w:szCs w:val="22"/>
              </w:rPr>
            </w:pPr>
          </w:p>
        </w:tc>
        <w:tc>
          <w:tcPr>
            <w:tcW w:w="2418" w:type="dxa"/>
            <w:tcBorders>
              <w:top w:val="single" w:sz="12" w:space="0" w:color="auto"/>
              <w:left w:val="single" w:sz="4" w:space="0" w:color="auto"/>
              <w:bottom w:val="single" w:sz="7" w:space="0" w:color="000000"/>
              <w:right w:val="single" w:sz="12" w:space="0" w:color="auto"/>
            </w:tcBorders>
            <w:tcMar>
              <w:left w:w="43" w:type="dxa"/>
              <w:right w:w="43" w:type="dxa"/>
            </w:tcMar>
          </w:tcPr>
          <w:p w14:paraId="2DB38C5E" w14:textId="77777777" w:rsidR="0011127E" w:rsidRPr="006124D6" w:rsidRDefault="00265C59">
            <w:pPr>
              <w:spacing w:after="58"/>
              <w:rPr>
                <w:rFonts w:ascii="Garamond" w:hAnsi="Garamond"/>
                <w:sz w:val="22"/>
                <w:szCs w:val="22"/>
              </w:rPr>
            </w:pPr>
            <w:r w:rsidRPr="006124D6">
              <w:rPr>
                <w:rFonts w:ascii="Garamond" w:hAnsi="Garamond"/>
                <w:sz w:val="22"/>
                <w:szCs w:val="22"/>
              </w:rPr>
              <w:t>Method 3B, 6, 7, 9, 19, and 201A</w:t>
            </w:r>
          </w:p>
        </w:tc>
      </w:tr>
      <w:tr w:rsidR="0011127E" w:rsidRPr="0000543F" w14:paraId="7D372EBE" w14:textId="77777777" w:rsidTr="00F700D4">
        <w:trPr>
          <w:trHeight w:val="418"/>
        </w:trPr>
        <w:tc>
          <w:tcPr>
            <w:tcW w:w="5955" w:type="dxa"/>
            <w:tcBorders>
              <w:top w:val="single" w:sz="7" w:space="0" w:color="000000"/>
              <w:left w:val="single" w:sz="12" w:space="0" w:color="auto"/>
              <w:bottom w:val="single" w:sz="7" w:space="0" w:color="000000"/>
              <w:right w:val="single" w:sz="7" w:space="0" w:color="000000"/>
            </w:tcBorders>
            <w:tcMar>
              <w:left w:w="43" w:type="dxa"/>
              <w:right w:w="43" w:type="dxa"/>
            </w:tcMar>
          </w:tcPr>
          <w:p w14:paraId="5720E236" w14:textId="77777777" w:rsidR="0011127E" w:rsidRPr="006124D6" w:rsidRDefault="0011127E">
            <w:pPr>
              <w:spacing w:after="58"/>
              <w:rPr>
                <w:rFonts w:ascii="Garamond" w:hAnsi="Garamond"/>
                <w:sz w:val="22"/>
                <w:szCs w:val="22"/>
              </w:rPr>
            </w:pPr>
            <w:r w:rsidRPr="006124D6">
              <w:rPr>
                <w:rFonts w:ascii="Garamond" w:hAnsi="Garamond"/>
                <w:sz w:val="22"/>
                <w:szCs w:val="22"/>
              </w:rPr>
              <w:t>Ambient Monitoring Required</w:t>
            </w:r>
          </w:p>
        </w:tc>
        <w:tc>
          <w:tcPr>
            <w:tcW w:w="564" w:type="dxa"/>
            <w:tcBorders>
              <w:top w:val="single" w:sz="7" w:space="0" w:color="000000"/>
              <w:left w:val="single" w:sz="7" w:space="0" w:color="000000"/>
              <w:bottom w:val="single" w:sz="7" w:space="0" w:color="000000"/>
              <w:right w:val="single" w:sz="4" w:space="0" w:color="auto"/>
            </w:tcBorders>
            <w:tcMar>
              <w:left w:w="43" w:type="dxa"/>
              <w:right w:w="43" w:type="dxa"/>
            </w:tcMar>
          </w:tcPr>
          <w:p w14:paraId="239317F9"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5D0B6394" w14:textId="77777777" w:rsidR="0011127E" w:rsidRPr="006124D6" w:rsidRDefault="0011127E">
            <w:pPr>
              <w:spacing w:after="58"/>
              <w:jc w:val="center"/>
              <w:rPr>
                <w:rFonts w:ascii="Garamond" w:hAnsi="Garamond"/>
                <w:sz w:val="22"/>
                <w:szCs w:val="22"/>
              </w:rPr>
            </w:pPr>
          </w:p>
        </w:tc>
        <w:tc>
          <w:tcPr>
            <w:tcW w:w="2418" w:type="dxa"/>
            <w:tcBorders>
              <w:top w:val="single" w:sz="7" w:space="0" w:color="000000"/>
              <w:left w:val="single" w:sz="4" w:space="0" w:color="auto"/>
              <w:bottom w:val="single" w:sz="7" w:space="0" w:color="000000"/>
              <w:right w:val="single" w:sz="12" w:space="0" w:color="auto"/>
            </w:tcBorders>
            <w:tcMar>
              <w:left w:w="43" w:type="dxa"/>
              <w:right w:w="43" w:type="dxa"/>
            </w:tcMar>
          </w:tcPr>
          <w:p w14:paraId="18F8007B" w14:textId="77777777" w:rsidR="0011127E" w:rsidRPr="006124D6" w:rsidRDefault="0011127E">
            <w:pPr>
              <w:spacing w:after="58"/>
              <w:rPr>
                <w:rFonts w:ascii="Garamond" w:hAnsi="Garamond"/>
                <w:sz w:val="22"/>
                <w:szCs w:val="22"/>
              </w:rPr>
            </w:pPr>
          </w:p>
        </w:tc>
      </w:tr>
      <w:tr w:rsidR="0011127E" w:rsidRPr="0000543F" w14:paraId="710F50A6" w14:textId="77777777" w:rsidTr="00F700D4">
        <w:trPr>
          <w:trHeight w:val="418"/>
        </w:trPr>
        <w:tc>
          <w:tcPr>
            <w:tcW w:w="5955" w:type="dxa"/>
            <w:tcBorders>
              <w:top w:val="single" w:sz="7" w:space="0" w:color="000000"/>
              <w:left w:val="single" w:sz="12" w:space="0" w:color="auto"/>
              <w:bottom w:val="single" w:sz="7" w:space="0" w:color="000000"/>
              <w:right w:val="single" w:sz="7" w:space="0" w:color="000000"/>
            </w:tcBorders>
            <w:tcMar>
              <w:left w:w="43" w:type="dxa"/>
              <w:right w:w="43" w:type="dxa"/>
            </w:tcMar>
          </w:tcPr>
          <w:p w14:paraId="49093AD7" w14:textId="77777777" w:rsidR="0011127E" w:rsidRPr="006124D6" w:rsidRDefault="0011127E">
            <w:pPr>
              <w:spacing w:after="58"/>
              <w:rPr>
                <w:rFonts w:ascii="Garamond" w:hAnsi="Garamond"/>
                <w:sz w:val="22"/>
                <w:szCs w:val="22"/>
              </w:rPr>
            </w:pPr>
            <w:r w:rsidRPr="006124D6">
              <w:rPr>
                <w:rFonts w:ascii="Garamond" w:hAnsi="Garamond"/>
                <w:sz w:val="22"/>
                <w:szCs w:val="22"/>
              </w:rPr>
              <w:t>COMS Required</w:t>
            </w:r>
          </w:p>
        </w:tc>
        <w:tc>
          <w:tcPr>
            <w:tcW w:w="564" w:type="dxa"/>
            <w:tcBorders>
              <w:top w:val="single" w:sz="7" w:space="0" w:color="000000"/>
              <w:left w:val="single" w:sz="7" w:space="0" w:color="000000"/>
              <w:bottom w:val="single" w:sz="7" w:space="0" w:color="000000"/>
              <w:right w:val="single" w:sz="4" w:space="0" w:color="auto"/>
            </w:tcBorders>
            <w:tcMar>
              <w:left w:w="43" w:type="dxa"/>
              <w:right w:w="43" w:type="dxa"/>
            </w:tcMar>
          </w:tcPr>
          <w:p w14:paraId="022321DA"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18D65036" w14:textId="77777777" w:rsidR="0011127E" w:rsidRPr="006124D6" w:rsidRDefault="0011127E">
            <w:pPr>
              <w:spacing w:after="58"/>
              <w:jc w:val="center"/>
              <w:rPr>
                <w:rFonts w:ascii="Garamond" w:hAnsi="Garamond"/>
                <w:sz w:val="22"/>
                <w:szCs w:val="22"/>
              </w:rPr>
            </w:pPr>
          </w:p>
        </w:tc>
        <w:tc>
          <w:tcPr>
            <w:tcW w:w="2418" w:type="dxa"/>
            <w:tcBorders>
              <w:top w:val="single" w:sz="7" w:space="0" w:color="000000"/>
              <w:left w:val="single" w:sz="4" w:space="0" w:color="auto"/>
              <w:bottom w:val="single" w:sz="7" w:space="0" w:color="000000"/>
              <w:right w:val="single" w:sz="12" w:space="0" w:color="auto"/>
            </w:tcBorders>
            <w:tcMar>
              <w:left w:w="43" w:type="dxa"/>
              <w:right w:w="43" w:type="dxa"/>
            </w:tcMar>
          </w:tcPr>
          <w:p w14:paraId="70CFDAF1" w14:textId="77777777" w:rsidR="0011127E" w:rsidRPr="006124D6" w:rsidRDefault="0011127E">
            <w:pPr>
              <w:spacing w:after="58"/>
              <w:rPr>
                <w:rFonts w:ascii="Garamond" w:hAnsi="Garamond"/>
                <w:sz w:val="22"/>
                <w:szCs w:val="22"/>
              </w:rPr>
            </w:pPr>
          </w:p>
        </w:tc>
      </w:tr>
      <w:tr w:rsidR="0011127E" w:rsidRPr="0000543F" w14:paraId="5A473B05" w14:textId="77777777" w:rsidTr="00F700D4">
        <w:trPr>
          <w:trHeight w:val="418"/>
        </w:trPr>
        <w:tc>
          <w:tcPr>
            <w:tcW w:w="5955" w:type="dxa"/>
            <w:tcBorders>
              <w:top w:val="single" w:sz="7" w:space="0" w:color="000000"/>
              <w:left w:val="single" w:sz="12" w:space="0" w:color="auto"/>
              <w:bottom w:val="single" w:sz="7" w:space="0" w:color="000000"/>
              <w:right w:val="single" w:sz="7" w:space="0" w:color="000000"/>
            </w:tcBorders>
            <w:tcMar>
              <w:left w:w="43" w:type="dxa"/>
              <w:right w:w="43" w:type="dxa"/>
            </w:tcMar>
          </w:tcPr>
          <w:p w14:paraId="7395EF4E" w14:textId="77777777" w:rsidR="0011127E" w:rsidRPr="006124D6" w:rsidRDefault="0011127E">
            <w:pPr>
              <w:spacing w:after="58"/>
              <w:rPr>
                <w:rFonts w:ascii="Garamond" w:hAnsi="Garamond"/>
                <w:sz w:val="22"/>
                <w:szCs w:val="22"/>
              </w:rPr>
            </w:pPr>
            <w:r w:rsidRPr="006124D6">
              <w:rPr>
                <w:rFonts w:ascii="Garamond" w:hAnsi="Garamond"/>
                <w:sz w:val="22"/>
                <w:szCs w:val="22"/>
              </w:rPr>
              <w:t>CEMS Required</w:t>
            </w:r>
          </w:p>
        </w:tc>
        <w:tc>
          <w:tcPr>
            <w:tcW w:w="564" w:type="dxa"/>
            <w:tcBorders>
              <w:top w:val="single" w:sz="7" w:space="0" w:color="000000"/>
              <w:left w:val="single" w:sz="7" w:space="0" w:color="000000"/>
              <w:bottom w:val="single" w:sz="7" w:space="0" w:color="000000"/>
              <w:right w:val="single" w:sz="4" w:space="0" w:color="auto"/>
            </w:tcBorders>
            <w:tcMar>
              <w:left w:w="43" w:type="dxa"/>
              <w:right w:w="43" w:type="dxa"/>
            </w:tcMar>
          </w:tcPr>
          <w:p w14:paraId="5A0A7F0B"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5FB89EA3" w14:textId="77777777" w:rsidR="0011127E" w:rsidRPr="006124D6" w:rsidRDefault="0011127E">
            <w:pPr>
              <w:spacing w:after="58"/>
              <w:jc w:val="center"/>
              <w:rPr>
                <w:rFonts w:ascii="Garamond" w:hAnsi="Garamond"/>
                <w:sz w:val="22"/>
                <w:szCs w:val="22"/>
              </w:rPr>
            </w:pPr>
          </w:p>
        </w:tc>
        <w:tc>
          <w:tcPr>
            <w:tcW w:w="2418" w:type="dxa"/>
            <w:tcBorders>
              <w:top w:val="single" w:sz="7" w:space="0" w:color="000000"/>
              <w:left w:val="single" w:sz="4" w:space="0" w:color="auto"/>
              <w:bottom w:val="single" w:sz="7" w:space="0" w:color="000000"/>
              <w:right w:val="single" w:sz="12" w:space="0" w:color="auto"/>
            </w:tcBorders>
            <w:tcMar>
              <w:left w:w="43" w:type="dxa"/>
              <w:right w:w="43" w:type="dxa"/>
            </w:tcMar>
          </w:tcPr>
          <w:p w14:paraId="48AAC4A8" w14:textId="77777777" w:rsidR="0011127E" w:rsidRPr="006124D6" w:rsidRDefault="0011127E">
            <w:pPr>
              <w:spacing w:after="58"/>
              <w:rPr>
                <w:rFonts w:ascii="Garamond" w:hAnsi="Garamond"/>
                <w:sz w:val="22"/>
                <w:szCs w:val="22"/>
              </w:rPr>
            </w:pPr>
          </w:p>
        </w:tc>
      </w:tr>
      <w:tr w:rsidR="0011127E" w:rsidRPr="0000543F" w14:paraId="62310907" w14:textId="77777777" w:rsidTr="00F700D4">
        <w:trPr>
          <w:trHeight w:val="418"/>
        </w:trPr>
        <w:tc>
          <w:tcPr>
            <w:tcW w:w="5955" w:type="dxa"/>
            <w:tcBorders>
              <w:top w:val="single" w:sz="7" w:space="0" w:color="000000"/>
              <w:left w:val="single" w:sz="12" w:space="0" w:color="auto"/>
              <w:bottom w:val="single" w:sz="7" w:space="0" w:color="000000"/>
              <w:right w:val="single" w:sz="7" w:space="0" w:color="000000"/>
            </w:tcBorders>
            <w:tcMar>
              <w:left w:w="43" w:type="dxa"/>
              <w:right w:w="43" w:type="dxa"/>
            </w:tcMar>
          </w:tcPr>
          <w:p w14:paraId="79B00E6C" w14:textId="77777777" w:rsidR="0011127E" w:rsidRPr="006124D6" w:rsidRDefault="0011127E">
            <w:pPr>
              <w:spacing w:after="58"/>
              <w:rPr>
                <w:rFonts w:ascii="Garamond" w:hAnsi="Garamond"/>
                <w:sz w:val="22"/>
                <w:szCs w:val="22"/>
              </w:rPr>
            </w:pPr>
            <w:r w:rsidRPr="006124D6">
              <w:rPr>
                <w:rFonts w:ascii="Garamond" w:hAnsi="Garamond"/>
                <w:sz w:val="22"/>
                <w:szCs w:val="22"/>
              </w:rPr>
              <w:t>Schedule of Compliance Required</w:t>
            </w:r>
          </w:p>
        </w:tc>
        <w:tc>
          <w:tcPr>
            <w:tcW w:w="564" w:type="dxa"/>
            <w:tcBorders>
              <w:top w:val="single" w:sz="7" w:space="0" w:color="000000"/>
              <w:left w:val="single" w:sz="7" w:space="0" w:color="000000"/>
              <w:bottom w:val="single" w:sz="7" w:space="0" w:color="000000"/>
              <w:right w:val="single" w:sz="4" w:space="0" w:color="auto"/>
            </w:tcBorders>
            <w:tcMar>
              <w:left w:w="43" w:type="dxa"/>
              <w:right w:w="43" w:type="dxa"/>
            </w:tcMar>
          </w:tcPr>
          <w:p w14:paraId="72263CBE" w14:textId="77777777" w:rsidR="0011127E" w:rsidRPr="006124D6" w:rsidRDefault="0011127E">
            <w:pPr>
              <w:spacing w:after="58"/>
              <w:jc w:val="center"/>
              <w:rPr>
                <w:rFonts w:ascii="Garamond" w:hAnsi="Garamond"/>
                <w:sz w:val="22"/>
                <w:szCs w:val="22"/>
              </w:rPr>
            </w:pP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3FF53A70"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2418" w:type="dxa"/>
            <w:tcBorders>
              <w:top w:val="single" w:sz="7" w:space="0" w:color="000000"/>
              <w:left w:val="single" w:sz="4" w:space="0" w:color="auto"/>
              <w:bottom w:val="single" w:sz="7" w:space="0" w:color="000000"/>
              <w:right w:val="single" w:sz="12" w:space="0" w:color="auto"/>
            </w:tcBorders>
            <w:tcMar>
              <w:left w:w="43" w:type="dxa"/>
              <w:right w:w="43" w:type="dxa"/>
            </w:tcMar>
          </w:tcPr>
          <w:p w14:paraId="3DCFA671" w14:textId="77777777" w:rsidR="0011127E" w:rsidRPr="006124D6" w:rsidRDefault="0011127E">
            <w:pPr>
              <w:spacing w:after="58"/>
              <w:rPr>
                <w:rFonts w:ascii="Garamond" w:hAnsi="Garamond"/>
                <w:sz w:val="22"/>
                <w:szCs w:val="22"/>
              </w:rPr>
            </w:pPr>
          </w:p>
        </w:tc>
      </w:tr>
      <w:tr w:rsidR="0011127E" w:rsidRPr="0000543F" w14:paraId="72AF3C63" w14:textId="77777777" w:rsidTr="00F700D4">
        <w:trPr>
          <w:trHeight w:val="418"/>
        </w:trPr>
        <w:tc>
          <w:tcPr>
            <w:tcW w:w="5955" w:type="dxa"/>
            <w:tcBorders>
              <w:top w:val="single" w:sz="7" w:space="0" w:color="000000"/>
              <w:left w:val="single" w:sz="12" w:space="0" w:color="auto"/>
              <w:bottom w:val="single" w:sz="7" w:space="0" w:color="000000"/>
              <w:right w:val="single" w:sz="7" w:space="0" w:color="000000"/>
            </w:tcBorders>
            <w:tcMar>
              <w:left w:w="43" w:type="dxa"/>
              <w:right w:w="43" w:type="dxa"/>
            </w:tcMar>
          </w:tcPr>
          <w:p w14:paraId="0E34326E" w14:textId="7FB0F7B8" w:rsidR="0011127E" w:rsidRPr="006124D6" w:rsidRDefault="0011127E">
            <w:pPr>
              <w:spacing w:after="58"/>
              <w:rPr>
                <w:rFonts w:ascii="Garamond" w:hAnsi="Garamond"/>
                <w:sz w:val="22"/>
                <w:szCs w:val="22"/>
              </w:rPr>
            </w:pPr>
            <w:r w:rsidRPr="006124D6">
              <w:rPr>
                <w:rFonts w:ascii="Garamond" w:hAnsi="Garamond"/>
                <w:sz w:val="22"/>
                <w:szCs w:val="22"/>
              </w:rPr>
              <w:t>Annual Compliance Certification and Semiannual Reporting Required</w:t>
            </w:r>
          </w:p>
        </w:tc>
        <w:tc>
          <w:tcPr>
            <w:tcW w:w="564" w:type="dxa"/>
            <w:tcBorders>
              <w:top w:val="single" w:sz="7" w:space="0" w:color="000000"/>
              <w:left w:val="single" w:sz="7" w:space="0" w:color="000000"/>
              <w:bottom w:val="single" w:sz="7" w:space="0" w:color="000000"/>
              <w:right w:val="single" w:sz="4" w:space="0" w:color="auto"/>
            </w:tcBorders>
            <w:tcMar>
              <w:left w:w="43" w:type="dxa"/>
              <w:right w:w="43" w:type="dxa"/>
            </w:tcMar>
          </w:tcPr>
          <w:p w14:paraId="037F541F"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46CAD88B" w14:textId="77777777" w:rsidR="0011127E" w:rsidRPr="006124D6" w:rsidRDefault="0011127E">
            <w:pPr>
              <w:spacing w:after="58"/>
              <w:jc w:val="center"/>
              <w:rPr>
                <w:rFonts w:ascii="Garamond" w:hAnsi="Garamond"/>
                <w:sz w:val="22"/>
                <w:szCs w:val="22"/>
              </w:rPr>
            </w:pPr>
          </w:p>
        </w:tc>
        <w:tc>
          <w:tcPr>
            <w:tcW w:w="2418" w:type="dxa"/>
            <w:tcBorders>
              <w:top w:val="single" w:sz="7" w:space="0" w:color="000000"/>
              <w:left w:val="single" w:sz="4" w:space="0" w:color="auto"/>
              <w:bottom w:val="single" w:sz="7" w:space="0" w:color="000000"/>
              <w:right w:val="single" w:sz="12" w:space="0" w:color="auto"/>
            </w:tcBorders>
            <w:tcMar>
              <w:left w:w="43" w:type="dxa"/>
              <w:right w:w="43" w:type="dxa"/>
            </w:tcMar>
          </w:tcPr>
          <w:p w14:paraId="6EE21792" w14:textId="77777777" w:rsidR="0011127E" w:rsidRPr="006124D6" w:rsidRDefault="00265C59">
            <w:pPr>
              <w:spacing w:after="58"/>
              <w:rPr>
                <w:rFonts w:ascii="Garamond" w:hAnsi="Garamond"/>
                <w:sz w:val="22"/>
                <w:szCs w:val="22"/>
              </w:rPr>
            </w:pPr>
            <w:r w:rsidRPr="006124D6">
              <w:rPr>
                <w:rFonts w:ascii="Garamond" w:hAnsi="Garamond"/>
                <w:sz w:val="22"/>
                <w:szCs w:val="22"/>
              </w:rPr>
              <w:t>Semiannual and Annual</w:t>
            </w:r>
          </w:p>
        </w:tc>
      </w:tr>
      <w:tr w:rsidR="0011127E" w:rsidRPr="0000543F" w14:paraId="04B1EFDE" w14:textId="77777777" w:rsidTr="00F700D4">
        <w:trPr>
          <w:trHeight w:val="418"/>
        </w:trPr>
        <w:tc>
          <w:tcPr>
            <w:tcW w:w="5955" w:type="dxa"/>
            <w:tcBorders>
              <w:top w:val="single" w:sz="7" w:space="0" w:color="000000"/>
              <w:left w:val="single" w:sz="12" w:space="0" w:color="auto"/>
              <w:bottom w:val="single" w:sz="7" w:space="0" w:color="000000"/>
              <w:right w:val="single" w:sz="7" w:space="0" w:color="000000"/>
            </w:tcBorders>
            <w:tcMar>
              <w:left w:w="43" w:type="dxa"/>
              <w:right w:w="43" w:type="dxa"/>
            </w:tcMar>
          </w:tcPr>
          <w:p w14:paraId="47ACA803" w14:textId="77777777" w:rsidR="0011127E" w:rsidRPr="006124D6" w:rsidRDefault="0011127E">
            <w:pPr>
              <w:spacing w:after="58"/>
              <w:rPr>
                <w:rFonts w:ascii="Garamond" w:hAnsi="Garamond"/>
                <w:sz w:val="22"/>
                <w:szCs w:val="22"/>
              </w:rPr>
            </w:pPr>
            <w:r w:rsidRPr="006124D6">
              <w:rPr>
                <w:rFonts w:ascii="Garamond" w:hAnsi="Garamond"/>
                <w:sz w:val="22"/>
                <w:szCs w:val="22"/>
              </w:rPr>
              <w:t>Monthly Reporting Required</w:t>
            </w:r>
          </w:p>
        </w:tc>
        <w:tc>
          <w:tcPr>
            <w:tcW w:w="564" w:type="dxa"/>
            <w:tcBorders>
              <w:top w:val="single" w:sz="7" w:space="0" w:color="000000"/>
              <w:left w:val="single" w:sz="7" w:space="0" w:color="000000"/>
              <w:bottom w:val="single" w:sz="7" w:space="0" w:color="000000"/>
              <w:right w:val="single" w:sz="4" w:space="0" w:color="auto"/>
            </w:tcBorders>
            <w:tcMar>
              <w:left w:w="43" w:type="dxa"/>
              <w:right w:w="43" w:type="dxa"/>
            </w:tcMar>
          </w:tcPr>
          <w:p w14:paraId="45B65348" w14:textId="77777777" w:rsidR="0011127E" w:rsidRPr="006124D6" w:rsidRDefault="0011127E">
            <w:pPr>
              <w:spacing w:after="58"/>
              <w:jc w:val="center"/>
              <w:rPr>
                <w:rFonts w:ascii="Garamond" w:hAnsi="Garamond"/>
                <w:sz w:val="22"/>
                <w:szCs w:val="22"/>
              </w:rPr>
            </w:pP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7EA5C2F9"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2418" w:type="dxa"/>
            <w:tcBorders>
              <w:top w:val="single" w:sz="7" w:space="0" w:color="000000"/>
              <w:left w:val="single" w:sz="4" w:space="0" w:color="auto"/>
              <w:bottom w:val="single" w:sz="7" w:space="0" w:color="000000"/>
              <w:right w:val="single" w:sz="12" w:space="0" w:color="auto"/>
            </w:tcBorders>
            <w:tcMar>
              <w:left w:w="43" w:type="dxa"/>
              <w:right w:w="43" w:type="dxa"/>
            </w:tcMar>
          </w:tcPr>
          <w:p w14:paraId="3835D826" w14:textId="77777777" w:rsidR="0011127E" w:rsidRPr="006124D6" w:rsidRDefault="0011127E">
            <w:pPr>
              <w:spacing w:after="58"/>
              <w:rPr>
                <w:rFonts w:ascii="Garamond" w:hAnsi="Garamond"/>
                <w:sz w:val="22"/>
                <w:szCs w:val="22"/>
              </w:rPr>
            </w:pPr>
          </w:p>
        </w:tc>
      </w:tr>
      <w:tr w:rsidR="0011127E" w:rsidRPr="0000543F" w14:paraId="26878176" w14:textId="77777777" w:rsidTr="00F700D4">
        <w:trPr>
          <w:trHeight w:val="418"/>
        </w:trPr>
        <w:tc>
          <w:tcPr>
            <w:tcW w:w="5955" w:type="dxa"/>
            <w:tcBorders>
              <w:top w:val="single" w:sz="7" w:space="0" w:color="000000"/>
              <w:left w:val="single" w:sz="12" w:space="0" w:color="auto"/>
              <w:bottom w:val="single" w:sz="12" w:space="0" w:color="auto"/>
              <w:right w:val="single" w:sz="7" w:space="0" w:color="000000"/>
            </w:tcBorders>
            <w:tcMar>
              <w:left w:w="43" w:type="dxa"/>
              <w:right w:w="43" w:type="dxa"/>
            </w:tcMar>
          </w:tcPr>
          <w:p w14:paraId="394BC4C2" w14:textId="431C5B9C" w:rsidR="0011127E" w:rsidRPr="006124D6" w:rsidRDefault="0011127E">
            <w:pPr>
              <w:spacing w:after="58"/>
              <w:rPr>
                <w:rFonts w:ascii="Garamond" w:hAnsi="Garamond"/>
                <w:sz w:val="22"/>
                <w:szCs w:val="22"/>
              </w:rPr>
            </w:pPr>
            <w:r w:rsidRPr="006124D6">
              <w:rPr>
                <w:rFonts w:ascii="Garamond" w:hAnsi="Garamond"/>
                <w:sz w:val="22"/>
                <w:szCs w:val="22"/>
              </w:rPr>
              <w:t>Quarterly Reporting Required</w:t>
            </w:r>
          </w:p>
        </w:tc>
        <w:tc>
          <w:tcPr>
            <w:tcW w:w="564" w:type="dxa"/>
            <w:tcBorders>
              <w:top w:val="single" w:sz="7" w:space="0" w:color="000000"/>
              <w:left w:val="single" w:sz="7" w:space="0" w:color="000000"/>
              <w:bottom w:val="single" w:sz="12" w:space="0" w:color="auto"/>
              <w:right w:val="single" w:sz="4" w:space="0" w:color="auto"/>
            </w:tcBorders>
            <w:tcMar>
              <w:left w:w="43" w:type="dxa"/>
              <w:right w:w="43" w:type="dxa"/>
            </w:tcMar>
          </w:tcPr>
          <w:p w14:paraId="2AC8074B"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4" w:space="0" w:color="auto"/>
              <w:left w:val="single" w:sz="4" w:space="0" w:color="auto"/>
              <w:bottom w:val="single" w:sz="12" w:space="0" w:color="auto"/>
              <w:right w:val="single" w:sz="4" w:space="0" w:color="auto"/>
            </w:tcBorders>
            <w:tcMar>
              <w:left w:w="43" w:type="dxa"/>
              <w:right w:w="43" w:type="dxa"/>
            </w:tcMar>
          </w:tcPr>
          <w:p w14:paraId="56CC804B" w14:textId="77777777" w:rsidR="0011127E" w:rsidRPr="006124D6" w:rsidRDefault="0011127E">
            <w:pPr>
              <w:spacing w:after="58"/>
              <w:jc w:val="center"/>
              <w:rPr>
                <w:rFonts w:ascii="Garamond" w:hAnsi="Garamond"/>
                <w:sz w:val="22"/>
                <w:szCs w:val="22"/>
              </w:rPr>
            </w:pPr>
          </w:p>
        </w:tc>
        <w:tc>
          <w:tcPr>
            <w:tcW w:w="2418" w:type="dxa"/>
            <w:tcBorders>
              <w:top w:val="single" w:sz="7" w:space="0" w:color="000000"/>
              <w:left w:val="single" w:sz="4" w:space="0" w:color="auto"/>
              <w:bottom w:val="single" w:sz="12" w:space="0" w:color="auto"/>
              <w:right w:val="single" w:sz="12" w:space="0" w:color="auto"/>
            </w:tcBorders>
            <w:tcMar>
              <w:left w:w="43" w:type="dxa"/>
              <w:right w:w="43" w:type="dxa"/>
            </w:tcMar>
          </w:tcPr>
          <w:p w14:paraId="7E6291FD" w14:textId="77777777" w:rsidR="0011127E" w:rsidRPr="006124D6" w:rsidRDefault="0011127E">
            <w:pPr>
              <w:spacing w:after="58"/>
              <w:rPr>
                <w:rFonts w:ascii="Garamond" w:hAnsi="Garamond"/>
                <w:sz w:val="22"/>
                <w:szCs w:val="22"/>
              </w:rPr>
            </w:pPr>
          </w:p>
        </w:tc>
      </w:tr>
      <w:tr w:rsidR="0011127E" w:rsidRPr="0000543F" w14:paraId="006264A3" w14:textId="77777777" w:rsidTr="00F700D4">
        <w:trPr>
          <w:trHeight w:val="285"/>
        </w:trPr>
        <w:tc>
          <w:tcPr>
            <w:tcW w:w="5955" w:type="dxa"/>
            <w:tcBorders>
              <w:top w:val="single" w:sz="12" w:space="0" w:color="auto"/>
              <w:left w:val="single" w:sz="12" w:space="0" w:color="auto"/>
              <w:bottom w:val="single" w:sz="12" w:space="0" w:color="auto"/>
              <w:right w:val="single" w:sz="7" w:space="0" w:color="000000"/>
            </w:tcBorders>
            <w:tcMar>
              <w:left w:w="43" w:type="dxa"/>
              <w:right w:w="43" w:type="dxa"/>
            </w:tcMar>
          </w:tcPr>
          <w:p w14:paraId="377E4ABC" w14:textId="77777777" w:rsidR="0011127E" w:rsidRPr="006124D6" w:rsidRDefault="0011127E" w:rsidP="006124D6">
            <w:pPr>
              <w:spacing w:after="58"/>
              <w:rPr>
                <w:rFonts w:ascii="Garamond" w:hAnsi="Garamond"/>
                <w:sz w:val="22"/>
                <w:szCs w:val="22"/>
              </w:rPr>
            </w:pPr>
            <w:r w:rsidRPr="006124D6">
              <w:rPr>
                <w:rFonts w:ascii="Garamond" w:hAnsi="Garamond"/>
                <w:b/>
                <w:bCs/>
                <w:sz w:val="22"/>
                <w:szCs w:val="22"/>
              </w:rPr>
              <w:t>Applicable Air Quality Programs</w:t>
            </w:r>
          </w:p>
        </w:tc>
        <w:tc>
          <w:tcPr>
            <w:tcW w:w="564" w:type="dxa"/>
            <w:tcBorders>
              <w:top w:val="single" w:sz="12" w:space="0" w:color="auto"/>
              <w:left w:val="single" w:sz="7" w:space="0" w:color="000000"/>
              <w:bottom w:val="single" w:sz="12" w:space="0" w:color="auto"/>
              <w:right w:val="single" w:sz="4" w:space="0" w:color="auto"/>
            </w:tcBorders>
            <w:tcMar>
              <w:left w:w="43" w:type="dxa"/>
              <w:right w:w="43" w:type="dxa"/>
            </w:tcMar>
          </w:tcPr>
          <w:p w14:paraId="0305D0FD" w14:textId="77777777" w:rsidR="0011127E" w:rsidRPr="006124D6" w:rsidRDefault="0011127E">
            <w:pPr>
              <w:spacing w:after="58"/>
              <w:jc w:val="center"/>
              <w:rPr>
                <w:rFonts w:ascii="Garamond" w:hAnsi="Garamond"/>
                <w:sz w:val="22"/>
                <w:szCs w:val="22"/>
              </w:rPr>
            </w:pPr>
          </w:p>
        </w:tc>
        <w:tc>
          <w:tcPr>
            <w:tcW w:w="564" w:type="dxa"/>
            <w:tcBorders>
              <w:top w:val="single" w:sz="12" w:space="0" w:color="auto"/>
              <w:left w:val="single" w:sz="4" w:space="0" w:color="auto"/>
              <w:bottom w:val="single" w:sz="12" w:space="0" w:color="auto"/>
              <w:right w:val="single" w:sz="4" w:space="0" w:color="auto"/>
            </w:tcBorders>
            <w:tcMar>
              <w:left w:w="43" w:type="dxa"/>
              <w:right w:w="43" w:type="dxa"/>
            </w:tcMar>
          </w:tcPr>
          <w:p w14:paraId="112F205A" w14:textId="77777777" w:rsidR="0011127E" w:rsidRPr="006124D6" w:rsidRDefault="0011127E">
            <w:pPr>
              <w:spacing w:after="58"/>
              <w:jc w:val="center"/>
              <w:rPr>
                <w:rFonts w:ascii="Garamond" w:hAnsi="Garamond"/>
                <w:sz w:val="22"/>
                <w:szCs w:val="22"/>
              </w:rPr>
            </w:pPr>
          </w:p>
        </w:tc>
        <w:tc>
          <w:tcPr>
            <w:tcW w:w="2418" w:type="dxa"/>
            <w:tcBorders>
              <w:top w:val="single" w:sz="12" w:space="0" w:color="auto"/>
              <w:left w:val="single" w:sz="4" w:space="0" w:color="auto"/>
              <w:bottom w:val="single" w:sz="12" w:space="0" w:color="auto"/>
              <w:right w:val="single" w:sz="12" w:space="0" w:color="auto"/>
            </w:tcBorders>
            <w:tcMar>
              <w:left w:w="43" w:type="dxa"/>
              <w:right w:w="43" w:type="dxa"/>
            </w:tcMar>
          </w:tcPr>
          <w:p w14:paraId="57F8D724" w14:textId="77777777" w:rsidR="0011127E" w:rsidRPr="006124D6" w:rsidRDefault="0011127E">
            <w:pPr>
              <w:spacing w:after="58"/>
              <w:rPr>
                <w:rFonts w:ascii="Garamond" w:hAnsi="Garamond"/>
                <w:sz w:val="22"/>
                <w:szCs w:val="22"/>
              </w:rPr>
            </w:pPr>
          </w:p>
        </w:tc>
      </w:tr>
      <w:tr w:rsidR="0011127E" w:rsidRPr="0000543F" w14:paraId="611A9231" w14:textId="77777777" w:rsidTr="00F700D4">
        <w:trPr>
          <w:trHeight w:val="418"/>
        </w:trPr>
        <w:tc>
          <w:tcPr>
            <w:tcW w:w="5955" w:type="dxa"/>
            <w:tcBorders>
              <w:top w:val="single" w:sz="12" w:space="0" w:color="auto"/>
              <w:left w:val="single" w:sz="12" w:space="0" w:color="auto"/>
              <w:bottom w:val="single" w:sz="4" w:space="0" w:color="auto"/>
              <w:right w:val="single" w:sz="4" w:space="0" w:color="auto"/>
            </w:tcBorders>
            <w:tcMar>
              <w:left w:w="43" w:type="dxa"/>
              <w:right w:w="43" w:type="dxa"/>
            </w:tcMar>
          </w:tcPr>
          <w:p w14:paraId="59BB6B8C" w14:textId="77777777" w:rsidR="0011127E" w:rsidRPr="006124D6" w:rsidRDefault="0011127E">
            <w:pPr>
              <w:spacing w:after="58"/>
              <w:rPr>
                <w:rFonts w:ascii="Garamond" w:hAnsi="Garamond"/>
                <w:sz w:val="22"/>
                <w:szCs w:val="22"/>
              </w:rPr>
            </w:pPr>
            <w:r w:rsidRPr="006124D6">
              <w:rPr>
                <w:rFonts w:ascii="Garamond" w:hAnsi="Garamond"/>
                <w:sz w:val="22"/>
                <w:szCs w:val="22"/>
              </w:rPr>
              <w:t xml:space="preserve">ARM Subchapter 7 </w:t>
            </w:r>
            <w:r w:rsidR="00444CFA" w:rsidRPr="006124D6">
              <w:rPr>
                <w:rFonts w:ascii="Garamond" w:hAnsi="Garamond"/>
                <w:sz w:val="22"/>
                <w:szCs w:val="22"/>
              </w:rPr>
              <w:t>Montana Air Quality Permits</w:t>
            </w:r>
            <w:r w:rsidR="00871C69">
              <w:rPr>
                <w:rFonts w:ascii="Garamond" w:hAnsi="Garamond"/>
                <w:sz w:val="22"/>
                <w:szCs w:val="22"/>
              </w:rPr>
              <w:t xml:space="preserve"> (MAQP)</w:t>
            </w:r>
          </w:p>
        </w:tc>
        <w:tc>
          <w:tcPr>
            <w:tcW w:w="564" w:type="dxa"/>
            <w:tcBorders>
              <w:top w:val="single" w:sz="12" w:space="0" w:color="auto"/>
              <w:left w:val="single" w:sz="4" w:space="0" w:color="auto"/>
              <w:bottom w:val="single" w:sz="4" w:space="0" w:color="auto"/>
              <w:right w:val="single" w:sz="4" w:space="0" w:color="auto"/>
            </w:tcBorders>
            <w:tcMar>
              <w:left w:w="43" w:type="dxa"/>
              <w:right w:w="43" w:type="dxa"/>
            </w:tcMar>
          </w:tcPr>
          <w:p w14:paraId="0619CBC1"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12" w:space="0" w:color="auto"/>
              <w:left w:val="single" w:sz="4" w:space="0" w:color="auto"/>
              <w:bottom w:val="single" w:sz="4" w:space="0" w:color="auto"/>
              <w:right w:val="single" w:sz="4" w:space="0" w:color="auto"/>
            </w:tcBorders>
            <w:tcMar>
              <w:left w:w="43" w:type="dxa"/>
              <w:right w:w="43" w:type="dxa"/>
            </w:tcMar>
          </w:tcPr>
          <w:p w14:paraId="26AA7093" w14:textId="77777777" w:rsidR="0011127E" w:rsidRPr="006124D6" w:rsidRDefault="0011127E">
            <w:pPr>
              <w:spacing w:after="58"/>
              <w:jc w:val="center"/>
              <w:rPr>
                <w:rFonts w:ascii="Garamond" w:hAnsi="Garamond"/>
                <w:sz w:val="22"/>
                <w:szCs w:val="22"/>
              </w:rPr>
            </w:pPr>
          </w:p>
        </w:tc>
        <w:tc>
          <w:tcPr>
            <w:tcW w:w="2418" w:type="dxa"/>
            <w:tcBorders>
              <w:top w:val="single" w:sz="12" w:space="0" w:color="auto"/>
              <w:left w:val="single" w:sz="4" w:space="0" w:color="auto"/>
              <w:bottom w:val="single" w:sz="4" w:space="0" w:color="auto"/>
              <w:right w:val="single" w:sz="12" w:space="0" w:color="auto"/>
            </w:tcBorders>
            <w:tcMar>
              <w:left w:w="43" w:type="dxa"/>
              <w:right w:w="43" w:type="dxa"/>
            </w:tcMar>
          </w:tcPr>
          <w:p w14:paraId="73AD797C" w14:textId="24FD2F46" w:rsidR="0011127E" w:rsidRPr="006124D6" w:rsidRDefault="00A84144">
            <w:pPr>
              <w:spacing w:after="58"/>
              <w:rPr>
                <w:rFonts w:ascii="Garamond" w:hAnsi="Garamond"/>
                <w:sz w:val="22"/>
                <w:szCs w:val="22"/>
              </w:rPr>
            </w:pPr>
            <w:r w:rsidRPr="006124D6">
              <w:rPr>
                <w:rFonts w:ascii="Garamond" w:hAnsi="Garamond"/>
                <w:sz w:val="22"/>
                <w:szCs w:val="22"/>
              </w:rPr>
              <w:t>#2035-0</w:t>
            </w:r>
            <w:r w:rsidR="005C40D4">
              <w:rPr>
                <w:rFonts w:ascii="Garamond" w:hAnsi="Garamond"/>
                <w:sz w:val="22"/>
                <w:szCs w:val="22"/>
              </w:rPr>
              <w:t>8</w:t>
            </w:r>
          </w:p>
        </w:tc>
      </w:tr>
      <w:tr w:rsidR="0011127E" w:rsidRPr="0000543F" w14:paraId="78ED7DB4" w14:textId="77777777" w:rsidTr="00F700D4">
        <w:trPr>
          <w:trHeight w:val="418"/>
        </w:trPr>
        <w:tc>
          <w:tcPr>
            <w:tcW w:w="5955" w:type="dxa"/>
            <w:tcBorders>
              <w:top w:val="single" w:sz="4" w:space="0" w:color="auto"/>
              <w:left w:val="single" w:sz="12" w:space="0" w:color="auto"/>
              <w:bottom w:val="single" w:sz="4" w:space="0" w:color="auto"/>
              <w:right w:val="single" w:sz="4" w:space="0" w:color="auto"/>
            </w:tcBorders>
            <w:tcMar>
              <w:left w:w="43" w:type="dxa"/>
              <w:right w:w="43" w:type="dxa"/>
            </w:tcMar>
          </w:tcPr>
          <w:p w14:paraId="53673D4A" w14:textId="77777777" w:rsidR="0011127E" w:rsidRPr="006124D6" w:rsidRDefault="0011127E">
            <w:pPr>
              <w:spacing w:after="58"/>
              <w:rPr>
                <w:rFonts w:ascii="Garamond" w:hAnsi="Garamond"/>
                <w:sz w:val="22"/>
                <w:szCs w:val="22"/>
              </w:rPr>
            </w:pPr>
            <w:r w:rsidRPr="006124D6">
              <w:rPr>
                <w:rFonts w:ascii="Garamond" w:hAnsi="Garamond"/>
                <w:sz w:val="22"/>
                <w:szCs w:val="22"/>
              </w:rPr>
              <w:t>New Source Performance Standards (NSPS)</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3AA71168"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36538E3C" w14:textId="77777777" w:rsidR="0011127E" w:rsidRPr="006124D6" w:rsidRDefault="0011127E">
            <w:pPr>
              <w:spacing w:after="58"/>
              <w:jc w:val="center"/>
              <w:rPr>
                <w:rFonts w:ascii="Garamond" w:hAnsi="Garamond"/>
                <w:sz w:val="22"/>
                <w:szCs w:val="22"/>
              </w:rPr>
            </w:pPr>
          </w:p>
        </w:tc>
        <w:tc>
          <w:tcPr>
            <w:tcW w:w="2418" w:type="dxa"/>
            <w:tcBorders>
              <w:top w:val="single" w:sz="4" w:space="0" w:color="auto"/>
              <w:left w:val="single" w:sz="4" w:space="0" w:color="auto"/>
              <w:bottom w:val="single" w:sz="4" w:space="0" w:color="auto"/>
              <w:right w:val="single" w:sz="12" w:space="0" w:color="auto"/>
            </w:tcBorders>
            <w:tcMar>
              <w:left w:w="43" w:type="dxa"/>
              <w:right w:w="43" w:type="dxa"/>
            </w:tcMar>
          </w:tcPr>
          <w:p w14:paraId="3E846A44" w14:textId="77777777" w:rsidR="0011127E" w:rsidRPr="006124D6" w:rsidRDefault="00265C59">
            <w:pPr>
              <w:spacing w:after="58"/>
              <w:rPr>
                <w:rFonts w:ascii="Garamond" w:hAnsi="Garamond"/>
                <w:sz w:val="22"/>
                <w:szCs w:val="22"/>
              </w:rPr>
            </w:pPr>
            <w:r w:rsidRPr="006124D6">
              <w:rPr>
                <w:rFonts w:ascii="Garamond" w:hAnsi="Garamond"/>
                <w:sz w:val="22"/>
                <w:szCs w:val="22"/>
              </w:rPr>
              <w:t>40 CFR 60, Subpart</w:t>
            </w:r>
            <w:r w:rsidR="00E00BC2" w:rsidRPr="006124D6">
              <w:rPr>
                <w:rFonts w:ascii="Garamond" w:hAnsi="Garamond"/>
                <w:sz w:val="22"/>
                <w:szCs w:val="22"/>
              </w:rPr>
              <w:t>s</w:t>
            </w:r>
            <w:r w:rsidRPr="006124D6">
              <w:rPr>
                <w:rFonts w:ascii="Garamond" w:hAnsi="Garamond"/>
                <w:sz w:val="22"/>
                <w:szCs w:val="22"/>
              </w:rPr>
              <w:t xml:space="preserve"> </w:t>
            </w:r>
            <w:r w:rsidR="00E00BC2" w:rsidRPr="006124D6">
              <w:rPr>
                <w:rFonts w:ascii="Garamond" w:hAnsi="Garamond"/>
                <w:sz w:val="22"/>
                <w:szCs w:val="22"/>
              </w:rPr>
              <w:t>Da</w:t>
            </w:r>
            <w:r w:rsidR="00871C69">
              <w:rPr>
                <w:rFonts w:ascii="Garamond" w:hAnsi="Garamond"/>
                <w:sz w:val="22"/>
                <w:szCs w:val="22"/>
              </w:rPr>
              <w:t>,</w:t>
            </w:r>
            <w:r w:rsidR="00E00BC2" w:rsidRPr="006124D6">
              <w:rPr>
                <w:rFonts w:ascii="Garamond" w:hAnsi="Garamond"/>
                <w:sz w:val="22"/>
                <w:szCs w:val="22"/>
              </w:rPr>
              <w:t xml:space="preserve"> </w:t>
            </w:r>
            <w:r w:rsidRPr="006124D6">
              <w:rPr>
                <w:rFonts w:ascii="Garamond" w:hAnsi="Garamond"/>
                <w:sz w:val="22"/>
                <w:szCs w:val="22"/>
              </w:rPr>
              <w:t>Y</w:t>
            </w:r>
            <w:r w:rsidR="00871C69">
              <w:rPr>
                <w:rFonts w:ascii="Garamond" w:hAnsi="Garamond"/>
                <w:sz w:val="22"/>
                <w:szCs w:val="22"/>
              </w:rPr>
              <w:t>, and IIII</w:t>
            </w:r>
          </w:p>
        </w:tc>
      </w:tr>
      <w:tr w:rsidR="0011127E" w:rsidRPr="0000543F" w14:paraId="16E525F5" w14:textId="77777777" w:rsidTr="00F700D4">
        <w:trPr>
          <w:trHeight w:val="418"/>
        </w:trPr>
        <w:tc>
          <w:tcPr>
            <w:tcW w:w="5955" w:type="dxa"/>
            <w:tcBorders>
              <w:top w:val="single" w:sz="4" w:space="0" w:color="auto"/>
              <w:left w:val="single" w:sz="12" w:space="0" w:color="auto"/>
              <w:bottom w:val="single" w:sz="4" w:space="0" w:color="auto"/>
              <w:right w:val="single" w:sz="4" w:space="0" w:color="auto"/>
            </w:tcBorders>
            <w:tcMar>
              <w:left w:w="43" w:type="dxa"/>
              <w:right w:w="43" w:type="dxa"/>
            </w:tcMar>
          </w:tcPr>
          <w:p w14:paraId="49FC5BC6" w14:textId="77777777" w:rsidR="0011127E" w:rsidRPr="006124D6" w:rsidRDefault="0011127E">
            <w:pPr>
              <w:spacing w:after="58"/>
              <w:rPr>
                <w:rFonts w:ascii="Garamond" w:hAnsi="Garamond"/>
                <w:sz w:val="22"/>
                <w:szCs w:val="22"/>
              </w:rPr>
            </w:pPr>
            <w:r w:rsidRPr="006124D6">
              <w:rPr>
                <w:rFonts w:ascii="Garamond" w:hAnsi="Garamond"/>
                <w:sz w:val="22"/>
                <w:szCs w:val="22"/>
              </w:rPr>
              <w:t>National Emission Standards for Hazardous Air Pollutants (NESHAPS)</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71599EA8" w14:textId="77777777" w:rsidR="0011127E" w:rsidRPr="006124D6" w:rsidRDefault="0011127E">
            <w:pPr>
              <w:spacing w:after="58"/>
              <w:jc w:val="center"/>
              <w:rPr>
                <w:rFonts w:ascii="Garamond" w:hAnsi="Garamond"/>
                <w:sz w:val="22"/>
                <w:szCs w:val="22"/>
              </w:rPr>
            </w:pP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16288A2C"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2418" w:type="dxa"/>
            <w:tcBorders>
              <w:top w:val="single" w:sz="4" w:space="0" w:color="auto"/>
              <w:left w:val="single" w:sz="4" w:space="0" w:color="auto"/>
              <w:bottom w:val="single" w:sz="4" w:space="0" w:color="auto"/>
              <w:right w:val="single" w:sz="12" w:space="0" w:color="auto"/>
            </w:tcBorders>
            <w:tcMar>
              <w:left w:w="43" w:type="dxa"/>
              <w:right w:w="43" w:type="dxa"/>
            </w:tcMar>
          </w:tcPr>
          <w:p w14:paraId="2C496645" w14:textId="77777777" w:rsidR="0011127E" w:rsidRPr="006124D6" w:rsidRDefault="0011127E">
            <w:pPr>
              <w:spacing w:after="58"/>
              <w:rPr>
                <w:rFonts w:ascii="Garamond" w:hAnsi="Garamond"/>
                <w:sz w:val="22"/>
                <w:szCs w:val="22"/>
              </w:rPr>
            </w:pPr>
          </w:p>
        </w:tc>
      </w:tr>
      <w:tr w:rsidR="0011127E" w:rsidRPr="0000543F" w14:paraId="667489F0" w14:textId="77777777" w:rsidTr="00F700D4">
        <w:trPr>
          <w:trHeight w:val="418"/>
        </w:trPr>
        <w:tc>
          <w:tcPr>
            <w:tcW w:w="5955" w:type="dxa"/>
            <w:tcBorders>
              <w:top w:val="single" w:sz="4" w:space="0" w:color="auto"/>
              <w:left w:val="single" w:sz="12" w:space="0" w:color="auto"/>
              <w:bottom w:val="single" w:sz="4" w:space="0" w:color="auto"/>
              <w:right w:val="single" w:sz="4" w:space="0" w:color="auto"/>
            </w:tcBorders>
            <w:tcMar>
              <w:left w:w="43" w:type="dxa"/>
              <w:right w:w="43" w:type="dxa"/>
            </w:tcMar>
          </w:tcPr>
          <w:p w14:paraId="6FEDE704" w14:textId="77777777" w:rsidR="0011127E" w:rsidRPr="006124D6" w:rsidRDefault="0011127E">
            <w:pPr>
              <w:spacing w:after="58"/>
              <w:rPr>
                <w:rFonts w:ascii="Garamond" w:hAnsi="Garamond"/>
                <w:sz w:val="22"/>
                <w:szCs w:val="22"/>
              </w:rPr>
            </w:pPr>
            <w:r w:rsidRPr="006124D6">
              <w:rPr>
                <w:rFonts w:ascii="Garamond" w:hAnsi="Garamond"/>
                <w:sz w:val="22"/>
                <w:szCs w:val="22"/>
              </w:rPr>
              <w:t>Maximum Achievable Control Technology (MACT)</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14C47B71" w14:textId="77777777" w:rsidR="0011127E" w:rsidRPr="006124D6" w:rsidRDefault="00871C69">
            <w:pPr>
              <w:spacing w:after="58"/>
              <w:jc w:val="center"/>
              <w:rPr>
                <w:rFonts w:ascii="Garamond" w:hAnsi="Garamond"/>
                <w:sz w:val="22"/>
                <w:szCs w:val="22"/>
              </w:rPr>
            </w:pPr>
            <w:r w:rsidRPr="00AE6382">
              <w:rPr>
                <w:rFonts w:ascii="Garamond" w:hAnsi="Garamond"/>
                <w:sz w:val="22"/>
                <w:szCs w:val="22"/>
              </w:rPr>
              <w:t>X</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50C0629C" w14:textId="77777777" w:rsidR="0011127E" w:rsidRPr="006124D6" w:rsidRDefault="0011127E">
            <w:pPr>
              <w:spacing w:after="58"/>
              <w:jc w:val="center"/>
              <w:rPr>
                <w:rFonts w:ascii="Garamond" w:hAnsi="Garamond"/>
                <w:sz w:val="22"/>
                <w:szCs w:val="22"/>
              </w:rPr>
            </w:pPr>
          </w:p>
        </w:tc>
        <w:tc>
          <w:tcPr>
            <w:tcW w:w="2418" w:type="dxa"/>
            <w:tcBorders>
              <w:top w:val="single" w:sz="4" w:space="0" w:color="auto"/>
              <w:left w:val="single" w:sz="4" w:space="0" w:color="auto"/>
              <w:bottom w:val="single" w:sz="4" w:space="0" w:color="auto"/>
              <w:right w:val="single" w:sz="12" w:space="0" w:color="auto"/>
            </w:tcBorders>
            <w:tcMar>
              <w:left w:w="43" w:type="dxa"/>
              <w:right w:w="43" w:type="dxa"/>
            </w:tcMar>
          </w:tcPr>
          <w:p w14:paraId="7F93DC3A" w14:textId="77777777" w:rsidR="0011127E" w:rsidRPr="006124D6" w:rsidRDefault="00871C69">
            <w:pPr>
              <w:spacing w:after="58"/>
              <w:rPr>
                <w:rFonts w:ascii="Garamond" w:hAnsi="Garamond"/>
                <w:sz w:val="22"/>
                <w:szCs w:val="22"/>
              </w:rPr>
            </w:pPr>
            <w:r>
              <w:rPr>
                <w:rFonts w:ascii="Garamond" w:hAnsi="Garamond"/>
                <w:sz w:val="22"/>
                <w:szCs w:val="22"/>
              </w:rPr>
              <w:t>40 CFR 63, Subparts ZZZZ and UUUUU</w:t>
            </w:r>
          </w:p>
        </w:tc>
      </w:tr>
      <w:tr w:rsidR="0011127E" w:rsidRPr="0000543F" w14:paraId="15F94044" w14:textId="77777777" w:rsidTr="00F700D4">
        <w:trPr>
          <w:trHeight w:val="418"/>
        </w:trPr>
        <w:tc>
          <w:tcPr>
            <w:tcW w:w="5955" w:type="dxa"/>
            <w:tcBorders>
              <w:top w:val="single" w:sz="4" w:space="0" w:color="auto"/>
              <w:left w:val="single" w:sz="12" w:space="0" w:color="auto"/>
              <w:bottom w:val="single" w:sz="4" w:space="0" w:color="auto"/>
              <w:right w:val="single" w:sz="4" w:space="0" w:color="auto"/>
            </w:tcBorders>
            <w:tcMar>
              <w:left w:w="43" w:type="dxa"/>
              <w:right w:w="43" w:type="dxa"/>
            </w:tcMar>
          </w:tcPr>
          <w:p w14:paraId="1FDCB98B" w14:textId="77777777" w:rsidR="0011127E" w:rsidRPr="006124D6" w:rsidRDefault="0011127E">
            <w:pPr>
              <w:spacing w:after="58"/>
              <w:rPr>
                <w:rFonts w:ascii="Garamond" w:hAnsi="Garamond"/>
                <w:sz w:val="22"/>
                <w:szCs w:val="22"/>
              </w:rPr>
            </w:pPr>
            <w:r w:rsidRPr="006124D6">
              <w:rPr>
                <w:rFonts w:ascii="Garamond" w:hAnsi="Garamond"/>
                <w:sz w:val="22"/>
                <w:szCs w:val="22"/>
              </w:rPr>
              <w:t>Major New Source Review (NSR)</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71C6DEE9"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7562938B" w14:textId="77777777" w:rsidR="0011127E" w:rsidRPr="006124D6" w:rsidRDefault="0011127E">
            <w:pPr>
              <w:spacing w:after="58"/>
              <w:jc w:val="center"/>
              <w:rPr>
                <w:rFonts w:ascii="Garamond" w:hAnsi="Garamond"/>
                <w:sz w:val="22"/>
                <w:szCs w:val="22"/>
              </w:rPr>
            </w:pPr>
          </w:p>
        </w:tc>
        <w:tc>
          <w:tcPr>
            <w:tcW w:w="2418" w:type="dxa"/>
            <w:tcBorders>
              <w:top w:val="single" w:sz="4" w:space="0" w:color="auto"/>
              <w:left w:val="single" w:sz="4" w:space="0" w:color="auto"/>
              <w:bottom w:val="single" w:sz="4" w:space="0" w:color="auto"/>
              <w:right w:val="single" w:sz="12" w:space="0" w:color="auto"/>
            </w:tcBorders>
            <w:tcMar>
              <w:left w:w="43" w:type="dxa"/>
              <w:right w:w="43" w:type="dxa"/>
            </w:tcMar>
          </w:tcPr>
          <w:p w14:paraId="61C321EC" w14:textId="77777777" w:rsidR="0011127E" w:rsidRPr="006124D6" w:rsidRDefault="0011127E">
            <w:pPr>
              <w:spacing w:after="58"/>
              <w:rPr>
                <w:rFonts w:ascii="Garamond" w:hAnsi="Garamond"/>
                <w:sz w:val="22"/>
                <w:szCs w:val="22"/>
              </w:rPr>
            </w:pPr>
          </w:p>
        </w:tc>
      </w:tr>
      <w:tr w:rsidR="0011127E" w:rsidRPr="0000543F" w14:paraId="64E85A7F" w14:textId="77777777" w:rsidTr="00F700D4">
        <w:trPr>
          <w:trHeight w:val="418"/>
        </w:trPr>
        <w:tc>
          <w:tcPr>
            <w:tcW w:w="5955" w:type="dxa"/>
            <w:tcBorders>
              <w:top w:val="single" w:sz="4" w:space="0" w:color="auto"/>
              <w:left w:val="single" w:sz="12" w:space="0" w:color="auto"/>
              <w:bottom w:val="single" w:sz="4" w:space="0" w:color="auto"/>
              <w:right w:val="single" w:sz="4" w:space="0" w:color="auto"/>
            </w:tcBorders>
            <w:tcMar>
              <w:left w:w="43" w:type="dxa"/>
              <w:right w:w="43" w:type="dxa"/>
            </w:tcMar>
          </w:tcPr>
          <w:p w14:paraId="162328E7" w14:textId="77777777" w:rsidR="0011127E" w:rsidRPr="006124D6" w:rsidRDefault="0011127E">
            <w:pPr>
              <w:spacing w:after="58"/>
              <w:rPr>
                <w:rFonts w:ascii="Garamond" w:hAnsi="Garamond"/>
                <w:sz w:val="22"/>
                <w:szCs w:val="22"/>
              </w:rPr>
            </w:pPr>
            <w:r w:rsidRPr="006124D6">
              <w:rPr>
                <w:rFonts w:ascii="Garamond" w:hAnsi="Garamond"/>
                <w:sz w:val="22"/>
                <w:szCs w:val="22"/>
              </w:rPr>
              <w:t>Risk Management Plan Required (RMP)</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5DE4E23C" w14:textId="77777777" w:rsidR="0011127E" w:rsidRPr="006124D6" w:rsidRDefault="0011127E">
            <w:pPr>
              <w:spacing w:after="58"/>
              <w:jc w:val="center"/>
              <w:rPr>
                <w:rFonts w:ascii="Garamond" w:hAnsi="Garamond"/>
                <w:sz w:val="22"/>
                <w:szCs w:val="22"/>
              </w:rPr>
            </w:pP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30C7FA1B"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2418" w:type="dxa"/>
            <w:tcBorders>
              <w:top w:val="single" w:sz="4" w:space="0" w:color="auto"/>
              <w:left w:val="single" w:sz="4" w:space="0" w:color="auto"/>
              <w:bottom w:val="single" w:sz="4" w:space="0" w:color="auto"/>
              <w:right w:val="single" w:sz="12" w:space="0" w:color="auto"/>
            </w:tcBorders>
            <w:tcMar>
              <w:left w:w="43" w:type="dxa"/>
              <w:right w:w="43" w:type="dxa"/>
            </w:tcMar>
          </w:tcPr>
          <w:p w14:paraId="02D29D47" w14:textId="77777777" w:rsidR="0011127E" w:rsidRPr="006124D6" w:rsidRDefault="0011127E">
            <w:pPr>
              <w:spacing w:after="58"/>
              <w:rPr>
                <w:rFonts w:ascii="Garamond" w:hAnsi="Garamond"/>
                <w:sz w:val="22"/>
                <w:szCs w:val="22"/>
              </w:rPr>
            </w:pPr>
          </w:p>
        </w:tc>
      </w:tr>
      <w:tr w:rsidR="0011127E" w:rsidRPr="0000543F" w14:paraId="10D7CF6A" w14:textId="77777777" w:rsidTr="00F700D4">
        <w:trPr>
          <w:trHeight w:val="418"/>
        </w:trPr>
        <w:tc>
          <w:tcPr>
            <w:tcW w:w="5955" w:type="dxa"/>
            <w:tcBorders>
              <w:top w:val="single" w:sz="4" w:space="0" w:color="auto"/>
              <w:left w:val="single" w:sz="12" w:space="0" w:color="auto"/>
              <w:bottom w:val="single" w:sz="4" w:space="0" w:color="auto"/>
              <w:right w:val="single" w:sz="4" w:space="0" w:color="auto"/>
            </w:tcBorders>
            <w:tcMar>
              <w:left w:w="43" w:type="dxa"/>
              <w:right w:w="43" w:type="dxa"/>
            </w:tcMar>
          </w:tcPr>
          <w:p w14:paraId="40E4B2B3" w14:textId="77777777" w:rsidR="0011127E" w:rsidRPr="006124D6" w:rsidRDefault="0011127E">
            <w:pPr>
              <w:spacing w:after="58"/>
              <w:rPr>
                <w:rFonts w:ascii="Garamond" w:hAnsi="Garamond"/>
                <w:sz w:val="22"/>
                <w:szCs w:val="22"/>
              </w:rPr>
            </w:pPr>
            <w:r w:rsidRPr="006124D6">
              <w:rPr>
                <w:rFonts w:ascii="Garamond" w:hAnsi="Garamond"/>
                <w:sz w:val="22"/>
                <w:szCs w:val="22"/>
              </w:rPr>
              <w:t>Acid Rain Title IV</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20A85179" w14:textId="77777777" w:rsidR="0011127E" w:rsidRPr="006124D6" w:rsidRDefault="0011127E">
            <w:pPr>
              <w:spacing w:after="58"/>
              <w:jc w:val="center"/>
              <w:rPr>
                <w:rFonts w:ascii="Garamond" w:hAnsi="Garamond"/>
                <w:sz w:val="22"/>
                <w:szCs w:val="22"/>
              </w:rPr>
            </w:pP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744A5DA1"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2418" w:type="dxa"/>
            <w:tcBorders>
              <w:top w:val="single" w:sz="4" w:space="0" w:color="auto"/>
              <w:left w:val="single" w:sz="4" w:space="0" w:color="auto"/>
              <w:bottom w:val="single" w:sz="4" w:space="0" w:color="auto"/>
              <w:right w:val="single" w:sz="12" w:space="0" w:color="auto"/>
            </w:tcBorders>
            <w:tcMar>
              <w:left w:w="43" w:type="dxa"/>
              <w:right w:w="43" w:type="dxa"/>
            </w:tcMar>
          </w:tcPr>
          <w:p w14:paraId="63F6DF0D" w14:textId="77777777" w:rsidR="0011127E" w:rsidRPr="006124D6" w:rsidRDefault="0011127E">
            <w:pPr>
              <w:spacing w:after="58"/>
              <w:rPr>
                <w:rFonts w:ascii="Garamond" w:hAnsi="Garamond"/>
                <w:sz w:val="22"/>
                <w:szCs w:val="22"/>
              </w:rPr>
            </w:pPr>
          </w:p>
        </w:tc>
      </w:tr>
      <w:tr w:rsidR="00F55724" w:rsidRPr="0000543F" w14:paraId="04A85782" w14:textId="77777777" w:rsidTr="00F700D4">
        <w:trPr>
          <w:trHeight w:val="418"/>
        </w:trPr>
        <w:tc>
          <w:tcPr>
            <w:tcW w:w="5955" w:type="dxa"/>
            <w:tcBorders>
              <w:top w:val="single" w:sz="4" w:space="0" w:color="auto"/>
              <w:left w:val="single" w:sz="12" w:space="0" w:color="auto"/>
              <w:bottom w:val="single" w:sz="4" w:space="0" w:color="auto"/>
              <w:right w:val="single" w:sz="4" w:space="0" w:color="auto"/>
            </w:tcBorders>
            <w:tcMar>
              <w:left w:w="43" w:type="dxa"/>
              <w:right w:w="43" w:type="dxa"/>
            </w:tcMar>
          </w:tcPr>
          <w:p w14:paraId="423CD93E" w14:textId="77777777" w:rsidR="00F55724" w:rsidRPr="0000543F" w:rsidDel="00F55724" w:rsidRDefault="00F55724">
            <w:pPr>
              <w:spacing w:after="58"/>
              <w:rPr>
                <w:rFonts w:ascii="Garamond" w:hAnsi="Garamond"/>
                <w:sz w:val="22"/>
                <w:szCs w:val="22"/>
              </w:rPr>
            </w:pPr>
            <w:r>
              <w:rPr>
                <w:rFonts w:ascii="Garamond" w:hAnsi="Garamond"/>
                <w:sz w:val="22"/>
                <w:szCs w:val="22"/>
              </w:rPr>
              <w:t>Compliance Assurance Monitoring (CAM)</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33670128" w14:textId="77777777" w:rsidR="00F55724" w:rsidRPr="0000543F" w:rsidDel="00F55724" w:rsidRDefault="00F55724" w:rsidP="006124D6">
            <w:pPr>
              <w:spacing w:after="58"/>
              <w:jc w:val="center"/>
              <w:rPr>
                <w:rFonts w:ascii="Garamond" w:hAnsi="Garamond"/>
                <w:sz w:val="22"/>
                <w:szCs w:val="22"/>
              </w:rPr>
            </w:pPr>
            <w:r>
              <w:rPr>
                <w:rFonts w:ascii="Garamond" w:hAnsi="Garamond"/>
                <w:sz w:val="22"/>
                <w:szCs w:val="22"/>
              </w:rPr>
              <w:t>X</w:t>
            </w:r>
          </w:p>
        </w:tc>
        <w:tc>
          <w:tcPr>
            <w:tcW w:w="564" w:type="dxa"/>
            <w:tcBorders>
              <w:top w:val="single" w:sz="4" w:space="0" w:color="auto"/>
              <w:left w:val="single" w:sz="4" w:space="0" w:color="auto"/>
              <w:bottom w:val="single" w:sz="4" w:space="0" w:color="auto"/>
              <w:right w:val="single" w:sz="4" w:space="0" w:color="auto"/>
            </w:tcBorders>
            <w:tcMar>
              <w:left w:w="43" w:type="dxa"/>
              <w:right w:w="43" w:type="dxa"/>
            </w:tcMar>
          </w:tcPr>
          <w:p w14:paraId="11A42903" w14:textId="77777777" w:rsidR="00F55724" w:rsidRPr="0000543F" w:rsidDel="00F55724" w:rsidRDefault="00F55724" w:rsidP="006124D6">
            <w:pPr>
              <w:spacing w:after="58"/>
              <w:jc w:val="center"/>
              <w:rPr>
                <w:rFonts w:ascii="Garamond" w:hAnsi="Garamond"/>
                <w:sz w:val="22"/>
                <w:szCs w:val="22"/>
              </w:rPr>
            </w:pPr>
          </w:p>
        </w:tc>
        <w:tc>
          <w:tcPr>
            <w:tcW w:w="2418" w:type="dxa"/>
            <w:tcBorders>
              <w:top w:val="single" w:sz="4" w:space="0" w:color="auto"/>
              <w:left w:val="single" w:sz="4" w:space="0" w:color="auto"/>
              <w:bottom w:val="single" w:sz="4" w:space="0" w:color="auto"/>
              <w:right w:val="single" w:sz="12" w:space="0" w:color="auto"/>
            </w:tcBorders>
            <w:tcMar>
              <w:left w:w="43" w:type="dxa"/>
              <w:right w:w="43" w:type="dxa"/>
            </w:tcMar>
          </w:tcPr>
          <w:p w14:paraId="61C60485" w14:textId="6E04ACC0" w:rsidR="00F55724" w:rsidRPr="0000543F" w:rsidDel="00F55724" w:rsidRDefault="00F55724">
            <w:pPr>
              <w:spacing w:after="58"/>
              <w:rPr>
                <w:rFonts w:ascii="Garamond" w:hAnsi="Garamond"/>
                <w:sz w:val="22"/>
                <w:szCs w:val="22"/>
              </w:rPr>
            </w:pPr>
            <w:r>
              <w:rPr>
                <w:rFonts w:ascii="Garamond" w:hAnsi="Garamond"/>
                <w:sz w:val="22"/>
                <w:szCs w:val="22"/>
              </w:rPr>
              <w:t>OP</w:t>
            </w:r>
            <w:r w:rsidRPr="00350146">
              <w:rPr>
                <w:rFonts w:ascii="Garamond" w:hAnsi="Garamond"/>
                <w:sz w:val="22"/>
                <w:szCs w:val="22"/>
              </w:rPr>
              <w:t>2035-0</w:t>
            </w:r>
            <w:r w:rsidR="005C40D4">
              <w:rPr>
                <w:rFonts w:ascii="Garamond" w:hAnsi="Garamond"/>
                <w:sz w:val="22"/>
                <w:szCs w:val="22"/>
              </w:rPr>
              <w:t>5</w:t>
            </w:r>
            <w:r>
              <w:rPr>
                <w:rFonts w:ascii="Garamond" w:hAnsi="Garamond"/>
                <w:sz w:val="22"/>
                <w:szCs w:val="22"/>
              </w:rPr>
              <w:t xml:space="preserve"> </w:t>
            </w:r>
            <w:r w:rsidRPr="00D9617D">
              <w:rPr>
                <w:rFonts w:ascii="Garamond" w:hAnsi="Garamond"/>
                <w:sz w:val="22"/>
                <w:szCs w:val="22"/>
              </w:rPr>
              <w:t>Appendix F and G</w:t>
            </w:r>
          </w:p>
        </w:tc>
      </w:tr>
      <w:tr w:rsidR="0011127E" w:rsidRPr="0000543F" w14:paraId="7E466AE2" w14:textId="77777777" w:rsidTr="00F700D4">
        <w:trPr>
          <w:trHeight w:val="418"/>
        </w:trPr>
        <w:tc>
          <w:tcPr>
            <w:tcW w:w="5955" w:type="dxa"/>
            <w:tcBorders>
              <w:top w:val="single" w:sz="4" w:space="0" w:color="auto"/>
              <w:left w:val="single" w:sz="12" w:space="0" w:color="auto"/>
              <w:bottom w:val="single" w:sz="12" w:space="0" w:color="auto"/>
              <w:right w:val="single" w:sz="4" w:space="0" w:color="auto"/>
            </w:tcBorders>
            <w:tcMar>
              <w:left w:w="43" w:type="dxa"/>
              <w:right w:w="43" w:type="dxa"/>
            </w:tcMar>
          </w:tcPr>
          <w:p w14:paraId="4931CD00" w14:textId="77777777" w:rsidR="0011127E" w:rsidRPr="006124D6" w:rsidRDefault="0011127E">
            <w:pPr>
              <w:spacing w:after="58"/>
              <w:rPr>
                <w:rFonts w:ascii="Garamond" w:hAnsi="Garamond"/>
                <w:sz w:val="22"/>
                <w:szCs w:val="22"/>
              </w:rPr>
            </w:pPr>
            <w:r w:rsidRPr="006124D6">
              <w:rPr>
                <w:rFonts w:ascii="Garamond" w:hAnsi="Garamond"/>
                <w:sz w:val="22"/>
                <w:szCs w:val="22"/>
              </w:rPr>
              <w:t>State Implementation Plan (SIP)</w:t>
            </w:r>
          </w:p>
        </w:tc>
        <w:tc>
          <w:tcPr>
            <w:tcW w:w="564" w:type="dxa"/>
            <w:tcBorders>
              <w:top w:val="single" w:sz="4" w:space="0" w:color="auto"/>
              <w:left w:val="single" w:sz="4" w:space="0" w:color="auto"/>
              <w:bottom w:val="single" w:sz="12" w:space="0" w:color="auto"/>
              <w:right w:val="single" w:sz="4" w:space="0" w:color="auto"/>
            </w:tcBorders>
            <w:tcMar>
              <w:left w:w="43" w:type="dxa"/>
              <w:right w:w="43" w:type="dxa"/>
            </w:tcMar>
          </w:tcPr>
          <w:p w14:paraId="16924A60" w14:textId="77777777" w:rsidR="0011127E" w:rsidRPr="006124D6" w:rsidRDefault="0011127E">
            <w:pPr>
              <w:spacing w:after="58"/>
              <w:jc w:val="center"/>
              <w:rPr>
                <w:rFonts w:ascii="Garamond" w:hAnsi="Garamond"/>
                <w:sz w:val="22"/>
                <w:szCs w:val="22"/>
              </w:rPr>
            </w:pPr>
            <w:r w:rsidRPr="006124D6">
              <w:rPr>
                <w:rFonts w:ascii="Garamond" w:hAnsi="Garamond"/>
                <w:sz w:val="22"/>
                <w:szCs w:val="22"/>
              </w:rPr>
              <w:t>X</w:t>
            </w:r>
          </w:p>
        </w:tc>
        <w:tc>
          <w:tcPr>
            <w:tcW w:w="564" w:type="dxa"/>
            <w:tcBorders>
              <w:top w:val="single" w:sz="4" w:space="0" w:color="auto"/>
              <w:left w:val="single" w:sz="4" w:space="0" w:color="auto"/>
              <w:bottom w:val="single" w:sz="12" w:space="0" w:color="auto"/>
              <w:right w:val="single" w:sz="4" w:space="0" w:color="auto"/>
            </w:tcBorders>
            <w:tcMar>
              <w:left w:w="43" w:type="dxa"/>
              <w:right w:w="43" w:type="dxa"/>
            </w:tcMar>
          </w:tcPr>
          <w:p w14:paraId="053C0265" w14:textId="77777777" w:rsidR="0011127E" w:rsidRPr="006124D6" w:rsidRDefault="0011127E">
            <w:pPr>
              <w:spacing w:after="58"/>
              <w:jc w:val="center"/>
              <w:rPr>
                <w:rFonts w:ascii="Garamond" w:hAnsi="Garamond"/>
                <w:sz w:val="22"/>
                <w:szCs w:val="22"/>
              </w:rPr>
            </w:pPr>
          </w:p>
        </w:tc>
        <w:tc>
          <w:tcPr>
            <w:tcW w:w="2418" w:type="dxa"/>
            <w:tcBorders>
              <w:top w:val="single" w:sz="4" w:space="0" w:color="auto"/>
              <w:left w:val="single" w:sz="4" w:space="0" w:color="auto"/>
              <w:bottom w:val="single" w:sz="12" w:space="0" w:color="auto"/>
              <w:right w:val="single" w:sz="12" w:space="0" w:color="auto"/>
            </w:tcBorders>
            <w:tcMar>
              <w:left w:w="43" w:type="dxa"/>
              <w:right w:w="43" w:type="dxa"/>
            </w:tcMar>
          </w:tcPr>
          <w:p w14:paraId="6A349509" w14:textId="77777777" w:rsidR="0011127E" w:rsidRPr="006124D6" w:rsidRDefault="00F722F3">
            <w:pPr>
              <w:spacing w:after="58"/>
              <w:rPr>
                <w:rFonts w:ascii="Garamond" w:hAnsi="Garamond"/>
                <w:sz w:val="22"/>
                <w:szCs w:val="22"/>
              </w:rPr>
            </w:pPr>
            <w:r w:rsidRPr="006124D6">
              <w:rPr>
                <w:rFonts w:ascii="Garamond" w:hAnsi="Garamond"/>
                <w:sz w:val="22"/>
                <w:szCs w:val="22"/>
              </w:rPr>
              <w:t>General Requirements</w:t>
            </w:r>
          </w:p>
        </w:tc>
      </w:tr>
    </w:tbl>
    <w:p w14:paraId="6E7F6087" w14:textId="77777777" w:rsidR="0011127E" w:rsidRPr="006124D6" w:rsidRDefault="00C92AF2">
      <w:pPr>
        <w:jc w:val="center"/>
        <w:rPr>
          <w:rFonts w:ascii="Garamond" w:hAnsi="Garamond"/>
        </w:rPr>
      </w:pPr>
      <w:r w:rsidRPr="006124D6">
        <w:rPr>
          <w:rFonts w:ascii="Garamond" w:hAnsi="Garamond"/>
          <w:b/>
          <w:bCs/>
        </w:rPr>
        <w:br w:type="page"/>
      </w:r>
      <w:r w:rsidR="0011127E" w:rsidRPr="006124D6">
        <w:rPr>
          <w:rFonts w:ascii="Garamond" w:hAnsi="Garamond"/>
          <w:b/>
          <w:bCs/>
        </w:rPr>
        <w:lastRenderedPageBreak/>
        <w:t xml:space="preserve">Table </w:t>
      </w:r>
      <w:r w:rsidR="00384F77" w:rsidRPr="006124D6">
        <w:rPr>
          <w:rFonts w:ascii="Garamond" w:hAnsi="Garamond"/>
          <w:b/>
          <w:bCs/>
        </w:rPr>
        <w:t>of</w:t>
      </w:r>
      <w:r w:rsidR="0011127E" w:rsidRPr="006124D6">
        <w:rPr>
          <w:rFonts w:ascii="Garamond" w:hAnsi="Garamond"/>
          <w:b/>
          <w:bCs/>
        </w:rPr>
        <w:t xml:space="preserve"> Contents</w:t>
      </w:r>
    </w:p>
    <w:p w14:paraId="27A701C5" w14:textId="77777777" w:rsidR="0011127E" w:rsidRPr="006124D6" w:rsidRDefault="0011127E">
      <w:pPr>
        <w:pStyle w:val="Heading2"/>
        <w:rPr>
          <w:rFonts w:ascii="Garamond" w:hAnsi="Garamond"/>
          <w:caps/>
          <w:sz w:val="24"/>
          <w:szCs w:val="24"/>
        </w:rPr>
      </w:pPr>
    </w:p>
    <w:p w14:paraId="37058A0F" w14:textId="023DE269" w:rsidR="00755C20" w:rsidRPr="00443A26" w:rsidRDefault="00D56781" w:rsidP="006D50BC">
      <w:pPr>
        <w:pStyle w:val="TOC1"/>
        <w:rPr>
          <w:rFonts w:ascii="Garamond" w:eastAsiaTheme="minorEastAsia" w:hAnsi="Garamond" w:cstheme="minorBidi"/>
          <w:caps w:val="0"/>
          <w:noProof/>
          <w:sz w:val="22"/>
          <w:szCs w:val="22"/>
        </w:rPr>
      </w:pPr>
      <w:r w:rsidRPr="00957CE2">
        <w:rPr>
          <w:bCs/>
        </w:rPr>
        <w:fldChar w:fldCharType="begin"/>
      </w:r>
      <w:r w:rsidRPr="00957CE2">
        <w:rPr>
          <w:bCs/>
        </w:rPr>
        <w:instrText xml:space="preserve"> TOC \o "1-2" \h \z </w:instrText>
      </w:r>
      <w:r w:rsidRPr="00957CE2">
        <w:rPr>
          <w:bCs/>
        </w:rPr>
        <w:fldChar w:fldCharType="separate"/>
      </w:r>
      <w:hyperlink w:anchor="_Toc104892058" w:history="1">
        <w:r w:rsidR="00755C20" w:rsidRPr="00443A26">
          <w:rPr>
            <w:rStyle w:val="Hyperlink"/>
            <w:rFonts w:ascii="Garamond" w:hAnsi="Garamond"/>
            <w:noProof/>
          </w:rPr>
          <w:t>Section I.</w:t>
        </w:r>
        <w:r w:rsidR="00755C20" w:rsidRPr="00443A26">
          <w:rPr>
            <w:rFonts w:ascii="Garamond" w:eastAsiaTheme="minorEastAsia" w:hAnsi="Garamond" w:cstheme="minorBidi"/>
            <w:caps w:val="0"/>
            <w:noProof/>
            <w:sz w:val="22"/>
            <w:szCs w:val="22"/>
          </w:rPr>
          <w:tab/>
        </w:r>
        <w:r w:rsidR="00755C20" w:rsidRPr="00443A26">
          <w:rPr>
            <w:rStyle w:val="Hyperlink"/>
            <w:rFonts w:ascii="Garamond" w:hAnsi="Garamond"/>
            <w:noProof/>
          </w:rPr>
          <w:t xml:space="preserve"> General Information</w:t>
        </w:r>
        <w:r w:rsidR="00755C20" w:rsidRPr="00443A26">
          <w:rPr>
            <w:rFonts w:ascii="Garamond" w:hAnsi="Garamond"/>
            <w:noProof/>
            <w:webHidden/>
          </w:rPr>
          <w:tab/>
        </w:r>
        <w:r w:rsidR="00755C20" w:rsidRPr="00443A26">
          <w:rPr>
            <w:rFonts w:ascii="Garamond" w:hAnsi="Garamond"/>
            <w:noProof/>
            <w:webHidden/>
          </w:rPr>
          <w:fldChar w:fldCharType="begin"/>
        </w:r>
        <w:r w:rsidR="00755C20" w:rsidRPr="00443A26">
          <w:rPr>
            <w:rFonts w:ascii="Garamond" w:hAnsi="Garamond"/>
            <w:noProof/>
            <w:webHidden/>
          </w:rPr>
          <w:instrText xml:space="preserve"> PAGEREF _Toc104892058 \h </w:instrText>
        </w:r>
        <w:r w:rsidR="00755C20" w:rsidRPr="00443A26">
          <w:rPr>
            <w:rFonts w:ascii="Garamond" w:hAnsi="Garamond"/>
            <w:noProof/>
            <w:webHidden/>
          </w:rPr>
        </w:r>
        <w:r w:rsidR="00755C20" w:rsidRPr="00443A26">
          <w:rPr>
            <w:rFonts w:ascii="Garamond" w:hAnsi="Garamond"/>
            <w:noProof/>
            <w:webHidden/>
          </w:rPr>
          <w:fldChar w:fldCharType="separate"/>
        </w:r>
        <w:r w:rsidR="00755C20" w:rsidRPr="00443A26">
          <w:rPr>
            <w:rFonts w:ascii="Garamond" w:hAnsi="Garamond"/>
            <w:noProof/>
            <w:webHidden/>
          </w:rPr>
          <w:t>3</w:t>
        </w:r>
        <w:r w:rsidR="00755C20" w:rsidRPr="00443A26">
          <w:rPr>
            <w:rFonts w:ascii="Garamond" w:hAnsi="Garamond"/>
            <w:noProof/>
            <w:webHidden/>
          </w:rPr>
          <w:fldChar w:fldCharType="end"/>
        </w:r>
      </w:hyperlink>
    </w:p>
    <w:p w14:paraId="6A8E2901" w14:textId="20C5D04B" w:rsidR="00755C20" w:rsidRPr="00443A26" w:rsidRDefault="00755C20" w:rsidP="006D50BC">
      <w:pPr>
        <w:pStyle w:val="TOC2"/>
        <w:spacing w:after="120"/>
        <w:rPr>
          <w:rFonts w:ascii="Garamond" w:eastAsiaTheme="minorEastAsia" w:hAnsi="Garamond" w:cstheme="minorBidi"/>
        </w:rPr>
      </w:pPr>
      <w:hyperlink w:anchor="_Toc104892059" w:history="1">
        <w:r w:rsidRPr="00443A26">
          <w:rPr>
            <w:rStyle w:val="Hyperlink"/>
            <w:rFonts w:ascii="Garamond" w:hAnsi="Garamond"/>
          </w:rPr>
          <w:t>A.</w:t>
        </w:r>
        <w:r w:rsidRPr="00443A26">
          <w:rPr>
            <w:rFonts w:ascii="Garamond" w:eastAsiaTheme="minorEastAsia" w:hAnsi="Garamond" w:cstheme="minorBidi"/>
          </w:rPr>
          <w:tab/>
        </w:r>
        <w:r w:rsidRPr="00443A26">
          <w:rPr>
            <w:rStyle w:val="Hyperlink"/>
            <w:rFonts w:ascii="Garamond" w:hAnsi="Garamond"/>
          </w:rPr>
          <w:t>Purpose</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_Toc104892059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3</w:t>
        </w:r>
        <w:r w:rsidRPr="00443A26">
          <w:rPr>
            <w:rFonts w:ascii="Garamond" w:hAnsi="Garamond"/>
            <w:webHidden/>
          </w:rPr>
          <w:fldChar w:fldCharType="end"/>
        </w:r>
      </w:hyperlink>
    </w:p>
    <w:p w14:paraId="6AC7F71C" w14:textId="16DCFDE4" w:rsidR="00755C20" w:rsidRPr="00443A26" w:rsidRDefault="00755C20" w:rsidP="006D50BC">
      <w:pPr>
        <w:pStyle w:val="TOC2"/>
        <w:spacing w:after="120"/>
        <w:rPr>
          <w:rFonts w:ascii="Garamond" w:eastAsiaTheme="minorEastAsia" w:hAnsi="Garamond" w:cstheme="minorBidi"/>
        </w:rPr>
      </w:pPr>
      <w:hyperlink w:anchor="_Toc104892060" w:history="1">
        <w:r w:rsidRPr="00443A26">
          <w:rPr>
            <w:rStyle w:val="Hyperlink"/>
            <w:rFonts w:ascii="Garamond" w:hAnsi="Garamond"/>
          </w:rPr>
          <w:t>B.</w:t>
        </w:r>
        <w:r w:rsidRPr="00443A26">
          <w:rPr>
            <w:rFonts w:ascii="Garamond" w:eastAsiaTheme="minorEastAsia" w:hAnsi="Garamond" w:cstheme="minorBidi"/>
          </w:rPr>
          <w:tab/>
        </w:r>
        <w:r w:rsidRPr="00443A26">
          <w:rPr>
            <w:rStyle w:val="Hyperlink"/>
            <w:rFonts w:ascii="Garamond" w:hAnsi="Garamond"/>
          </w:rPr>
          <w:t>Facility Location</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_Toc104892060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3</w:t>
        </w:r>
        <w:r w:rsidRPr="00443A26">
          <w:rPr>
            <w:rFonts w:ascii="Garamond" w:hAnsi="Garamond"/>
            <w:webHidden/>
          </w:rPr>
          <w:fldChar w:fldCharType="end"/>
        </w:r>
      </w:hyperlink>
    </w:p>
    <w:p w14:paraId="145FCEA8" w14:textId="6EFF8846" w:rsidR="00755C20" w:rsidRPr="00443A26" w:rsidRDefault="00755C20" w:rsidP="006D50BC">
      <w:pPr>
        <w:pStyle w:val="TOC2"/>
        <w:spacing w:after="120"/>
        <w:rPr>
          <w:rFonts w:ascii="Garamond" w:eastAsiaTheme="minorEastAsia" w:hAnsi="Garamond" w:cstheme="minorBidi"/>
        </w:rPr>
      </w:pPr>
      <w:hyperlink w:anchor="_Toc104892061" w:history="1">
        <w:r w:rsidRPr="00443A26">
          <w:rPr>
            <w:rStyle w:val="Hyperlink"/>
            <w:rFonts w:ascii="Garamond" w:hAnsi="Garamond"/>
          </w:rPr>
          <w:t>C.</w:t>
        </w:r>
        <w:r w:rsidRPr="00443A26">
          <w:rPr>
            <w:rFonts w:ascii="Garamond" w:eastAsiaTheme="minorEastAsia" w:hAnsi="Garamond" w:cstheme="minorBidi"/>
          </w:rPr>
          <w:tab/>
        </w:r>
        <w:r w:rsidRPr="00443A26">
          <w:rPr>
            <w:rStyle w:val="Hyperlink"/>
            <w:rFonts w:ascii="Garamond" w:hAnsi="Garamond"/>
          </w:rPr>
          <w:t>Facility Background Information</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_Toc104892061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3</w:t>
        </w:r>
        <w:r w:rsidRPr="00443A26">
          <w:rPr>
            <w:rFonts w:ascii="Garamond" w:hAnsi="Garamond"/>
            <w:webHidden/>
          </w:rPr>
          <w:fldChar w:fldCharType="end"/>
        </w:r>
      </w:hyperlink>
    </w:p>
    <w:p w14:paraId="3A87C2A5" w14:textId="531875B5" w:rsidR="00755C20" w:rsidRPr="00443A26" w:rsidRDefault="00755C20" w:rsidP="006D50BC">
      <w:pPr>
        <w:pStyle w:val="TOC2"/>
        <w:spacing w:after="120"/>
        <w:rPr>
          <w:rFonts w:ascii="Garamond" w:eastAsiaTheme="minorEastAsia" w:hAnsi="Garamond" w:cstheme="minorBidi"/>
        </w:rPr>
      </w:pPr>
      <w:hyperlink w:anchor="_Toc104892062" w:history="1">
        <w:r w:rsidRPr="00443A26">
          <w:rPr>
            <w:rStyle w:val="Hyperlink"/>
            <w:rFonts w:ascii="Garamond" w:hAnsi="Garamond"/>
          </w:rPr>
          <w:t>D.</w:t>
        </w:r>
        <w:r w:rsidRPr="00443A26">
          <w:rPr>
            <w:rFonts w:ascii="Garamond" w:eastAsiaTheme="minorEastAsia" w:hAnsi="Garamond" w:cstheme="minorBidi"/>
          </w:rPr>
          <w:tab/>
        </w:r>
        <w:r w:rsidRPr="00443A26">
          <w:rPr>
            <w:rStyle w:val="Hyperlink"/>
            <w:rFonts w:ascii="Garamond" w:hAnsi="Garamond"/>
          </w:rPr>
          <w:t>Current Permit Action</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_Toc104892062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8</w:t>
        </w:r>
        <w:r w:rsidRPr="00443A26">
          <w:rPr>
            <w:rFonts w:ascii="Garamond" w:hAnsi="Garamond"/>
            <w:webHidden/>
          </w:rPr>
          <w:fldChar w:fldCharType="end"/>
        </w:r>
      </w:hyperlink>
    </w:p>
    <w:p w14:paraId="054315F4" w14:textId="400DC207" w:rsidR="00755C20" w:rsidRPr="00443A26" w:rsidRDefault="00755C20" w:rsidP="006D50BC">
      <w:pPr>
        <w:pStyle w:val="TOC2"/>
        <w:spacing w:after="120"/>
        <w:rPr>
          <w:rFonts w:ascii="Garamond" w:eastAsiaTheme="minorEastAsia" w:hAnsi="Garamond" w:cstheme="minorBidi"/>
        </w:rPr>
      </w:pPr>
      <w:hyperlink w:anchor="_Toc104892063" w:history="1">
        <w:r w:rsidRPr="00443A26">
          <w:rPr>
            <w:rStyle w:val="Hyperlink"/>
            <w:rFonts w:ascii="Garamond" w:hAnsi="Garamond"/>
          </w:rPr>
          <w:t>E.</w:t>
        </w:r>
        <w:r w:rsidRPr="00443A26">
          <w:rPr>
            <w:rFonts w:ascii="Garamond" w:eastAsiaTheme="minorEastAsia" w:hAnsi="Garamond" w:cstheme="minorBidi"/>
          </w:rPr>
          <w:tab/>
        </w:r>
        <w:r w:rsidRPr="00443A26">
          <w:rPr>
            <w:rStyle w:val="Hyperlink"/>
            <w:rFonts w:ascii="Garamond" w:hAnsi="Garamond"/>
          </w:rPr>
          <w:t>Taking and Damaging Analysis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_Toc104892063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8</w:t>
        </w:r>
        <w:r w:rsidRPr="00443A26">
          <w:rPr>
            <w:rFonts w:ascii="Garamond" w:hAnsi="Garamond"/>
            <w:webHidden/>
          </w:rPr>
          <w:fldChar w:fldCharType="end"/>
        </w:r>
      </w:hyperlink>
    </w:p>
    <w:p w14:paraId="79ADD53A" w14:textId="731070A8" w:rsidR="00755C20" w:rsidRPr="00443A26" w:rsidRDefault="00755C20" w:rsidP="006D50BC">
      <w:pPr>
        <w:pStyle w:val="TOC2"/>
        <w:spacing w:after="120"/>
        <w:rPr>
          <w:rFonts w:ascii="Garamond" w:eastAsiaTheme="minorEastAsia" w:hAnsi="Garamond" w:cstheme="minorBidi"/>
        </w:rPr>
      </w:pPr>
      <w:hyperlink w:anchor="_Toc104892064" w:history="1">
        <w:r w:rsidRPr="00443A26">
          <w:rPr>
            <w:rStyle w:val="Hyperlink"/>
            <w:rFonts w:ascii="Garamond" w:hAnsi="Garamond"/>
          </w:rPr>
          <w:t>F.</w:t>
        </w:r>
        <w:r w:rsidRPr="00443A26">
          <w:rPr>
            <w:rFonts w:ascii="Garamond" w:eastAsiaTheme="minorEastAsia" w:hAnsi="Garamond" w:cstheme="minorBidi"/>
          </w:rPr>
          <w:tab/>
        </w:r>
        <w:r w:rsidRPr="00443A26">
          <w:rPr>
            <w:rFonts w:ascii="Garamond" w:eastAsiaTheme="minorEastAsia" w:hAnsi="Garamond" w:cstheme="minorBidi"/>
          </w:rPr>
          <w:tab/>
        </w:r>
        <w:r w:rsidRPr="00443A26">
          <w:rPr>
            <w:rStyle w:val="Hyperlink"/>
            <w:rFonts w:ascii="Garamond" w:hAnsi="Garamond"/>
          </w:rPr>
          <w:t>Compliance Designation</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_Toc104892064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9</w:t>
        </w:r>
        <w:r w:rsidRPr="00443A26">
          <w:rPr>
            <w:rFonts w:ascii="Garamond" w:hAnsi="Garamond"/>
            <w:webHidden/>
          </w:rPr>
          <w:fldChar w:fldCharType="end"/>
        </w:r>
      </w:hyperlink>
    </w:p>
    <w:p w14:paraId="1CDA1CFD" w14:textId="6710DB97" w:rsidR="00755C20" w:rsidRPr="00443A26" w:rsidRDefault="00755C20" w:rsidP="006D50BC">
      <w:pPr>
        <w:pStyle w:val="TOC1"/>
        <w:rPr>
          <w:rFonts w:ascii="Garamond" w:eastAsiaTheme="minorEastAsia" w:hAnsi="Garamond" w:cstheme="minorBidi"/>
          <w:caps w:val="0"/>
          <w:noProof/>
          <w:sz w:val="22"/>
          <w:szCs w:val="22"/>
        </w:rPr>
      </w:pPr>
      <w:hyperlink w:anchor="_Toc104892065" w:history="1">
        <w:r w:rsidRPr="00443A26">
          <w:rPr>
            <w:rStyle w:val="Hyperlink"/>
            <w:rFonts w:ascii="Garamond" w:hAnsi="Garamond"/>
            <w:noProof/>
          </w:rPr>
          <w:t>Section ii</w:t>
        </w:r>
        <w:r w:rsidR="00D8745A" w:rsidRPr="00443A26">
          <w:rPr>
            <w:rStyle w:val="Hyperlink"/>
            <w:rFonts w:ascii="Garamond" w:hAnsi="Garamond"/>
            <w:noProof/>
          </w:rPr>
          <w:t xml:space="preserve">. </w:t>
        </w:r>
        <w:r w:rsidRPr="00443A26">
          <w:rPr>
            <w:rStyle w:val="Hyperlink"/>
            <w:rFonts w:ascii="Garamond" w:hAnsi="Garamond"/>
            <w:noProof/>
          </w:rPr>
          <w:t>Summary of Emission Units</w:t>
        </w:r>
        <w:r w:rsidRPr="00443A26">
          <w:rPr>
            <w:rFonts w:ascii="Garamond" w:hAnsi="Garamond"/>
            <w:noProof/>
            <w:webHidden/>
          </w:rPr>
          <w:tab/>
        </w:r>
        <w:r w:rsidRPr="00443A26">
          <w:rPr>
            <w:rFonts w:ascii="Garamond" w:hAnsi="Garamond"/>
            <w:noProof/>
            <w:webHidden/>
          </w:rPr>
          <w:fldChar w:fldCharType="begin"/>
        </w:r>
        <w:r w:rsidRPr="00443A26">
          <w:rPr>
            <w:rFonts w:ascii="Garamond" w:hAnsi="Garamond"/>
            <w:noProof/>
            <w:webHidden/>
          </w:rPr>
          <w:instrText xml:space="preserve"> PAGEREF _Toc104892065 \h </w:instrText>
        </w:r>
        <w:r w:rsidRPr="00443A26">
          <w:rPr>
            <w:rFonts w:ascii="Garamond" w:hAnsi="Garamond"/>
            <w:noProof/>
            <w:webHidden/>
          </w:rPr>
        </w:r>
        <w:r w:rsidRPr="00443A26">
          <w:rPr>
            <w:rFonts w:ascii="Garamond" w:hAnsi="Garamond"/>
            <w:noProof/>
            <w:webHidden/>
          </w:rPr>
          <w:fldChar w:fldCharType="separate"/>
        </w:r>
        <w:r w:rsidRPr="00443A26">
          <w:rPr>
            <w:rFonts w:ascii="Garamond" w:hAnsi="Garamond"/>
            <w:noProof/>
            <w:webHidden/>
          </w:rPr>
          <w:t>10</w:t>
        </w:r>
        <w:r w:rsidRPr="00443A26">
          <w:rPr>
            <w:rFonts w:ascii="Garamond" w:hAnsi="Garamond"/>
            <w:noProof/>
            <w:webHidden/>
          </w:rPr>
          <w:fldChar w:fldCharType="end"/>
        </w:r>
      </w:hyperlink>
    </w:p>
    <w:p w14:paraId="7696E6C1" w14:textId="37B3D337" w:rsidR="00755C20" w:rsidRPr="00443A26" w:rsidRDefault="00755C20" w:rsidP="006D50BC">
      <w:pPr>
        <w:pStyle w:val="TOC2"/>
        <w:spacing w:after="120"/>
        <w:rPr>
          <w:rFonts w:ascii="Garamond" w:eastAsiaTheme="minorEastAsia" w:hAnsi="Garamond" w:cstheme="minorBidi"/>
        </w:rPr>
      </w:pPr>
      <w:hyperlink w:anchor="_Toc104892066" w:history="1">
        <w:r w:rsidRPr="00443A26">
          <w:rPr>
            <w:rStyle w:val="Hyperlink"/>
            <w:rFonts w:ascii="Garamond" w:hAnsi="Garamond"/>
          </w:rPr>
          <w:t>A.</w:t>
        </w:r>
        <w:r w:rsidRPr="00443A26">
          <w:rPr>
            <w:rFonts w:ascii="Garamond" w:eastAsiaTheme="minorEastAsia" w:hAnsi="Garamond" w:cstheme="minorBidi"/>
          </w:rPr>
          <w:tab/>
        </w:r>
        <w:r w:rsidRPr="00443A26">
          <w:rPr>
            <w:rStyle w:val="Hyperlink"/>
            <w:rFonts w:ascii="Garamond" w:hAnsi="Garamond"/>
          </w:rPr>
          <w:t>Facility Process Description</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_Toc104892066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10</w:t>
        </w:r>
        <w:r w:rsidRPr="00443A26">
          <w:rPr>
            <w:rFonts w:ascii="Garamond" w:hAnsi="Garamond"/>
            <w:webHidden/>
          </w:rPr>
          <w:fldChar w:fldCharType="end"/>
        </w:r>
      </w:hyperlink>
    </w:p>
    <w:p w14:paraId="161F79F2" w14:textId="27F9E729" w:rsidR="00755C20" w:rsidRPr="00443A26" w:rsidRDefault="00755C20" w:rsidP="006D50BC">
      <w:pPr>
        <w:pStyle w:val="TOC2"/>
        <w:spacing w:after="120"/>
        <w:rPr>
          <w:rFonts w:ascii="Garamond" w:eastAsiaTheme="minorEastAsia" w:hAnsi="Garamond" w:cstheme="minorBidi"/>
        </w:rPr>
      </w:pPr>
      <w:hyperlink w:anchor="_Toc104892067" w:history="1">
        <w:r w:rsidRPr="00443A26">
          <w:rPr>
            <w:rStyle w:val="Hyperlink"/>
            <w:rFonts w:ascii="Garamond" w:hAnsi="Garamond"/>
          </w:rPr>
          <w:t>B.</w:t>
        </w:r>
        <w:r w:rsidRPr="00443A26">
          <w:rPr>
            <w:rFonts w:ascii="Garamond" w:eastAsiaTheme="minorEastAsia" w:hAnsi="Garamond" w:cstheme="minorBidi"/>
          </w:rPr>
          <w:tab/>
        </w:r>
        <w:r w:rsidRPr="00443A26">
          <w:rPr>
            <w:rStyle w:val="Hyperlink"/>
            <w:rFonts w:ascii="Garamond" w:hAnsi="Garamond"/>
          </w:rPr>
          <w:t>Emission Units and Pollution Control Device Identification</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_Toc104892067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10</w:t>
        </w:r>
        <w:r w:rsidRPr="00443A26">
          <w:rPr>
            <w:rFonts w:ascii="Garamond" w:hAnsi="Garamond"/>
            <w:webHidden/>
          </w:rPr>
          <w:fldChar w:fldCharType="end"/>
        </w:r>
      </w:hyperlink>
    </w:p>
    <w:p w14:paraId="5095E7E5" w14:textId="4A54262F" w:rsidR="00755C20" w:rsidRPr="00443A26" w:rsidRDefault="00755C20" w:rsidP="006D50BC">
      <w:pPr>
        <w:pStyle w:val="TOC2"/>
        <w:spacing w:after="120"/>
        <w:rPr>
          <w:rFonts w:ascii="Garamond" w:eastAsiaTheme="minorEastAsia" w:hAnsi="Garamond" w:cstheme="minorBidi"/>
        </w:rPr>
      </w:pPr>
      <w:hyperlink w:anchor="_Toc104892068" w:history="1">
        <w:r w:rsidRPr="00443A26">
          <w:rPr>
            <w:rStyle w:val="Hyperlink"/>
            <w:rFonts w:ascii="Garamond" w:hAnsi="Garamond"/>
          </w:rPr>
          <w:t>C.</w:t>
        </w:r>
        <w:r w:rsidRPr="00443A26">
          <w:rPr>
            <w:rFonts w:ascii="Garamond" w:eastAsiaTheme="minorEastAsia" w:hAnsi="Garamond" w:cstheme="minorBidi"/>
          </w:rPr>
          <w:tab/>
        </w:r>
        <w:r w:rsidRPr="00443A26">
          <w:rPr>
            <w:rStyle w:val="Hyperlink"/>
            <w:rFonts w:ascii="Garamond" w:hAnsi="Garamond"/>
          </w:rPr>
          <w:t>Categorically Insignificant Sources/Activities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_Toc104892068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11</w:t>
        </w:r>
        <w:r w:rsidRPr="00443A26">
          <w:rPr>
            <w:rFonts w:ascii="Garamond" w:hAnsi="Garamond"/>
            <w:webHidden/>
          </w:rPr>
          <w:fldChar w:fldCharType="end"/>
        </w:r>
      </w:hyperlink>
    </w:p>
    <w:p w14:paraId="21EE11C3" w14:textId="436CC689" w:rsidR="00755C20" w:rsidRPr="00443A26" w:rsidRDefault="00755C20" w:rsidP="006D50BC">
      <w:pPr>
        <w:pStyle w:val="TOC1"/>
        <w:rPr>
          <w:rFonts w:ascii="Garamond" w:eastAsiaTheme="minorEastAsia" w:hAnsi="Garamond" w:cstheme="minorBidi"/>
          <w:caps w:val="0"/>
          <w:noProof/>
          <w:sz w:val="22"/>
          <w:szCs w:val="22"/>
        </w:rPr>
      </w:pPr>
      <w:hyperlink w:anchor="_Toc104892069" w:history="1">
        <w:r w:rsidRPr="00443A26">
          <w:rPr>
            <w:rStyle w:val="Hyperlink"/>
            <w:rFonts w:ascii="Garamond" w:hAnsi="Garamond"/>
            <w:noProof/>
          </w:rPr>
          <w:t>section iii</w:t>
        </w:r>
        <w:r w:rsidR="00D8745A" w:rsidRPr="00443A26">
          <w:rPr>
            <w:rStyle w:val="Hyperlink"/>
            <w:rFonts w:ascii="Garamond" w:hAnsi="Garamond"/>
            <w:noProof/>
          </w:rPr>
          <w:t xml:space="preserve">. </w:t>
        </w:r>
        <w:r w:rsidRPr="00443A26">
          <w:rPr>
            <w:rStyle w:val="Hyperlink"/>
            <w:rFonts w:ascii="Garamond" w:hAnsi="Garamond"/>
            <w:noProof/>
          </w:rPr>
          <w:t>Explanation of Operating Permit Conditions</w:t>
        </w:r>
        <w:r w:rsidRPr="00443A26">
          <w:rPr>
            <w:rFonts w:ascii="Garamond" w:hAnsi="Garamond"/>
            <w:noProof/>
            <w:webHidden/>
          </w:rPr>
          <w:tab/>
        </w:r>
        <w:r w:rsidRPr="00443A26">
          <w:rPr>
            <w:rFonts w:ascii="Garamond" w:hAnsi="Garamond"/>
            <w:noProof/>
            <w:webHidden/>
          </w:rPr>
          <w:fldChar w:fldCharType="begin"/>
        </w:r>
        <w:r w:rsidRPr="00443A26">
          <w:rPr>
            <w:rFonts w:ascii="Garamond" w:hAnsi="Garamond"/>
            <w:noProof/>
            <w:webHidden/>
          </w:rPr>
          <w:instrText xml:space="preserve"> PAGEREF _Toc104892069 \h </w:instrText>
        </w:r>
        <w:r w:rsidRPr="00443A26">
          <w:rPr>
            <w:rFonts w:ascii="Garamond" w:hAnsi="Garamond"/>
            <w:noProof/>
            <w:webHidden/>
          </w:rPr>
        </w:r>
        <w:r w:rsidRPr="00443A26">
          <w:rPr>
            <w:rFonts w:ascii="Garamond" w:hAnsi="Garamond"/>
            <w:noProof/>
            <w:webHidden/>
          </w:rPr>
          <w:fldChar w:fldCharType="separate"/>
        </w:r>
        <w:r w:rsidRPr="00443A26">
          <w:rPr>
            <w:rFonts w:ascii="Garamond" w:hAnsi="Garamond"/>
            <w:noProof/>
            <w:webHidden/>
          </w:rPr>
          <w:t>12</w:t>
        </w:r>
        <w:r w:rsidRPr="00443A26">
          <w:rPr>
            <w:rFonts w:ascii="Garamond" w:hAnsi="Garamond"/>
            <w:noProof/>
            <w:webHidden/>
          </w:rPr>
          <w:fldChar w:fldCharType="end"/>
        </w:r>
      </w:hyperlink>
    </w:p>
    <w:p w14:paraId="452C29F3" w14:textId="0614C91A" w:rsidR="00755C20" w:rsidRPr="00443A26" w:rsidRDefault="00755C20" w:rsidP="006D50BC">
      <w:pPr>
        <w:pStyle w:val="TOC2"/>
        <w:spacing w:after="120"/>
        <w:rPr>
          <w:rFonts w:ascii="Garamond" w:eastAsiaTheme="minorEastAsia" w:hAnsi="Garamond" w:cstheme="minorBidi"/>
        </w:rPr>
      </w:pPr>
      <w:hyperlink w:anchor="_Toc104892070" w:history="1">
        <w:r w:rsidRPr="00443A26">
          <w:rPr>
            <w:rStyle w:val="Hyperlink"/>
            <w:rFonts w:ascii="Garamond" w:hAnsi="Garamond"/>
          </w:rPr>
          <w:t>A.</w:t>
        </w:r>
        <w:r w:rsidRPr="00443A26">
          <w:rPr>
            <w:rFonts w:ascii="Garamond" w:eastAsiaTheme="minorEastAsia" w:hAnsi="Garamond" w:cstheme="minorBidi"/>
          </w:rPr>
          <w:tab/>
        </w:r>
        <w:r w:rsidRPr="00443A26">
          <w:rPr>
            <w:rStyle w:val="Hyperlink"/>
            <w:rFonts w:ascii="Garamond" w:hAnsi="Garamond"/>
          </w:rPr>
          <w:t>Emission Limits and Standards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_Toc104892070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12</w:t>
        </w:r>
        <w:r w:rsidRPr="00443A26">
          <w:rPr>
            <w:rFonts w:ascii="Garamond" w:hAnsi="Garamond"/>
            <w:webHidden/>
          </w:rPr>
          <w:fldChar w:fldCharType="end"/>
        </w:r>
      </w:hyperlink>
    </w:p>
    <w:p w14:paraId="4A522D63" w14:textId="4D3AF7D0" w:rsidR="00755C20" w:rsidRPr="00443A26" w:rsidRDefault="00755C20" w:rsidP="006D50BC">
      <w:pPr>
        <w:pStyle w:val="TOC2"/>
        <w:spacing w:after="120"/>
        <w:rPr>
          <w:rFonts w:ascii="Garamond" w:eastAsiaTheme="minorEastAsia" w:hAnsi="Garamond" w:cstheme="minorBidi"/>
        </w:rPr>
      </w:pPr>
      <w:hyperlink w:anchor="_Toc104892071" w:history="1">
        <w:r w:rsidRPr="00443A26">
          <w:rPr>
            <w:rStyle w:val="Hyperlink"/>
            <w:rFonts w:ascii="Garamond" w:hAnsi="Garamond"/>
          </w:rPr>
          <w:t>B.</w:t>
        </w:r>
        <w:r w:rsidRPr="00443A26">
          <w:rPr>
            <w:rFonts w:ascii="Garamond" w:eastAsiaTheme="minorEastAsia" w:hAnsi="Garamond" w:cstheme="minorBidi"/>
          </w:rPr>
          <w:tab/>
        </w:r>
        <w:r w:rsidRPr="00443A26">
          <w:rPr>
            <w:rStyle w:val="Hyperlink"/>
            <w:rFonts w:ascii="Garamond" w:hAnsi="Garamond"/>
          </w:rPr>
          <w:t>Monitoring Requirements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_Toc104892071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13</w:t>
        </w:r>
        <w:r w:rsidRPr="00443A26">
          <w:rPr>
            <w:rFonts w:ascii="Garamond" w:hAnsi="Garamond"/>
            <w:webHidden/>
          </w:rPr>
          <w:fldChar w:fldCharType="end"/>
        </w:r>
      </w:hyperlink>
    </w:p>
    <w:p w14:paraId="4DA40E33" w14:textId="6D449B3A" w:rsidR="00755C20" w:rsidRPr="00443A26" w:rsidRDefault="00755C20" w:rsidP="006D50BC">
      <w:pPr>
        <w:pStyle w:val="TOC2"/>
        <w:spacing w:after="120"/>
        <w:rPr>
          <w:rFonts w:ascii="Garamond" w:eastAsiaTheme="minorEastAsia" w:hAnsi="Garamond" w:cstheme="minorBidi"/>
        </w:rPr>
      </w:pPr>
      <w:hyperlink w:anchor="_Toc104892072" w:history="1">
        <w:r w:rsidRPr="00443A26">
          <w:rPr>
            <w:rStyle w:val="Hyperlink"/>
            <w:rFonts w:ascii="Garamond" w:hAnsi="Garamond"/>
          </w:rPr>
          <w:t>C.</w:t>
        </w:r>
        <w:r w:rsidRPr="00443A26">
          <w:rPr>
            <w:rFonts w:ascii="Garamond" w:eastAsiaTheme="minorEastAsia" w:hAnsi="Garamond" w:cstheme="minorBidi"/>
          </w:rPr>
          <w:tab/>
        </w:r>
        <w:r w:rsidRPr="00443A26">
          <w:rPr>
            <w:rStyle w:val="Hyperlink"/>
            <w:rFonts w:ascii="Garamond" w:hAnsi="Garamond"/>
          </w:rPr>
          <w:t>Test Methods and Procedures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_Toc104892072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13</w:t>
        </w:r>
        <w:r w:rsidRPr="00443A26">
          <w:rPr>
            <w:rFonts w:ascii="Garamond" w:hAnsi="Garamond"/>
            <w:webHidden/>
          </w:rPr>
          <w:fldChar w:fldCharType="end"/>
        </w:r>
      </w:hyperlink>
    </w:p>
    <w:p w14:paraId="29C18F33" w14:textId="597D5383" w:rsidR="00755C20" w:rsidRPr="00443A26" w:rsidRDefault="00755C20" w:rsidP="006D50BC">
      <w:pPr>
        <w:pStyle w:val="TOC2"/>
        <w:spacing w:after="120"/>
        <w:rPr>
          <w:rFonts w:ascii="Garamond" w:eastAsiaTheme="minorEastAsia" w:hAnsi="Garamond" w:cstheme="minorBidi"/>
        </w:rPr>
      </w:pPr>
      <w:hyperlink w:anchor="_Toc104892073" w:history="1">
        <w:r w:rsidRPr="00443A26">
          <w:rPr>
            <w:rStyle w:val="Hyperlink"/>
            <w:rFonts w:ascii="Garamond" w:hAnsi="Garamond"/>
          </w:rPr>
          <w:t>D.</w:t>
        </w:r>
        <w:r w:rsidRPr="00443A26">
          <w:rPr>
            <w:rFonts w:ascii="Garamond" w:eastAsiaTheme="minorEastAsia" w:hAnsi="Garamond" w:cstheme="minorBidi"/>
          </w:rPr>
          <w:tab/>
        </w:r>
        <w:r w:rsidRPr="00443A26">
          <w:rPr>
            <w:rStyle w:val="Hyperlink"/>
            <w:rFonts w:ascii="Garamond" w:hAnsi="Garamond"/>
          </w:rPr>
          <w:t>Recordkeeping Requirements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_Toc104892073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13</w:t>
        </w:r>
        <w:r w:rsidRPr="00443A26">
          <w:rPr>
            <w:rFonts w:ascii="Garamond" w:hAnsi="Garamond"/>
            <w:webHidden/>
          </w:rPr>
          <w:fldChar w:fldCharType="end"/>
        </w:r>
      </w:hyperlink>
    </w:p>
    <w:p w14:paraId="019F54BF" w14:textId="1EE2C39D" w:rsidR="00755C20" w:rsidRPr="00443A26" w:rsidRDefault="00755C20" w:rsidP="006D50BC">
      <w:pPr>
        <w:pStyle w:val="TOC2"/>
        <w:spacing w:after="120"/>
        <w:rPr>
          <w:rFonts w:ascii="Garamond" w:eastAsiaTheme="minorEastAsia" w:hAnsi="Garamond" w:cstheme="minorBidi"/>
        </w:rPr>
      </w:pPr>
      <w:hyperlink w:anchor="_Toc104892074" w:history="1">
        <w:r w:rsidRPr="00443A26">
          <w:rPr>
            <w:rStyle w:val="Hyperlink"/>
            <w:rFonts w:ascii="Garamond" w:hAnsi="Garamond"/>
          </w:rPr>
          <w:t>E.</w:t>
        </w:r>
        <w:r w:rsidRPr="00443A26">
          <w:rPr>
            <w:rFonts w:ascii="Garamond" w:eastAsiaTheme="minorEastAsia" w:hAnsi="Garamond" w:cstheme="minorBidi"/>
          </w:rPr>
          <w:tab/>
        </w:r>
        <w:r w:rsidRPr="00443A26">
          <w:rPr>
            <w:rStyle w:val="Hyperlink"/>
            <w:rFonts w:ascii="Garamond" w:hAnsi="Garamond"/>
          </w:rPr>
          <w:t>Reporting Requirements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_Toc104892074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13</w:t>
        </w:r>
        <w:r w:rsidRPr="00443A26">
          <w:rPr>
            <w:rFonts w:ascii="Garamond" w:hAnsi="Garamond"/>
            <w:webHidden/>
          </w:rPr>
          <w:fldChar w:fldCharType="end"/>
        </w:r>
      </w:hyperlink>
    </w:p>
    <w:p w14:paraId="5882E639" w14:textId="58BEBF7C" w:rsidR="00755C20" w:rsidRPr="00443A26" w:rsidRDefault="00755C20" w:rsidP="006D50BC">
      <w:pPr>
        <w:pStyle w:val="TOC2"/>
        <w:spacing w:after="120"/>
        <w:rPr>
          <w:rFonts w:ascii="Garamond" w:eastAsiaTheme="minorEastAsia" w:hAnsi="Garamond" w:cstheme="minorBidi"/>
        </w:rPr>
      </w:pPr>
      <w:hyperlink w:anchor="_Toc104892075" w:history="1">
        <w:r w:rsidRPr="00443A26">
          <w:rPr>
            <w:rStyle w:val="Hyperlink"/>
            <w:rFonts w:ascii="Garamond" w:hAnsi="Garamond"/>
          </w:rPr>
          <w:t>F.</w:t>
        </w:r>
        <w:r w:rsidRPr="00443A26">
          <w:rPr>
            <w:rStyle w:val="Hyperlink"/>
            <w:rFonts w:ascii="Garamond" w:hAnsi="Garamond"/>
          </w:rPr>
          <w:tab/>
        </w:r>
        <w:r w:rsidRPr="00443A26">
          <w:rPr>
            <w:rFonts w:ascii="Garamond" w:eastAsiaTheme="minorEastAsia" w:hAnsi="Garamond" w:cstheme="minorBidi"/>
          </w:rPr>
          <w:tab/>
        </w:r>
        <w:r w:rsidRPr="00443A26">
          <w:rPr>
            <w:rStyle w:val="Hyperlink"/>
            <w:rFonts w:ascii="Garamond" w:hAnsi="Garamond"/>
          </w:rPr>
          <w:t>Public Notice</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_Toc104892075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14</w:t>
        </w:r>
        <w:r w:rsidRPr="00443A26">
          <w:rPr>
            <w:rFonts w:ascii="Garamond" w:hAnsi="Garamond"/>
            <w:webHidden/>
          </w:rPr>
          <w:fldChar w:fldCharType="end"/>
        </w:r>
      </w:hyperlink>
    </w:p>
    <w:p w14:paraId="30C6F373" w14:textId="63FD9CCE" w:rsidR="00755C20" w:rsidRPr="00443A26" w:rsidRDefault="00755C20" w:rsidP="006D50BC">
      <w:pPr>
        <w:pStyle w:val="TOC1"/>
        <w:rPr>
          <w:rFonts w:ascii="Garamond" w:eastAsiaTheme="minorEastAsia" w:hAnsi="Garamond" w:cstheme="minorBidi"/>
          <w:caps w:val="0"/>
          <w:noProof/>
          <w:sz w:val="22"/>
          <w:szCs w:val="22"/>
        </w:rPr>
      </w:pPr>
      <w:hyperlink w:anchor="_Toc104892076" w:history="1">
        <w:r w:rsidRPr="00443A26">
          <w:rPr>
            <w:rStyle w:val="Hyperlink"/>
            <w:rFonts w:ascii="Garamond" w:hAnsi="Garamond"/>
            <w:noProof/>
          </w:rPr>
          <w:t>section iv</w:t>
        </w:r>
        <w:r w:rsidR="00D8745A" w:rsidRPr="00443A26">
          <w:rPr>
            <w:rStyle w:val="Hyperlink"/>
            <w:rFonts w:ascii="Garamond" w:hAnsi="Garamond"/>
            <w:noProof/>
          </w:rPr>
          <w:t xml:space="preserve">. </w:t>
        </w:r>
        <w:r w:rsidRPr="00443A26">
          <w:rPr>
            <w:rStyle w:val="Hyperlink"/>
            <w:rFonts w:ascii="Garamond" w:hAnsi="Garamond"/>
            <w:noProof/>
          </w:rPr>
          <w:t>Non-Applicable Requirements Analysis</w:t>
        </w:r>
        <w:r w:rsidRPr="00443A26">
          <w:rPr>
            <w:rFonts w:ascii="Garamond" w:hAnsi="Garamond"/>
            <w:noProof/>
            <w:webHidden/>
          </w:rPr>
          <w:tab/>
        </w:r>
        <w:r w:rsidRPr="00443A26">
          <w:rPr>
            <w:rFonts w:ascii="Garamond" w:hAnsi="Garamond"/>
            <w:noProof/>
            <w:webHidden/>
          </w:rPr>
          <w:fldChar w:fldCharType="begin"/>
        </w:r>
        <w:r w:rsidRPr="00443A26">
          <w:rPr>
            <w:rFonts w:ascii="Garamond" w:hAnsi="Garamond"/>
            <w:noProof/>
            <w:webHidden/>
          </w:rPr>
          <w:instrText xml:space="preserve"> PAGEREF _Toc104892076 \h </w:instrText>
        </w:r>
        <w:r w:rsidRPr="00443A26">
          <w:rPr>
            <w:rFonts w:ascii="Garamond" w:hAnsi="Garamond"/>
            <w:noProof/>
            <w:webHidden/>
          </w:rPr>
        </w:r>
        <w:r w:rsidRPr="00443A26">
          <w:rPr>
            <w:rFonts w:ascii="Garamond" w:hAnsi="Garamond"/>
            <w:noProof/>
            <w:webHidden/>
          </w:rPr>
          <w:fldChar w:fldCharType="separate"/>
        </w:r>
        <w:r w:rsidRPr="00443A26">
          <w:rPr>
            <w:rFonts w:ascii="Garamond" w:hAnsi="Garamond"/>
            <w:noProof/>
            <w:webHidden/>
          </w:rPr>
          <w:t>15</w:t>
        </w:r>
        <w:r w:rsidRPr="00443A26">
          <w:rPr>
            <w:rFonts w:ascii="Garamond" w:hAnsi="Garamond"/>
            <w:noProof/>
            <w:webHidden/>
          </w:rPr>
          <w:fldChar w:fldCharType="end"/>
        </w:r>
      </w:hyperlink>
    </w:p>
    <w:p w14:paraId="5B764071" w14:textId="6387874C" w:rsidR="00755C20" w:rsidRPr="00443A26" w:rsidRDefault="00755C20" w:rsidP="006D50BC">
      <w:pPr>
        <w:pStyle w:val="TOC1"/>
        <w:rPr>
          <w:rFonts w:ascii="Garamond" w:eastAsiaTheme="minorEastAsia" w:hAnsi="Garamond" w:cstheme="minorBidi"/>
          <w:caps w:val="0"/>
          <w:noProof/>
          <w:sz w:val="22"/>
          <w:szCs w:val="22"/>
        </w:rPr>
      </w:pPr>
      <w:hyperlink w:anchor="_Toc104892077" w:history="1">
        <w:r w:rsidRPr="00443A26">
          <w:rPr>
            <w:rStyle w:val="Hyperlink"/>
            <w:rFonts w:ascii="Garamond" w:hAnsi="Garamond"/>
            <w:noProof/>
          </w:rPr>
          <w:t>section v.</w:t>
        </w:r>
        <w:r w:rsidRPr="00443A26">
          <w:rPr>
            <w:rFonts w:ascii="Garamond" w:eastAsiaTheme="minorEastAsia" w:hAnsi="Garamond" w:cstheme="minorBidi"/>
            <w:caps w:val="0"/>
            <w:noProof/>
            <w:sz w:val="22"/>
            <w:szCs w:val="22"/>
          </w:rPr>
          <w:tab/>
        </w:r>
        <w:r w:rsidRPr="00443A26">
          <w:rPr>
            <w:rStyle w:val="Hyperlink"/>
            <w:rFonts w:ascii="Garamond" w:hAnsi="Garamond"/>
            <w:noProof/>
          </w:rPr>
          <w:t xml:space="preserve">  FUTURE PERMIT CONSIDERATIONS</w:t>
        </w:r>
        <w:r w:rsidRPr="00443A26">
          <w:rPr>
            <w:rFonts w:ascii="Garamond" w:hAnsi="Garamond"/>
            <w:noProof/>
            <w:webHidden/>
          </w:rPr>
          <w:tab/>
        </w:r>
        <w:r w:rsidRPr="00443A26">
          <w:rPr>
            <w:rFonts w:ascii="Garamond" w:hAnsi="Garamond"/>
            <w:noProof/>
            <w:webHidden/>
          </w:rPr>
          <w:fldChar w:fldCharType="begin"/>
        </w:r>
        <w:r w:rsidRPr="00443A26">
          <w:rPr>
            <w:rFonts w:ascii="Garamond" w:hAnsi="Garamond"/>
            <w:noProof/>
            <w:webHidden/>
          </w:rPr>
          <w:instrText xml:space="preserve"> PAGEREF _Toc104892077 \h </w:instrText>
        </w:r>
        <w:r w:rsidRPr="00443A26">
          <w:rPr>
            <w:rFonts w:ascii="Garamond" w:hAnsi="Garamond"/>
            <w:noProof/>
            <w:webHidden/>
          </w:rPr>
        </w:r>
        <w:r w:rsidRPr="00443A26">
          <w:rPr>
            <w:rFonts w:ascii="Garamond" w:hAnsi="Garamond"/>
            <w:noProof/>
            <w:webHidden/>
          </w:rPr>
          <w:fldChar w:fldCharType="separate"/>
        </w:r>
        <w:r w:rsidRPr="00443A26">
          <w:rPr>
            <w:rFonts w:ascii="Garamond" w:hAnsi="Garamond"/>
            <w:noProof/>
            <w:webHidden/>
          </w:rPr>
          <w:t>17</w:t>
        </w:r>
        <w:r w:rsidRPr="00443A26">
          <w:rPr>
            <w:rFonts w:ascii="Garamond" w:hAnsi="Garamond"/>
            <w:noProof/>
            <w:webHidden/>
          </w:rPr>
          <w:fldChar w:fldCharType="end"/>
        </w:r>
      </w:hyperlink>
    </w:p>
    <w:p w14:paraId="62931BB2" w14:textId="3C1B140F" w:rsidR="00755C20" w:rsidRPr="00443A26" w:rsidRDefault="00755C20" w:rsidP="006D50BC">
      <w:pPr>
        <w:pStyle w:val="TOC2"/>
        <w:spacing w:after="120"/>
        <w:rPr>
          <w:rFonts w:ascii="Garamond" w:eastAsiaTheme="minorEastAsia" w:hAnsi="Garamond" w:cstheme="minorBidi"/>
        </w:rPr>
      </w:pPr>
      <w:hyperlink w:anchor="_Toc104892078" w:history="1">
        <w:r w:rsidRPr="00443A26">
          <w:rPr>
            <w:rStyle w:val="Hyperlink"/>
            <w:rFonts w:ascii="Garamond" w:hAnsi="Garamond"/>
          </w:rPr>
          <w:t>A.</w:t>
        </w:r>
        <w:r w:rsidRPr="00443A26">
          <w:rPr>
            <w:rFonts w:ascii="Garamond" w:eastAsiaTheme="minorEastAsia" w:hAnsi="Garamond" w:cstheme="minorBidi"/>
          </w:rPr>
          <w:tab/>
        </w:r>
        <w:r w:rsidRPr="00443A26">
          <w:rPr>
            <w:rStyle w:val="Hyperlink"/>
            <w:rFonts w:ascii="Garamond" w:hAnsi="Garamond"/>
          </w:rPr>
          <w:t>MACT Standards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_Toc104892078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17</w:t>
        </w:r>
        <w:r w:rsidRPr="00443A26">
          <w:rPr>
            <w:rFonts w:ascii="Garamond" w:hAnsi="Garamond"/>
            <w:webHidden/>
          </w:rPr>
          <w:fldChar w:fldCharType="end"/>
        </w:r>
      </w:hyperlink>
    </w:p>
    <w:p w14:paraId="409A640A" w14:textId="4779A391" w:rsidR="00755C20" w:rsidRPr="00443A26" w:rsidRDefault="00755C20" w:rsidP="006D50BC">
      <w:pPr>
        <w:pStyle w:val="TOC2"/>
        <w:spacing w:after="120"/>
        <w:rPr>
          <w:rFonts w:ascii="Garamond" w:eastAsiaTheme="minorEastAsia" w:hAnsi="Garamond" w:cstheme="minorBidi"/>
        </w:rPr>
      </w:pPr>
      <w:hyperlink w:anchor="_Toc104892079" w:history="1">
        <w:r w:rsidRPr="00443A26">
          <w:rPr>
            <w:rStyle w:val="Hyperlink"/>
            <w:rFonts w:ascii="Garamond" w:hAnsi="Garamond"/>
          </w:rPr>
          <w:t>B.</w:t>
        </w:r>
        <w:r w:rsidRPr="00443A26">
          <w:rPr>
            <w:rFonts w:ascii="Garamond" w:eastAsiaTheme="minorEastAsia" w:hAnsi="Garamond" w:cstheme="minorBidi"/>
          </w:rPr>
          <w:tab/>
        </w:r>
        <w:r w:rsidRPr="00443A26">
          <w:rPr>
            <w:rStyle w:val="Hyperlink"/>
            <w:rFonts w:ascii="Garamond" w:hAnsi="Garamond"/>
          </w:rPr>
          <w:t>NESHAP Standards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_Toc104892079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17</w:t>
        </w:r>
        <w:r w:rsidRPr="00443A26">
          <w:rPr>
            <w:rFonts w:ascii="Garamond" w:hAnsi="Garamond"/>
            <w:webHidden/>
          </w:rPr>
          <w:fldChar w:fldCharType="end"/>
        </w:r>
      </w:hyperlink>
    </w:p>
    <w:p w14:paraId="7DFCAE71" w14:textId="5451D093" w:rsidR="00755C20" w:rsidRPr="00443A26" w:rsidRDefault="00755C20" w:rsidP="006D50BC">
      <w:pPr>
        <w:pStyle w:val="TOC2"/>
        <w:spacing w:after="120"/>
        <w:rPr>
          <w:rFonts w:ascii="Garamond" w:eastAsiaTheme="minorEastAsia" w:hAnsi="Garamond" w:cstheme="minorBidi"/>
        </w:rPr>
      </w:pPr>
      <w:hyperlink w:anchor="_Toc104892080" w:history="1">
        <w:r w:rsidRPr="00443A26">
          <w:rPr>
            <w:rStyle w:val="Hyperlink"/>
            <w:rFonts w:ascii="Garamond" w:hAnsi="Garamond"/>
          </w:rPr>
          <w:t>C.</w:t>
        </w:r>
        <w:r w:rsidRPr="00443A26">
          <w:rPr>
            <w:rFonts w:ascii="Garamond" w:eastAsiaTheme="minorEastAsia" w:hAnsi="Garamond" w:cstheme="minorBidi"/>
          </w:rPr>
          <w:tab/>
        </w:r>
        <w:r w:rsidRPr="00443A26">
          <w:rPr>
            <w:rStyle w:val="Hyperlink"/>
            <w:rFonts w:ascii="Garamond" w:hAnsi="Garamond"/>
          </w:rPr>
          <w:t>NSPS Standards</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_Toc104892080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17</w:t>
        </w:r>
        <w:r w:rsidRPr="00443A26">
          <w:rPr>
            <w:rFonts w:ascii="Garamond" w:hAnsi="Garamond"/>
            <w:webHidden/>
          </w:rPr>
          <w:fldChar w:fldCharType="end"/>
        </w:r>
      </w:hyperlink>
    </w:p>
    <w:p w14:paraId="61BD2AF2" w14:textId="4E5D90F0" w:rsidR="00755C20" w:rsidRPr="00443A26" w:rsidRDefault="00755C20" w:rsidP="006D50BC">
      <w:pPr>
        <w:pStyle w:val="TOC2"/>
        <w:spacing w:after="120"/>
        <w:rPr>
          <w:rFonts w:ascii="Garamond" w:eastAsiaTheme="minorEastAsia" w:hAnsi="Garamond" w:cstheme="minorBidi"/>
        </w:rPr>
      </w:pPr>
      <w:hyperlink w:anchor="_Toc104892081" w:history="1">
        <w:r w:rsidRPr="00443A26">
          <w:rPr>
            <w:rStyle w:val="Hyperlink"/>
            <w:rFonts w:ascii="Garamond" w:hAnsi="Garamond"/>
          </w:rPr>
          <w:t>D.</w:t>
        </w:r>
        <w:r w:rsidRPr="00443A26">
          <w:rPr>
            <w:rFonts w:ascii="Garamond" w:eastAsiaTheme="minorEastAsia" w:hAnsi="Garamond" w:cstheme="minorBidi"/>
          </w:rPr>
          <w:tab/>
        </w:r>
        <w:r w:rsidRPr="00443A26">
          <w:rPr>
            <w:rStyle w:val="Hyperlink"/>
            <w:rFonts w:ascii="Garamond" w:hAnsi="Garamond"/>
          </w:rPr>
          <w:t>Risk Management Plan</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_Toc104892081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17</w:t>
        </w:r>
        <w:r w:rsidRPr="00443A26">
          <w:rPr>
            <w:rFonts w:ascii="Garamond" w:hAnsi="Garamond"/>
            <w:webHidden/>
          </w:rPr>
          <w:fldChar w:fldCharType="end"/>
        </w:r>
      </w:hyperlink>
    </w:p>
    <w:p w14:paraId="31257688" w14:textId="464326C5" w:rsidR="00755C20" w:rsidRPr="00443A26" w:rsidRDefault="00755C20" w:rsidP="006D50BC">
      <w:pPr>
        <w:pStyle w:val="TOC2"/>
        <w:spacing w:after="120"/>
        <w:rPr>
          <w:rFonts w:ascii="Garamond" w:eastAsiaTheme="minorEastAsia" w:hAnsi="Garamond" w:cstheme="minorBidi"/>
        </w:rPr>
      </w:pPr>
      <w:hyperlink w:anchor="_Toc104892082" w:history="1">
        <w:r w:rsidRPr="00443A26">
          <w:rPr>
            <w:rStyle w:val="Hyperlink"/>
            <w:rFonts w:ascii="Garamond" w:hAnsi="Garamond"/>
          </w:rPr>
          <w:t>E.</w:t>
        </w:r>
        <w:r w:rsidRPr="00443A26">
          <w:rPr>
            <w:rFonts w:ascii="Garamond" w:eastAsiaTheme="minorEastAsia" w:hAnsi="Garamond" w:cstheme="minorBidi"/>
          </w:rPr>
          <w:tab/>
        </w:r>
        <w:r w:rsidRPr="00443A26">
          <w:rPr>
            <w:rStyle w:val="Hyperlink"/>
            <w:rFonts w:ascii="Garamond" w:hAnsi="Garamond"/>
          </w:rPr>
          <w:t>CAM Applicability</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_Toc104892082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17</w:t>
        </w:r>
        <w:r w:rsidRPr="00443A26">
          <w:rPr>
            <w:rFonts w:ascii="Garamond" w:hAnsi="Garamond"/>
            <w:webHidden/>
          </w:rPr>
          <w:fldChar w:fldCharType="end"/>
        </w:r>
      </w:hyperlink>
    </w:p>
    <w:p w14:paraId="05411979" w14:textId="50FC3879" w:rsidR="00755C20" w:rsidRPr="00957CE2" w:rsidRDefault="00755C20" w:rsidP="006D50BC">
      <w:pPr>
        <w:pStyle w:val="TOC2"/>
        <w:spacing w:after="120"/>
        <w:rPr>
          <w:rFonts w:asciiTheme="minorHAnsi" w:eastAsiaTheme="minorEastAsia" w:hAnsiTheme="minorHAnsi" w:cstheme="minorBidi"/>
          <w:bCs/>
        </w:rPr>
      </w:pPr>
      <w:hyperlink w:anchor="_Toc104892083" w:history="1">
        <w:r w:rsidRPr="00443A26">
          <w:rPr>
            <w:rStyle w:val="Hyperlink"/>
            <w:rFonts w:ascii="Garamond" w:hAnsi="Garamond"/>
          </w:rPr>
          <w:t>F.</w:t>
        </w:r>
        <w:r w:rsidRPr="00443A26">
          <w:rPr>
            <w:rFonts w:ascii="Garamond" w:eastAsiaTheme="minorEastAsia" w:hAnsi="Garamond" w:cstheme="minorBidi"/>
          </w:rPr>
          <w:tab/>
        </w:r>
        <w:r w:rsidRPr="00443A26">
          <w:rPr>
            <w:rStyle w:val="Hyperlink"/>
            <w:rFonts w:ascii="Garamond" w:hAnsi="Garamond"/>
          </w:rPr>
          <w:t>PSD and Title V Greenhouse Gas Tailoring Rule</w:t>
        </w:r>
        <w:r w:rsidRPr="00443A26">
          <w:rPr>
            <w:rFonts w:ascii="Garamond" w:hAnsi="Garamond"/>
            <w:webHidden/>
          </w:rPr>
          <w:tab/>
        </w:r>
        <w:r w:rsidRPr="00443A26">
          <w:rPr>
            <w:rFonts w:ascii="Garamond" w:hAnsi="Garamond"/>
            <w:webHidden/>
          </w:rPr>
          <w:fldChar w:fldCharType="begin"/>
        </w:r>
        <w:r w:rsidRPr="00443A26">
          <w:rPr>
            <w:rFonts w:ascii="Garamond" w:hAnsi="Garamond"/>
            <w:webHidden/>
          </w:rPr>
          <w:instrText xml:space="preserve"> PAGEREF _Toc104892083 \h </w:instrText>
        </w:r>
        <w:r w:rsidRPr="00443A26">
          <w:rPr>
            <w:rFonts w:ascii="Garamond" w:hAnsi="Garamond"/>
            <w:webHidden/>
          </w:rPr>
        </w:r>
        <w:r w:rsidRPr="00443A26">
          <w:rPr>
            <w:rFonts w:ascii="Garamond" w:hAnsi="Garamond"/>
            <w:webHidden/>
          </w:rPr>
          <w:fldChar w:fldCharType="separate"/>
        </w:r>
        <w:r w:rsidRPr="00443A26">
          <w:rPr>
            <w:rFonts w:ascii="Garamond" w:hAnsi="Garamond"/>
            <w:webHidden/>
          </w:rPr>
          <w:t>18</w:t>
        </w:r>
        <w:r w:rsidRPr="00443A26">
          <w:rPr>
            <w:rFonts w:ascii="Garamond" w:hAnsi="Garamond"/>
            <w:webHidden/>
          </w:rPr>
          <w:fldChar w:fldCharType="end"/>
        </w:r>
      </w:hyperlink>
    </w:p>
    <w:p w14:paraId="58A4FC03" w14:textId="2D7AF72C" w:rsidR="0011127E" w:rsidRPr="006124D6" w:rsidRDefault="00D56781" w:rsidP="00A17582">
      <w:pPr>
        <w:pStyle w:val="TOC1"/>
        <w:sectPr w:rsidR="0011127E" w:rsidRPr="006124D6" w:rsidSect="00C54C0E">
          <w:footerReference w:type="default" r:id="rId11"/>
          <w:endnotePr>
            <w:numFmt w:val="decimal"/>
          </w:endnotePr>
          <w:type w:val="continuous"/>
          <w:pgSz w:w="12240" w:h="15840" w:code="1"/>
          <w:pgMar w:top="1152" w:right="1440" w:bottom="1008" w:left="1440" w:header="720" w:footer="720" w:gutter="0"/>
          <w:cols w:space="720"/>
          <w:noEndnote/>
          <w:docGrid w:linePitch="326"/>
        </w:sectPr>
      </w:pPr>
      <w:r w:rsidRPr="00957CE2">
        <w:rPr>
          <w:bCs/>
        </w:rPr>
        <w:fldChar w:fldCharType="end"/>
      </w:r>
    </w:p>
    <w:p w14:paraId="4C64ED02" w14:textId="7B9D75F9" w:rsidR="0011127E" w:rsidRPr="006124D6" w:rsidRDefault="00522368">
      <w:pPr>
        <w:pStyle w:val="Heading1"/>
        <w:rPr>
          <w:rFonts w:ascii="Garamond" w:hAnsi="Garamond"/>
          <w:sz w:val="24"/>
          <w:szCs w:val="24"/>
        </w:rPr>
      </w:pPr>
      <w:r w:rsidRPr="006124D6">
        <w:rPr>
          <w:rFonts w:ascii="Garamond" w:hAnsi="Garamond"/>
          <w:sz w:val="24"/>
          <w:szCs w:val="24"/>
        </w:rPr>
        <w:br w:type="page"/>
      </w:r>
      <w:bookmarkStart w:id="0" w:name="_Toc163359606"/>
      <w:bookmarkStart w:id="1" w:name="_Toc104892058"/>
      <w:r w:rsidR="0011127E" w:rsidRPr="006124D6">
        <w:rPr>
          <w:rFonts w:ascii="Garamond" w:hAnsi="Garamond"/>
          <w:sz w:val="24"/>
          <w:szCs w:val="24"/>
        </w:rPr>
        <w:lastRenderedPageBreak/>
        <w:t>Section I.</w:t>
      </w:r>
      <w:r w:rsidR="0011127E" w:rsidRPr="006124D6">
        <w:rPr>
          <w:rFonts w:ascii="Garamond" w:hAnsi="Garamond"/>
          <w:sz w:val="24"/>
          <w:szCs w:val="24"/>
        </w:rPr>
        <w:tab/>
      </w:r>
      <w:r w:rsidR="00561175">
        <w:rPr>
          <w:rFonts w:ascii="Garamond" w:hAnsi="Garamond"/>
          <w:sz w:val="24"/>
          <w:szCs w:val="24"/>
        </w:rPr>
        <w:t xml:space="preserve"> </w:t>
      </w:r>
      <w:r w:rsidR="0011127E" w:rsidRPr="006124D6">
        <w:rPr>
          <w:rFonts w:ascii="Garamond" w:hAnsi="Garamond"/>
          <w:sz w:val="24"/>
          <w:szCs w:val="24"/>
        </w:rPr>
        <w:t>General Information</w:t>
      </w:r>
      <w:bookmarkEnd w:id="0"/>
      <w:bookmarkEnd w:id="1"/>
    </w:p>
    <w:p w14:paraId="56E55179" w14:textId="77777777" w:rsidR="0011127E" w:rsidRPr="006124D6" w:rsidRDefault="0011127E">
      <w:pPr>
        <w:jc w:val="center"/>
        <w:rPr>
          <w:rFonts w:ascii="Garamond" w:hAnsi="Garamond"/>
        </w:rPr>
      </w:pPr>
    </w:p>
    <w:p w14:paraId="36737071" w14:textId="77777777" w:rsidR="0011127E" w:rsidRPr="006124D6" w:rsidRDefault="0011127E">
      <w:pPr>
        <w:pStyle w:val="Heading2"/>
        <w:rPr>
          <w:rFonts w:ascii="Garamond" w:hAnsi="Garamond"/>
          <w:sz w:val="24"/>
          <w:szCs w:val="24"/>
        </w:rPr>
      </w:pPr>
      <w:bookmarkStart w:id="2" w:name="_Toc163359607"/>
      <w:bookmarkStart w:id="3" w:name="_Toc104892059"/>
      <w:r w:rsidRPr="006124D6">
        <w:rPr>
          <w:rFonts w:ascii="Garamond" w:hAnsi="Garamond"/>
          <w:sz w:val="24"/>
          <w:szCs w:val="24"/>
        </w:rPr>
        <w:t>A.</w:t>
      </w:r>
      <w:r w:rsidRPr="006124D6">
        <w:rPr>
          <w:rFonts w:ascii="Garamond" w:hAnsi="Garamond"/>
          <w:sz w:val="24"/>
          <w:szCs w:val="24"/>
        </w:rPr>
        <w:tab/>
        <w:t>Purpose</w:t>
      </w:r>
      <w:bookmarkEnd w:id="2"/>
      <w:bookmarkEnd w:id="3"/>
    </w:p>
    <w:p w14:paraId="05AD5E98" w14:textId="77777777" w:rsidR="0011127E" w:rsidRPr="006124D6" w:rsidRDefault="0011127E">
      <w:pPr>
        <w:rPr>
          <w:rFonts w:ascii="Garamond" w:hAnsi="Garamond"/>
        </w:rPr>
      </w:pPr>
    </w:p>
    <w:p w14:paraId="6712A1E4" w14:textId="0693F51F" w:rsidR="0011127E" w:rsidRPr="006124D6" w:rsidRDefault="0011127E">
      <w:pPr>
        <w:ind w:left="720"/>
        <w:rPr>
          <w:rFonts w:ascii="Garamond" w:hAnsi="Garamond"/>
        </w:rPr>
      </w:pPr>
      <w:r w:rsidRPr="006124D6">
        <w:rPr>
          <w:rFonts w:ascii="Garamond" w:hAnsi="Garamond"/>
        </w:rPr>
        <w:t>The technical review document (TRD) discusses decisions made regarding the applicable requirements, monitoring plan, and compliance status of emission units affected by the operating permit proposed for this facility</w:t>
      </w:r>
      <w:r w:rsidR="00D8745A">
        <w:rPr>
          <w:rFonts w:ascii="Garamond" w:hAnsi="Garamond"/>
        </w:rPr>
        <w:t xml:space="preserve">. </w:t>
      </w:r>
      <w:r w:rsidRPr="006124D6">
        <w:rPr>
          <w:rFonts w:ascii="Garamond" w:hAnsi="Garamond"/>
        </w:rPr>
        <w:t>This document is also intended to provide background information not included in the operating permit and to document issues that may become important during modification or renewals of the operating permit.</w:t>
      </w:r>
    </w:p>
    <w:p w14:paraId="50D99C44" w14:textId="77777777" w:rsidR="0011127E" w:rsidRPr="006124D6" w:rsidRDefault="0011127E">
      <w:pPr>
        <w:ind w:left="720"/>
        <w:rPr>
          <w:rFonts w:ascii="Garamond" w:hAnsi="Garamond"/>
        </w:rPr>
      </w:pPr>
    </w:p>
    <w:p w14:paraId="474CC0E2" w14:textId="38848829" w:rsidR="0011127E" w:rsidRPr="006124D6" w:rsidRDefault="0011127E">
      <w:pPr>
        <w:ind w:left="720"/>
        <w:rPr>
          <w:rFonts w:ascii="Garamond" w:hAnsi="Garamond"/>
        </w:rPr>
      </w:pPr>
      <w:r w:rsidRPr="006124D6">
        <w:rPr>
          <w:rFonts w:ascii="Garamond" w:hAnsi="Garamond"/>
        </w:rPr>
        <w:t xml:space="preserve">The technical review document is intended for reference during review of the permit by the </w:t>
      </w:r>
      <w:r w:rsidR="006C336B">
        <w:rPr>
          <w:rFonts w:ascii="Garamond" w:hAnsi="Garamond"/>
        </w:rPr>
        <w:t xml:space="preserve">United States </w:t>
      </w:r>
      <w:r w:rsidR="00A84144" w:rsidRPr="006124D6">
        <w:rPr>
          <w:rFonts w:ascii="Garamond" w:hAnsi="Garamond"/>
        </w:rPr>
        <w:t>Environmental Protection Agency (</w:t>
      </w:r>
      <w:r w:rsidRPr="006124D6">
        <w:rPr>
          <w:rFonts w:ascii="Garamond" w:hAnsi="Garamond"/>
        </w:rPr>
        <w:t>EPA</w:t>
      </w:r>
      <w:r w:rsidR="00A84144" w:rsidRPr="006124D6">
        <w:rPr>
          <w:rFonts w:ascii="Garamond" w:hAnsi="Garamond"/>
        </w:rPr>
        <w:t>)</w:t>
      </w:r>
      <w:r w:rsidRPr="006124D6">
        <w:rPr>
          <w:rFonts w:ascii="Garamond" w:hAnsi="Garamond"/>
        </w:rPr>
        <w:t xml:space="preserve"> and the public</w:t>
      </w:r>
      <w:r w:rsidR="00D8745A">
        <w:rPr>
          <w:rFonts w:ascii="Garamond" w:hAnsi="Garamond"/>
        </w:rPr>
        <w:t xml:space="preserve">. </w:t>
      </w:r>
      <w:r w:rsidRPr="006124D6">
        <w:rPr>
          <w:rFonts w:ascii="Garamond" w:hAnsi="Garamond"/>
        </w:rPr>
        <w:t>Conclusions in this document are based on information provided in the original application submitted by Colstrip Energy Limited Partnership (CELP) on June 8, 1995, additional information submitted on September 25, 1996, October 30, 1996</w:t>
      </w:r>
      <w:r w:rsidR="00740493">
        <w:rPr>
          <w:rFonts w:ascii="Garamond" w:hAnsi="Garamond"/>
        </w:rPr>
        <w:t>;</w:t>
      </w:r>
      <w:r w:rsidRPr="006124D6">
        <w:rPr>
          <w:rFonts w:ascii="Garamond" w:hAnsi="Garamond"/>
        </w:rPr>
        <w:t xml:space="preserve"> a renewal application submitted on January 30, 2004</w:t>
      </w:r>
      <w:r w:rsidR="00825476" w:rsidRPr="006124D6">
        <w:rPr>
          <w:rFonts w:ascii="Garamond" w:hAnsi="Garamond"/>
        </w:rPr>
        <w:t>, and information received on April 16, 200</w:t>
      </w:r>
      <w:r w:rsidR="00740493">
        <w:rPr>
          <w:rFonts w:ascii="Garamond" w:hAnsi="Garamond"/>
        </w:rPr>
        <w:t>8;</w:t>
      </w:r>
      <w:r w:rsidRPr="006124D6">
        <w:rPr>
          <w:rFonts w:ascii="Garamond" w:hAnsi="Garamond"/>
        </w:rPr>
        <w:t xml:space="preserve"> </w:t>
      </w:r>
      <w:r w:rsidR="007F76F7" w:rsidRPr="006124D6">
        <w:rPr>
          <w:rFonts w:ascii="Garamond" w:hAnsi="Garamond"/>
        </w:rPr>
        <w:t xml:space="preserve">Montana Air Quality Permit (MAQP) </w:t>
      </w:r>
      <w:r w:rsidR="00605FCB" w:rsidRPr="006124D6">
        <w:rPr>
          <w:rFonts w:ascii="Garamond" w:hAnsi="Garamond"/>
        </w:rPr>
        <w:t>A</w:t>
      </w:r>
      <w:r w:rsidRPr="006124D6">
        <w:rPr>
          <w:rFonts w:ascii="Garamond" w:hAnsi="Garamond"/>
        </w:rPr>
        <w:t>pplication #2035-03 submitted on July 25, 1997 and additional information submitted on August 12, 1997, August 26, 1997, November 19, 1997, November 25, 1997, and January 5, 1998</w:t>
      </w:r>
      <w:r w:rsidR="00740493">
        <w:rPr>
          <w:rFonts w:ascii="Garamond" w:hAnsi="Garamond"/>
        </w:rPr>
        <w:t>;</w:t>
      </w:r>
      <w:r w:rsidR="006253C6" w:rsidRPr="006124D6">
        <w:rPr>
          <w:rFonts w:ascii="Garamond" w:hAnsi="Garamond"/>
        </w:rPr>
        <w:t xml:space="preserve"> </w:t>
      </w:r>
      <w:r w:rsidR="007F76F7" w:rsidRPr="006124D6">
        <w:rPr>
          <w:rFonts w:ascii="Garamond" w:hAnsi="Garamond"/>
        </w:rPr>
        <w:t>MAQP</w:t>
      </w:r>
      <w:r w:rsidR="006253C6" w:rsidRPr="006124D6">
        <w:rPr>
          <w:rFonts w:ascii="Garamond" w:hAnsi="Garamond"/>
        </w:rPr>
        <w:t xml:space="preserve"> Application #2035-05 on December 30, 2008</w:t>
      </w:r>
      <w:r w:rsidR="00B020CA" w:rsidRPr="006124D6">
        <w:rPr>
          <w:rFonts w:ascii="Garamond" w:hAnsi="Garamond"/>
        </w:rPr>
        <w:t>,</w:t>
      </w:r>
      <w:r w:rsidR="006253C6" w:rsidRPr="006124D6">
        <w:rPr>
          <w:rFonts w:ascii="Garamond" w:hAnsi="Garamond"/>
        </w:rPr>
        <w:t xml:space="preserve"> and additional information provided on </w:t>
      </w:r>
      <w:r w:rsidR="006253C6" w:rsidRPr="006124D6">
        <w:rPr>
          <w:rFonts w:ascii="Garamond" w:hAnsi="Garamond"/>
          <w:color w:val="000000"/>
        </w:rPr>
        <w:t>March 31, 2009</w:t>
      </w:r>
      <w:r w:rsidR="00740493">
        <w:rPr>
          <w:rFonts w:ascii="Garamond" w:hAnsi="Garamond"/>
          <w:color w:val="000000"/>
        </w:rPr>
        <w:t>;</w:t>
      </w:r>
      <w:r w:rsidR="00740493">
        <w:rPr>
          <w:rFonts w:ascii="Garamond" w:hAnsi="Garamond"/>
        </w:rPr>
        <w:t xml:space="preserve"> an administrative amendment</w:t>
      </w:r>
      <w:r w:rsidR="000F24D6">
        <w:rPr>
          <w:rFonts w:ascii="Garamond" w:hAnsi="Garamond"/>
        </w:rPr>
        <w:t xml:space="preserve"> (AA)</w:t>
      </w:r>
      <w:r w:rsidR="00740493">
        <w:rPr>
          <w:rFonts w:ascii="Garamond" w:hAnsi="Garamond"/>
        </w:rPr>
        <w:t xml:space="preserve"> request </w:t>
      </w:r>
      <w:r w:rsidR="00740493" w:rsidRPr="00185C72">
        <w:rPr>
          <w:rFonts w:ascii="Garamond" w:hAnsi="Garamond"/>
        </w:rPr>
        <w:t>submitted on September 4, 2013;</w:t>
      </w:r>
      <w:r w:rsidR="006C336B" w:rsidRPr="00185C72">
        <w:rPr>
          <w:rFonts w:ascii="Garamond" w:hAnsi="Garamond"/>
        </w:rPr>
        <w:t xml:space="preserve"> and a renewal application submitted on July 23, 2013</w:t>
      </w:r>
      <w:r w:rsidR="00D8745A">
        <w:rPr>
          <w:rFonts w:ascii="Garamond" w:hAnsi="Garamond"/>
        </w:rPr>
        <w:t xml:space="preserve">. </w:t>
      </w:r>
      <w:r w:rsidR="00625E00" w:rsidRPr="00185C72">
        <w:rPr>
          <w:rFonts w:ascii="Garamond" w:hAnsi="Garamond"/>
        </w:rPr>
        <w:t xml:space="preserve">A Title V renewal </w:t>
      </w:r>
      <w:r w:rsidR="00B73BA0">
        <w:rPr>
          <w:rFonts w:ascii="Garamond" w:hAnsi="Garamond"/>
        </w:rPr>
        <w:t xml:space="preserve">application </w:t>
      </w:r>
      <w:r w:rsidR="00625E00" w:rsidRPr="00185C72">
        <w:rPr>
          <w:rFonts w:ascii="Garamond" w:hAnsi="Garamond"/>
        </w:rPr>
        <w:t>was received on June 20, 2019.</w:t>
      </w:r>
      <w:r w:rsidR="00255A04">
        <w:rPr>
          <w:rFonts w:ascii="Garamond" w:hAnsi="Garamond"/>
        </w:rPr>
        <w:t xml:space="preserve"> A deminimis request was also received on December 28, 2018, with a request to update the MAQP</w:t>
      </w:r>
      <w:r w:rsidR="00D8745A">
        <w:rPr>
          <w:rFonts w:ascii="Garamond" w:hAnsi="Garamond"/>
        </w:rPr>
        <w:t xml:space="preserve">. </w:t>
      </w:r>
      <w:r w:rsidR="00255A04">
        <w:rPr>
          <w:rFonts w:ascii="Garamond" w:hAnsi="Garamond"/>
        </w:rPr>
        <w:t>The de</w:t>
      </w:r>
      <w:r w:rsidR="00FE60B4">
        <w:rPr>
          <w:rFonts w:ascii="Garamond" w:hAnsi="Garamond"/>
        </w:rPr>
        <w:t xml:space="preserve"> </w:t>
      </w:r>
      <w:r w:rsidR="00255A04">
        <w:rPr>
          <w:rFonts w:ascii="Garamond" w:hAnsi="Garamond"/>
        </w:rPr>
        <w:t xml:space="preserve">minimis request was approved by </w:t>
      </w:r>
      <w:r w:rsidR="009C3F2D">
        <w:rPr>
          <w:rFonts w:ascii="Garamond" w:hAnsi="Garamond"/>
        </w:rPr>
        <w:t>DEQ</w:t>
      </w:r>
      <w:r w:rsidR="00255A04">
        <w:rPr>
          <w:rFonts w:ascii="Garamond" w:hAnsi="Garamond"/>
        </w:rPr>
        <w:t xml:space="preserve"> but was not incorporated into the MAQP.</w:t>
      </w:r>
      <w:r w:rsidR="00AC7BDA">
        <w:rPr>
          <w:rFonts w:ascii="Garamond" w:hAnsi="Garamond"/>
        </w:rPr>
        <w:t xml:space="preserve"> However, since the deminimis</w:t>
      </w:r>
      <w:r w:rsidR="006669D1">
        <w:rPr>
          <w:rFonts w:ascii="Garamond" w:hAnsi="Garamond"/>
        </w:rPr>
        <w:t xml:space="preserve"> request</w:t>
      </w:r>
      <w:r w:rsidR="00AC7BDA">
        <w:rPr>
          <w:rFonts w:ascii="Garamond" w:hAnsi="Garamond"/>
        </w:rPr>
        <w:t xml:space="preserve"> was approved, the minor changes associated with the request have been incorporated into the Title V permit</w:t>
      </w:r>
      <w:r w:rsidR="00D8745A">
        <w:rPr>
          <w:rFonts w:ascii="Garamond" w:hAnsi="Garamond"/>
        </w:rPr>
        <w:t xml:space="preserve">. </w:t>
      </w:r>
    </w:p>
    <w:p w14:paraId="66907252" w14:textId="77777777" w:rsidR="0011127E" w:rsidRPr="006124D6" w:rsidRDefault="0011127E">
      <w:pPr>
        <w:jc w:val="center"/>
        <w:rPr>
          <w:rFonts w:ascii="Garamond" w:hAnsi="Garamond"/>
        </w:rPr>
      </w:pPr>
    </w:p>
    <w:p w14:paraId="4E7E93EC" w14:textId="77777777" w:rsidR="0011127E" w:rsidRPr="006124D6" w:rsidRDefault="0011127E">
      <w:pPr>
        <w:pStyle w:val="Heading2"/>
        <w:rPr>
          <w:rFonts w:ascii="Garamond" w:hAnsi="Garamond"/>
          <w:sz w:val="24"/>
          <w:szCs w:val="24"/>
        </w:rPr>
      </w:pPr>
      <w:bookmarkStart w:id="4" w:name="_Toc163359608"/>
      <w:bookmarkStart w:id="5" w:name="_Toc104892060"/>
      <w:r w:rsidRPr="006124D6">
        <w:rPr>
          <w:rFonts w:ascii="Garamond" w:hAnsi="Garamond"/>
          <w:sz w:val="24"/>
          <w:szCs w:val="24"/>
        </w:rPr>
        <w:t>B.</w:t>
      </w:r>
      <w:r w:rsidRPr="006124D6">
        <w:rPr>
          <w:rFonts w:ascii="Garamond" w:hAnsi="Garamond"/>
          <w:sz w:val="24"/>
          <w:szCs w:val="24"/>
        </w:rPr>
        <w:tab/>
        <w:t>Facility Location</w:t>
      </w:r>
      <w:bookmarkEnd w:id="4"/>
      <w:bookmarkEnd w:id="5"/>
    </w:p>
    <w:p w14:paraId="68FDA04B" w14:textId="77777777" w:rsidR="0011127E" w:rsidRPr="006124D6" w:rsidRDefault="0011127E">
      <w:pPr>
        <w:rPr>
          <w:rFonts w:ascii="Garamond" w:hAnsi="Garamond"/>
        </w:rPr>
      </w:pPr>
    </w:p>
    <w:p w14:paraId="64FB5C19" w14:textId="488BE63F" w:rsidR="0011127E" w:rsidRPr="006124D6" w:rsidRDefault="0011127E">
      <w:pPr>
        <w:ind w:left="720"/>
        <w:rPr>
          <w:rFonts w:ascii="Garamond" w:hAnsi="Garamond"/>
        </w:rPr>
      </w:pPr>
      <w:r w:rsidRPr="006124D6">
        <w:rPr>
          <w:rFonts w:ascii="Garamond" w:hAnsi="Garamond"/>
        </w:rPr>
        <w:t xml:space="preserve">The facility is located </w:t>
      </w:r>
      <w:r w:rsidR="004B419F" w:rsidRPr="006124D6">
        <w:rPr>
          <w:rFonts w:ascii="Garamond" w:hAnsi="Garamond"/>
        </w:rPr>
        <w:t>6</w:t>
      </w:r>
      <w:r w:rsidRPr="006124D6">
        <w:rPr>
          <w:rFonts w:ascii="Garamond" w:hAnsi="Garamond"/>
        </w:rPr>
        <w:t xml:space="preserve"> miles north of Colstrip, Montana on Highway 39</w:t>
      </w:r>
      <w:r w:rsidR="00D8745A">
        <w:rPr>
          <w:rFonts w:ascii="Garamond" w:hAnsi="Garamond"/>
        </w:rPr>
        <w:t xml:space="preserve">. </w:t>
      </w:r>
      <w:bookmarkStart w:id="6" w:name="_Hlk46294120"/>
      <w:r w:rsidRPr="006124D6">
        <w:rPr>
          <w:rFonts w:ascii="Garamond" w:hAnsi="Garamond"/>
        </w:rPr>
        <w:t>The legal location is North ½, Section 32, Township 3 North, Range 41 East, Rosebud County, Montana</w:t>
      </w:r>
      <w:bookmarkEnd w:id="6"/>
      <w:r w:rsidRPr="006124D6">
        <w:rPr>
          <w:rFonts w:ascii="Garamond" w:hAnsi="Garamond"/>
        </w:rPr>
        <w:t>.</w:t>
      </w:r>
    </w:p>
    <w:p w14:paraId="1A0918C8" w14:textId="77777777" w:rsidR="0011127E" w:rsidRPr="006124D6" w:rsidRDefault="0011127E">
      <w:pPr>
        <w:rPr>
          <w:rFonts w:ascii="Garamond" w:hAnsi="Garamond"/>
        </w:rPr>
      </w:pPr>
    </w:p>
    <w:p w14:paraId="6A086122" w14:textId="77777777" w:rsidR="0011127E" w:rsidRPr="006124D6" w:rsidRDefault="0011127E">
      <w:pPr>
        <w:pStyle w:val="Heading2"/>
        <w:rPr>
          <w:rFonts w:ascii="Garamond" w:hAnsi="Garamond"/>
          <w:sz w:val="24"/>
          <w:szCs w:val="24"/>
        </w:rPr>
      </w:pPr>
      <w:bookmarkStart w:id="7" w:name="_Toc163359609"/>
      <w:bookmarkStart w:id="8" w:name="_Toc104892061"/>
      <w:r w:rsidRPr="006124D6">
        <w:rPr>
          <w:rFonts w:ascii="Garamond" w:hAnsi="Garamond"/>
          <w:sz w:val="24"/>
          <w:szCs w:val="24"/>
        </w:rPr>
        <w:t>C.</w:t>
      </w:r>
      <w:r w:rsidRPr="006124D6">
        <w:rPr>
          <w:rFonts w:ascii="Garamond" w:hAnsi="Garamond"/>
          <w:sz w:val="24"/>
          <w:szCs w:val="24"/>
        </w:rPr>
        <w:tab/>
        <w:t>Facility Background Information</w:t>
      </w:r>
      <w:bookmarkEnd w:id="7"/>
      <w:bookmarkEnd w:id="8"/>
    </w:p>
    <w:p w14:paraId="5E834332" w14:textId="77777777" w:rsidR="0011127E" w:rsidRPr="006124D6" w:rsidRDefault="0011127E">
      <w:pPr>
        <w:rPr>
          <w:rFonts w:ascii="Garamond" w:hAnsi="Garamond"/>
        </w:rPr>
      </w:pPr>
    </w:p>
    <w:p w14:paraId="6CB5B9F1" w14:textId="77777777" w:rsidR="0011127E" w:rsidRPr="006124D6" w:rsidRDefault="0011127E" w:rsidP="005026FA">
      <w:pPr>
        <w:pStyle w:val="Heading4"/>
        <w:rPr>
          <w:rFonts w:ascii="Garamond" w:hAnsi="Garamond"/>
          <w:sz w:val="24"/>
          <w:szCs w:val="24"/>
        </w:rPr>
      </w:pPr>
      <w:r w:rsidRPr="006124D6">
        <w:rPr>
          <w:rFonts w:ascii="Garamond" w:hAnsi="Garamond"/>
          <w:sz w:val="24"/>
          <w:szCs w:val="24"/>
        </w:rPr>
        <w:t>Montana Air Quality Permit</w:t>
      </w:r>
      <w:r w:rsidR="008F1AA1" w:rsidRPr="006124D6">
        <w:rPr>
          <w:rFonts w:ascii="Garamond" w:hAnsi="Garamond"/>
          <w:sz w:val="24"/>
          <w:szCs w:val="24"/>
        </w:rPr>
        <w:t xml:space="preserve"> (MAQP)</w:t>
      </w:r>
    </w:p>
    <w:p w14:paraId="12AB3828" w14:textId="77777777" w:rsidR="0011127E" w:rsidRPr="006124D6" w:rsidRDefault="0011127E">
      <w:pPr>
        <w:ind w:left="720"/>
        <w:rPr>
          <w:rFonts w:ascii="Garamond" w:hAnsi="Garamond"/>
        </w:rPr>
      </w:pPr>
    </w:p>
    <w:p w14:paraId="4D9615B2" w14:textId="2ABB744F" w:rsidR="0011127E" w:rsidRPr="006124D6" w:rsidRDefault="0011127E">
      <w:pPr>
        <w:ind w:left="720"/>
        <w:rPr>
          <w:rFonts w:ascii="Garamond" w:hAnsi="Garamond"/>
        </w:rPr>
      </w:pPr>
      <w:r w:rsidRPr="006124D6">
        <w:rPr>
          <w:rFonts w:ascii="Garamond" w:hAnsi="Garamond"/>
        </w:rPr>
        <w:t xml:space="preserve">The original air quality </w:t>
      </w:r>
      <w:r w:rsidR="00A95425" w:rsidRPr="006124D6">
        <w:rPr>
          <w:rFonts w:ascii="Garamond" w:hAnsi="Garamond"/>
          <w:b/>
        </w:rPr>
        <w:t>MAQP</w:t>
      </w:r>
      <w:r w:rsidR="00A95425" w:rsidRPr="006124D6">
        <w:rPr>
          <w:rFonts w:ascii="Garamond" w:hAnsi="Garamond"/>
          <w:b/>
          <w:bCs/>
        </w:rPr>
        <w:t xml:space="preserve"> </w:t>
      </w:r>
      <w:r w:rsidRPr="006124D6">
        <w:rPr>
          <w:rFonts w:ascii="Garamond" w:hAnsi="Garamond"/>
          <w:b/>
          <w:bCs/>
        </w:rPr>
        <w:t>#2035</w:t>
      </w:r>
      <w:r w:rsidRPr="006124D6">
        <w:rPr>
          <w:rFonts w:ascii="Garamond" w:hAnsi="Garamond"/>
        </w:rPr>
        <w:t xml:space="preserve"> was issued to AEM Corporation for the construction and operation of a coal-fired power generation facility and a coal liquefaction-cogeneration facility from the Montana Department of Health and Environmental Sciences, Air Quality Bureau (</w:t>
      </w:r>
      <w:r w:rsidR="00A84144" w:rsidRPr="006124D6">
        <w:rPr>
          <w:rFonts w:ascii="Garamond" w:hAnsi="Garamond"/>
        </w:rPr>
        <w:t xml:space="preserve">precursor to the Department of Environmental Quality (Department)) </w:t>
      </w:r>
      <w:r w:rsidRPr="006124D6">
        <w:rPr>
          <w:rFonts w:ascii="Garamond" w:hAnsi="Garamond"/>
        </w:rPr>
        <w:t>on September 10, 1985</w:t>
      </w:r>
      <w:r w:rsidR="00D8745A">
        <w:rPr>
          <w:rFonts w:ascii="Garamond" w:hAnsi="Garamond"/>
        </w:rPr>
        <w:t xml:space="preserve">. </w:t>
      </w:r>
      <w:r w:rsidRPr="006124D6">
        <w:rPr>
          <w:rFonts w:ascii="Garamond" w:hAnsi="Garamond"/>
        </w:rPr>
        <w:t xml:space="preserve">The application was received on April 26, </w:t>
      </w:r>
      <w:r w:rsidR="00ED56FA" w:rsidRPr="006124D6">
        <w:rPr>
          <w:rFonts w:ascii="Garamond" w:hAnsi="Garamond"/>
        </w:rPr>
        <w:t>1985,</w:t>
      </w:r>
      <w:r w:rsidRPr="006124D6">
        <w:rPr>
          <w:rFonts w:ascii="Garamond" w:hAnsi="Garamond"/>
        </w:rPr>
        <w:t xml:space="preserve"> and deemed complete on June 25, 1985.</w:t>
      </w:r>
    </w:p>
    <w:p w14:paraId="11CB2C3A" w14:textId="77777777" w:rsidR="0011127E" w:rsidRPr="006124D6" w:rsidRDefault="0011127E">
      <w:pPr>
        <w:ind w:left="720"/>
        <w:rPr>
          <w:rFonts w:ascii="Garamond" w:hAnsi="Garamond"/>
        </w:rPr>
      </w:pPr>
      <w:r w:rsidRPr="006124D6">
        <w:rPr>
          <w:rFonts w:ascii="Garamond" w:hAnsi="Garamond"/>
        </w:rPr>
        <w:t xml:space="preserve">  </w:t>
      </w:r>
    </w:p>
    <w:p w14:paraId="3A6C6963" w14:textId="6EBCB2CB" w:rsidR="0011127E" w:rsidRPr="006124D6" w:rsidRDefault="0011127E">
      <w:pPr>
        <w:ind w:left="720"/>
        <w:rPr>
          <w:rFonts w:ascii="Garamond" w:hAnsi="Garamond"/>
        </w:rPr>
      </w:pPr>
      <w:r w:rsidRPr="006124D6">
        <w:rPr>
          <w:rFonts w:ascii="Garamond" w:hAnsi="Garamond"/>
        </w:rPr>
        <w:t xml:space="preserve">The coal-fired power generation facility was identified as a major stationary source as defined in </w:t>
      </w:r>
      <w:r w:rsidRPr="006124D6">
        <w:rPr>
          <w:sz w:val="22"/>
          <w:szCs w:val="22"/>
        </w:rPr>
        <w:t>ARM 16.8.921(22)(a)</w:t>
      </w:r>
      <w:r w:rsidR="00D8745A">
        <w:rPr>
          <w:sz w:val="22"/>
          <w:szCs w:val="22"/>
        </w:rPr>
        <w:t xml:space="preserve">. </w:t>
      </w:r>
      <w:r w:rsidRPr="006124D6">
        <w:rPr>
          <w:rFonts w:ascii="Garamond" w:hAnsi="Garamond"/>
        </w:rPr>
        <w:t>Therefore, a Prevention of Significant Deterioration (PSD) review was conducted for the permit application.</w:t>
      </w:r>
    </w:p>
    <w:p w14:paraId="6C13DD45" w14:textId="77777777" w:rsidR="0011127E" w:rsidRPr="006124D6" w:rsidRDefault="0011127E">
      <w:pPr>
        <w:ind w:left="720"/>
        <w:rPr>
          <w:rFonts w:ascii="Garamond" w:hAnsi="Garamond"/>
        </w:rPr>
      </w:pPr>
    </w:p>
    <w:p w14:paraId="511C85E5" w14:textId="5C064783" w:rsidR="0011127E" w:rsidRPr="006124D6" w:rsidRDefault="0011127E">
      <w:pPr>
        <w:ind w:left="720"/>
        <w:rPr>
          <w:rFonts w:ascii="Garamond" w:hAnsi="Garamond"/>
        </w:rPr>
      </w:pPr>
      <w:r w:rsidRPr="006124D6">
        <w:rPr>
          <w:rFonts w:ascii="Garamond" w:hAnsi="Garamond"/>
        </w:rPr>
        <w:t>Coal for the facility comes from the Western Energy mine or other nearby mines</w:t>
      </w:r>
      <w:r w:rsidR="00D8745A">
        <w:rPr>
          <w:rFonts w:ascii="Garamond" w:hAnsi="Garamond"/>
        </w:rPr>
        <w:t xml:space="preserve">. </w:t>
      </w:r>
      <w:r w:rsidRPr="006124D6">
        <w:rPr>
          <w:rFonts w:ascii="Garamond" w:hAnsi="Garamond"/>
        </w:rPr>
        <w:t>The coal used is called culm, which is a refuse coal whose uses are somewhat limited</w:t>
      </w:r>
      <w:r w:rsidR="00D8745A">
        <w:rPr>
          <w:rFonts w:ascii="Garamond" w:hAnsi="Garamond"/>
        </w:rPr>
        <w:t xml:space="preserve">. </w:t>
      </w:r>
      <w:r w:rsidRPr="006124D6">
        <w:rPr>
          <w:rFonts w:ascii="Garamond" w:hAnsi="Garamond"/>
        </w:rPr>
        <w:t xml:space="preserve">AEM </w:t>
      </w:r>
      <w:r w:rsidR="00A84144" w:rsidRPr="006124D6">
        <w:rPr>
          <w:rFonts w:ascii="Garamond" w:hAnsi="Garamond"/>
        </w:rPr>
        <w:t xml:space="preserve">planned to utilize 364,000 tons per year </w:t>
      </w:r>
      <w:r w:rsidR="008C105D" w:rsidRPr="006124D6">
        <w:rPr>
          <w:rFonts w:ascii="Garamond" w:hAnsi="Garamond"/>
        </w:rPr>
        <w:t>(</w:t>
      </w:r>
      <w:r w:rsidR="0045272D" w:rsidRPr="006124D6">
        <w:rPr>
          <w:rFonts w:ascii="Garamond" w:hAnsi="Garamond"/>
        </w:rPr>
        <w:t>TPY</w:t>
      </w:r>
      <w:r w:rsidR="008C105D" w:rsidRPr="006124D6">
        <w:rPr>
          <w:rFonts w:ascii="Garamond" w:hAnsi="Garamond"/>
        </w:rPr>
        <w:t>)</w:t>
      </w:r>
      <w:r w:rsidRPr="006124D6">
        <w:rPr>
          <w:rFonts w:ascii="Garamond" w:hAnsi="Garamond"/>
        </w:rPr>
        <w:t xml:space="preserve"> of refuse coal, 220,752 </w:t>
      </w:r>
      <w:r w:rsidR="005026FA" w:rsidRPr="006124D6">
        <w:rPr>
          <w:rFonts w:ascii="Garamond" w:hAnsi="Garamond"/>
        </w:rPr>
        <w:t>TPY</w:t>
      </w:r>
      <w:r w:rsidRPr="006124D6">
        <w:rPr>
          <w:rFonts w:ascii="Garamond" w:hAnsi="Garamond"/>
        </w:rPr>
        <w:t xml:space="preserve"> of PDF (char), 359,400 </w:t>
      </w:r>
      <w:r w:rsidR="007C1893" w:rsidRPr="006124D6">
        <w:rPr>
          <w:rFonts w:ascii="Garamond" w:hAnsi="Garamond"/>
        </w:rPr>
        <w:lastRenderedPageBreak/>
        <w:t>barrels (</w:t>
      </w:r>
      <w:r w:rsidRPr="006124D6">
        <w:rPr>
          <w:rFonts w:ascii="Garamond" w:hAnsi="Garamond"/>
        </w:rPr>
        <w:t>Bbl</w:t>
      </w:r>
      <w:r w:rsidR="007C1893" w:rsidRPr="006124D6">
        <w:rPr>
          <w:rFonts w:ascii="Garamond" w:hAnsi="Garamond"/>
        </w:rPr>
        <w:t>)</w:t>
      </w:r>
      <w:r w:rsidRPr="006124D6">
        <w:rPr>
          <w:rFonts w:ascii="Garamond" w:hAnsi="Garamond"/>
        </w:rPr>
        <w:t xml:space="preserve"> of oil, 390,000,000 </w:t>
      </w:r>
      <w:r w:rsidR="00A84144" w:rsidRPr="006124D6">
        <w:rPr>
          <w:rFonts w:ascii="Garamond" w:hAnsi="Garamond"/>
        </w:rPr>
        <w:t>cubic feet per year (</w:t>
      </w:r>
      <w:r w:rsidRPr="006124D6">
        <w:rPr>
          <w:rFonts w:ascii="Garamond" w:hAnsi="Garamond"/>
        </w:rPr>
        <w:t>ft</w:t>
      </w:r>
      <w:r w:rsidRPr="006124D6">
        <w:rPr>
          <w:rFonts w:ascii="Garamond" w:hAnsi="Garamond"/>
          <w:vertAlign w:val="superscript"/>
        </w:rPr>
        <w:t>3</w:t>
      </w:r>
      <w:r w:rsidRPr="006124D6">
        <w:rPr>
          <w:rFonts w:ascii="Garamond" w:hAnsi="Garamond"/>
        </w:rPr>
        <w:t>/yr</w:t>
      </w:r>
      <w:r w:rsidR="00A84144" w:rsidRPr="006124D6">
        <w:rPr>
          <w:rFonts w:ascii="Garamond" w:hAnsi="Garamond"/>
        </w:rPr>
        <w:t>)</w:t>
      </w:r>
      <w:r w:rsidRPr="006124D6">
        <w:rPr>
          <w:rFonts w:ascii="Garamond" w:hAnsi="Garamond"/>
        </w:rPr>
        <w:t xml:space="preserve"> of noncondensible gases, 59,568 </w:t>
      </w:r>
      <w:r w:rsidR="00D970AB" w:rsidRPr="006124D6">
        <w:rPr>
          <w:rFonts w:ascii="Garamond" w:hAnsi="Garamond"/>
        </w:rPr>
        <w:t>TPY</w:t>
      </w:r>
      <w:r w:rsidRPr="006124D6">
        <w:rPr>
          <w:rFonts w:ascii="Garamond" w:hAnsi="Garamond"/>
        </w:rPr>
        <w:t xml:space="preserve"> of water, and use 11,000 </w:t>
      </w:r>
      <w:r w:rsidR="00D970AB" w:rsidRPr="006124D6">
        <w:rPr>
          <w:rFonts w:ascii="Garamond" w:hAnsi="Garamond"/>
        </w:rPr>
        <w:t>TPY</w:t>
      </w:r>
      <w:r w:rsidRPr="006124D6">
        <w:rPr>
          <w:rFonts w:ascii="Garamond" w:hAnsi="Garamond"/>
        </w:rPr>
        <w:t xml:space="preserve"> of dolomite lime as supplemental boiler </w:t>
      </w:r>
      <w:r w:rsidR="00A84144" w:rsidRPr="006124D6">
        <w:rPr>
          <w:rFonts w:ascii="Garamond" w:hAnsi="Garamond"/>
        </w:rPr>
        <w:t>sulfur dioxide (</w:t>
      </w:r>
      <w:r w:rsidRPr="006124D6">
        <w:rPr>
          <w:rFonts w:ascii="Garamond" w:hAnsi="Garamond"/>
        </w:rPr>
        <w:t>SO</w:t>
      </w:r>
      <w:r w:rsidRPr="006124D6">
        <w:rPr>
          <w:rFonts w:ascii="Garamond" w:hAnsi="Garamond"/>
          <w:vertAlign w:val="subscript"/>
        </w:rPr>
        <w:t>2</w:t>
      </w:r>
      <w:r w:rsidR="00A84144" w:rsidRPr="006124D6">
        <w:rPr>
          <w:rFonts w:ascii="Garamond" w:hAnsi="Garamond"/>
        </w:rPr>
        <w:t>)</w:t>
      </w:r>
      <w:r w:rsidRPr="006124D6">
        <w:rPr>
          <w:rFonts w:ascii="Garamond" w:hAnsi="Garamond"/>
        </w:rPr>
        <w:t xml:space="preserve"> control to produce 30.65 </w:t>
      </w:r>
      <w:r w:rsidR="00A84144" w:rsidRPr="006124D6">
        <w:rPr>
          <w:rFonts w:ascii="Garamond" w:hAnsi="Garamond"/>
        </w:rPr>
        <w:t>megawatts (</w:t>
      </w:r>
      <w:r w:rsidRPr="006124D6">
        <w:rPr>
          <w:rFonts w:ascii="Garamond" w:hAnsi="Garamond"/>
        </w:rPr>
        <w:t>MW</w:t>
      </w:r>
      <w:r w:rsidR="00A84144" w:rsidRPr="006124D6">
        <w:rPr>
          <w:rFonts w:ascii="Garamond" w:hAnsi="Garamond"/>
        </w:rPr>
        <w:t>)</w:t>
      </w:r>
      <w:r w:rsidRPr="006124D6">
        <w:rPr>
          <w:rFonts w:ascii="Garamond" w:hAnsi="Garamond"/>
        </w:rPr>
        <w:t xml:space="preserve"> of power.</w:t>
      </w:r>
    </w:p>
    <w:p w14:paraId="734D9A67" w14:textId="77777777" w:rsidR="00E5135F" w:rsidRPr="006124D6" w:rsidRDefault="00E5135F" w:rsidP="008624BF">
      <w:pPr>
        <w:rPr>
          <w:rFonts w:ascii="Garamond" w:hAnsi="Garamond"/>
        </w:rPr>
      </w:pPr>
    </w:p>
    <w:p w14:paraId="03296778" w14:textId="3C13271F" w:rsidR="0011127E" w:rsidRPr="006124D6" w:rsidRDefault="0011127E">
      <w:pPr>
        <w:ind w:left="720"/>
        <w:rPr>
          <w:rFonts w:ascii="Garamond" w:hAnsi="Garamond"/>
        </w:rPr>
      </w:pPr>
      <w:r w:rsidRPr="006124D6">
        <w:rPr>
          <w:rFonts w:ascii="Garamond" w:hAnsi="Garamond"/>
        </w:rPr>
        <w:t xml:space="preserve">The first change to the permit was given </w:t>
      </w:r>
      <w:r w:rsidR="00E65F55" w:rsidRPr="006124D6">
        <w:rPr>
          <w:rFonts w:ascii="Garamond" w:hAnsi="Garamond"/>
          <w:b/>
        </w:rPr>
        <w:t>MAQP</w:t>
      </w:r>
      <w:r w:rsidRPr="006124D6">
        <w:rPr>
          <w:rFonts w:ascii="Garamond" w:hAnsi="Garamond"/>
          <w:b/>
          <w:bCs/>
        </w:rPr>
        <w:t xml:space="preserve"> #2035-A</w:t>
      </w:r>
      <w:r w:rsidRPr="006124D6">
        <w:rPr>
          <w:rFonts w:ascii="Garamond" w:hAnsi="Garamond"/>
        </w:rPr>
        <w:t xml:space="preserve"> and was issued on December 22, 1987</w:t>
      </w:r>
      <w:r w:rsidR="00D8745A">
        <w:rPr>
          <w:rFonts w:ascii="Garamond" w:hAnsi="Garamond"/>
        </w:rPr>
        <w:t xml:space="preserve">. </w:t>
      </w:r>
      <w:r w:rsidRPr="006124D6">
        <w:rPr>
          <w:rFonts w:ascii="Garamond" w:hAnsi="Garamond"/>
        </w:rPr>
        <w:t>This permit was issued to Montana One Partners of LaJolla, California who took over ownership from AEM Corporation</w:t>
      </w:r>
      <w:r w:rsidR="00D8745A">
        <w:rPr>
          <w:rFonts w:ascii="Garamond" w:hAnsi="Garamond"/>
        </w:rPr>
        <w:t xml:space="preserve">. </w:t>
      </w:r>
      <w:r w:rsidRPr="006124D6">
        <w:rPr>
          <w:rFonts w:ascii="Garamond" w:hAnsi="Garamond"/>
        </w:rPr>
        <w:t xml:space="preserve">The change requested was to allow the company to construct only the power generation portion of the process and to produce 39 </w:t>
      </w:r>
      <w:r w:rsidR="007C1893" w:rsidRPr="006124D6">
        <w:rPr>
          <w:rFonts w:ascii="Garamond" w:hAnsi="Garamond"/>
        </w:rPr>
        <w:t xml:space="preserve">gross </w:t>
      </w:r>
      <w:r w:rsidR="008074D3" w:rsidRPr="006124D6">
        <w:rPr>
          <w:rFonts w:ascii="Garamond" w:hAnsi="Garamond"/>
        </w:rPr>
        <w:t>megawatts</w:t>
      </w:r>
      <w:r w:rsidR="007C1893" w:rsidRPr="006124D6">
        <w:rPr>
          <w:rFonts w:ascii="Garamond" w:hAnsi="Garamond"/>
        </w:rPr>
        <w:t xml:space="preserve"> (</w:t>
      </w:r>
      <w:r w:rsidRPr="006124D6">
        <w:rPr>
          <w:rFonts w:ascii="Garamond" w:hAnsi="Garamond"/>
        </w:rPr>
        <w:t>GMW</w:t>
      </w:r>
      <w:r w:rsidR="007C1893" w:rsidRPr="006124D6">
        <w:rPr>
          <w:rFonts w:ascii="Garamond" w:hAnsi="Garamond"/>
        </w:rPr>
        <w:t>)</w:t>
      </w:r>
      <w:r w:rsidR="00D8745A">
        <w:rPr>
          <w:rFonts w:ascii="Garamond" w:hAnsi="Garamond"/>
        </w:rPr>
        <w:t xml:space="preserve">. </w:t>
      </w:r>
      <w:r w:rsidRPr="006124D6">
        <w:rPr>
          <w:rFonts w:ascii="Garamond" w:hAnsi="Garamond"/>
        </w:rPr>
        <w:t>The Montana One Partners changed the project description</w:t>
      </w:r>
      <w:r w:rsidR="00D8745A">
        <w:rPr>
          <w:rFonts w:ascii="Garamond" w:hAnsi="Garamond"/>
        </w:rPr>
        <w:t xml:space="preserve">. </w:t>
      </w:r>
      <w:r w:rsidRPr="006124D6">
        <w:rPr>
          <w:rFonts w:ascii="Garamond" w:hAnsi="Garamond"/>
        </w:rPr>
        <w:t>Montana One Partners planned to utilize 306,600 ton/yr of refuse coal to produce 39 GMW of electrical power</w:t>
      </w:r>
      <w:r w:rsidR="00D8745A">
        <w:rPr>
          <w:rFonts w:ascii="Garamond" w:hAnsi="Garamond"/>
        </w:rPr>
        <w:t xml:space="preserve">. </w:t>
      </w:r>
      <w:r w:rsidRPr="006124D6">
        <w:rPr>
          <w:rFonts w:ascii="Garamond" w:hAnsi="Garamond"/>
        </w:rPr>
        <w:t xml:space="preserve">A circulating fluidized bed </w:t>
      </w:r>
      <w:r w:rsidR="00A84144" w:rsidRPr="006124D6">
        <w:rPr>
          <w:rFonts w:ascii="Garamond" w:hAnsi="Garamond"/>
        </w:rPr>
        <w:t xml:space="preserve">(CFB) </w:t>
      </w:r>
      <w:r w:rsidRPr="006124D6">
        <w:rPr>
          <w:rFonts w:ascii="Garamond" w:hAnsi="Garamond"/>
        </w:rPr>
        <w:t>combustion boiler with a heat rating of 485 million</w:t>
      </w:r>
      <w:r w:rsidR="00E04BB1">
        <w:rPr>
          <w:rFonts w:ascii="Garamond" w:hAnsi="Garamond"/>
        </w:rPr>
        <w:t xml:space="preserve"> British Thermal units per hour</w:t>
      </w:r>
      <w:r w:rsidRPr="006124D6">
        <w:rPr>
          <w:rFonts w:ascii="Garamond" w:hAnsi="Garamond"/>
        </w:rPr>
        <w:t xml:space="preserve"> </w:t>
      </w:r>
      <w:r w:rsidR="00E04BB1">
        <w:rPr>
          <w:rFonts w:ascii="Garamond" w:hAnsi="Garamond"/>
        </w:rPr>
        <w:t>(MMBtu)</w:t>
      </w:r>
      <w:r w:rsidRPr="006124D6">
        <w:rPr>
          <w:rFonts w:ascii="Garamond" w:hAnsi="Garamond"/>
        </w:rPr>
        <w:t xml:space="preserve"> per hour is used in conjunction with a limestone injection for SO</w:t>
      </w:r>
      <w:r w:rsidRPr="006124D6">
        <w:rPr>
          <w:rFonts w:ascii="Garamond" w:hAnsi="Garamond"/>
          <w:vertAlign w:val="subscript"/>
        </w:rPr>
        <w:t>2</w:t>
      </w:r>
      <w:r w:rsidRPr="006124D6">
        <w:rPr>
          <w:rFonts w:ascii="Garamond" w:hAnsi="Garamond"/>
        </w:rPr>
        <w:t xml:space="preserve"> emission control</w:t>
      </w:r>
      <w:r w:rsidR="00D8745A">
        <w:rPr>
          <w:rFonts w:ascii="Garamond" w:hAnsi="Garamond"/>
        </w:rPr>
        <w:t xml:space="preserve">. </w:t>
      </w:r>
      <w:r w:rsidRPr="006124D6">
        <w:rPr>
          <w:rFonts w:ascii="Garamond" w:hAnsi="Garamond"/>
        </w:rPr>
        <w:t>Approximately 27,000 tons/yr of limestone is used</w:t>
      </w:r>
      <w:r w:rsidR="00D8745A">
        <w:rPr>
          <w:rFonts w:ascii="Garamond" w:hAnsi="Garamond"/>
        </w:rPr>
        <w:t xml:space="preserve">. </w:t>
      </w:r>
      <w:r w:rsidRPr="006124D6">
        <w:rPr>
          <w:rFonts w:ascii="Garamond" w:hAnsi="Garamond"/>
        </w:rPr>
        <w:t>Only one steam turbine was planned for the project under this application</w:t>
      </w:r>
      <w:r w:rsidR="00D8745A">
        <w:rPr>
          <w:rFonts w:ascii="Garamond" w:hAnsi="Garamond"/>
        </w:rPr>
        <w:t xml:space="preserve">. </w:t>
      </w:r>
      <w:r w:rsidRPr="006124D6">
        <w:rPr>
          <w:rFonts w:ascii="Garamond" w:hAnsi="Garamond"/>
        </w:rPr>
        <w:t>A baghouse was installed to control particulate emissions</w:t>
      </w:r>
      <w:r w:rsidR="00D8745A">
        <w:rPr>
          <w:rFonts w:ascii="Garamond" w:hAnsi="Garamond"/>
        </w:rPr>
        <w:t xml:space="preserve">. </w:t>
      </w:r>
      <w:r w:rsidRPr="006124D6">
        <w:rPr>
          <w:rFonts w:ascii="Garamond" w:hAnsi="Garamond"/>
        </w:rPr>
        <w:t xml:space="preserve">All other equipment involved with the project (e.g., coal handling, crushing and conveying) remained the </w:t>
      </w:r>
      <w:r w:rsidR="00B2089A" w:rsidRPr="006124D6">
        <w:rPr>
          <w:rFonts w:ascii="Garamond" w:hAnsi="Garamond"/>
        </w:rPr>
        <w:t xml:space="preserve">same as originally proposed in </w:t>
      </w:r>
      <w:r w:rsidR="00E65F55" w:rsidRPr="006124D6">
        <w:rPr>
          <w:rFonts w:ascii="Garamond" w:hAnsi="Garamond"/>
        </w:rPr>
        <w:t>MAQP</w:t>
      </w:r>
      <w:r w:rsidRPr="006124D6">
        <w:rPr>
          <w:rFonts w:ascii="Garamond" w:hAnsi="Garamond"/>
        </w:rPr>
        <w:t xml:space="preserve"> #2035</w:t>
      </w:r>
      <w:r w:rsidR="00D8745A">
        <w:rPr>
          <w:rFonts w:ascii="Garamond" w:hAnsi="Garamond"/>
        </w:rPr>
        <w:t xml:space="preserve">. </w:t>
      </w:r>
      <w:r w:rsidRPr="006124D6">
        <w:rPr>
          <w:rFonts w:ascii="Garamond" w:hAnsi="Garamond"/>
        </w:rPr>
        <w:t>The emissions from the handling and crushing are controlled by a baghouse.</w:t>
      </w:r>
    </w:p>
    <w:p w14:paraId="6673186B" w14:textId="77777777" w:rsidR="0011127E" w:rsidRPr="006124D6" w:rsidRDefault="0011127E">
      <w:pPr>
        <w:ind w:left="720"/>
        <w:rPr>
          <w:rFonts w:ascii="Garamond" w:hAnsi="Garamond"/>
        </w:rPr>
      </w:pPr>
    </w:p>
    <w:p w14:paraId="687CB90E" w14:textId="46202465" w:rsidR="0011127E" w:rsidRPr="006124D6" w:rsidRDefault="00E65F55">
      <w:pPr>
        <w:ind w:left="720"/>
        <w:rPr>
          <w:rFonts w:ascii="Garamond" w:hAnsi="Garamond"/>
        </w:rPr>
      </w:pPr>
      <w:r w:rsidRPr="006124D6">
        <w:rPr>
          <w:rFonts w:ascii="Garamond" w:hAnsi="Garamond"/>
          <w:b/>
          <w:bCs/>
        </w:rPr>
        <w:t>MAQP</w:t>
      </w:r>
      <w:r w:rsidR="0011127E" w:rsidRPr="006124D6">
        <w:rPr>
          <w:rFonts w:ascii="Garamond" w:hAnsi="Garamond"/>
          <w:b/>
          <w:bCs/>
        </w:rPr>
        <w:t xml:space="preserve"> </w:t>
      </w:r>
      <w:r w:rsidR="00593C39" w:rsidRPr="006124D6">
        <w:rPr>
          <w:rFonts w:ascii="Garamond" w:hAnsi="Garamond"/>
          <w:b/>
          <w:bCs/>
        </w:rPr>
        <w:t>A</w:t>
      </w:r>
      <w:r w:rsidR="0011127E" w:rsidRPr="006124D6">
        <w:rPr>
          <w:rFonts w:ascii="Garamond" w:hAnsi="Garamond"/>
          <w:b/>
          <w:bCs/>
        </w:rPr>
        <w:t>lteration #2035-02</w:t>
      </w:r>
      <w:r w:rsidR="0011127E" w:rsidRPr="006124D6">
        <w:rPr>
          <w:rFonts w:ascii="Garamond" w:hAnsi="Garamond"/>
        </w:rPr>
        <w:t xml:space="preserve"> issued on April 15, 1994</w:t>
      </w:r>
      <w:r w:rsidR="00B56F9C" w:rsidRPr="006124D6">
        <w:rPr>
          <w:rFonts w:ascii="Garamond" w:hAnsi="Garamond"/>
        </w:rPr>
        <w:t>,</w:t>
      </w:r>
      <w:r w:rsidR="0011127E" w:rsidRPr="006124D6">
        <w:rPr>
          <w:rFonts w:ascii="Garamond" w:hAnsi="Garamond"/>
        </w:rPr>
        <w:t xml:space="preserve"> was requested by CELP who </w:t>
      </w:r>
      <w:proofErr w:type="gramStart"/>
      <w:r w:rsidR="0011127E" w:rsidRPr="006124D6">
        <w:rPr>
          <w:rFonts w:ascii="Garamond" w:hAnsi="Garamond"/>
        </w:rPr>
        <w:t>was the current owner of the facility</w:t>
      </w:r>
      <w:proofErr w:type="gramEnd"/>
      <w:r w:rsidR="00D8745A">
        <w:rPr>
          <w:rFonts w:ascii="Garamond" w:hAnsi="Garamond"/>
        </w:rPr>
        <w:t xml:space="preserve">. </w:t>
      </w:r>
      <w:r w:rsidR="0011127E" w:rsidRPr="006124D6">
        <w:rPr>
          <w:rFonts w:ascii="Garamond" w:hAnsi="Garamond"/>
        </w:rPr>
        <w:t>The name on the permit was changed from Montana One Partners to Colstrip Energy Limited Partners</w:t>
      </w:r>
      <w:r w:rsidR="00D8745A">
        <w:rPr>
          <w:rFonts w:ascii="Garamond" w:hAnsi="Garamond"/>
        </w:rPr>
        <w:t xml:space="preserve">. </w:t>
      </w:r>
      <w:r w:rsidR="0011127E" w:rsidRPr="006124D6">
        <w:rPr>
          <w:rFonts w:ascii="Garamond" w:hAnsi="Garamond"/>
        </w:rPr>
        <w:t>The ownership transfer occurred on June 10, 1988</w:t>
      </w:r>
      <w:r w:rsidR="00D8745A">
        <w:rPr>
          <w:rFonts w:ascii="Garamond" w:hAnsi="Garamond"/>
        </w:rPr>
        <w:t xml:space="preserve">. </w:t>
      </w:r>
    </w:p>
    <w:p w14:paraId="13D44C6B" w14:textId="77777777" w:rsidR="0011127E" w:rsidRPr="006124D6" w:rsidRDefault="0011127E">
      <w:pPr>
        <w:ind w:left="720"/>
        <w:rPr>
          <w:rFonts w:ascii="Garamond" w:hAnsi="Garamond"/>
        </w:rPr>
      </w:pPr>
    </w:p>
    <w:p w14:paraId="528461C9" w14:textId="6939468E" w:rsidR="0011127E" w:rsidRPr="006124D6" w:rsidRDefault="0011127E">
      <w:pPr>
        <w:ind w:left="720"/>
        <w:rPr>
          <w:rFonts w:ascii="Garamond" w:hAnsi="Garamond"/>
        </w:rPr>
      </w:pPr>
      <w:r w:rsidRPr="006124D6">
        <w:rPr>
          <w:rFonts w:ascii="Garamond" w:hAnsi="Garamond"/>
        </w:rPr>
        <w:t>The purpose of the revision was to include limitations in the permit to protect the PSD increment for the 3-hour SO</w:t>
      </w:r>
      <w:r w:rsidRPr="006124D6">
        <w:rPr>
          <w:rFonts w:ascii="Garamond" w:hAnsi="Garamond"/>
          <w:vertAlign w:val="subscript"/>
        </w:rPr>
        <w:t>2</w:t>
      </w:r>
      <w:r w:rsidRPr="006124D6">
        <w:rPr>
          <w:rFonts w:ascii="Garamond" w:hAnsi="Garamond"/>
        </w:rPr>
        <w:t xml:space="preserve"> standard and the Montana ambient air quality 1-hour standard for</w:t>
      </w:r>
      <w:r w:rsidR="00A84144" w:rsidRPr="006124D6">
        <w:rPr>
          <w:rFonts w:ascii="Garamond" w:hAnsi="Garamond"/>
        </w:rPr>
        <w:t xml:space="preserve"> nitrogen oxides (</w:t>
      </w:r>
      <w:r w:rsidRPr="006124D6">
        <w:rPr>
          <w:rFonts w:ascii="Garamond" w:hAnsi="Garamond"/>
        </w:rPr>
        <w:t>NO</w:t>
      </w:r>
      <w:r w:rsidRPr="006124D6">
        <w:rPr>
          <w:rFonts w:ascii="Garamond" w:hAnsi="Garamond"/>
          <w:vertAlign w:val="subscript"/>
        </w:rPr>
        <w:t>x</w:t>
      </w:r>
      <w:r w:rsidR="00A84144" w:rsidRPr="006124D6">
        <w:rPr>
          <w:rFonts w:ascii="Garamond" w:hAnsi="Garamond"/>
        </w:rPr>
        <w:t>)</w:t>
      </w:r>
      <w:r w:rsidR="00D8745A">
        <w:rPr>
          <w:rFonts w:ascii="Garamond" w:hAnsi="Garamond"/>
        </w:rPr>
        <w:t xml:space="preserve">. </w:t>
      </w:r>
      <w:r w:rsidRPr="006124D6">
        <w:rPr>
          <w:rFonts w:ascii="Garamond" w:hAnsi="Garamond"/>
        </w:rPr>
        <w:t>The emission limitations were included in Section II.F. and G</w:t>
      </w:r>
      <w:r w:rsidR="00D8745A">
        <w:rPr>
          <w:rFonts w:ascii="Garamond" w:hAnsi="Garamond"/>
        </w:rPr>
        <w:t xml:space="preserve">. </w:t>
      </w:r>
      <w:r w:rsidRPr="006124D6">
        <w:rPr>
          <w:rFonts w:ascii="Garamond" w:hAnsi="Garamond"/>
        </w:rPr>
        <w:t>These changes did not alter the annual allowable emissions from the plant or the daily SO</w:t>
      </w:r>
      <w:r w:rsidRPr="006124D6">
        <w:rPr>
          <w:rFonts w:ascii="Garamond" w:hAnsi="Garamond"/>
          <w:vertAlign w:val="subscript"/>
        </w:rPr>
        <w:t>2</w:t>
      </w:r>
      <w:r w:rsidRPr="006124D6">
        <w:rPr>
          <w:rFonts w:ascii="Garamond" w:hAnsi="Garamond"/>
        </w:rPr>
        <w:t xml:space="preserve"> and NO</w:t>
      </w:r>
      <w:r w:rsidRPr="006124D6">
        <w:rPr>
          <w:rFonts w:ascii="Garamond" w:hAnsi="Garamond"/>
          <w:vertAlign w:val="subscript"/>
        </w:rPr>
        <w:t>x</w:t>
      </w:r>
      <w:r w:rsidRPr="006124D6">
        <w:rPr>
          <w:rFonts w:ascii="Garamond" w:hAnsi="Garamond"/>
        </w:rPr>
        <w:t xml:space="preserve"> limitations</w:t>
      </w:r>
      <w:r w:rsidR="00D8745A">
        <w:rPr>
          <w:rFonts w:ascii="Garamond" w:hAnsi="Garamond"/>
        </w:rPr>
        <w:t xml:space="preserve">. </w:t>
      </w:r>
      <w:r w:rsidRPr="006124D6">
        <w:rPr>
          <w:rFonts w:ascii="Garamond" w:hAnsi="Garamond"/>
        </w:rPr>
        <w:t>The limitations were added to the rolling 30-day averages required under 40 CFR 60, Subpart Da</w:t>
      </w:r>
      <w:r w:rsidR="00D8745A">
        <w:rPr>
          <w:rFonts w:ascii="Garamond" w:hAnsi="Garamond"/>
        </w:rPr>
        <w:t xml:space="preserve">. </w:t>
      </w:r>
      <w:r w:rsidRPr="006124D6">
        <w:rPr>
          <w:rFonts w:ascii="Garamond" w:hAnsi="Garamond"/>
        </w:rPr>
        <w:t xml:space="preserve">Modeling was done to determine the amount of increment consumed </w:t>
      </w:r>
      <w:proofErr w:type="gramStart"/>
      <w:r w:rsidRPr="006124D6">
        <w:rPr>
          <w:rFonts w:ascii="Garamond" w:hAnsi="Garamond"/>
        </w:rPr>
        <w:t>as a result of</w:t>
      </w:r>
      <w:proofErr w:type="gramEnd"/>
      <w:r w:rsidRPr="006124D6">
        <w:rPr>
          <w:rFonts w:ascii="Garamond" w:hAnsi="Garamond"/>
        </w:rPr>
        <w:t xml:space="preserve"> these changes to the emission limitations</w:t>
      </w:r>
      <w:r w:rsidR="00D8745A">
        <w:rPr>
          <w:rFonts w:ascii="Garamond" w:hAnsi="Garamond"/>
        </w:rPr>
        <w:t xml:space="preserve">. </w:t>
      </w:r>
      <w:r w:rsidRPr="006124D6">
        <w:rPr>
          <w:rFonts w:ascii="Garamond" w:hAnsi="Garamond"/>
        </w:rPr>
        <w:t>These changes resulted in modifications to the reporting requirements and compliance demonstrations.</w:t>
      </w:r>
    </w:p>
    <w:p w14:paraId="3BA84FB6" w14:textId="77777777" w:rsidR="0011127E" w:rsidRPr="006124D6" w:rsidRDefault="0011127E">
      <w:pPr>
        <w:ind w:left="720"/>
        <w:rPr>
          <w:rFonts w:ascii="Garamond" w:hAnsi="Garamond"/>
        </w:rPr>
      </w:pPr>
    </w:p>
    <w:p w14:paraId="4306BDFA" w14:textId="34F73F93" w:rsidR="0011127E" w:rsidRPr="006124D6" w:rsidRDefault="0011127E">
      <w:pPr>
        <w:ind w:left="720"/>
        <w:rPr>
          <w:rFonts w:ascii="Garamond" w:hAnsi="Garamond"/>
        </w:rPr>
      </w:pPr>
      <w:r w:rsidRPr="006124D6">
        <w:rPr>
          <w:rFonts w:ascii="Garamond" w:hAnsi="Garamond"/>
        </w:rPr>
        <w:t xml:space="preserve">The emission limitations in Section II.F. were developed based on </w:t>
      </w:r>
      <w:r w:rsidR="009C3F2D">
        <w:rPr>
          <w:rFonts w:ascii="Garamond" w:hAnsi="Garamond"/>
        </w:rPr>
        <w:t>DEQ</w:t>
      </w:r>
      <w:r w:rsidRPr="006124D6">
        <w:rPr>
          <w:rFonts w:ascii="Garamond" w:hAnsi="Garamond"/>
        </w:rPr>
        <w:t>’s review of information supplied by CELP</w:t>
      </w:r>
      <w:r w:rsidR="00D8745A">
        <w:rPr>
          <w:rFonts w:ascii="Garamond" w:hAnsi="Garamond"/>
        </w:rPr>
        <w:t xml:space="preserve">. </w:t>
      </w:r>
      <w:r w:rsidRPr="006124D6">
        <w:rPr>
          <w:rFonts w:ascii="Garamond" w:hAnsi="Garamond"/>
        </w:rPr>
        <w:t>CELP proposed SO</w:t>
      </w:r>
      <w:r w:rsidRPr="006124D6">
        <w:rPr>
          <w:rFonts w:ascii="Garamond" w:hAnsi="Garamond"/>
          <w:vertAlign w:val="subscript"/>
        </w:rPr>
        <w:t>2</w:t>
      </w:r>
      <w:r w:rsidRPr="006124D6">
        <w:rPr>
          <w:rFonts w:ascii="Garamond" w:hAnsi="Garamond"/>
        </w:rPr>
        <w:t xml:space="preserve"> limits of 450 </w:t>
      </w:r>
      <w:r w:rsidR="00A84144" w:rsidRPr="006124D6">
        <w:rPr>
          <w:rFonts w:ascii="Garamond" w:hAnsi="Garamond"/>
        </w:rPr>
        <w:t xml:space="preserve">pounds per hour </w:t>
      </w:r>
      <w:r w:rsidR="00304D75" w:rsidRPr="006124D6">
        <w:rPr>
          <w:rFonts w:ascii="Garamond" w:hAnsi="Garamond"/>
        </w:rPr>
        <w:t>(PPH)</w:t>
      </w:r>
      <w:r w:rsidRPr="006124D6">
        <w:rPr>
          <w:rFonts w:ascii="Garamond" w:hAnsi="Garamond"/>
        </w:rPr>
        <w:t xml:space="preserve"> on a </w:t>
      </w:r>
      <w:r w:rsidR="00304D75" w:rsidRPr="006124D6">
        <w:rPr>
          <w:rFonts w:ascii="Garamond" w:hAnsi="Garamond"/>
        </w:rPr>
        <w:t>3</w:t>
      </w:r>
      <w:r w:rsidR="00A84144" w:rsidRPr="006124D6">
        <w:rPr>
          <w:rFonts w:ascii="Garamond" w:hAnsi="Garamond"/>
        </w:rPr>
        <w:t>-</w:t>
      </w:r>
      <w:r w:rsidRPr="006124D6">
        <w:rPr>
          <w:rFonts w:ascii="Garamond" w:hAnsi="Garamond"/>
        </w:rPr>
        <w:t xml:space="preserve">hour average and 590 </w:t>
      </w:r>
      <w:r w:rsidR="00304D75" w:rsidRPr="006124D6">
        <w:rPr>
          <w:rFonts w:ascii="Garamond" w:hAnsi="Garamond"/>
        </w:rPr>
        <w:t>PPH</w:t>
      </w:r>
      <w:r w:rsidRPr="006124D6">
        <w:rPr>
          <w:rFonts w:ascii="Garamond" w:hAnsi="Garamond"/>
        </w:rPr>
        <w:t xml:space="preserve"> on a </w:t>
      </w:r>
      <w:r w:rsidR="00304D75" w:rsidRPr="006124D6">
        <w:rPr>
          <w:rFonts w:ascii="Garamond" w:hAnsi="Garamond"/>
        </w:rPr>
        <w:t>1</w:t>
      </w:r>
      <w:r w:rsidR="00A84144" w:rsidRPr="006124D6">
        <w:rPr>
          <w:rFonts w:ascii="Garamond" w:hAnsi="Garamond"/>
        </w:rPr>
        <w:t>-</w:t>
      </w:r>
      <w:r w:rsidRPr="006124D6">
        <w:rPr>
          <w:rFonts w:ascii="Garamond" w:hAnsi="Garamond"/>
        </w:rPr>
        <w:t>hour average and a NO</w:t>
      </w:r>
      <w:r w:rsidRPr="006124D6">
        <w:rPr>
          <w:rFonts w:ascii="Garamond" w:hAnsi="Garamond"/>
          <w:vertAlign w:val="subscript"/>
        </w:rPr>
        <w:t>x</w:t>
      </w:r>
      <w:r w:rsidRPr="006124D6">
        <w:rPr>
          <w:rFonts w:ascii="Garamond" w:hAnsi="Garamond"/>
        </w:rPr>
        <w:t xml:space="preserve"> limit of 500 </w:t>
      </w:r>
      <w:r w:rsidR="00FA791C" w:rsidRPr="006124D6">
        <w:rPr>
          <w:rFonts w:ascii="Garamond" w:hAnsi="Garamond"/>
        </w:rPr>
        <w:t>PPH</w:t>
      </w:r>
      <w:r w:rsidRPr="006124D6">
        <w:rPr>
          <w:rFonts w:ascii="Garamond" w:hAnsi="Garamond"/>
        </w:rPr>
        <w:t xml:space="preserve"> on a one</w:t>
      </w:r>
      <w:r w:rsidR="00A84144" w:rsidRPr="006124D6">
        <w:rPr>
          <w:rFonts w:ascii="Garamond" w:hAnsi="Garamond"/>
        </w:rPr>
        <w:t>-h</w:t>
      </w:r>
      <w:r w:rsidRPr="006124D6">
        <w:rPr>
          <w:rFonts w:ascii="Garamond" w:hAnsi="Garamond"/>
        </w:rPr>
        <w:t>our average</w:t>
      </w:r>
      <w:r w:rsidR="00D8745A">
        <w:rPr>
          <w:rFonts w:ascii="Garamond" w:hAnsi="Garamond"/>
        </w:rPr>
        <w:t xml:space="preserve">. </w:t>
      </w:r>
      <w:r w:rsidR="009C3F2D">
        <w:rPr>
          <w:rFonts w:ascii="Garamond" w:hAnsi="Garamond"/>
        </w:rPr>
        <w:t>DEQ</w:t>
      </w:r>
      <w:r w:rsidRPr="006124D6">
        <w:rPr>
          <w:rFonts w:ascii="Garamond" w:hAnsi="Garamond"/>
        </w:rPr>
        <w:t xml:space="preserve"> determined that the appropriate SO</w:t>
      </w:r>
      <w:r w:rsidRPr="006124D6">
        <w:rPr>
          <w:rFonts w:ascii="Garamond" w:hAnsi="Garamond"/>
          <w:vertAlign w:val="subscript"/>
        </w:rPr>
        <w:t>2</w:t>
      </w:r>
      <w:r w:rsidRPr="006124D6">
        <w:rPr>
          <w:rFonts w:ascii="Garamond" w:hAnsi="Garamond"/>
        </w:rPr>
        <w:t xml:space="preserve"> limits should be 432 </w:t>
      </w:r>
      <w:r w:rsidR="00FA791C" w:rsidRPr="006124D6">
        <w:rPr>
          <w:rFonts w:ascii="Garamond" w:hAnsi="Garamond"/>
        </w:rPr>
        <w:t>PPH</w:t>
      </w:r>
      <w:r w:rsidRPr="006124D6">
        <w:rPr>
          <w:rFonts w:ascii="Garamond" w:hAnsi="Garamond"/>
        </w:rPr>
        <w:t xml:space="preserve"> on a </w:t>
      </w:r>
      <w:r w:rsidR="00FA791C" w:rsidRPr="006124D6">
        <w:rPr>
          <w:rFonts w:ascii="Garamond" w:hAnsi="Garamond"/>
        </w:rPr>
        <w:t>3</w:t>
      </w:r>
      <w:r w:rsidRPr="006124D6">
        <w:rPr>
          <w:rFonts w:ascii="Garamond" w:hAnsi="Garamond"/>
        </w:rPr>
        <w:t xml:space="preserve">-hour average and 574 </w:t>
      </w:r>
      <w:r w:rsidR="00FA791C" w:rsidRPr="006124D6">
        <w:rPr>
          <w:rFonts w:ascii="Garamond" w:hAnsi="Garamond"/>
        </w:rPr>
        <w:t>PPH</w:t>
      </w:r>
      <w:r w:rsidRPr="006124D6">
        <w:rPr>
          <w:rFonts w:ascii="Garamond" w:hAnsi="Garamond"/>
        </w:rPr>
        <w:t xml:space="preserve"> on a </w:t>
      </w:r>
      <w:r w:rsidR="00E06B04" w:rsidRPr="006124D6">
        <w:rPr>
          <w:rFonts w:ascii="Garamond" w:hAnsi="Garamond"/>
        </w:rPr>
        <w:t>1</w:t>
      </w:r>
      <w:r w:rsidRPr="006124D6">
        <w:rPr>
          <w:rFonts w:ascii="Garamond" w:hAnsi="Garamond"/>
        </w:rPr>
        <w:t>-hour average</w:t>
      </w:r>
      <w:r w:rsidR="00D8745A">
        <w:rPr>
          <w:rFonts w:ascii="Garamond" w:hAnsi="Garamond"/>
        </w:rPr>
        <w:t xml:space="preserve">. </w:t>
      </w:r>
      <w:r w:rsidRPr="006124D6">
        <w:rPr>
          <w:rFonts w:ascii="Garamond" w:hAnsi="Garamond"/>
        </w:rPr>
        <w:t>These limits were arrived at based on the data submitted by CELP with the elimination of the data for June 12, 1992</w:t>
      </w:r>
      <w:r w:rsidR="00FA791C" w:rsidRPr="006124D6">
        <w:rPr>
          <w:rFonts w:ascii="Garamond" w:hAnsi="Garamond"/>
        </w:rPr>
        <w:t>,</w:t>
      </w:r>
      <w:r w:rsidRPr="006124D6">
        <w:rPr>
          <w:rFonts w:ascii="Garamond" w:hAnsi="Garamond"/>
        </w:rPr>
        <w:t xml:space="preserve"> because of the concerns about the representativeness of the data</w:t>
      </w:r>
      <w:r w:rsidR="00D8745A">
        <w:rPr>
          <w:rFonts w:ascii="Garamond" w:hAnsi="Garamond"/>
        </w:rPr>
        <w:t xml:space="preserve">. </w:t>
      </w:r>
      <w:r w:rsidRPr="006124D6">
        <w:rPr>
          <w:rFonts w:ascii="Garamond" w:hAnsi="Garamond"/>
        </w:rPr>
        <w:t xml:space="preserve">After review of the CEMS data submitted, </w:t>
      </w:r>
      <w:r w:rsidR="009C3F2D">
        <w:rPr>
          <w:rFonts w:ascii="Garamond" w:hAnsi="Garamond"/>
        </w:rPr>
        <w:t>DEQ</w:t>
      </w:r>
      <w:r w:rsidRPr="006124D6">
        <w:rPr>
          <w:rFonts w:ascii="Garamond" w:hAnsi="Garamond"/>
        </w:rPr>
        <w:t xml:space="preserve"> and CELP determined the NO</w:t>
      </w:r>
      <w:r w:rsidRPr="006124D6">
        <w:rPr>
          <w:rFonts w:ascii="Garamond" w:hAnsi="Garamond"/>
          <w:vertAlign w:val="subscript"/>
        </w:rPr>
        <w:t>x</w:t>
      </w:r>
      <w:r w:rsidRPr="006124D6">
        <w:rPr>
          <w:rFonts w:ascii="Garamond" w:hAnsi="Garamond"/>
        </w:rPr>
        <w:t xml:space="preserve"> limit should be 328 </w:t>
      </w:r>
      <w:r w:rsidR="00FA791C" w:rsidRPr="006124D6">
        <w:rPr>
          <w:rFonts w:ascii="Garamond" w:hAnsi="Garamond"/>
        </w:rPr>
        <w:t>PPH</w:t>
      </w:r>
      <w:r w:rsidRPr="006124D6">
        <w:rPr>
          <w:rFonts w:ascii="Garamond" w:hAnsi="Garamond"/>
        </w:rPr>
        <w:t>, which was the number modeled in the original application.</w:t>
      </w:r>
    </w:p>
    <w:p w14:paraId="74B2F6E2" w14:textId="77777777" w:rsidR="0011127E" w:rsidRPr="006124D6" w:rsidRDefault="0011127E">
      <w:pPr>
        <w:ind w:left="720"/>
        <w:rPr>
          <w:rFonts w:ascii="Garamond" w:hAnsi="Garamond"/>
        </w:rPr>
      </w:pPr>
    </w:p>
    <w:p w14:paraId="10B63EDB" w14:textId="41C0533E" w:rsidR="0011127E" w:rsidRPr="006124D6" w:rsidRDefault="009C3F2D">
      <w:pPr>
        <w:ind w:left="720"/>
        <w:rPr>
          <w:rFonts w:ascii="Garamond" w:hAnsi="Garamond"/>
        </w:rPr>
      </w:pPr>
      <w:r>
        <w:rPr>
          <w:rFonts w:ascii="Garamond" w:hAnsi="Garamond"/>
        </w:rPr>
        <w:t>DEQ</w:t>
      </w:r>
      <w:r w:rsidR="0011127E" w:rsidRPr="006124D6">
        <w:rPr>
          <w:rFonts w:ascii="Garamond" w:hAnsi="Garamond"/>
        </w:rPr>
        <w:t xml:space="preserve"> also made several additional changes to the permit</w:t>
      </w:r>
      <w:r w:rsidR="00D8745A">
        <w:rPr>
          <w:rFonts w:ascii="Garamond" w:hAnsi="Garamond"/>
        </w:rPr>
        <w:t xml:space="preserve">. </w:t>
      </w:r>
      <w:r w:rsidR="0011127E" w:rsidRPr="006124D6">
        <w:rPr>
          <w:rFonts w:ascii="Garamond" w:hAnsi="Garamond"/>
        </w:rPr>
        <w:t>The CEMS installation, operation, and reporting requirements have been clarified</w:t>
      </w:r>
      <w:r w:rsidR="00D8745A">
        <w:rPr>
          <w:rFonts w:ascii="Garamond" w:hAnsi="Garamond"/>
        </w:rPr>
        <w:t xml:space="preserve">. </w:t>
      </w:r>
      <w:r w:rsidR="0011127E" w:rsidRPr="006124D6">
        <w:rPr>
          <w:rFonts w:ascii="Garamond" w:hAnsi="Garamond"/>
        </w:rPr>
        <w:t xml:space="preserve">All references to the coal liquefaction-cogeneration facility were removed since the facility was not constructed. </w:t>
      </w:r>
    </w:p>
    <w:p w14:paraId="3A9609B0" w14:textId="77777777" w:rsidR="0011127E" w:rsidRPr="006124D6" w:rsidRDefault="0011127E">
      <w:pPr>
        <w:ind w:left="720"/>
        <w:rPr>
          <w:rFonts w:ascii="Garamond" w:hAnsi="Garamond"/>
        </w:rPr>
      </w:pPr>
    </w:p>
    <w:p w14:paraId="28FE6C45" w14:textId="0F05658A" w:rsidR="0011127E" w:rsidRPr="006124D6" w:rsidRDefault="0011127E">
      <w:pPr>
        <w:ind w:left="720"/>
        <w:rPr>
          <w:rFonts w:ascii="Garamond" w:hAnsi="Garamond"/>
        </w:rPr>
      </w:pPr>
      <w:r w:rsidRPr="006124D6">
        <w:rPr>
          <w:rFonts w:ascii="Garamond" w:hAnsi="Garamond"/>
        </w:rPr>
        <w:t xml:space="preserve">After the preliminary determination (PD) of </w:t>
      </w:r>
      <w:r w:rsidR="00E65F55" w:rsidRPr="006124D6">
        <w:rPr>
          <w:rFonts w:ascii="Garamond" w:hAnsi="Garamond"/>
        </w:rPr>
        <w:t>MAQP</w:t>
      </w:r>
      <w:r w:rsidRPr="006124D6">
        <w:rPr>
          <w:rFonts w:ascii="Garamond" w:hAnsi="Garamond"/>
        </w:rPr>
        <w:t xml:space="preserve"> #2035-02 was issued, CELP provided comments on the PD dated February 15, 1994</w:t>
      </w:r>
      <w:r w:rsidR="00D8745A">
        <w:rPr>
          <w:rFonts w:ascii="Garamond" w:hAnsi="Garamond"/>
        </w:rPr>
        <w:t xml:space="preserve">. </w:t>
      </w:r>
      <w:r w:rsidRPr="006124D6">
        <w:rPr>
          <w:rFonts w:ascii="Garamond" w:hAnsi="Garamond"/>
        </w:rPr>
        <w:t xml:space="preserve">As a result of these comments, </w:t>
      </w:r>
      <w:r w:rsidR="009C3F2D">
        <w:rPr>
          <w:rFonts w:ascii="Garamond" w:hAnsi="Garamond"/>
        </w:rPr>
        <w:t>DEQ</w:t>
      </w:r>
      <w:r w:rsidRPr="006124D6">
        <w:rPr>
          <w:rFonts w:ascii="Garamond" w:hAnsi="Garamond"/>
        </w:rPr>
        <w:t xml:space="preserve"> made </w:t>
      </w:r>
      <w:proofErr w:type="gramStart"/>
      <w:r w:rsidRPr="006124D6">
        <w:rPr>
          <w:rFonts w:ascii="Garamond" w:hAnsi="Garamond"/>
        </w:rPr>
        <w:t>a number of</w:t>
      </w:r>
      <w:proofErr w:type="gramEnd"/>
      <w:r w:rsidRPr="006124D6">
        <w:rPr>
          <w:rFonts w:ascii="Garamond" w:hAnsi="Garamond"/>
        </w:rPr>
        <w:t xml:space="preserve"> changes</w:t>
      </w:r>
      <w:r w:rsidR="00D8745A">
        <w:rPr>
          <w:rFonts w:ascii="Garamond" w:hAnsi="Garamond"/>
        </w:rPr>
        <w:t xml:space="preserve">. </w:t>
      </w:r>
      <w:r w:rsidRPr="006124D6">
        <w:rPr>
          <w:rFonts w:ascii="Garamond" w:hAnsi="Garamond"/>
        </w:rPr>
        <w:t xml:space="preserve">The changes were completed as requested by CELP, except that </w:t>
      </w:r>
      <w:r w:rsidR="009C3F2D">
        <w:rPr>
          <w:rFonts w:ascii="Garamond" w:hAnsi="Garamond"/>
        </w:rPr>
        <w:t>DEQ</w:t>
      </w:r>
      <w:r w:rsidRPr="006124D6">
        <w:rPr>
          <w:rFonts w:ascii="Garamond" w:hAnsi="Garamond"/>
        </w:rPr>
        <w:t xml:space="preserve"> did not change the continuous emission monitor availability requirement</w:t>
      </w:r>
      <w:r w:rsidR="00D8745A">
        <w:rPr>
          <w:rFonts w:ascii="Garamond" w:hAnsi="Garamond"/>
        </w:rPr>
        <w:t xml:space="preserve">. </w:t>
      </w:r>
      <w:r w:rsidRPr="006124D6">
        <w:rPr>
          <w:rFonts w:ascii="Garamond" w:hAnsi="Garamond"/>
        </w:rPr>
        <w:t xml:space="preserve">The continuous </w:t>
      </w:r>
      <w:r w:rsidRPr="006124D6">
        <w:rPr>
          <w:rFonts w:ascii="Garamond" w:hAnsi="Garamond"/>
        </w:rPr>
        <w:lastRenderedPageBreak/>
        <w:t>emission monitor availability remained at 95%</w:t>
      </w:r>
      <w:r w:rsidR="00D8745A">
        <w:rPr>
          <w:rFonts w:ascii="Garamond" w:hAnsi="Garamond"/>
        </w:rPr>
        <w:t xml:space="preserve">. </w:t>
      </w:r>
      <w:r w:rsidR="009C3F2D">
        <w:rPr>
          <w:rFonts w:ascii="Garamond" w:hAnsi="Garamond"/>
        </w:rPr>
        <w:t>DEQ</w:t>
      </w:r>
      <w:r w:rsidRPr="006124D6">
        <w:rPr>
          <w:rFonts w:ascii="Garamond" w:hAnsi="Garamond"/>
        </w:rPr>
        <w:t xml:space="preserve"> also included a condition in the permit which required </w:t>
      </w:r>
      <w:r w:rsidR="009C3F2D">
        <w:rPr>
          <w:rFonts w:ascii="Garamond" w:hAnsi="Garamond"/>
        </w:rPr>
        <w:t>DEQ</w:t>
      </w:r>
      <w:r w:rsidRPr="006124D6">
        <w:rPr>
          <w:rFonts w:ascii="Garamond" w:hAnsi="Garamond"/>
        </w:rPr>
        <w:t xml:space="preserve"> to notify CELP when a change is made to the Cooperative Enforcement Agreement between Montana and EPA Region VIII concerning the enforcement guidelines for continuous emission monitors</w:t>
      </w:r>
      <w:r w:rsidR="00D8745A">
        <w:rPr>
          <w:rFonts w:ascii="Garamond" w:hAnsi="Garamond"/>
        </w:rPr>
        <w:t xml:space="preserve">. </w:t>
      </w:r>
      <w:r w:rsidR="009C3F2D">
        <w:rPr>
          <w:rFonts w:ascii="Garamond" w:hAnsi="Garamond"/>
        </w:rPr>
        <w:t>DEQ</w:t>
      </w:r>
      <w:r w:rsidRPr="006124D6">
        <w:rPr>
          <w:rFonts w:ascii="Garamond" w:hAnsi="Garamond"/>
        </w:rPr>
        <w:t xml:space="preserve"> did not change the general condition Section IV.H or the wording in Section II.R</w:t>
      </w:r>
      <w:r w:rsidR="00D8745A">
        <w:rPr>
          <w:rFonts w:ascii="Garamond" w:hAnsi="Garamond"/>
        </w:rPr>
        <w:t xml:space="preserve">. </w:t>
      </w:r>
      <w:r w:rsidRPr="006124D6">
        <w:rPr>
          <w:rFonts w:ascii="Garamond" w:hAnsi="Garamond"/>
        </w:rPr>
        <w:t xml:space="preserve">For clarity, however, the issuance of </w:t>
      </w:r>
      <w:r w:rsidR="00E65F55" w:rsidRPr="006124D6">
        <w:rPr>
          <w:rFonts w:ascii="Garamond" w:hAnsi="Garamond"/>
        </w:rPr>
        <w:t>MAQP</w:t>
      </w:r>
      <w:r w:rsidRPr="006124D6">
        <w:rPr>
          <w:rFonts w:ascii="Garamond" w:hAnsi="Garamond"/>
        </w:rPr>
        <w:t xml:space="preserve"> #2035-02 did not authorize any new construction at the facility. </w:t>
      </w:r>
    </w:p>
    <w:p w14:paraId="438C69E9" w14:textId="77777777" w:rsidR="0011127E" w:rsidRPr="006124D6" w:rsidRDefault="0011127E">
      <w:pPr>
        <w:ind w:left="720"/>
        <w:rPr>
          <w:rFonts w:ascii="Garamond" w:hAnsi="Garamond"/>
        </w:rPr>
      </w:pPr>
    </w:p>
    <w:p w14:paraId="7CC7D71F" w14:textId="7ECFB0AB" w:rsidR="0011127E" w:rsidRDefault="00E65F55">
      <w:pPr>
        <w:ind w:left="720"/>
        <w:rPr>
          <w:rFonts w:ascii="Garamond" w:hAnsi="Garamond"/>
        </w:rPr>
      </w:pPr>
      <w:r w:rsidRPr="006124D6">
        <w:rPr>
          <w:rFonts w:ascii="Garamond" w:hAnsi="Garamond"/>
          <w:b/>
        </w:rPr>
        <w:t>MAQP</w:t>
      </w:r>
      <w:r w:rsidR="0011127E" w:rsidRPr="006124D6">
        <w:rPr>
          <w:rFonts w:ascii="Garamond" w:hAnsi="Garamond"/>
        </w:rPr>
        <w:t xml:space="preserve"> </w:t>
      </w:r>
      <w:r w:rsidR="0011127E" w:rsidRPr="006124D6">
        <w:rPr>
          <w:rFonts w:ascii="Garamond" w:hAnsi="Garamond"/>
          <w:b/>
          <w:bCs/>
        </w:rPr>
        <w:t xml:space="preserve">#2035-03 </w:t>
      </w:r>
      <w:r w:rsidR="0011127E" w:rsidRPr="006124D6">
        <w:rPr>
          <w:rFonts w:ascii="Garamond" w:hAnsi="Garamond"/>
        </w:rPr>
        <w:t>was issued on March 20, 1998</w:t>
      </w:r>
      <w:r w:rsidR="00D8745A">
        <w:rPr>
          <w:rFonts w:ascii="Garamond" w:hAnsi="Garamond"/>
        </w:rPr>
        <w:t xml:space="preserve">. </w:t>
      </w:r>
      <w:r w:rsidR="0011127E" w:rsidRPr="006124D6">
        <w:rPr>
          <w:rFonts w:ascii="Garamond" w:hAnsi="Garamond"/>
        </w:rPr>
        <w:t xml:space="preserve">The permit application proposed the removal of the plant-wide emission limits in Section II.F of </w:t>
      </w:r>
      <w:r w:rsidRPr="006124D6">
        <w:rPr>
          <w:rFonts w:ascii="Garamond" w:hAnsi="Garamond"/>
        </w:rPr>
        <w:t>MAQP</w:t>
      </w:r>
      <w:r w:rsidR="0011127E" w:rsidRPr="006124D6">
        <w:rPr>
          <w:rFonts w:ascii="Garamond" w:hAnsi="Garamond"/>
        </w:rPr>
        <w:t xml:space="preserve"> #2035-02 and the establishment of emission limits for point sources at the facility</w:t>
      </w:r>
      <w:r w:rsidR="00D8745A">
        <w:rPr>
          <w:rFonts w:ascii="Garamond" w:hAnsi="Garamond"/>
        </w:rPr>
        <w:t xml:space="preserve">. </w:t>
      </w:r>
      <w:r w:rsidR="0011127E" w:rsidRPr="006124D6">
        <w:rPr>
          <w:rFonts w:ascii="Garamond" w:hAnsi="Garamond"/>
        </w:rPr>
        <w:t>The permit application did not seek any physical or operational changes to any process equipment at the facility</w:t>
      </w:r>
      <w:r w:rsidR="00D8745A">
        <w:rPr>
          <w:rFonts w:ascii="Garamond" w:hAnsi="Garamond"/>
        </w:rPr>
        <w:t xml:space="preserve">. </w:t>
      </w:r>
      <w:r w:rsidR="0011127E" w:rsidRPr="006124D6">
        <w:rPr>
          <w:rFonts w:ascii="Garamond" w:hAnsi="Garamond"/>
        </w:rPr>
        <w:t>CELP also proposed removing from the permit the reference in Section II.S to the Hydrometrics letter, eliminating the ambient monitoring required in the permit, and clarifying language in Section II.J regarding sulfur content of waste coal</w:t>
      </w:r>
      <w:r w:rsidR="00D8745A">
        <w:rPr>
          <w:rFonts w:ascii="Garamond" w:hAnsi="Garamond"/>
        </w:rPr>
        <w:t xml:space="preserve">. </w:t>
      </w:r>
    </w:p>
    <w:p w14:paraId="1994CB68" w14:textId="77777777" w:rsidR="00E5135F" w:rsidRPr="006124D6" w:rsidRDefault="00E5135F">
      <w:pPr>
        <w:ind w:left="720"/>
        <w:rPr>
          <w:rFonts w:ascii="Garamond" w:hAnsi="Garamond"/>
        </w:rPr>
      </w:pPr>
    </w:p>
    <w:p w14:paraId="7C4C1418" w14:textId="0BBFC4A0" w:rsidR="0011127E" w:rsidRPr="006124D6" w:rsidRDefault="0011127E">
      <w:pPr>
        <w:ind w:left="720"/>
        <w:rPr>
          <w:rFonts w:ascii="Garamond" w:hAnsi="Garamond"/>
        </w:rPr>
      </w:pPr>
      <w:r w:rsidRPr="006124D6">
        <w:rPr>
          <w:rFonts w:ascii="Garamond" w:hAnsi="Garamond"/>
        </w:rPr>
        <w:t xml:space="preserve">CELP presented </w:t>
      </w:r>
      <w:r w:rsidR="00E65F55" w:rsidRPr="006124D6">
        <w:rPr>
          <w:rFonts w:ascii="Garamond" w:hAnsi="Garamond"/>
        </w:rPr>
        <w:t>MAQP</w:t>
      </w:r>
      <w:r w:rsidRPr="006124D6">
        <w:rPr>
          <w:rFonts w:ascii="Garamond" w:hAnsi="Garamond"/>
        </w:rPr>
        <w:t xml:space="preserve"> </w:t>
      </w:r>
      <w:r w:rsidR="00473B99" w:rsidRPr="006124D6">
        <w:rPr>
          <w:rFonts w:ascii="Garamond" w:hAnsi="Garamond"/>
        </w:rPr>
        <w:t>A</w:t>
      </w:r>
      <w:r w:rsidRPr="006124D6">
        <w:rPr>
          <w:rFonts w:ascii="Garamond" w:hAnsi="Garamond"/>
        </w:rPr>
        <w:t>pplication #2035-03 as a major modification of this major stationary source. A major modification means any physical change in, or change in the method of operations of, a major stationary source</w:t>
      </w:r>
      <w:r w:rsidR="00D8745A">
        <w:rPr>
          <w:rFonts w:ascii="Garamond" w:hAnsi="Garamond"/>
        </w:rPr>
        <w:t xml:space="preserve">. </w:t>
      </w:r>
      <w:r w:rsidRPr="006124D6">
        <w:rPr>
          <w:rFonts w:ascii="Garamond" w:hAnsi="Garamond"/>
        </w:rPr>
        <w:t xml:space="preserve">The permit application does not propose any physical or operational changes at the facility; however, </w:t>
      </w:r>
      <w:r w:rsidR="00E65F55" w:rsidRPr="006124D6">
        <w:rPr>
          <w:rFonts w:ascii="Garamond" w:hAnsi="Garamond"/>
        </w:rPr>
        <w:t>MAQP</w:t>
      </w:r>
      <w:r w:rsidRPr="006124D6">
        <w:rPr>
          <w:rFonts w:ascii="Garamond" w:hAnsi="Garamond"/>
        </w:rPr>
        <w:t xml:space="preserve"> </w:t>
      </w:r>
      <w:r w:rsidR="00473B99" w:rsidRPr="006124D6">
        <w:rPr>
          <w:rFonts w:ascii="Garamond" w:hAnsi="Garamond"/>
        </w:rPr>
        <w:t>A</w:t>
      </w:r>
      <w:r w:rsidRPr="006124D6">
        <w:rPr>
          <w:rFonts w:ascii="Garamond" w:hAnsi="Garamond"/>
        </w:rPr>
        <w:t xml:space="preserve">lteration #2035-03 required a Prevention of Significant Deterioration (PSD) review because the proposed </w:t>
      </w:r>
      <w:r w:rsidR="007C1893" w:rsidRPr="006124D6">
        <w:rPr>
          <w:rFonts w:ascii="Garamond" w:hAnsi="Garamond"/>
        </w:rPr>
        <w:t>particulate matter 10 micrometers or less (</w:t>
      </w:r>
      <w:r w:rsidRPr="006124D6">
        <w:rPr>
          <w:rFonts w:ascii="Garamond" w:hAnsi="Garamond"/>
        </w:rPr>
        <w:t>PM</w:t>
      </w:r>
      <w:r w:rsidRPr="006124D6">
        <w:rPr>
          <w:rFonts w:ascii="Garamond" w:hAnsi="Garamond"/>
          <w:vertAlign w:val="subscript"/>
        </w:rPr>
        <w:t>10</w:t>
      </w:r>
      <w:r w:rsidR="007C1893" w:rsidRPr="006124D6">
        <w:rPr>
          <w:rFonts w:ascii="Garamond" w:hAnsi="Garamond"/>
        </w:rPr>
        <w:t>)</w:t>
      </w:r>
      <w:r w:rsidRPr="006124D6">
        <w:rPr>
          <w:rFonts w:ascii="Garamond" w:hAnsi="Garamond"/>
        </w:rPr>
        <w:t xml:space="preserve"> emission limits should have been addressed in PSD </w:t>
      </w:r>
      <w:r w:rsidR="00473B99" w:rsidRPr="006124D6">
        <w:rPr>
          <w:rFonts w:ascii="Garamond" w:hAnsi="Garamond"/>
        </w:rPr>
        <w:t>P</w:t>
      </w:r>
      <w:r w:rsidRPr="006124D6">
        <w:rPr>
          <w:rFonts w:ascii="Garamond" w:hAnsi="Garamond"/>
        </w:rPr>
        <w:t xml:space="preserve">ermit </w:t>
      </w:r>
      <w:r w:rsidR="00473B99" w:rsidRPr="006124D6">
        <w:rPr>
          <w:rFonts w:ascii="Garamond" w:hAnsi="Garamond"/>
        </w:rPr>
        <w:t>A</w:t>
      </w:r>
      <w:r w:rsidRPr="006124D6">
        <w:rPr>
          <w:rFonts w:ascii="Garamond" w:hAnsi="Garamond"/>
        </w:rPr>
        <w:t>pplication #2035</w:t>
      </w:r>
      <w:r w:rsidR="00D8745A">
        <w:rPr>
          <w:rFonts w:ascii="Garamond" w:hAnsi="Garamond"/>
        </w:rPr>
        <w:t xml:space="preserve">. </w:t>
      </w:r>
      <w:r w:rsidRPr="006124D6">
        <w:rPr>
          <w:rFonts w:ascii="Garamond" w:hAnsi="Garamond"/>
        </w:rPr>
        <w:t>Establishing PM</w:t>
      </w:r>
      <w:r w:rsidRPr="006124D6">
        <w:rPr>
          <w:rFonts w:ascii="Garamond" w:hAnsi="Garamond"/>
          <w:vertAlign w:val="subscript"/>
        </w:rPr>
        <w:t>10</w:t>
      </w:r>
      <w:r w:rsidRPr="006124D6">
        <w:rPr>
          <w:rFonts w:ascii="Garamond" w:hAnsi="Garamond"/>
        </w:rPr>
        <w:t xml:space="preserve"> emission limits on a point source basis result</w:t>
      </w:r>
      <w:r w:rsidR="007C1893" w:rsidRPr="006124D6">
        <w:rPr>
          <w:rFonts w:ascii="Garamond" w:hAnsi="Garamond"/>
        </w:rPr>
        <w:t>ed</w:t>
      </w:r>
      <w:r w:rsidRPr="006124D6">
        <w:rPr>
          <w:rFonts w:ascii="Garamond" w:hAnsi="Garamond"/>
        </w:rPr>
        <w:t xml:space="preserve"> in an allowable emissions increase of 17.94 </w:t>
      </w:r>
      <w:r w:rsidR="00A0779F" w:rsidRPr="006124D6">
        <w:rPr>
          <w:rFonts w:ascii="Garamond" w:hAnsi="Garamond"/>
        </w:rPr>
        <w:t>TPY</w:t>
      </w:r>
      <w:r w:rsidRPr="006124D6">
        <w:rPr>
          <w:rFonts w:ascii="Garamond" w:hAnsi="Garamond"/>
        </w:rPr>
        <w:t xml:space="preserve"> of PM</w:t>
      </w:r>
      <w:r w:rsidRPr="006124D6">
        <w:rPr>
          <w:rFonts w:ascii="Garamond" w:hAnsi="Garamond"/>
          <w:vertAlign w:val="subscript"/>
        </w:rPr>
        <w:t>10</w:t>
      </w:r>
      <w:r w:rsidR="00D8745A">
        <w:rPr>
          <w:rFonts w:ascii="Garamond" w:hAnsi="Garamond"/>
        </w:rPr>
        <w:t xml:space="preserve">. </w:t>
      </w:r>
      <w:r w:rsidRPr="006124D6">
        <w:rPr>
          <w:rFonts w:ascii="Garamond" w:hAnsi="Garamond"/>
        </w:rPr>
        <w:t xml:space="preserve">This </w:t>
      </w:r>
      <w:r w:rsidR="007C1893" w:rsidRPr="006124D6">
        <w:rPr>
          <w:rFonts w:ascii="Garamond" w:hAnsi="Garamond"/>
        </w:rPr>
        <w:t>wa</w:t>
      </w:r>
      <w:r w:rsidRPr="006124D6">
        <w:rPr>
          <w:rFonts w:ascii="Garamond" w:hAnsi="Garamond"/>
        </w:rPr>
        <w:t>s a significant emissions increase under PSD</w:t>
      </w:r>
      <w:r w:rsidR="00D8745A">
        <w:rPr>
          <w:rFonts w:ascii="Garamond" w:hAnsi="Garamond"/>
        </w:rPr>
        <w:t xml:space="preserve">. </w:t>
      </w:r>
      <w:r w:rsidR="009C3F2D">
        <w:rPr>
          <w:rFonts w:ascii="Garamond" w:hAnsi="Garamond"/>
        </w:rPr>
        <w:t>DEQ</w:t>
      </w:r>
      <w:r w:rsidRPr="006124D6">
        <w:rPr>
          <w:rFonts w:ascii="Garamond" w:hAnsi="Garamond"/>
        </w:rPr>
        <w:t xml:space="preserve"> </w:t>
      </w:r>
      <w:r w:rsidR="007C1893" w:rsidRPr="006124D6">
        <w:rPr>
          <w:rFonts w:ascii="Garamond" w:hAnsi="Garamond"/>
        </w:rPr>
        <w:t>did</w:t>
      </w:r>
      <w:r w:rsidRPr="006124D6">
        <w:rPr>
          <w:rFonts w:ascii="Garamond" w:hAnsi="Garamond"/>
        </w:rPr>
        <w:t xml:space="preserve"> not anticipate that actual emissions from the facility will change, since there will be no operational changes occurring.</w:t>
      </w:r>
    </w:p>
    <w:p w14:paraId="0DABC938" w14:textId="77777777" w:rsidR="0011127E" w:rsidRPr="006124D6" w:rsidRDefault="0011127E">
      <w:pPr>
        <w:ind w:left="720"/>
        <w:rPr>
          <w:rFonts w:ascii="Garamond" w:hAnsi="Garamond"/>
        </w:rPr>
      </w:pPr>
    </w:p>
    <w:p w14:paraId="12531D6C" w14:textId="5A8F1426" w:rsidR="0011127E" w:rsidRPr="006124D6" w:rsidRDefault="00E65F55">
      <w:pPr>
        <w:ind w:left="720"/>
        <w:rPr>
          <w:rFonts w:ascii="Garamond" w:hAnsi="Garamond"/>
        </w:rPr>
      </w:pPr>
      <w:r w:rsidRPr="006124D6">
        <w:rPr>
          <w:rFonts w:ascii="Garamond" w:hAnsi="Garamond"/>
        </w:rPr>
        <w:t>MAQP</w:t>
      </w:r>
      <w:r w:rsidR="0011127E" w:rsidRPr="006124D6">
        <w:rPr>
          <w:rFonts w:ascii="Garamond" w:hAnsi="Garamond"/>
        </w:rPr>
        <w:t xml:space="preserve"> #2035-03 establishe</w:t>
      </w:r>
      <w:r w:rsidR="007C1893" w:rsidRPr="006124D6">
        <w:rPr>
          <w:rFonts w:ascii="Garamond" w:hAnsi="Garamond"/>
        </w:rPr>
        <w:t>d</w:t>
      </w:r>
      <w:r w:rsidR="0011127E" w:rsidRPr="006124D6">
        <w:rPr>
          <w:rFonts w:ascii="Garamond" w:hAnsi="Garamond"/>
        </w:rPr>
        <w:t xml:space="preserve"> emission limits for point sources at the facility and eliminate</w:t>
      </w:r>
      <w:r w:rsidR="007C1893" w:rsidRPr="006124D6">
        <w:rPr>
          <w:rFonts w:ascii="Garamond" w:hAnsi="Garamond"/>
        </w:rPr>
        <w:t>d</w:t>
      </w:r>
      <w:r w:rsidR="0011127E" w:rsidRPr="006124D6">
        <w:rPr>
          <w:rFonts w:ascii="Garamond" w:hAnsi="Garamond"/>
        </w:rPr>
        <w:t xml:space="preserve"> the total plant emission limits</w:t>
      </w:r>
      <w:r w:rsidR="00D8745A">
        <w:rPr>
          <w:rFonts w:ascii="Garamond" w:hAnsi="Garamond"/>
        </w:rPr>
        <w:t xml:space="preserve">. </w:t>
      </w:r>
      <w:r w:rsidR="0011127E" w:rsidRPr="006124D6">
        <w:rPr>
          <w:rFonts w:ascii="Garamond" w:hAnsi="Garamond"/>
        </w:rPr>
        <w:t>Total plant emission limits for SO</w:t>
      </w:r>
      <w:r w:rsidR="0011127E" w:rsidRPr="006124D6">
        <w:rPr>
          <w:rFonts w:ascii="Garamond" w:hAnsi="Garamond"/>
          <w:vertAlign w:val="subscript"/>
        </w:rPr>
        <w:t>2</w:t>
      </w:r>
      <w:r w:rsidR="0011127E" w:rsidRPr="006124D6">
        <w:rPr>
          <w:rFonts w:ascii="Garamond" w:hAnsi="Garamond"/>
        </w:rPr>
        <w:t>, NO</w:t>
      </w:r>
      <w:r w:rsidR="0011127E" w:rsidRPr="006124D6">
        <w:rPr>
          <w:rFonts w:ascii="Garamond" w:hAnsi="Garamond"/>
          <w:vertAlign w:val="subscript"/>
        </w:rPr>
        <w:t>x</w:t>
      </w:r>
      <w:r w:rsidR="0011127E" w:rsidRPr="006124D6">
        <w:rPr>
          <w:rFonts w:ascii="Garamond" w:hAnsi="Garamond"/>
        </w:rPr>
        <w:t xml:space="preserve">, and CO in Section II.F of </w:t>
      </w:r>
      <w:r w:rsidRPr="006124D6">
        <w:rPr>
          <w:rFonts w:ascii="Garamond" w:hAnsi="Garamond"/>
        </w:rPr>
        <w:t>MAQP</w:t>
      </w:r>
      <w:r w:rsidR="0011127E" w:rsidRPr="006124D6">
        <w:rPr>
          <w:rFonts w:ascii="Garamond" w:hAnsi="Garamond"/>
        </w:rPr>
        <w:t xml:space="preserve"> #2035-02 </w:t>
      </w:r>
      <w:r w:rsidR="007C1893" w:rsidRPr="006124D6">
        <w:rPr>
          <w:rFonts w:ascii="Garamond" w:hAnsi="Garamond"/>
        </w:rPr>
        <w:t>were</w:t>
      </w:r>
      <w:r w:rsidR="0011127E" w:rsidRPr="006124D6">
        <w:rPr>
          <w:rFonts w:ascii="Garamond" w:hAnsi="Garamond"/>
        </w:rPr>
        <w:t xml:space="preserve"> placed on the CFB boiler only</w:t>
      </w:r>
      <w:r w:rsidR="00D8745A">
        <w:rPr>
          <w:rFonts w:ascii="Garamond" w:hAnsi="Garamond"/>
        </w:rPr>
        <w:t xml:space="preserve">. </w:t>
      </w:r>
      <w:r w:rsidR="0011127E" w:rsidRPr="006124D6">
        <w:rPr>
          <w:rFonts w:ascii="Garamond" w:hAnsi="Garamond"/>
        </w:rPr>
        <w:t>The CFB boiler is the only significant source of SO</w:t>
      </w:r>
      <w:r w:rsidR="0011127E" w:rsidRPr="006124D6">
        <w:rPr>
          <w:rFonts w:ascii="Garamond" w:hAnsi="Garamond"/>
          <w:vertAlign w:val="subscript"/>
        </w:rPr>
        <w:t>2</w:t>
      </w:r>
      <w:r w:rsidR="0011127E" w:rsidRPr="006124D6">
        <w:rPr>
          <w:rFonts w:ascii="Garamond" w:hAnsi="Garamond"/>
        </w:rPr>
        <w:t>, NO</w:t>
      </w:r>
      <w:r w:rsidR="0011127E" w:rsidRPr="006124D6">
        <w:rPr>
          <w:rFonts w:ascii="Garamond" w:hAnsi="Garamond"/>
          <w:vertAlign w:val="subscript"/>
        </w:rPr>
        <w:t>x</w:t>
      </w:r>
      <w:r w:rsidR="0011127E" w:rsidRPr="006124D6">
        <w:rPr>
          <w:rFonts w:ascii="Garamond" w:hAnsi="Garamond"/>
        </w:rPr>
        <w:t>, and CO at the facility</w:t>
      </w:r>
      <w:r w:rsidR="00D8745A">
        <w:rPr>
          <w:rFonts w:ascii="Garamond" w:hAnsi="Garamond"/>
        </w:rPr>
        <w:t xml:space="preserve">. </w:t>
      </w:r>
      <w:r w:rsidR="0011127E" w:rsidRPr="006124D6">
        <w:rPr>
          <w:rFonts w:ascii="Garamond" w:hAnsi="Garamond"/>
        </w:rPr>
        <w:t xml:space="preserve">The opacity limitation </w:t>
      </w:r>
      <w:r w:rsidR="007C1893" w:rsidRPr="006124D6">
        <w:rPr>
          <w:rFonts w:ascii="Garamond" w:hAnsi="Garamond"/>
        </w:rPr>
        <w:t>was</w:t>
      </w:r>
      <w:r w:rsidR="0011127E" w:rsidRPr="006124D6">
        <w:rPr>
          <w:rFonts w:ascii="Garamond" w:hAnsi="Garamond"/>
        </w:rPr>
        <w:t xml:space="preserve"> placed in a condition and is applicable to all equipment at the facility</w:t>
      </w:r>
      <w:r w:rsidR="00D8745A">
        <w:rPr>
          <w:rFonts w:ascii="Garamond" w:hAnsi="Garamond"/>
        </w:rPr>
        <w:t xml:space="preserve">. </w:t>
      </w:r>
      <w:r w:rsidR="0011127E" w:rsidRPr="006124D6">
        <w:rPr>
          <w:rFonts w:ascii="Garamond" w:hAnsi="Garamond"/>
        </w:rPr>
        <w:t>PM</w:t>
      </w:r>
      <w:r w:rsidR="0011127E" w:rsidRPr="006124D6">
        <w:rPr>
          <w:rFonts w:ascii="Garamond" w:hAnsi="Garamond"/>
          <w:vertAlign w:val="subscript"/>
        </w:rPr>
        <w:t>10</w:t>
      </w:r>
      <w:r w:rsidR="0011127E" w:rsidRPr="006124D6">
        <w:rPr>
          <w:rFonts w:ascii="Garamond" w:hAnsi="Garamond"/>
        </w:rPr>
        <w:t xml:space="preserve"> emission limitations were established on the CFB boiler</w:t>
      </w:r>
      <w:r w:rsidR="00D8745A">
        <w:rPr>
          <w:rFonts w:ascii="Garamond" w:hAnsi="Garamond"/>
        </w:rPr>
        <w:t xml:space="preserve">. </w:t>
      </w:r>
      <w:r w:rsidR="0011127E" w:rsidRPr="006124D6">
        <w:rPr>
          <w:rFonts w:ascii="Garamond" w:hAnsi="Garamond"/>
        </w:rPr>
        <w:t>PM</w:t>
      </w:r>
      <w:r w:rsidR="0011127E" w:rsidRPr="006124D6">
        <w:rPr>
          <w:rFonts w:ascii="Garamond" w:hAnsi="Garamond"/>
          <w:vertAlign w:val="subscript"/>
        </w:rPr>
        <w:t>10</w:t>
      </w:r>
      <w:r w:rsidR="0011127E" w:rsidRPr="006124D6">
        <w:rPr>
          <w:rFonts w:ascii="Garamond" w:hAnsi="Garamond"/>
        </w:rPr>
        <w:t xml:space="preserve"> emission limitations were also established for all equipment, transfer points, and storage facilities currently controlled by a baghouse</w:t>
      </w:r>
      <w:r w:rsidR="00D8745A">
        <w:rPr>
          <w:rFonts w:ascii="Garamond" w:hAnsi="Garamond"/>
        </w:rPr>
        <w:t xml:space="preserve">. </w:t>
      </w:r>
      <w:r w:rsidR="0011127E" w:rsidRPr="006124D6">
        <w:rPr>
          <w:rFonts w:ascii="Garamond" w:hAnsi="Garamond"/>
        </w:rPr>
        <w:t>The PM</w:t>
      </w:r>
      <w:r w:rsidR="0011127E" w:rsidRPr="006124D6">
        <w:rPr>
          <w:rFonts w:ascii="Garamond" w:hAnsi="Garamond"/>
          <w:vertAlign w:val="subscript"/>
        </w:rPr>
        <w:t>10</w:t>
      </w:r>
      <w:r w:rsidR="0011127E" w:rsidRPr="006124D6">
        <w:rPr>
          <w:rFonts w:ascii="Garamond" w:hAnsi="Garamond"/>
        </w:rPr>
        <w:t xml:space="preserve"> emiss</w:t>
      </w:r>
      <w:r w:rsidR="00B57AE4">
        <w:rPr>
          <w:rFonts w:ascii="Garamond" w:hAnsi="Garamond"/>
        </w:rPr>
        <w:t>ion limitations in the form of</w:t>
      </w:r>
      <w:r w:rsidR="0011127E" w:rsidRPr="006124D6">
        <w:rPr>
          <w:rFonts w:ascii="Garamond" w:hAnsi="Garamond"/>
        </w:rPr>
        <w:t xml:space="preserve"> grains per dry standard cubic foot (gr/dscf) for these facilities was based on manufacturer’s data submitted by CELP in the permit application</w:t>
      </w:r>
      <w:r w:rsidR="00D8745A">
        <w:rPr>
          <w:rFonts w:ascii="Garamond" w:hAnsi="Garamond"/>
        </w:rPr>
        <w:t xml:space="preserve">. </w:t>
      </w:r>
    </w:p>
    <w:p w14:paraId="199C74EE" w14:textId="77777777" w:rsidR="0011127E" w:rsidRPr="006124D6" w:rsidRDefault="0011127E">
      <w:pPr>
        <w:ind w:left="720"/>
        <w:rPr>
          <w:rFonts w:ascii="Garamond" w:hAnsi="Garamond"/>
        </w:rPr>
      </w:pPr>
    </w:p>
    <w:p w14:paraId="223E86E2" w14:textId="5D636AFF" w:rsidR="0011127E" w:rsidRPr="006124D6" w:rsidRDefault="0011127E" w:rsidP="00371FBD">
      <w:pPr>
        <w:pStyle w:val="BodyTextIndent"/>
        <w:rPr>
          <w:rFonts w:ascii="Garamond" w:hAnsi="Garamond"/>
          <w:sz w:val="24"/>
          <w:szCs w:val="24"/>
        </w:rPr>
      </w:pPr>
      <w:r w:rsidRPr="006124D6">
        <w:rPr>
          <w:rFonts w:ascii="Garamond" w:hAnsi="Garamond"/>
          <w:sz w:val="24"/>
          <w:szCs w:val="24"/>
        </w:rPr>
        <w:t xml:space="preserve">Section II.S for </w:t>
      </w:r>
      <w:r w:rsidR="00E65F55" w:rsidRPr="006124D6">
        <w:rPr>
          <w:rFonts w:ascii="Garamond" w:hAnsi="Garamond"/>
          <w:sz w:val="24"/>
          <w:szCs w:val="24"/>
        </w:rPr>
        <w:t>MAQP</w:t>
      </w:r>
      <w:r w:rsidRPr="006124D6">
        <w:rPr>
          <w:rFonts w:ascii="Garamond" w:hAnsi="Garamond"/>
          <w:sz w:val="24"/>
          <w:szCs w:val="24"/>
        </w:rPr>
        <w:t xml:space="preserve"> #2035-02 required that CELP handle ash disposed on site in accordance with the provisions specified in the Hydrometrics letter of April 24, 1985</w:t>
      </w:r>
      <w:r w:rsidR="00D8745A">
        <w:rPr>
          <w:rFonts w:ascii="Garamond" w:hAnsi="Garamond"/>
          <w:sz w:val="24"/>
          <w:szCs w:val="24"/>
        </w:rPr>
        <w:t xml:space="preserve">. </w:t>
      </w:r>
      <w:r w:rsidRPr="006124D6">
        <w:rPr>
          <w:rFonts w:ascii="Garamond" w:hAnsi="Garamond"/>
          <w:sz w:val="24"/>
          <w:szCs w:val="24"/>
        </w:rPr>
        <w:t>The Hydrometrics letter contained provisions that moisture be added to the ash to prevent blowing and the disposal site be operated in a cut and fill operation</w:t>
      </w:r>
      <w:r w:rsidR="00D8745A">
        <w:rPr>
          <w:rFonts w:ascii="Garamond" w:hAnsi="Garamond"/>
          <w:sz w:val="24"/>
          <w:szCs w:val="24"/>
        </w:rPr>
        <w:t xml:space="preserve">. </w:t>
      </w:r>
      <w:r w:rsidRPr="006124D6">
        <w:rPr>
          <w:rFonts w:ascii="Garamond" w:hAnsi="Garamond"/>
          <w:sz w:val="24"/>
          <w:szCs w:val="24"/>
        </w:rPr>
        <w:t>The letter also outline</w:t>
      </w:r>
      <w:r w:rsidR="007C1893" w:rsidRPr="006124D6">
        <w:rPr>
          <w:rFonts w:ascii="Garamond" w:hAnsi="Garamond"/>
          <w:sz w:val="24"/>
          <w:szCs w:val="24"/>
        </w:rPr>
        <w:t>d</w:t>
      </w:r>
      <w:r w:rsidRPr="006124D6">
        <w:rPr>
          <w:rFonts w:ascii="Garamond" w:hAnsi="Garamond"/>
          <w:sz w:val="24"/>
          <w:szCs w:val="24"/>
        </w:rPr>
        <w:t xml:space="preserve"> in detail the soil handling and revegetation operations</w:t>
      </w:r>
      <w:r w:rsidR="00D8745A">
        <w:rPr>
          <w:rFonts w:ascii="Garamond" w:hAnsi="Garamond"/>
          <w:sz w:val="24"/>
          <w:szCs w:val="24"/>
        </w:rPr>
        <w:t xml:space="preserve">. </w:t>
      </w:r>
    </w:p>
    <w:p w14:paraId="53C95D53" w14:textId="77777777" w:rsidR="0011127E" w:rsidRPr="006124D6" w:rsidRDefault="0011127E">
      <w:pPr>
        <w:ind w:left="720"/>
        <w:rPr>
          <w:rFonts w:ascii="Garamond" w:hAnsi="Garamond"/>
        </w:rPr>
      </w:pPr>
    </w:p>
    <w:p w14:paraId="6F0E0F18" w14:textId="71A06BAB" w:rsidR="0011127E" w:rsidRDefault="009C3F2D">
      <w:pPr>
        <w:ind w:left="720"/>
        <w:rPr>
          <w:rFonts w:ascii="Garamond" w:hAnsi="Garamond"/>
        </w:rPr>
      </w:pPr>
      <w:r>
        <w:rPr>
          <w:rFonts w:ascii="Garamond" w:hAnsi="Garamond"/>
        </w:rPr>
        <w:t>DEQ</w:t>
      </w:r>
      <w:r w:rsidR="0011127E" w:rsidRPr="006124D6">
        <w:rPr>
          <w:rFonts w:ascii="Garamond" w:hAnsi="Garamond"/>
        </w:rPr>
        <w:t xml:space="preserve">’s concern with the ash disposal area </w:t>
      </w:r>
      <w:r w:rsidR="007C1893" w:rsidRPr="006124D6">
        <w:rPr>
          <w:rFonts w:ascii="Garamond" w:hAnsi="Garamond"/>
        </w:rPr>
        <w:t>wa</w:t>
      </w:r>
      <w:r w:rsidR="0011127E" w:rsidRPr="006124D6">
        <w:rPr>
          <w:rFonts w:ascii="Garamond" w:hAnsi="Garamond"/>
        </w:rPr>
        <w:t xml:space="preserve">s that compliance be maintained with applicable requirements during operation of the disposal area and when the disposal area is inactive for any extended </w:t>
      </w:r>
      <w:proofErr w:type="gramStart"/>
      <w:r w:rsidR="0011127E" w:rsidRPr="006124D6">
        <w:rPr>
          <w:rFonts w:ascii="Garamond" w:hAnsi="Garamond"/>
        </w:rPr>
        <w:t>period of time</w:t>
      </w:r>
      <w:proofErr w:type="gramEnd"/>
      <w:r w:rsidR="00D8745A">
        <w:rPr>
          <w:rFonts w:ascii="Garamond" w:hAnsi="Garamond"/>
        </w:rPr>
        <w:t xml:space="preserve">. </w:t>
      </w:r>
      <w:r w:rsidR="0011127E" w:rsidRPr="006124D6">
        <w:rPr>
          <w:rFonts w:ascii="Garamond" w:hAnsi="Garamond"/>
        </w:rPr>
        <w:t xml:space="preserve">Therefore, </w:t>
      </w:r>
      <w:r w:rsidR="00E65F55" w:rsidRPr="006124D6">
        <w:rPr>
          <w:rFonts w:ascii="Garamond" w:hAnsi="Garamond"/>
        </w:rPr>
        <w:t>MAQP</w:t>
      </w:r>
      <w:r w:rsidR="0011127E" w:rsidRPr="006124D6">
        <w:rPr>
          <w:rFonts w:ascii="Garamond" w:hAnsi="Garamond"/>
        </w:rPr>
        <w:t xml:space="preserve"> #2035-03 requires that water spray be used when ash is being deposited to control fugitive emissions</w:t>
      </w:r>
      <w:r w:rsidR="00D8745A">
        <w:rPr>
          <w:rFonts w:ascii="Garamond" w:hAnsi="Garamond"/>
        </w:rPr>
        <w:t xml:space="preserve">. </w:t>
      </w:r>
      <w:r w:rsidR="0011127E" w:rsidRPr="006124D6">
        <w:rPr>
          <w:rFonts w:ascii="Garamond" w:hAnsi="Garamond"/>
        </w:rPr>
        <w:t>The permit also includes a provision requiring mitigative measures, including revegetation for the disposal area during inactive periods</w:t>
      </w:r>
      <w:r w:rsidR="00D8745A">
        <w:rPr>
          <w:rFonts w:ascii="Garamond" w:hAnsi="Garamond"/>
        </w:rPr>
        <w:t xml:space="preserve">. </w:t>
      </w:r>
      <w:r w:rsidR="0011127E" w:rsidRPr="006124D6">
        <w:rPr>
          <w:rFonts w:ascii="Garamond" w:hAnsi="Garamond"/>
        </w:rPr>
        <w:t>This condition is intended to apply during extended inactive periods or closure</w:t>
      </w:r>
      <w:r w:rsidR="00D8745A">
        <w:rPr>
          <w:rFonts w:ascii="Garamond" w:hAnsi="Garamond"/>
        </w:rPr>
        <w:t xml:space="preserve">. </w:t>
      </w:r>
    </w:p>
    <w:p w14:paraId="271B7A24" w14:textId="77777777" w:rsidR="00E5135F" w:rsidRPr="006124D6" w:rsidRDefault="00E5135F" w:rsidP="006F5A8A">
      <w:pPr>
        <w:rPr>
          <w:rFonts w:ascii="Garamond" w:hAnsi="Garamond"/>
        </w:rPr>
      </w:pPr>
    </w:p>
    <w:p w14:paraId="64297FC2" w14:textId="2C00057E" w:rsidR="0011127E" w:rsidRPr="006124D6" w:rsidRDefault="0011127E">
      <w:pPr>
        <w:ind w:left="720"/>
        <w:rPr>
          <w:rFonts w:ascii="Garamond" w:hAnsi="Garamond"/>
        </w:rPr>
      </w:pPr>
      <w:r w:rsidRPr="006124D6">
        <w:rPr>
          <w:rFonts w:ascii="Garamond" w:hAnsi="Garamond"/>
        </w:rPr>
        <w:t xml:space="preserve">Attachment 1 in </w:t>
      </w:r>
      <w:r w:rsidR="00E65F55" w:rsidRPr="006124D6">
        <w:rPr>
          <w:rFonts w:ascii="Garamond" w:hAnsi="Garamond"/>
        </w:rPr>
        <w:t>MAQP</w:t>
      </w:r>
      <w:r w:rsidRPr="006124D6">
        <w:rPr>
          <w:rFonts w:ascii="Garamond" w:hAnsi="Garamond"/>
        </w:rPr>
        <w:t xml:space="preserve"> #2035-02 required CELP to monitor PM</w:t>
      </w:r>
      <w:r w:rsidRPr="006124D6">
        <w:rPr>
          <w:rFonts w:ascii="Garamond" w:hAnsi="Garamond"/>
          <w:vertAlign w:val="subscript"/>
        </w:rPr>
        <w:t>10</w:t>
      </w:r>
      <w:r w:rsidRPr="006124D6">
        <w:rPr>
          <w:rFonts w:ascii="Garamond" w:hAnsi="Garamond"/>
        </w:rPr>
        <w:t>, SO</w:t>
      </w:r>
      <w:r w:rsidRPr="006124D6">
        <w:rPr>
          <w:rFonts w:ascii="Garamond" w:hAnsi="Garamond"/>
          <w:vertAlign w:val="subscript"/>
        </w:rPr>
        <w:t>2</w:t>
      </w:r>
      <w:r w:rsidRPr="006124D6">
        <w:rPr>
          <w:rFonts w:ascii="Garamond" w:hAnsi="Garamond"/>
        </w:rPr>
        <w:t>, and ambient wind speed and direction</w:t>
      </w:r>
      <w:r w:rsidR="00D8745A">
        <w:rPr>
          <w:rFonts w:ascii="Garamond" w:hAnsi="Garamond"/>
        </w:rPr>
        <w:t xml:space="preserve">. </w:t>
      </w:r>
      <w:r w:rsidRPr="006124D6">
        <w:rPr>
          <w:rFonts w:ascii="Garamond" w:hAnsi="Garamond"/>
        </w:rPr>
        <w:t>The current ambient monitoring site is located on the northwestern edge of the facility</w:t>
      </w:r>
      <w:r w:rsidR="00D8745A">
        <w:rPr>
          <w:rFonts w:ascii="Garamond" w:hAnsi="Garamond"/>
        </w:rPr>
        <w:t xml:space="preserve">. </w:t>
      </w:r>
      <w:r w:rsidRPr="006124D6">
        <w:rPr>
          <w:rFonts w:ascii="Garamond" w:hAnsi="Garamond"/>
        </w:rPr>
        <w:t xml:space="preserve">The primary wind directions at the facility are from the southwest, west, and northwest. </w:t>
      </w:r>
      <w:r w:rsidR="009C3F2D">
        <w:rPr>
          <w:rFonts w:ascii="Garamond" w:hAnsi="Garamond"/>
        </w:rPr>
        <w:t>DEQ</w:t>
      </w:r>
      <w:r w:rsidRPr="006124D6">
        <w:rPr>
          <w:rFonts w:ascii="Garamond" w:hAnsi="Garamond"/>
        </w:rPr>
        <w:t xml:space="preserve"> believes the ambient monitoring site does not monitor a representative portion of the emissions from the facility</w:t>
      </w:r>
      <w:r w:rsidR="00D8745A">
        <w:rPr>
          <w:rFonts w:ascii="Garamond" w:hAnsi="Garamond"/>
        </w:rPr>
        <w:t xml:space="preserve">. </w:t>
      </w:r>
      <w:proofErr w:type="gramStart"/>
      <w:r w:rsidRPr="006124D6">
        <w:rPr>
          <w:rFonts w:ascii="Garamond" w:hAnsi="Garamond"/>
        </w:rPr>
        <w:t>In order for</w:t>
      </w:r>
      <w:proofErr w:type="gramEnd"/>
      <w:r w:rsidRPr="006124D6">
        <w:rPr>
          <w:rFonts w:ascii="Garamond" w:hAnsi="Garamond"/>
        </w:rPr>
        <w:t xml:space="preserve"> the ambient monitors to be exposed to the average annual emissions from the facility, the monitoring site should be situated downwind of the power plant and ash disposal area</w:t>
      </w:r>
      <w:r w:rsidR="00D8745A">
        <w:rPr>
          <w:rFonts w:ascii="Garamond" w:hAnsi="Garamond"/>
        </w:rPr>
        <w:t xml:space="preserve">. </w:t>
      </w:r>
      <w:r w:rsidRPr="006124D6">
        <w:rPr>
          <w:rFonts w:ascii="Garamond" w:hAnsi="Garamond"/>
        </w:rPr>
        <w:t>This would require that the monitoring site, in general, be located to the north of the CFB boiler stack and east to northeast of the ash disposal area</w:t>
      </w:r>
      <w:r w:rsidR="00D8745A">
        <w:rPr>
          <w:rFonts w:ascii="Garamond" w:hAnsi="Garamond"/>
        </w:rPr>
        <w:t xml:space="preserve">. </w:t>
      </w:r>
    </w:p>
    <w:p w14:paraId="271716A9" w14:textId="77777777" w:rsidR="0011127E" w:rsidRPr="006124D6" w:rsidRDefault="0011127E">
      <w:pPr>
        <w:ind w:left="720"/>
        <w:rPr>
          <w:rFonts w:ascii="Garamond" w:hAnsi="Garamond"/>
        </w:rPr>
      </w:pPr>
    </w:p>
    <w:p w14:paraId="3BCD1B6D" w14:textId="30596633" w:rsidR="0011127E" w:rsidRPr="006124D6" w:rsidRDefault="0011127E">
      <w:pPr>
        <w:ind w:left="720"/>
        <w:rPr>
          <w:rFonts w:ascii="Garamond" w:hAnsi="Garamond"/>
        </w:rPr>
      </w:pPr>
      <w:r w:rsidRPr="006124D6">
        <w:rPr>
          <w:rFonts w:ascii="Garamond" w:hAnsi="Garamond"/>
        </w:rPr>
        <w:t xml:space="preserve">Consequently, </w:t>
      </w:r>
      <w:r w:rsidR="009C3F2D">
        <w:rPr>
          <w:rFonts w:ascii="Garamond" w:hAnsi="Garamond"/>
        </w:rPr>
        <w:t>DEQ</w:t>
      </w:r>
      <w:r w:rsidRPr="006124D6">
        <w:rPr>
          <w:rFonts w:ascii="Garamond" w:hAnsi="Garamond"/>
        </w:rPr>
        <w:t xml:space="preserve"> determined that </w:t>
      </w:r>
      <w:proofErr w:type="gramStart"/>
      <w:r w:rsidRPr="006124D6">
        <w:rPr>
          <w:rFonts w:ascii="Garamond" w:hAnsi="Garamond"/>
        </w:rPr>
        <w:t>completely eliminating</w:t>
      </w:r>
      <w:proofErr w:type="gramEnd"/>
      <w:r w:rsidRPr="006124D6">
        <w:rPr>
          <w:rFonts w:ascii="Garamond" w:hAnsi="Garamond"/>
        </w:rPr>
        <w:t xml:space="preserve"> the ambient monitoring network operated by CELP would be inappropriate</w:t>
      </w:r>
      <w:r w:rsidR="00D8745A">
        <w:rPr>
          <w:rFonts w:ascii="Garamond" w:hAnsi="Garamond"/>
        </w:rPr>
        <w:t xml:space="preserve">. </w:t>
      </w:r>
      <w:r w:rsidR="009C3F2D">
        <w:rPr>
          <w:rFonts w:ascii="Garamond" w:hAnsi="Garamond"/>
        </w:rPr>
        <w:t>DEQ</w:t>
      </w:r>
      <w:r w:rsidRPr="006124D6">
        <w:rPr>
          <w:rFonts w:ascii="Garamond" w:hAnsi="Garamond"/>
        </w:rPr>
        <w:t xml:space="preserve"> determined that the ambient monitoring site should be moved to the east of the facility at a location to be determined by </w:t>
      </w:r>
      <w:r w:rsidR="009C3F2D">
        <w:rPr>
          <w:rFonts w:ascii="Garamond" w:hAnsi="Garamond"/>
        </w:rPr>
        <w:t>DEQ</w:t>
      </w:r>
      <w:r w:rsidR="00D8745A">
        <w:rPr>
          <w:rFonts w:ascii="Garamond" w:hAnsi="Garamond"/>
        </w:rPr>
        <w:t xml:space="preserve">. </w:t>
      </w:r>
      <w:r w:rsidR="00E65F55" w:rsidRPr="006124D6">
        <w:rPr>
          <w:rFonts w:ascii="Garamond" w:hAnsi="Garamond"/>
        </w:rPr>
        <w:t>MAQP</w:t>
      </w:r>
      <w:r w:rsidRPr="006124D6">
        <w:rPr>
          <w:rFonts w:ascii="Garamond" w:hAnsi="Garamond"/>
        </w:rPr>
        <w:t xml:space="preserve"> #2035-03 requires that CELP monitor PM</w:t>
      </w:r>
      <w:r w:rsidRPr="006124D6">
        <w:rPr>
          <w:rFonts w:ascii="Garamond" w:hAnsi="Garamond"/>
          <w:vertAlign w:val="subscript"/>
        </w:rPr>
        <w:t>10</w:t>
      </w:r>
      <w:r w:rsidRPr="006124D6">
        <w:rPr>
          <w:rFonts w:ascii="Garamond" w:hAnsi="Garamond"/>
        </w:rPr>
        <w:t xml:space="preserve"> but, ambient SO</w:t>
      </w:r>
      <w:r w:rsidRPr="006124D6">
        <w:rPr>
          <w:rFonts w:ascii="Garamond" w:hAnsi="Garamond"/>
          <w:vertAlign w:val="subscript"/>
        </w:rPr>
        <w:t>2</w:t>
      </w:r>
      <w:r w:rsidRPr="006124D6">
        <w:rPr>
          <w:rFonts w:ascii="Garamond" w:hAnsi="Garamond"/>
        </w:rPr>
        <w:t xml:space="preserve"> monitoring </w:t>
      </w:r>
      <w:r w:rsidR="007C1893" w:rsidRPr="006124D6">
        <w:rPr>
          <w:rFonts w:ascii="Garamond" w:hAnsi="Garamond"/>
        </w:rPr>
        <w:t>would</w:t>
      </w:r>
      <w:r w:rsidRPr="006124D6">
        <w:rPr>
          <w:rFonts w:ascii="Garamond" w:hAnsi="Garamond"/>
        </w:rPr>
        <w:t xml:space="preserve"> not be required</w:t>
      </w:r>
      <w:r w:rsidR="00D8745A">
        <w:rPr>
          <w:rFonts w:ascii="Garamond" w:hAnsi="Garamond"/>
        </w:rPr>
        <w:t xml:space="preserve">. </w:t>
      </w:r>
      <w:r w:rsidR="009C3F2D">
        <w:rPr>
          <w:rFonts w:ascii="Garamond" w:hAnsi="Garamond"/>
        </w:rPr>
        <w:t>DEQ</w:t>
      </w:r>
      <w:r w:rsidRPr="006124D6">
        <w:rPr>
          <w:rFonts w:ascii="Garamond" w:hAnsi="Garamond"/>
        </w:rPr>
        <w:t xml:space="preserve"> </w:t>
      </w:r>
      <w:proofErr w:type="gramStart"/>
      <w:r w:rsidRPr="006124D6">
        <w:rPr>
          <w:rFonts w:ascii="Garamond" w:hAnsi="Garamond"/>
        </w:rPr>
        <w:t>is able to</w:t>
      </w:r>
      <w:proofErr w:type="gramEnd"/>
      <w:r w:rsidRPr="006124D6">
        <w:rPr>
          <w:rFonts w:ascii="Garamond" w:hAnsi="Garamond"/>
        </w:rPr>
        <w:t xml:space="preserve"> monitor the SO</w:t>
      </w:r>
      <w:r w:rsidRPr="006124D6">
        <w:rPr>
          <w:rFonts w:ascii="Garamond" w:hAnsi="Garamond"/>
          <w:vertAlign w:val="subscript"/>
        </w:rPr>
        <w:t>2</w:t>
      </w:r>
      <w:r w:rsidRPr="006124D6">
        <w:rPr>
          <w:rFonts w:ascii="Garamond" w:hAnsi="Garamond"/>
        </w:rPr>
        <w:t xml:space="preserve"> emitted from the CFB boiler; if CELP demonstrates compliance with their SO</w:t>
      </w:r>
      <w:r w:rsidRPr="006124D6">
        <w:rPr>
          <w:rFonts w:ascii="Garamond" w:hAnsi="Garamond"/>
          <w:vertAlign w:val="subscript"/>
        </w:rPr>
        <w:t>2</w:t>
      </w:r>
      <w:r w:rsidRPr="006124D6">
        <w:rPr>
          <w:rFonts w:ascii="Garamond" w:hAnsi="Garamond"/>
        </w:rPr>
        <w:t xml:space="preserve"> emission limits, SO</w:t>
      </w:r>
      <w:r w:rsidRPr="006124D6">
        <w:rPr>
          <w:rFonts w:ascii="Garamond" w:hAnsi="Garamond"/>
          <w:vertAlign w:val="subscript"/>
        </w:rPr>
        <w:t>2</w:t>
      </w:r>
      <w:r w:rsidRPr="006124D6">
        <w:rPr>
          <w:rFonts w:ascii="Garamond" w:hAnsi="Garamond"/>
        </w:rPr>
        <w:t xml:space="preserve"> ambient standards should not be violated. </w:t>
      </w:r>
    </w:p>
    <w:p w14:paraId="46A1E9C2" w14:textId="77777777" w:rsidR="00371FBD" w:rsidRPr="006124D6" w:rsidRDefault="00371FBD" w:rsidP="006124D6">
      <w:pPr>
        <w:rPr>
          <w:rFonts w:ascii="Garamond" w:hAnsi="Garamond"/>
        </w:rPr>
      </w:pPr>
    </w:p>
    <w:p w14:paraId="4C91840E" w14:textId="47EF0C7F" w:rsidR="0011127E" w:rsidRPr="006124D6" w:rsidRDefault="0011127E">
      <w:pPr>
        <w:ind w:left="720"/>
        <w:rPr>
          <w:rFonts w:ascii="Garamond" w:hAnsi="Garamond"/>
        </w:rPr>
      </w:pPr>
      <w:r w:rsidRPr="006124D6">
        <w:rPr>
          <w:rFonts w:ascii="Garamond" w:hAnsi="Garamond"/>
        </w:rPr>
        <w:t xml:space="preserve">Section II.J of </w:t>
      </w:r>
      <w:r w:rsidR="00E65F55" w:rsidRPr="006124D6">
        <w:rPr>
          <w:rFonts w:ascii="Garamond" w:hAnsi="Garamond"/>
        </w:rPr>
        <w:t>MAQP</w:t>
      </w:r>
      <w:r w:rsidRPr="006124D6">
        <w:rPr>
          <w:rFonts w:ascii="Garamond" w:hAnsi="Garamond"/>
        </w:rPr>
        <w:t xml:space="preserve"> #2035-02 required that the sulfur content of waste coal not exceed 3% as received</w:t>
      </w:r>
      <w:r w:rsidR="00D8745A">
        <w:rPr>
          <w:rFonts w:ascii="Garamond" w:hAnsi="Garamond"/>
        </w:rPr>
        <w:t xml:space="preserve">. </w:t>
      </w:r>
      <w:r w:rsidR="009C3F2D">
        <w:rPr>
          <w:rFonts w:ascii="Garamond" w:hAnsi="Garamond"/>
        </w:rPr>
        <w:t>DEQ</w:t>
      </w:r>
      <w:r w:rsidRPr="006124D6">
        <w:rPr>
          <w:rFonts w:ascii="Garamond" w:hAnsi="Garamond"/>
        </w:rPr>
        <w:t xml:space="preserve"> removed this condition from </w:t>
      </w:r>
      <w:r w:rsidR="00E65F55" w:rsidRPr="006124D6">
        <w:rPr>
          <w:rFonts w:ascii="Garamond" w:hAnsi="Garamond"/>
        </w:rPr>
        <w:t>MAQP</w:t>
      </w:r>
      <w:r w:rsidRPr="006124D6">
        <w:rPr>
          <w:rFonts w:ascii="Garamond" w:hAnsi="Garamond"/>
        </w:rPr>
        <w:t xml:space="preserve"> #2035-03 because </w:t>
      </w:r>
      <w:r w:rsidR="009C3F2D">
        <w:rPr>
          <w:rFonts w:ascii="Garamond" w:hAnsi="Garamond"/>
        </w:rPr>
        <w:t>DEQ</w:t>
      </w:r>
      <w:r w:rsidRPr="006124D6">
        <w:rPr>
          <w:rFonts w:ascii="Garamond" w:hAnsi="Garamond"/>
        </w:rPr>
        <w:t xml:space="preserve"> has conditions and limitations which protect NAAQS for SO</w:t>
      </w:r>
      <w:r w:rsidRPr="006124D6">
        <w:rPr>
          <w:rFonts w:ascii="Garamond" w:hAnsi="Garamond"/>
          <w:vertAlign w:val="subscript"/>
        </w:rPr>
        <w:t>2</w:t>
      </w:r>
      <w:r w:rsidR="00D8745A">
        <w:rPr>
          <w:rFonts w:ascii="Garamond" w:hAnsi="Garamond"/>
        </w:rPr>
        <w:t xml:space="preserve">. </w:t>
      </w:r>
      <w:r w:rsidR="00E65F55" w:rsidRPr="006124D6">
        <w:rPr>
          <w:rFonts w:ascii="Garamond" w:hAnsi="Garamond"/>
        </w:rPr>
        <w:t>MAQP</w:t>
      </w:r>
      <w:r w:rsidRPr="006124D6">
        <w:rPr>
          <w:rFonts w:ascii="Garamond" w:hAnsi="Garamond"/>
        </w:rPr>
        <w:t xml:space="preserve"> #2035-03 replaced </w:t>
      </w:r>
      <w:r w:rsidR="00E65F55" w:rsidRPr="006124D6">
        <w:rPr>
          <w:rFonts w:ascii="Garamond" w:hAnsi="Garamond"/>
        </w:rPr>
        <w:t>MAQP</w:t>
      </w:r>
      <w:r w:rsidRPr="006124D6">
        <w:rPr>
          <w:rFonts w:ascii="Garamond" w:hAnsi="Garamond"/>
        </w:rPr>
        <w:t xml:space="preserve"> #2035-02.</w:t>
      </w:r>
      <w:r w:rsidRPr="006124D6">
        <w:rPr>
          <w:rFonts w:ascii="Garamond" w:hAnsi="Garamond"/>
        </w:rPr>
        <w:tab/>
      </w:r>
    </w:p>
    <w:p w14:paraId="0583D8FE" w14:textId="77777777" w:rsidR="0011127E" w:rsidRPr="006124D6" w:rsidRDefault="0011127E">
      <w:pPr>
        <w:ind w:left="720"/>
        <w:rPr>
          <w:rFonts w:ascii="Garamond" w:hAnsi="Garamond"/>
        </w:rPr>
      </w:pPr>
    </w:p>
    <w:p w14:paraId="2E283BD3" w14:textId="3F4669F7" w:rsidR="0011127E" w:rsidRPr="006124D6" w:rsidRDefault="009C3F2D">
      <w:pPr>
        <w:ind w:left="720"/>
        <w:rPr>
          <w:rFonts w:ascii="Garamond" w:hAnsi="Garamond"/>
        </w:rPr>
      </w:pPr>
      <w:r>
        <w:rPr>
          <w:rFonts w:ascii="Garamond" w:hAnsi="Garamond"/>
        </w:rPr>
        <w:t>DEQ</w:t>
      </w:r>
      <w:r w:rsidR="0011127E" w:rsidRPr="006124D6">
        <w:rPr>
          <w:rFonts w:ascii="Garamond" w:hAnsi="Garamond"/>
        </w:rPr>
        <w:t xml:space="preserve"> received written comments on the preliminary determination of </w:t>
      </w:r>
      <w:r w:rsidR="00E65F55" w:rsidRPr="006124D6">
        <w:rPr>
          <w:rFonts w:ascii="Garamond" w:hAnsi="Garamond"/>
        </w:rPr>
        <w:t>MAQP</w:t>
      </w:r>
      <w:r w:rsidR="0011127E" w:rsidRPr="006124D6">
        <w:rPr>
          <w:rFonts w:ascii="Garamond" w:hAnsi="Garamond"/>
        </w:rPr>
        <w:t xml:space="preserve"> #2035-03 from the Northern Cheyenne Tribe and CELP</w:t>
      </w:r>
      <w:r w:rsidR="00D8745A">
        <w:rPr>
          <w:rFonts w:ascii="Garamond" w:hAnsi="Garamond"/>
        </w:rPr>
        <w:t xml:space="preserve">. </w:t>
      </w:r>
      <w:r w:rsidR="0011127E" w:rsidRPr="006124D6">
        <w:rPr>
          <w:rFonts w:ascii="Garamond" w:hAnsi="Garamond"/>
        </w:rPr>
        <w:t xml:space="preserve">As a result of these comments </w:t>
      </w:r>
      <w:r>
        <w:rPr>
          <w:rFonts w:ascii="Garamond" w:hAnsi="Garamond"/>
        </w:rPr>
        <w:t>DEQ</w:t>
      </w:r>
      <w:r w:rsidR="0011127E" w:rsidRPr="006124D6">
        <w:rPr>
          <w:rFonts w:ascii="Garamond" w:hAnsi="Garamond"/>
        </w:rPr>
        <w:t xml:space="preserve"> made several changes requested by CELP</w:t>
      </w:r>
      <w:r w:rsidR="00D8745A">
        <w:rPr>
          <w:rFonts w:ascii="Garamond" w:hAnsi="Garamond"/>
        </w:rPr>
        <w:t xml:space="preserve">. </w:t>
      </w:r>
      <w:r w:rsidR="0011127E" w:rsidRPr="006124D6">
        <w:rPr>
          <w:rFonts w:ascii="Garamond" w:hAnsi="Garamond"/>
        </w:rPr>
        <w:t xml:space="preserve">CELP requested that </w:t>
      </w:r>
      <w:r>
        <w:rPr>
          <w:rFonts w:ascii="Garamond" w:hAnsi="Garamond"/>
        </w:rPr>
        <w:t>DEQ</w:t>
      </w:r>
      <w:r w:rsidR="0011127E" w:rsidRPr="006124D6">
        <w:rPr>
          <w:rFonts w:ascii="Garamond" w:hAnsi="Garamond"/>
        </w:rPr>
        <w:t xml:space="preserve"> reword all operations referred to as “coal” to “coal/waste coal.”  </w:t>
      </w:r>
      <w:r>
        <w:rPr>
          <w:rFonts w:ascii="Garamond" w:hAnsi="Garamond"/>
        </w:rPr>
        <w:t>DEQ</w:t>
      </w:r>
      <w:r w:rsidR="0011127E" w:rsidRPr="006124D6">
        <w:rPr>
          <w:rFonts w:ascii="Garamond" w:hAnsi="Garamond"/>
        </w:rPr>
        <w:t xml:space="preserve"> responded that coal is a broad enough term to include all varieties of coal CELP is permitted to use at the facility</w:t>
      </w:r>
      <w:r w:rsidR="00D8745A">
        <w:rPr>
          <w:rFonts w:ascii="Garamond" w:hAnsi="Garamond"/>
        </w:rPr>
        <w:t xml:space="preserve">. </w:t>
      </w:r>
      <w:r w:rsidR="0011127E" w:rsidRPr="006124D6">
        <w:rPr>
          <w:rFonts w:ascii="Garamond" w:hAnsi="Garamond"/>
        </w:rPr>
        <w:t>However, in a meeting on March 4, 1998, CELP explained they were concerned that it could be construed that CELP’s operations referred to as coal where not permitted to process coal refuse</w:t>
      </w:r>
      <w:r w:rsidR="00D8745A">
        <w:rPr>
          <w:rFonts w:ascii="Garamond" w:hAnsi="Garamond"/>
        </w:rPr>
        <w:t xml:space="preserve">. </w:t>
      </w:r>
      <w:r>
        <w:rPr>
          <w:rFonts w:ascii="Garamond" w:hAnsi="Garamond"/>
        </w:rPr>
        <w:t>DEQ</w:t>
      </w:r>
      <w:r w:rsidR="0011127E" w:rsidRPr="006124D6">
        <w:rPr>
          <w:rFonts w:ascii="Garamond" w:hAnsi="Garamond"/>
        </w:rPr>
        <w:t xml:space="preserve"> stated that the facility is permitted in Section II.A.15 to burn coal refuse</w:t>
      </w:r>
      <w:r w:rsidR="00D8745A">
        <w:rPr>
          <w:rFonts w:ascii="Garamond" w:hAnsi="Garamond"/>
        </w:rPr>
        <w:t xml:space="preserve">. </w:t>
      </w:r>
      <w:r>
        <w:rPr>
          <w:rFonts w:ascii="Garamond" w:hAnsi="Garamond"/>
        </w:rPr>
        <w:t>DEQ</w:t>
      </w:r>
      <w:r w:rsidR="0011127E" w:rsidRPr="006124D6">
        <w:rPr>
          <w:rFonts w:ascii="Garamond" w:hAnsi="Garamond"/>
        </w:rPr>
        <w:t xml:space="preserve"> agreed to state in the permit analysis that the facility is permitted to process coal refuse at the facility</w:t>
      </w:r>
      <w:r w:rsidR="00D8745A">
        <w:rPr>
          <w:rFonts w:ascii="Garamond" w:hAnsi="Garamond"/>
        </w:rPr>
        <w:t xml:space="preserve">. </w:t>
      </w:r>
      <w:r w:rsidR="0011127E" w:rsidRPr="006124D6">
        <w:rPr>
          <w:rFonts w:ascii="Garamond" w:hAnsi="Garamond"/>
        </w:rPr>
        <w:t>The equipment referred to as coal including the truck dump, hoppers, crushers, conveyors, and storage silos and all associated control equipment are permitted to process coal refuse</w:t>
      </w:r>
      <w:r w:rsidR="00D8745A">
        <w:rPr>
          <w:rFonts w:ascii="Garamond" w:hAnsi="Garamond"/>
        </w:rPr>
        <w:t xml:space="preserve">. </w:t>
      </w:r>
      <w:r w:rsidR="0011127E" w:rsidRPr="006124D6">
        <w:rPr>
          <w:rFonts w:ascii="Garamond" w:hAnsi="Garamond"/>
        </w:rPr>
        <w:t xml:space="preserve">The meaning of the terms coal and coal refuse for </w:t>
      </w:r>
      <w:r w:rsidR="00E65F55" w:rsidRPr="006124D6">
        <w:rPr>
          <w:rFonts w:ascii="Garamond" w:hAnsi="Garamond"/>
        </w:rPr>
        <w:t>MAQP</w:t>
      </w:r>
      <w:r w:rsidR="0011127E" w:rsidRPr="006124D6">
        <w:rPr>
          <w:rFonts w:ascii="Garamond" w:hAnsi="Garamond"/>
        </w:rPr>
        <w:t xml:space="preserve"> #2035-03 are defined in 40 CFR 60</w:t>
      </w:r>
      <w:r w:rsidR="007C1893" w:rsidRPr="006124D6">
        <w:rPr>
          <w:rFonts w:ascii="Garamond" w:hAnsi="Garamond"/>
        </w:rPr>
        <w:t>,</w:t>
      </w:r>
      <w:r w:rsidR="0011127E" w:rsidRPr="006124D6">
        <w:rPr>
          <w:rFonts w:ascii="Garamond" w:hAnsi="Garamond"/>
        </w:rPr>
        <w:t xml:space="preserve"> Subpart Da.</w:t>
      </w:r>
    </w:p>
    <w:p w14:paraId="588BE64B" w14:textId="77777777" w:rsidR="003B36E4" w:rsidRPr="006124D6" w:rsidRDefault="003B36E4">
      <w:pPr>
        <w:ind w:left="720"/>
        <w:rPr>
          <w:rFonts w:ascii="Garamond" w:hAnsi="Garamond"/>
        </w:rPr>
      </w:pPr>
    </w:p>
    <w:p w14:paraId="0A0EA085" w14:textId="64AD4345" w:rsidR="003B36E4" w:rsidRPr="006124D6" w:rsidRDefault="003B36E4">
      <w:pPr>
        <w:ind w:left="720"/>
        <w:rPr>
          <w:rFonts w:ascii="Garamond" w:hAnsi="Garamond"/>
          <w:color w:val="000000"/>
        </w:rPr>
      </w:pPr>
      <w:r w:rsidRPr="006124D6">
        <w:rPr>
          <w:rFonts w:ascii="Garamond" w:hAnsi="Garamond"/>
          <w:color w:val="000000"/>
        </w:rPr>
        <w:t xml:space="preserve">On April 15, 2008, </w:t>
      </w:r>
      <w:r w:rsidR="009C3F2D">
        <w:rPr>
          <w:rFonts w:ascii="Garamond" w:hAnsi="Garamond"/>
          <w:color w:val="000000"/>
        </w:rPr>
        <w:t>DEQ</w:t>
      </w:r>
      <w:r w:rsidRPr="006124D6">
        <w:rPr>
          <w:rFonts w:ascii="Garamond" w:hAnsi="Garamond"/>
          <w:color w:val="000000"/>
        </w:rPr>
        <w:t xml:space="preserve"> received a request to remove the ambient air quality monitoring requirements from MAQP #2035-03</w:t>
      </w:r>
      <w:r w:rsidR="00D8745A">
        <w:rPr>
          <w:rFonts w:ascii="Garamond" w:hAnsi="Garamond"/>
          <w:color w:val="000000"/>
        </w:rPr>
        <w:t xml:space="preserve">. </w:t>
      </w:r>
      <w:r w:rsidRPr="006124D6">
        <w:rPr>
          <w:rFonts w:ascii="Garamond" w:hAnsi="Garamond"/>
          <w:color w:val="000000"/>
        </w:rPr>
        <w:t>The permit action removed those requirements as well as updated the permit to reflect current permit format, language, and rule references</w:t>
      </w:r>
      <w:r w:rsidR="00D8745A">
        <w:rPr>
          <w:rFonts w:ascii="Garamond" w:hAnsi="Garamond"/>
          <w:color w:val="000000"/>
        </w:rPr>
        <w:t xml:space="preserve">. </w:t>
      </w:r>
      <w:r w:rsidRPr="006124D6">
        <w:rPr>
          <w:rFonts w:ascii="Garamond" w:hAnsi="Garamond"/>
          <w:b/>
          <w:bCs/>
          <w:color w:val="000000"/>
        </w:rPr>
        <w:t xml:space="preserve">MAQP #2035-04 </w:t>
      </w:r>
      <w:r w:rsidRPr="006124D6">
        <w:rPr>
          <w:rFonts w:ascii="Garamond" w:hAnsi="Garamond"/>
          <w:color w:val="000000"/>
        </w:rPr>
        <w:t>replaced MAQP #2035-03.</w:t>
      </w:r>
    </w:p>
    <w:p w14:paraId="6E30B68D" w14:textId="77777777" w:rsidR="006253C6" w:rsidRPr="006124D6" w:rsidRDefault="006253C6">
      <w:pPr>
        <w:ind w:left="720"/>
        <w:rPr>
          <w:rFonts w:ascii="Garamond" w:hAnsi="Garamond"/>
          <w:color w:val="000000"/>
        </w:rPr>
      </w:pPr>
    </w:p>
    <w:p w14:paraId="5DD82DD1" w14:textId="3FBFC0C5" w:rsidR="006253C6" w:rsidRDefault="006253C6" w:rsidP="006253C6">
      <w:pPr>
        <w:ind w:left="720"/>
        <w:rPr>
          <w:rFonts w:ascii="Garamond" w:hAnsi="Garamond"/>
        </w:rPr>
      </w:pPr>
      <w:r w:rsidRPr="006124D6">
        <w:rPr>
          <w:rFonts w:ascii="Garamond" w:hAnsi="Garamond"/>
        </w:rPr>
        <w:t xml:space="preserve">On December 30, 2008, </w:t>
      </w:r>
      <w:r w:rsidR="009C3F2D">
        <w:rPr>
          <w:rFonts w:ascii="Garamond" w:hAnsi="Garamond"/>
        </w:rPr>
        <w:t>DEQ</w:t>
      </w:r>
      <w:r w:rsidRPr="006124D6">
        <w:rPr>
          <w:rFonts w:ascii="Garamond" w:hAnsi="Garamond"/>
        </w:rPr>
        <w:t xml:space="preserve"> received an application from CELP to modify MAQP #2035-04</w:t>
      </w:r>
      <w:r w:rsidR="00D8745A">
        <w:rPr>
          <w:rFonts w:ascii="Garamond" w:hAnsi="Garamond"/>
        </w:rPr>
        <w:t xml:space="preserve">. </w:t>
      </w:r>
      <w:r w:rsidRPr="006124D6">
        <w:rPr>
          <w:rFonts w:ascii="Garamond" w:hAnsi="Garamond"/>
          <w:color w:val="000000"/>
        </w:rPr>
        <w:t>This requested modification is to establish a mercury emission limit of 0.9 pounds per trillion British thermal units (lb/TBtu) for the Rosebud Power Plant, pursuant to ARM 17.8.771, and to provide an analysis of potential mercury control options</w:t>
      </w:r>
      <w:r w:rsidR="00D8745A">
        <w:rPr>
          <w:rFonts w:ascii="Garamond" w:hAnsi="Garamond"/>
          <w:color w:val="000000"/>
        </w:rPr>
        <w:t xml:space="preserve">. </w:t>
      </w:r>
      <w:r w:rsidRPr="006124D6">
        <w:rPr>
          <w:rFonts w:ascii="Garamond" w:hAnsi="Garamond"/>
          <w:color w:val="000000"/>
        </w:rPr>
        <w:t>These control options included, but were not limited to, boiler technology, mercury emission control technology, and any other mercury control practices</w:t>
      </w:r>
      <w:r w:rsidR="00D8745A">
        <w:rPr>
          <w:rFonts w:ascii="Garamond" w:hAnsi="Garamond"/>
          <w:color w:val="000000"/>
        </w:rPr>
        <w:t xml:space="preserve">. </w:t>
      </w:r>
      <w:r w:rsidRPr="006124D6">
        <w:rPr>
          <w:rFonts w:ascii="Garamond" w:hAnsi="Garamond"/>
          <w:color w:val="000000"/>
        </w:rPr>
        <w:t xml:space="preserve">On January 30, 2009, </w:t>
      </w:r>
      <w:r w:rsidR="009C3F2D">
        <w:rPr>
          <w:rFonts w:ascii="Garamond" w:hAnsi="Garamond"/>
          <w:color w:val="000000"/>
        </w:rPr>
        <w:t>DEQ</w:t>
      </w:r>
      <w:r w:rsidRPr="006124D6">
        <w:rPr>
          <w:rFonts w:ascii="Garamond" w:hAnsi="Garamond"/>
          <w:color w:val="000000"/>
        </w:rPr>
        <w:t xml:space="preserve"> requested additional information to support CELP’s proposed mercury emission control strategy</w:t>
      </w:r>
      <w:r w:rsidR="00D8745A">
        <w:rPr>
          <w:rFonts w:ascii="Garamond" w:hAnsi="Garamond"/>
          <w:color w:val="000000"/>
        </w:rPr>
        <w:t xml:space="preserve">. </w:t>
      </w:r>
      <w:r w:rsidRPr="006124D6">
        <w:rPr>
          <w:rFonts w:ascii="Garamond" w:hAnsi="Garamond"/>
          <w:color w:val="000000"/>
        </w:rPr>
        <w:t xml:space="preserve">This </w:t>
      </w:r>
      <w:r w:rsidRPr="006124D6">
        <w:rPr>
          <w:rFonts w:ascii="Garamond" w:hAnsi="Garamond"/>
          <w:color w:val="000000"/>
        </w:rPr>
        <w:lastRenderedPageBreak/>
        <w:t xml:space="preserve">information was submitted to </w:t>
      </w:r>
      <w:r w:rsidR="009C3F2D">
        <w:rPr>
          <w:rFonts w:ascii="Garamond" w:hAnsi="Garamond"/>
          <w:color w:val="000000"/>
        </w:rPr>
        <w:t>DEQ</w:t>
      </w:r>
      <w:r w:rsidRPr="006124D6">
        <w:rPr>
          <w:rFonts w:ascii="Garamond" w:hAnsi="Garamond"/>
          <w:color w:val="000000"/>
        </w:rPr>
        <w:t xml:space="preserve"> on March 31, </w:t>
      </w:r>
      <w:proofErr w:type="gramStart"/>
      <w:r w:rsidRPr="006124D6">
        <w:rPr>
          <w:rFonts w:ascii="Garamond" w:hAnsi="Garamond"/>
          <w:color w:val="000000"/>
        </w:rPr>
        <w:t>2009</w:t>
      </w:r>
      <w:proofErr w:type="gramEnd"/>
      <w:r w:rsidRPr="006124D6">
        <w:rPr>
          <w:rFonts w:ascii="Garamond" w:hAnsi="Garamond"/>
          <w:color w:val="000000"/>
        </w:rPr>
        <w:t xml:space="preserve"> and included additional control technology testing results conducted at the Rosebud Power Plant</w:t>
      </w:r>
      <w:r w:rsidR="00D8745A">
        <w:rPr>
          <w:rFonts w:ascii="Garamond" w:hAnsi="Garamond"/>
          <w:color w:val="000000"/>
        </w:rPr>
        <w:t xml:space="preserve">. </w:t>
      </w:r>
      <w:r w:rsidRPr="006124D6">
        <w:rPr>
          <w:rFonts w:ascii="Garamond" w:hAnsi="Garamond"/>
          <w:color w:val="000000"/>
        </w:rPr>
        <w:t xml:space="preserve">Based on mercury sampling conducted at the facility, current mercury emissions were estimated to range from approximately 11.4 </w:t>
      </w:r>
      <w:proofErr w:type="spellStart"/>
      <w:r w:rsidRPr="006124D6">
        <w:rPr>
          <w:rFonts w:ascii="Garamond" w:hAnsi="Garamond"/>
          <w:color w:val="000000"/>
        </w:rPr>
        <w:t>lb</w:t>
      </w:r>
      <w:proofErr w:type="spellEnd"/>
      <w:r w:rsidRPr="006124D6">
        <w:rPr>
          <w:rFonts w:ascii="Garamond" w:hAnsi="Garamond"/>
          <w:color w:val="000000"/>
        </w:rPr>
        <w:t>/</w:t>
      </w:r>
      <w:proofErr w:type="spellStart"/>
      <w:r w:rsidRPr="006124D6">
        <w:rPr>
          <w:rFonts w:ascii="Garamond" w:hAnsi="Garamond"/>
          <w:color w:val="000000"/>
        </w:rPr>
        <w:t>TBtu</w:t>
      </w:r>
      <w:proofErr w:type="spellEnd"/>
      <w:r w:rsidRPr="006124D6">
        <w:rPr>
          <w:rFonts w:ascii="Garamond" w:hAnsi="Garamond"/>
          <w:color w:val="000000"/>
        </w:rPr>
        <w:t xml:space="preserve"> to 20.2 </w:t>
      </w:r>
      <w:proofErr w:type="spellStart"/>
      <w:r w:rsidRPr="006124D6">
        <w:rPr>
          <w:rFonts w:ascii="Garamond" w:hAnsi="Garamond"/>
          <w:color w:val="000000"/>
        </w:rPr>
        <w:t>lb</w:t>
      </w:r>
      <w:proofErr w:type="spellEnd"/>
      <w:r w:rsidRPr="006124D6">
        <w:rPr>
          <w:rFonts w:ascii="Garamond" w:hAnsi="Garamond"/>
          <w:color w:val="000000"/>
        </w:rPr>
        <w:t>/</w:t>
      </w:r>
      <w:proofErr w:type="spellStart"/>
      <w:r w:rsidRPr="006124D6">
        <w:rPr>
          <w:rFonts w:ascii="Garamond" w:hAnsi="Garamond"/>
          <w:color w:val="000000"/>
        </w:rPr>
        <w:t>TBtu</w:t>
      </w:r>
      <w:proofErr w:type="spellEnd"/>
      <w:r w:rsidR="00D8745A">
        <w:rPr>
          <w:rFonts w:ascii="Garamond" w:hAnsi="Garamond"/>
          <w:color w:val="000000"/>
        </w:rPr>
        <w:t xml:space="preserve">. </w:t>
      </w:r>
      <w:r w:rsidRPr="006124D6">
        <w:rPr>
          <w:rFonts w:ascii="Garamond" w:hAnsi="Garamond"/>
          <w:color w:val="000000"/>
        </w:rPr>
        <w:t xml:space="preserve">Therefore, </w:t>
      </w:r>
      <w:proofErr w:type="gramStart"/>
      <w:r w:rsidRPr="006124D6">
        <w:rPr>
          <w:rFonts w:ascii="Garamond" w:hAnsi="Garamond"/>
          <w:color w:val="000000"/>
        </w:rPr>
        <w:t>in order to</w:t>
      </w:r>
      <w:proofErr w:type="gramEnd"/>
      <w:r w:rsidRPr="006124D6">
        <w:rPr>
          <w:rFonts w:ascii="Garamond" w:hAnsi="Garamond"/>
          <w:color w:val="000000"/>
        </w:rPr>
        <w:t xml:space="preserve"> meet the mercury emission limit specified in ARM 17.8.771, a reduction in mercury emissions of approximately 92% to 96% was estimated to be required for this facility</w:t>
      </w:r>
      <w:r w:rsidR="00D8745A">
        <w:rPr>
          <w:rFonts w:ascii="Garamond" w:hAnsi="Garamond"/>
          <w:color w:val="000000"/>
        </w:rPr>
        <w:t xml:space="preserve">. </w:t>
      </w:r>
      <w:r w:rsidRPr="006124D6">
        <w:rPr>
          <w:rFonts w:ascii="Garamond" w:hAnsi="Garamond"/>
          <w:color w:val="000000"/>
        </w:rPr>
        <w:t xml:space="preserve">MAQP #2035-05 established a mercury emission limit and associated operating requirements for the Rosebud Power Plant </w:t>
      </w:r>
      <w:proofErr w:type="gramStart"/>
      <w:r w:rsidRPr="006124D6">
        <w:rPr>
          <w:rFonts w:ascii="Garamond" w:hAnsi="Garamond"/>
          <w:color w:val="000000"/>
        </w:rPr>
        <w:t>in order to</w:t>
      </w:r>
      <w:proofErr w:type="gramEnd"/>
      <w:r w:rsidRPr="006124D6">
        <w:rPr>
          <w:rFonts w:ascii="Garamond" w:hAnsi="Garamond"/>
          <w:color w:val="000000"/>
        </w:rPr>
        <w:t xml:space="preserve"> comply with ARM 17.8.771</w:t>
      </w:r>
      <w:r w:rsidR="00D8745A">
        <w:rPr>
          <w:rFonts w:ascii="Garamond" w:hAnsi="Garamond"/>
          <w:color w:val="000000"/>
        </w:rPr>
        <w:t xml:space="preserve">. </w:t>
      </w:r>
      <w:r w:rsidRPr="006124D6">
        <w:rPr>
          <w:rFonts w:ascii="Garamond" w:hAnsi="Garamond"/>
          <w:b/>
        </w:rPr>
        <w:t>MAQP #2035-05</w:t>
      </w:r>
      <w:r w:rsidRPr="006124D6">
        <w:rPr>
          <w:rFonts w:ascii="Garamond" w:hAnsi="Garamond"/>
        </w:rPr>
        <w:t xml:space="preserve"> replaced</w:t>
      </w:r>
      <w:r w:rsidR="008A5D24" w:rsidRPr="006124D6">
        <w:rPr>
          <w:rFonts w:ascii="Garamond" w:hAnsi="Garamond"/>
        </w:rPr>
        <w:t xml:space="preserve"> </w:t>
      </w:r>
      <w:r w:rsidRPr="006124D6">
        <w:rPr>
          <w:rFonts w:ascii="Garamond" w:hAnsi="Garamond"/>
        </w:rPr>
        <w:t>MAQP #2035-04.</w:t>
      </w:r>
    </w:p>
    <w:p w14:paraId="496288A9" w14:textId="77777777" w:rsidR="000F24D6" w:rsidRPr="00E5135F" w:rsidRDefault="000F24D6" w:rsidP="006253C6">
      <w:pPr>
        <w:ind w:left="720"/>
        <w:rPr>
          <w:rFonts w:ascii="Garamond" w:hAnsi="Garamond"/>
          <w:sz w:val="21"/>
          <w:szCs w:val="21"/>
        </w:rPr>
      </w:pPr>
    </w:p>
    <w:p w14:paraId="64219E26" w14:textId="513C2DC5" w:rsidR="000F24D6" w:rsidRDefault="000F24D6" w:rsidP="006124D6">
      <w:pPr>
        <w:widowControl/>
        <w:autoSpaceDE/>
        <w:autoSpaceDN/>
        <w:adjustRightInd/>
        <w:ind w:left="720"/>
        <w:rPr>
          <w:rFonts w:ascii="Garamond" w:hAnsi="Garamond"/>
          <w:color w:val="000000"/>
        </w:rPr>
      </w:pPr>
      <w:r w:rsidRPr="006124D6">
        <w:rPr>
          <w:rFonts w:ascii="Garamond" w:hAnsi="Garamond"/>
          <w:color w:val="000000"/>
        </w:rPr>
        <w:t xml:space="preserve">On September 4, 2013, </w:t>
      </w:r>
      <w:r w:rsidR="009C3F2D">
        <w:rPr>
          <w:rFonts w:ascii="Garamond" w:hAnsi="Garamond"/>
          <w:color w:val="000000"/>
        </w:rPr>
        <w:t>DEQ</w:t>
      </w:r>
      <w:r w:rsidRPr="006124D6">
        <w:rPr>
          <w:rFonts w:ascii="Garamond" w:hAnsi="Garamond"/>
          <w:color w:val="000000"/>
        </w:rPr>
        <w:t xml:space="preserve"> received a de minimis change notice and AA request from Bison Engineering, Inc. (Bison)</w:t>
      </w:r>
      <w:r>
        <w:rPr>
          <w:rFonts w:ascii="Garamond" w:hAnsi="Garamond"/>
          <w:color w:val="000000"/>
        </w:rPr>
        <w:t>, on behalf of CELP,</w:t>
      </w:r>
      <w:r w:rsidRPr="006124D6">
        <w:rPr>
          <w:rFonts w:ascii="Garamond" w:hAnsi="Garamond"/>
          <w:color w:val="000000"/>
        </w:rPr>
        <w:t xml:space="preserve"> proposing the inclusion of a </w:t>
      </w:r>
      <w:proofErr w:type="gramStart"/>
      <w:r w:rsidR="008074D3" w:rsidRPr="006124D6">
        <w:rPr>
          <w:rFonts w:ascii="Garamond" w:hAnsi="Garamond"/>
          <w:color w:val="000000"/>
        </w:rPr>
        <w:t>25,000</w:t>
      </w:r>
      <w:r w:rsidR="00E714B9">
        <w:rPr>
          <w:rFonts w:ascii="Garamond" w:hAnsi="Garamond"/>
          <w:color w:val="000000"/>
        </w:rPr>
        <w:t xml:space="preserve"> </w:t>
      </w:r>
      <w:r w:rsidR="008074D3" w:rsidRPr="006124D6">
        <w:rPr>
          <w:rFonts w:ascii="Garamond" w:hAnsi="Garamond"/>
          <w:color w:val="000000"/>
        </w:rPr>
        <w:t>ton</w:t>
      </w:r>
      <w:proofErr w:type="gramEnd"/>
      <w:r w:rsidRPr="006124D6">
        <w:rPr>
          <w:rFonts w:ascii="Garamond" w:hAnsi="Garamond"/>
          <w:color w:val="000000"/>
        </w:rPr>
        <w:t xml:space="preserve"> open coal storage p</w:t>
      </w:r>
      <w:r>
        <w:rPr>
          <w:rFonts w:ascii="Garamond" w:hAnsi="Garamond"/>
          <w:color w:val="000000"/>
        </w:rPr>
        <w:t>ile at the CELP facility</w:t>
      </w:r>
      <w:r w:rsidR="00D8745A">
        <w:rPr>
          <w:rFonts w:ascii="Garamond" w:hAnsi="Garamond"/>
          <w:color w:val="000000"/>
        </w:rPr>
        <w:t xml:space="preserve">. </w:t>
      </w:r>
      <w:r>
        <w:rPr>
          <w:rFonts w:ascii="Garamond" w:hAnsi="Garamond"/>
          <w:color w:val="000000"/>
        </w:rPr>
        <w:t xml:space="preserve"> The storage pile was to</w:t>
      </w:r>
      <w:r w:rsidRPr="006124D6">
        <w:rPr>
          <w:rFonts w:ascii="Garamond" w:hAnsi="Garamond"/>
          <w:color w:val="000000"/>
        </w:rPr>
        <w:t xml:space="preserve"> serve as a readily accessible stockpile of suitable coal</w:t>
      </w:r>
      <w:r>
        <w:rPr>
          <w:rFonts w:ascii="Garamond" w:hAnsi="Garamond"/>
          <w:color w:val="000000"/>
        </w:rPr>
        <w:t xml:space="preserve"> during periods when dry coal was not available from the mine</w:t>
      </w:r>
      <w:r w:rsidR="00D8745A">
        <w:rPr>
          <w:rFonts w:ascii="Garamond" w:hAnsi="Garamond"/>
          <w:color w:val="000000"/>
        </w:rPr>
        <w:t xml:space="preserve">. </w:t>
      </w:r>
      <w:r>
        <w:rPr>
          <w:rFonts w:ascii="Garamond" w:hAnsi="Garamond"/>
          <w:color w:val="000000"/>
        </w:rPr>
        <w:t xml:space="preserve">The permit action incorporated </w:t>
      </w:r>
      <w:proofErr w:type="gramStart"/>
      <w:r w:rsidRPr="006124D6">
        <w:rPr>
          <w:rFonts w:ascii="Garamond" w:hAnsi="Garamond"/>
          <w:color w:val="000000"/>
        </w:rPr>
        <w:t>the de</w:t>
      </w:r>
      <w:proofErr w:type="gramEnd"/>
      <w:r w:rsidRPr="006124D6">
        <w:rPr>
          <w:rFonts w:ascii="Garamond" w:hAnsi="Garamond"/>
          <w:color w:val="000000"/>
        </w:rPr>
        <w:t xml:space="preserve"> minimis coal stor</w:t>
      </w:r>
      <w:r>
        <w:rPr>
          <w:rFonts w:ascii="Garamond" w:hAnsi="Garamond"/>
          <w:color w:val="000000"/>
        </w:rPr>
        <w:t>age pile and updated</w:t>
      </w:r>
      <w:r w:rsidRPr="006124D6">
        <w:rPr>
          <w:rFonts w:ascii="Garamond" w:hAnsi="Garamond"/>
          <w:color w:val="000000"/>
        </w:rPr>
        <w:t xml:space="preserve"> </w:t>
      </w:r>
      <w:proofErr w:type="gramStart"/>
      <w:r w:rsidRPr="006124D6">
        <w:rPr>
          <w:rFonts w:ascii="Garamond" w:hAnsi="Garamond"/>
          <w:color w:val="000000"/>
        </w:rPr>
        <w:t>language</w:t>
      </w:r>
      <w:proofErr w:type="gramEnd"/>
      <w:r w:rsidRPr="006124D6">
        <w:rPr>
          <w:rFonts w:ascii="Garamond" w:hAnsi="Garamond"/>
          <w:color w:val="000000"/>
        </w:rPr>
        <w:t xml:space="preserve"> and rule references were applicable</w:t>
      </w:r>
      <w:r w:rsidR="00D8745A">
        <w:rPr>
          <w:rFonts w:ascii="Garamond" w:hAnsi="Garamond"/>
          <w:color w:val="000000"/>
        </w:rPr>
        <w:t xml:space="preserve">. </w:t>
      </w:r>
      <w:r w:rsidRPr="006124D6">
        <w:rPr>
          <w:rFonts w:ascii="Garamond" w:hAnsi="Garamond"/>
          <w:b/>
          <w:color w:val="000000"/>
        </w:rPr>
        <w:t>MAQP #2035-06</w:t>
      </w:r>
      <w:r>
        <w:rPr>
          <w:rFonts w:ascii="Garamond" w:hAnsi="Garamond"/>
          <w:color w:val="000000"/>
        </w:rPr>
        <w:t xml:space="preserve"> replaced</w:t>
      </w:r>
      <w:r w:rsidRPr="006124D6">
        <w:rPr>
          <w:rFonts w:ascii="Garamond" w:hAnsi="Garamond"/>
          <w:color w:val="000000"/>
        </w:rPr>
        <w:t xml:space="preserve"> MAQP #2035-05.</w:t>
      </w:r>
    </w:p>
    <w:p w14:paraId="4EEF25B6" w14:textId="4786A543" w:rsidR="00CF7188" w:rsidRDefault="00CF7188" w:rsidP="006124D6">
      <w:pPr>
        <w:widowControl/>
        <w:autoSpaceDE/>
        <w:autoSpaceDN/>
        <w:adjustRightInd/>
        <w:ind w:left="720"/>
        <w:rPr>
          <w:rFonts w:ascii="Garamond" w:hAnsi="Garamond"/>
          <w:color w:val="000000"/>
        </w:rPr>
      </w:pPr>
    </w:p>
    <w:p w14:paraId="137ED5A2" w14:textId="5084A28C" w:rsidR="00CF7188" w:rsidRDefault="00CF7188" w:rsidP="00CF7188">
      <w:pPr>
        <w:widowControl/>
        <w:autoSpaceDE/>
        <w:autoSpaceDN/>
        <w:adjustRightInd/>
        <w:ind w:left="720"/>
        <w:rPr>
          <w:rFonts w:ascii="Garamond" w:hAnsi="Garamond"/>
          <w:color w:val="000000"/>
        </w:rPr>
      </w:pPr>
      <w:r w:rsidRPr="00CF7188">
        <w:rPr>
          <w:rFonts w:ascii="Garamond" w:hAnsi="Garamond"/>
          <w:color w:val="000000"/>
        </w:rPr>
        <w:t xml:space="preserve">On June 20, 2019, </w:t>
      </w:r>
      <w:r w:rsidR="009C3F2D">
        <w:rPr>
          <w:rFonts w:ascii="Garamond" w:hAnsi="Garamond"/>
          <w:color w:val="000000"/>
        </w:rPr>
        <w:t>DEQ</w:t>
      </w:r>
      <w:r w:rsidRPr="00CF7188">
        <w:rPr>
          <w:rFonts w:ascii="Garamond" w:hAnsi="Garamond"/>
          <w:color w:val="000000"/>
        </w:rPr>
        <w:t xml:space="preserve"> received a complete application in accordance with the requirements of ARM 17.8.771(9) to address the Best Available Control Technology (BACT) requirement for mercury emissions. ARM 17.8.771(9) requires that no later than 10 years after issuance of a permit containing a mercury emission limit under ARM 17.8.771(1)(b)(i), and every 10 years thereafter, the affected facility must file an application to establish a revised mercury emission limit.</w:t>
      </w:r>
      <w:r w:rsidRPr="00CF7188">
        <w:t xml:space="preserve"> </w:t>
      </w:r>
      <w:r w:rsidR="009C3F2D">
        <w:t>DEQ</w:t>
      </w:r>
      <w:r w:rsidRPr="00CF7188">
        <w:rPr>
          <w:rFonts w:ascii="Garamond" w:hAnsi="Garamond"/>
          <w:color w:val="000000"/>
        </w:rPr>
        <w:t xml:space="preserve"> agree</w:t>
      </w:r>
      <w:r>
        <w:rPr>
          <w:rFonts w:ascii="Garamond" w:hAnsi="Garamond"/>
          <w:color w:val="000000"/>
        </w:rPr>
        <w:t>d</w:t>
      </w:r>
      <w:r w:rsidRPr="00CF7188">
        <w:rPr>
          <w:rFonts w:ascii="Garamond" w:hAnsi="Garamond"/>
          <w:color w:val="000000"/>
        </w:rPr>
        <w:t xml:space="preserve"> with CELP to retain the current emission limit of 0.9 pounds per trillion British thermal units (lb/TBtu) on a rolling 12-month average basis. </w:t>
      </w:r>
      <w:r w:rsidRPr="00CF7188">
        <w:rPr>
          <w:rFonts w:ascii="Garamond" w:hAnsi="Garamond"/>
          <w:b/>
          <w:bCs/>
          <w:color w:val="000000"/>
        </w:rPr>
        <w:t>MAQP #2035-07</w:t>
      </w:r>
      <w:r w:rsidRPr="00CF7188">
        <w:rPr>
          <w:rFonts w:ascii="Garamond" w:hAnsi="Garamond"/>
          <w:color w:val="000000"/>
        </w:rPr>
        <w:t xml:space="preserve"> replaced MAQP #2035-06</w:t>
      </w:r>
    </w:p>
    <w:p w14:paraId="50E4D1C5" w14:textId="755051B9" w:rsidR="005C40D4" w:rsidRDefault="005C40D4" w:rsidP="00CF7188">
      <w:pPr>
        <w:widowControl/>
        <w:autoSpaceDE/>
        <w:autoSpaceDN/>
        <w:adjustRightInd/>
        <w:ind w:left="720"/>
        <w:rPr>
          <w:rFonts w:ascii="Garamond" w:hAnsi="Garamond"/>
          <w:color w:val="000000"/>
        </w:rPr>
      </w:pPr>
    </w:p>
    <w:p w14:paraId="009F734F" w14:textId="29BE179E" w:rsidR="005C40D4" w:rsidRPr="005C40D4" w:rsidRDefault="005C40D4" w:rsidP="005C40D4">
      <w:pPr>
        <w:widowControl/>
        <w:autoSpaceDE/>
        <w:autoSpaceDN/>
        <w:adjustRightInd/>
        <w:ind w:left="720"/>
        <w:rPr>
          <w:rFonts w:ascii="Garamond" w:hAnsi="Garamond"/>
          <w:color w:val="000000"/>
        </w:rPr>
      </w:pPr>
      <w:bookmarkStart w:id="9" w:name="_Hlk104446802"/>
      <w:bookmarkStart w:id="10" w:name="_Hlk104891307"/>
      <w:r w:rsidRPr="005C40D4">
        <w:rPr>
          <w:rFonts w:ascii="Garamond" w:hAnsi="Garamond"/>
          <w:color w:val="000000"/>
        </w:rPr>
        <w:t>On May 17, 2022, DEQ received a de minimis notification from CELP</w:t>
      </w:r>
      <w:r w:rsidR="00D8745A">
        <w:rPr>
          <w:rFonts w:ascii="Garamond" w:hAnsi="Garamond"/>
          <w:color w:val="000000"/>
        </w:rPr>
        <w:t xml:space="preserve">. </w:t>
      </w:r>
      <w:r w:rsidRPr="005C40D4">
        <w:rPr>
          <w:rFonts w:ascii="Garamond" w:hAnsi="Garamond"/>
          <w:color w:val="000000"/>
        </w:rPr>
        <w:t xml:space="preserve">This notification provided for a request to add an outside limestone storage pile of approximately 5,000 tons. </w:t>
      </w:r>
    </w:p>
    <w:p w14:paraId="1B2FEA66" w14:textId="24A11D7E" w:rsidR="005C40D4" w:rsidRPr="005C40D4" w:rsidRDefault="005C40D4" w:rsidP="000655A0">
      <w:pPr>
        <w:widowControl/>
        <w:autoSpaceDE/>
        <w:autoSpaceDN/>
        <w:adjustRightInd/>
        <w:ind w:left="720"/>
        <w:rPr>
          <w:rFonts w:ascii="Garamond" w:hAnsi="Garamond"/>
          <w:color w:val="000000"/>
        </w:rPr>
      </w:pPr>
      <w:r w:rsidRPr="005C40D4">
        <w:rPr>
          <w:rFonts w:ascii="Garamond" w:hAnsi="Garamond"/>
          <w:color w:val="000000"/>
        </w:rPr>
        <w:t>As both MAQP #2035-07 and Title V Operating Permit (#OP2035-04) include baghouse requirements for limestone unloading, CELP requested that MAQP condition II.A.6 be clarified under an administrative amendment to identify the baghouse requirements are for internal limestone handling only. This administrative amendment provide clarification that the existing MAQP condition II.A.6 is for internal handling only and identifies the outside limestone storage pile</w:t>
      </w:r>
      <w:bookmarkEnd w:id="9"/>
      <w:r w:rsidRPr="005C40D4">
        <w:rPr>
          <w:rFonts w:ascii="Garamond" w:hAnsi="Garamond"/>
          <w:color w:val="000000"/>
        </w:rPr>
        <w:t xml:space="preserve">. </w:t>
      </w:r>
      <w:r w:rsidR="00861CD4" w:rsidRPr="00861CD4">
        <w:rPr>
          <w:rFonts w:ascii="Garamond" w:hAnsi="Garamond"/>
          <w:b/>
          <w:bCs/>
          <w:color w:val="000000"/>
        </w:rPr>
        <w:t>MAQP #2035-08</w:t>
      </w:r>
      <w:r w:rsidR="00861CD4">
        <w:rPr>
          <w:rFonts w:ascii="Garamond" w:hAnsi="Garamond"/>
          <w:color w:val="000000"/>
        </w:rPr>
        <w:t xml:space="preserve"> replaced MAQP #2035-07.</w:t>
      </w:r>
    </w:p>
    <w:bookmarkEnd w:id="10"/>
    <w:p w14:paraId="78BD0113" w14:textId="77777777" w:rsidR="0011127E" w:rsidRPr="00E5135F" w:rsidRDefault="0011127E" w:rsidP="006124D6">
      <w:pPr>
        <w:rPr>
          <w:rFonts w:ascii="Garamond" w:hAnsi="Garamond"/>
          <w:sz w:val="21"/>
          <w:szCs w:val="21"/>
        </w:rPr>
      </w:pPr>
    </w:p>
    <w:p w14:paraId="05DF3DFA" w14:textId="77777777" w:rsidR="0011127E" w:rsidRPr="006124D6" w:rsidRDefault="0011127E">
      <w:pPr>
        <w:ind w:left="720"/>
        <w:rPr>
          <w:rFonts w:ascii="Garamond" w:hAnsi="Garamond"/>
          <w:b/>
          <w:u w:val="single"/>
        </w:rPr>
      </w:pPr>
      <w:r w:rsidRPr="006124D6">
        <w:rPr>
          <w:rFonts w:ascii="Garamond" w:hAnsi="Garamond"/>
          <w:b/>
          <w:u w:val="single"/>
        </w:rPr>
        <w:t>Title V Operating Permit</w:t>
      </w:r>
    </w:p>
    <w:p w14:paraId="60594DE6" w14:textId="77777777" w:rsidR="0011127E" w:rsidRPr="00E5135F" w:rsidRDefault="0011127E">
      <w:pPr>
        <w:ind w:left="720"/>
        <w:rPr>
          <w:rFonts w:ascii="Garamond" w:hAnsi="Garamond"/>
          <w:sz w:val="21"/>
          <w:szCs w:val="21"/>
        </w:rPr>
      </w:pPr>
    </w:p>
    <w:p w14:paraId="5D0E6597" w14:textId="7EE8CC36" w:rsidR="0011127E" w:rsidRPr="006124D6" w:rsidRDefault="0011127E">
      <w:pPr>
        <w:ind w:left="720"/>
        <w:rPr>
          <w:rFonts w:ascii="Garamond" w:hAnsi="Garamond"/>
        </w:rPr>
      </w:pPr>
      <w:r w:rsidRPr="006124D6">
        <w:rPr>
          <w:rFonts w:ascii="Garamond" w:hAnsi="Garamond"/>
        </w:rPr>
        <w:t xml:space="preserve">On June 8, 1995, </w:t>
      </w:r>
      <w:r w:rsidR="009C3F2D">
        <w:rPr>
          <w:rFonts w:ascii="Garamond" w:hAnsi="Garamond"/>
        </w:rPr>
        <w:t>DEQ</w:t>
      </w:r>
      <w:r w:rsidRPr="006124D6">
        <w:rPr>
          <w:rFonts w:ascii="Garamond" w:hAnsi="Garamond"/>
        </w:rPr>
        <w:t xml:space="preserve"> received an application from CELP for an operating permit</w:t>
      </w:r>
      <w:r w:rsidR="00D8745A">
        <w:rPr>
          <w:rFonts w:ascii="Garamond" w:hAnsi="Garamond"/>
        </w:rPr>
        <w:t xml:space="preserve">. </w:t>
      </w:r>
      <w:r w:rsidRPr="006124D6">
        <w:rPr>
          <w:rFonts w:ascii="Garamond" w:hAnsi="Garamond"/>
        </w:rPr>
        <w:t xml:space="preserve">The permit application was assigned </w:t>
      </w:r>
      <w:r w:rsidR="00306D40" w:rsidRPr="006124D6">
        <w:rPr>
          <w:rFonts w:ascii="Garamond" w:hAnsi="Garamond"/>
        </w:rPr>
        <w:t xml:space="preserve">Operating </w:t>
      </w:r>
      <w:r w:rsidRPr="006124D6">
        <w:rPr>
          <w:rFonts w:ascii="Garamond" w:hAnsi="Garamond"/>
        </w:rPr>
        <w:t>Permit #OP2035-00</w:t>
      </w:r>
      <w:r w:rsidR="00D8745A">
        <w:rPr>
          <w:rFonts w:ascii="Garamond" w:hAnsi="Garamond"/>
        </w:rPr>
        <w:t xml:space="preserve">. </w:t>
      </w:r>
      <w:r w:rsidR="00306D40" w:rsidRPr="006124D6">
        <w:rPr>
          <w:rFonts w:ascii="Garamond" w:hAnsi="Garamond"/>
        </w:rPr>
        <w:t xml:space="preserve">Operating </w:t>
      </w:r>
      <w:r w:rsidRPr="006124D6">
        <w:rPr>
          <w:rFonts w:ascii="Garamond" w:hAnsi="Garamond"/>
        </w:rPr>
        <w:t>Permit #OP2035-00 became final and effective on August 1, 1999.</w:t>
      </w:r>
    </w:p>
    <w:p w14:paraId="0C5C476C" w14:textId="77777777" w:rsidR="006253C6" w:rsidRPr="00E5135F" w:rsidRDefault="006253C6">
      <w:pPr>
        <w:ind w:left="720"/>
        <w:rPr>
          <w:rFonts w:ascii="Garamond" w:hAnsi="Garamond"/>
          <w:sz w:val="21"/>
          <w:szCs w:val="21"/>
        </w:rPr>
      </w:pPr>
    </w:p>
    <w:p w14:paraId="4B2CAD7C" w14:textId="3E22D422" w:rsidR="00167BA8" w:rsidRPr="006124D6" w:rsidRDefault="006253C6">
      <w:pPr>
        <w:ind w:left="720"/>
        <w:rPr>
          <w:rFonts w:ascii="Garamond" w:hAnsi="Garamond"/>
        </w:rPr>
      </w:pPr>
      <w:r w:rsidRPr="006124D6">
        <w:rPr>
          <w:rFonts w:ascii="Garamond" w:hAnsi="Garamond"/>
        </w:rPr>
        <w:t xml:space="preserve">On January 30, 2004, </w:t>
      </w:r>
      <w:r w:rsidR="009C3F2D">
        <w:rPr>
          <w:rFonts w:ascii="Garamond" w:hAnsi="Garamond"/>
        </w:rPr>
        <w:t>DEQ</w:t>
      </w:r>
      <w:r w:rsidRPr="006124D6">
        <w:rPr>
          <w:rFonts w:ascii="Garamond" w:hAnsi="Garamond"/>
        </w:rPr>
        <w:t xml:space="preserve"> received an application for the renewal of Title V Permit #2035-00</w:t>
      </w:r>
      <w:r w:rsidR="00D8745A">
        <w:rPr>
          <w:rFonts w:ascii="Garamond" w:hAnsi="Garamond"/>
        </w:rPr>
        <w:t xml:space="preserve">. </w:t>
      </w:r>
      <w:r w:rsidRPr="006124D6">
        <w:rPr>
          <w:rFonts w:ascii="Garamond" w:hAnsi="Garamond"/>
        </w:rPr>
        <w:t>In addition, o</w:t>
      </w:r>
      <w:r w:rsidRPr="006124D6">
        <w:rPr>
          <w:rFonts w:ascii="Garamond" w:hAnsi="Garamond"/>
          <w:color w:val="000000"/>
        </w:rPr>
        <w:t xml:space="preserve">n April 15, 2008, </w:t>
      </w:r>
      <w:r w:rsidR="009C3F2D">
        <w:rPr>
          <w:rFonts w:ascii="Garamond" w:hAnsi="Garamond"/>
          <w:color w:val="000000"/>
        </w:rPr>
        <w:t>DEQ</w:t>
      </w:r>
      <w:r w:rsidRPr="006124D6">
        <w:rPr>
          <w:rFonts w:ascii="Garamond" w:hAnsi="Garamond"/>
          <w:color w:val="000000"/>
        </w:rPr>
        <w:t xml:space="preserve"> received a request to remove the ambient air quality monitoring requirements from Permit #OP2035-00</w:t>
      </w:r>
      <w:r w:rsidR="00D8745A">
        <w:rPr>
          <w:rFonts w:ascii="Garamond" w:hAnsi="Garamond"/>
          <w:color w:val="000000"/>
        </w:rPr>
        <w:t xml:space="preserve">. </w:t>
      </w:r>
      <w:r w:rsidR="00306D40" w:rsidRPr="006124D6">
        <w:rPr>
          <w:rFonts w:ascii="Garamond" w:hAnsi="Garamond"/>
          <w:b/>
          <w:color w:val="000000"/>
        </w:rPr>
        <w:t xml:space="preserve">Operating </w:t>
      </w:r>
      <w:r w:rsidRPr="006124D6">
        <w:rPr>
          <w:rFonts w:ascii="Garamond" w:hAnsi="Garamond"/>
          <w:b/>
        </w:rPr>
        <w:t>Permit #OP2035-01</w:t>
      </w:r>
      <w:r w:rsidRPr="006124D6">
        <w:rPr>
          <w:rFonts w:ascii="Garamond" w:hAnsi="Garamond"/>
        </w:rPr>
        <w:t xml:space="preserve"> replaced </w:t>
      </w:r>
      <w:r w:rsidR="00306D40" w:rsidRPr="006124D6">
        <w:rPr>
          <w:rFonts w:ascii="Garamond" w:hAnsi="Garamond"/>
        </w:rPr>
        <w:t xml:space="preserve">Operating </w:t>
      </w:r>
      <w:r w:rsidRPr="006124D6">
        <w:rPr>
          <w:rFonts w:ascii="Garamond" w:hAnsi="Garamond"/>
        </w:rPr>
        <w:t>Permit #OP2035-00.</w:t>
      </w:r>
    </w:p>
    <w:p w14:paraId="0C08512E" w14:textId="77777777" w:rsidR="00236537" w:rsidRPr="00E5135F" w:rsidRDefault="00236537" w:rsidP="006124D6">
      <w:pPr>
        <w:ind w:left="720"/>
        <w:rPr>
          <w:rFonts w:ascii="Garamond" w:hAnsi="Garamond"/>
          <w:sz w:val="21"/>
          <w:szCs w:val="21"/>
        </w:rPr>
      </w:pPr>
    </w:p>
    <w:p w14:paraId="361F111A" w14:textId="44703DD9" w:rsidR="00167BA8" w:rsidRDefault="00167BA8" w:rsidP="00167BA8">
      <w:pPr>
        <w:ind w:left="720"/>
        <w:rPr>
          <w:rFonts w:ascii="Garamond" w:hAnsi="Garamond"/>
        </w:rPr>
      </w:pPr>
      <w:r>
        <w:rPr>
          <w:rFonts w:ascii="Garamond" w:hAnsi="Garamond"/>
        </w:rPr>
        <w:t>On December 29, 2009</w:t>
      </w:r>
      <w:r w:rsidR="005A290F">
        <w:rPr>
          <w:rFonts w:ascii="Garamond" w:hAnsi="Garamond"/>
        </w:rPr>
        <w:t xml:space="preserve">, </w:t>
      </w:r>
      <w:r w:rsidR="009C3F2D">
        <w:rPr>
          <w:rFonts w:ascii="Garamond" w:hAnsi="Garamond"/>
        </w:rPr>
        <w:t>DEQ</w:t>
      </w:r>
      <w:r w:rsidR="005A290F">
        <w:rPr>
          <w:rFonts w:ascii="Garamond" w:hAnsi="Garamond"/>
        </w:rPr>
        <w:t xml:space="preserve"> issued a</w:t>
      </w:r>
      <w:r w:rsidRPr="00925547">
        <w:rPr>
          <w:rFonts w:ascii="Garamond" w:hAnsi="Garamond"/>
        </w:rPr>
        <w:t xml:space="preserve"> significant modification </w:t>
      </w:r>
      <w:r w:rsidR="005A290F">
        <w:rPr>
          <w:rFonts w:ascii="Garamond" w:hAnsi="Garamond"/>
        </w:rPr>
        <w:t>of</w:t>
      </w:r>
      <w:r w:rsidRPr="00925547">
        <w:rPr>
          <w:rFonts w:ascii="Garamond" w:hAnsi="Garamond"/>
        </w:rPr>
        <w:t xml:space="preserve"> CELP’s Title V Operating Permit to incorporate the mercury emission requirements</w:t>
      </w:r>
      <w:r w:rsidR="005A290F">
        <w:rPr>
          <w:rFonts w:ascii="Garamond" w:hAnsi="Garamond"/>
        </w:rPr>
        <w:t xml:space="preserve"> which were</w:t>
      </w:r>
      <w:r w:rsidRPr="00925547">
        <w:rPr>
          <w:rFonts w:ascii="Garamond" w:hAnsi="Garamond"/>
        </w:rPr>
        <w:t xml:space="preserve"> included in</w:t>
      </w:r>
      <w:r w:rsidR="005A290F">
        <w:rPr>
          <w:rFonts w:ascii="Garamond" w:hAnsi="Garamond"/>
        </w:rPr>
        <w:t>to</w:t>
      </w:r>
      <w:r w:rsidRPr="00925547">
        <w:rPr>
          <w:rFonts w:ascii="Garamond" w:hAnsi="Garamond"/>
        </w:rPr>
        <w:t xml:space="preserve"> MAQP #2035-05</w:t>
      </w:r>
      <w:r w:rsidR="00D8745A">
        <w:rPr>
          <w:rFonts w:ascii="Garamond" w:hAnsi="Garamond"/>
        </w:rPr>
        <w:t xml:space="preserve">. </w:t>
      </w:r>
      <w:r w:rsidRPr="00925547">
        <w:rPr>
          <w:rFonts w:ascii="Garamond" w:hAnsi="Garamond"/>
          <w:b/>
        </w:rPr>
        <w:t>Operating Permit #OP2035-02</w:t>
      </w:r>
      <w:r w:rsidRPr="00925547">
        <w:rPr>
          <w:rFonts w:ascii="Garamond" w:hAnsi="Garamond"/>
        </w:rPr>
        <w:t xml:space="preserve"> replace</w:t>
      </w:r>
      <w:r w:rsidR="005A290F">
        <w:rPr>
          <w:rFonts w:ascii="Garamond" w:hAnsi="Garamond"/>
        </w:rPr>
        <w:t>d</w:t>
      </w:r>
      <w:r w:rsidRPr="00925547">
        <w:rPr>
          <w:rFonts w:ascii="Garamond" w:hAnsi="Garamond"/>
        </w:rPr>
        <w:t xml:space="preserve"> Operating Permit #OP2035-01.</w:t>
      </w:r>
    </w:p>
    <w:p w14:paraId="5B8B5AC4" w14:textId="77777777" w:rsidR="00625E00" w:rsidRPr="00925547" w:rsidRDefault="00625E00" w:rsidP="00167BA8">
      <w:pPr>
        <w:ind w:left="720"/>
        <w:rPr>
          <w:rFonts w:ascii="Garamond" w:hAnsi="Garamond"/>
        </w:rPr>
      </w:pPr>
    </w:p>
    <w:p w14:paraId="064CAD96" w14:textId="50491F7A" w:rsidR="00625E00" w:rsidRDefault="00625E00" w:rsidP="00625E00">
      <w:pPr>
        <w:widowControl/>
        <w:autoSpaceDE/>
        <w:autoSpaceDN/>
        <w:adjustRightInd/>
        <w:ind w:left="720"/>
        <w:rPr>
          <w:rFonts w:ascii="Garamond" w:hAnsi="Garamond"/>
        </w:rPr>
      </w:pPr>
      <w:r>
        <w:rPr>
          <w:rFonts w:ascii="Garamond" w:hAnsi="Garamond"/>
        </w:rPr>
        <w:t>This permit action was a renewal of CELP</w:t>
      </w:r>
      <w:r w:rsidRPr="006124D6">
        <w:rPr>
          <w:rFonts w:ascii="Garamond" w:hAnsi="Garamond"/>
        </w:rPr>
        <w:t xml:space="preserve">’s Title V Operating Permit, for which </w:t>
      </w:r>
      <w:r w:rsidR="009C3F2D">
        <w:rPr>
          <w:rFonts w:ascii="Garamond" w:hAnsi="Garamond"/>
        </w:rPr>
        <w:t>DEQ</w:t>
      </w:r>
      <w:r w:rsidRPr="006124D6">
        <w:rPr>
          <w:rFonts w:ascii="Garamond" w:hAnsi="Garamond"/>
        </w:rPr>
        <w:t xml:space="preserve"> received an administratively complete application for renewal o</w:t>
      </w:r>
      <w:r>
        <w:rPr>
          <w:rFonts w:ascii="Garamond" w:hAnsi="Garamond"/>
        </w:rPr>
        <w:t>n July 23, 2013</w:t>
      </w:r>
      <w:r w:rsidR="00D8745A">
        <w:rPr>
          <w:rFonts w:ascii="Garamond" w:hAnsi="Garamond"/>
        </w:rPr>
        <w:t xml:space="preserve">. </w:t>
      </w:r>
      <w:r>
        <w:rPr>
          <w:rFonts w:ascii="Garamond" w:hAnsi="Garamond"/>
        </w:rPr>
        <w:t xml:space="preserve">In addition, </w:t>
      </w:r>
      <w:r>
        <w:rPr>
          <w:rFonts w:ascii="Garamond" w:hAnsi="Garamond"/>
        </w:rPr>
        <w:lastRenderedPageBreak/>
        <w:t>the renewal incorporate</w:t>
      </w:r>
      <w:r w:rsidR="00E13160">
        <w:rPr>
          <w:rFonts w:ascii="Garamond" w:hAnsi="Garamond"/>
        </w:rPr>
        <w:t>d</w:t>
      </w:r>
      <w:r>
        <w:rPr>
          <w:rFonts w:ascii="Garamond" w:hAnsi="Garamond"/>
        </w:rPr>
        <w:t xml:space="preserve"> conditions for multiple NSPS or MACT affected emission units which were previously considered insignificant.</w:t>
      </w:r>
      <w:r w:rsidRPr="006124D6">
        <w:rPr>
          <w:rFonts w:ascii="Garamond" w:hAnsi="Garamond"/>
        </w:rPr>
        <w:t xml:space="preserve"> </w:t>
      </w:r>
      <w:r w:rsidRPr="006124D6">
        <w:rPr>
          <w:rFonts w:ascii="Garamond" w:hAnsi="Garamond"/>
          <w:b/>
        </w:rPr>
        <w:t>Operating</w:t>
      </w:r>
      <w:r w:rsidRPr="006124D6">
        <w:rPr>
          <w:rFonts w:ascii="Garamond" w:hAnsi="Garamond"/>
        </w:rPr>
        <w:t xml:space="preserve"> </w:t>
      </w:r>
      <w:r>
        <w:rPr>
          <w:rFonts w:ascii="Garamond" w:hAnsi="Garamond"/>
          <w:b/>
        </w:rPr>
        <w:t>Permit #OP2035-03</w:t>
      </w:r>
      <w:r w:rsidRPr="006124D6">
        <w:rPr>
          <w:rFonts w:ascii="Garamond" w:hAnsi="Garamond"/>
        </w:rPr>
        <w:t xml:space="preserve"> replace</w:t>
      </w:r>
      <w:r w:rsidR="00393BC1">
        <w:rPr>
          <w:rFonts w:ascii="Garamond" w:hAnsi="Garamond"/>
        </w:rPr>
        <w:t>d</w:t>
      </w:r>
      <w:r w:rsidRPr="006124D6">
        <w:rPr>
          <w:rFonts w:ascii="Garamond" w:hAnsi="Garamond"/>
        </w:rPr>
        <w:t xml:space="preserve"> Operating </w:t>
      </w:r>
      <w:r>
        <w:rPr>
          <w:rFonts w:ascii="Garamond" w:hAnsi="Garamond"/>
        </w:rPr>
        <w:t>Permit #OP2035-02</w:t>
      </w:r>
      <w:r w:rsidRPr="006124D6">
        <w:rPr>
          <w:rFonts w:ascii="Garamond" w:hAnsi="Garamond"/>
        </w:rPr>
        <w:t>.</w:t>
      </w:r>
    </w:p>
    <w:p w14:paraId="119F5EBA" w14:textId="77777777" w:rsidR="000655A0" w:rsidRDefault="000655A0" w:rsidP="00625E00">
      <w:pPr>
        <w:widowControl/>
        <w:autoSpaceDE/>
        <w:autoSpaceDN/>
        <w:adjustRightInd/>
        <w:ind w:left="720"/>
        <w:rPr>
          <w:rFonts w:ascii="Garamond" w:hAnsi="Garamond"/>
        </w:rPr>
      </w:pPr>
    </w:p>
    <w:p w14:paraId="2CC38DD4" w14:textId="3DAEA58E" w:rsidR="00491812" w:rsidRDefault="00036D98" w:rsidP="00625E00">
      <w:pPr>
        <w:widowControl/>
        <w:autoSpaceDE/>
        <w:autoSpaceDN/>
        <w:adjustRightInd/>
        <w:ind w:left="720"/>
        <w:rPr>
          <w:rFonts w:ascii="Garamond" w:hAnsi="Garamond"/>
        </w:rPr>
      </w:pPr>
      <w:r>
        <w:rPr>
          <w:rFonts w:ascii="Garamond" w:hAnsi="Garamond"/>
        </w:rPr>
        <w:t xml:space="preserve">On June 20, 2019, </w:t>
      </w:r>
      <w:r w:rsidR="009C3F2D">
        <w:rPr>
          <w:rFonts w:ascii="Garamond" w:hAnsi="Garamond"/>
        </w:rPr>
        <w:t>DEQ</w:t>
      </w:r>
      <w:r>
        <w:rPr>
          <w:rFonts w:ascii="Garamond" w:hAnsi="Garamond"/>
        </w:rPr>
        <w:t xml:space="preserve"> received a request for CELP’s Title V renewal.</w:t>
      </w:r>
      <w:r w:rsidR="000655A0">
        <w:rPr>
          <w:rFonts w:ascii="Garamond" w:hAnsi="Garamond"/>
        </w:rPr>
        <w:t xml:space="preserve"> In addition, the renewal incorporate</w:t>
      </w:r>
      <w:r>
        <w:rPr>
          <w:rFonts w:ascii="Garamond" w:hAnsi="Garamond"/>
        </w:rPr>
        <w:t>d</w:t>
      </w:r>
      <w:r w:rsidR="000655A0">
        <w:rPr>
          <w:rFonts w:ascii="Garamond" w:hAnsi="Garamond"/>
        </w:rPr>
        <w:t xml:space="preserve"> some changes for coal piles which were approved to be incorporated into MAQP #2035-07</w:t>
      </w:r>
      <w:r w:rsidR="00D8745A">
        <w:rPr>
          <w:rFonts w:ascii="Garamond" w:hAnsi="Garamond"/>
        </w:rPr>
        <w:t xml:space="preserve">. </w:t>
      </w:r>
      <w:r w:rsidR="000655A0" w:rsidRPr="006124D6">
        <w:rPr>
          <w:rFonts w:ascii="Garamond" w:hAnsi="Garamond"/>
          <w:b/>
        </w:rPr>
        <w:t>Operating</w:t>
      </w:r>
      <w:r w:rsidR="000655A0" w:rsidRPr="006124D6">
        <w:rPr>
          <w:rFonts w:ascii="Garamond" w:hAnsi="Garamond"/>
        </w:rPr>
        <w:t xml:space="preserve"> </w:t>
      </w:r>
      <w:r w:rsidR="000655A0">
        <w:rPr>
          <w:rFonts w:ascii="Garamond" w:hAnsi="Garamond"/>
          <w:b/>
        </w:rPr>
        <w:t>Permit #OP2035-04</w:t>
      </w:r>
      <w:r w:rsidR="000655A0" w:rsidRPr="006124D6">
        <w:rPr>
          <w:rFonts w:ascii="Garamond" w:hAnsi="Garamond"/>
        </w:rPr>
        <w:t xml:space="preserve"> replace</w:t>
      </w:r>
      <w:r>
        <w:rPr>
          <w:rFonts w:ascii="Garamond" w:hAnsi="Garamond"/>
        </w:rPr>
        <w:t>d</w:t>
      </w:r>
      <w:r w:rsidR="000655A0" w:rsidRPr="006124D6">
        <w:rPr>
          <w:rFonts w:ascii="Garamond" w:hAnsi="Garamond"/>
        </w:rPr>
        <w:t xml:space="preserve"> Operating </w:t>
      </w:r>
      <w:r w:rsidR="000655A0">
        <w:rPr>
          <w:rFonts w:ascii="Garamond" w:hAnsi="Garamond"/>
        </w:rPr>
        <w:t>Permit #OP2035-03</w:t>
      </w:r>
    </w:p>
    <w:p w14:paraId="33E7A1FF" w14:textId="77777777" w:rsidR="00C1603D" w:rsidRDefault="00C1603D" w:rsidP="00625E00">
      <w:pPr>
        <w:widowControl/>
        <w:autoSpaceDE/>
        <w:autoSpaceDN/>
        <w:adjustRightInd/>
        <w:ind w:left="720"/>
        <w:rPr>
          <w:rFonts w:ascii="Garamond" w:hAnsi="Garamond"/>
        </w:rPr>
      </w:pPr>
    </w:p>
    <w:p w14:paraId="00E09B4C" w14:textId="77777777" w:rsidR="00C1603D" w:rsidRPr="000655A0" w:rsidRDefault="00C1603D" w:rsidP="00C1603D">
      <w:pPr>
        <w:widowControl/>
        <w:autoSpaceDE/>
        <w:autoSpaceDN/>
        <w:adjustRightInd/>
        <w:ind w:left="720"/>
        <w:rPr>
          <w:rFonts w:ascii="Garamond" w:hAnsi="Garamond"/>
        </w:rPr>
      </w:pPr>
      <w:r w:rsidRPr="000655A0">
        <w:rPr>
          <w:rFonts w:ascii="Garamond" w:hAnsi="Garamond"/>
        </w:rPr>
        <w:t>On May 17, 2022, DEQ received a de minimis notification from CELP</w:t>
      </w:r>
      <w:r>
        <w:rPr>
          <w:rFonts w:ascii="Garamond" w:hAnsi="Garamond"/>
        </w:rPr>
        <w:t xml:space="preserve">. </w:t>
      </w:r>
      <w:r w:rsidRPr="000655A0">
        <w:rPr>
          <w:rFonts w:ascii="Garamond" w:hAnsi="Garamond"/>
        </w:rPr>
        <w:t xml:space="preserve">This notification provided for a request to add an outside limestone storage pile of approximately 5,000 tons. </w:t>
      </w:r>
    </w:p>
    <w:p w14:paraId="6FBB5609" w14:textId="43B2682F" w:rsidR="00C1603D" w:rsidRPr="006124D6" w:rsidRDefault="00C1603D" w:rsidP="00C1603D">
      <w:pPr>
        <w:widowControl/>
        <w:autoSpaceDE/>
        <w:autoSpaceDN/>
        <w:adjustRightInd/>
        <w:ind w:left="720"/>
        <w:rPr>
          <w:rFonts w:ascii="Garamond" w:hAnsi="Garamond"/>
        </w:rPr>
      </w:pPr>
      <w:r w:rsidRPr="000655A0">
        <w:rPr>
          <w:rFonts w:ascii="Garamond" w:hAnsi="Garamond"/>
        </w:rPr>
        <w:t>As both MAQP #2035-07 and Title V Operating Permit (#OP2035-04) include baghouse requirements for limestone unloading, CELP requested that condition II.</w:t>
      </w:r>
      <w:r>
        <w:rPr>
          <w:rFonts w:ascii="Garamond" w:hAnsi="Garamond"/>
        </w:rPr>
        <w:t>D.2</w:t>
      </w:r>
      <w:r w:rsidRPr="000655A0">
        <w:rPr>
          <w:rFonts w:ascii="Garamond" w:hAnsi="Garamond"/>
        </w:rPr>
        <w:t xml:space="preserve"> </w:t>
      </w:r>
      <w:r>
        <w:rPr>
          <w:rFonts w:ascii="Garamond" w:hAnsi="Garamond"/>
        </w:rPr>
        <w:t>in</w:t>
      </w:r>
      <w:r w:rsidRPr="000655A0">
        <w:rPr>
          <w:rFonts w:ascii="Garamond" w:hAnsi="Garamond"/>
        </w:rPr>
        <w:t xml:space="preserve"> #OP2035-</w:t>
      </w:r>
      <w:r>
        <w:rPr>
          <w:rFonts w:ascii="Garamond" w:hAnsi="Garamond"/>
        </w:rPr>
        <w:t>04</w:t>
      </w:r>
      <w:r w:rsidRPr="000655A0">
        <w:rPr>
          <w:rFonts w:ascii="Garamond" w:hAnsi="Garamond"/>
        </w:rPr>
        <w:t>be clarified under an administrative amendment to identify the baghouse requirements are for internal limestone handling only. This administrative amendment provide clarification that the existing condition II.</w:t>
      </w:r>
      <w:r>
        <w:rPr>
          <w:rFonts w:ascii="Garamond" w:hAnsi="Garamond"/>
        </w:rPr>
        <w:t>D.2</w:t>
      </w:r>
      <w:r w:rsidRPr="000655A0">
        <w:rPr>
          <w:rFonts w:ascii="Garamond" w:hAnsi="Garamond"/>
        </w:rPr>
        <w:t xml:space="preserve"> is for internal handling only and identifies the outside limestone storage pile.</w:t>
      </w:r>
      <w:r>
        <w:rPr>
          <w:rFonts w:ascii="Garamond" w:hAnsi="Garamond"/>
        </w:rPr>
        <w:t xml:space="preserve"> </w:t>
      </w:r>
      <w:r w:rsidRPr="006124D6">
        <w:rPr>
          <w:rFonts w:ascii="Garamond" w:hAnsi="Garamond"/>
          <w:b/>
        </w:rPr>
        <w:t>Operating</w:t>
      </w:r>
      <w:r w:rsidRPr="006124D6">
        <w:rPr>
          <w:rFonts w:ascii="Garamond" w:hAnsi="Garamond"/>
        </w:rPr>
        <w:t xml:space="preserve"> </w:t>
      </w:r>
      <w:r>
        <w:rPr>
          <w:rFonts w:ascii="Garamond" w:hAnsi="Garamond"/>
          <w:b/>
        </w:rPr>
        <w:t>Permit #OP2035-05</w:t>
      </w:r>
      <w:r w:rsidRPr="006124D6">
        <w:rPr>
          <w:rFonts w:ascii="Garamond" w:hAnsi="Garamond"/>
        </w:rPr>
        <w:t xml:space="preserve"> replaces Operating </w:t>
      </w:r>
      <w:r>
        <w:rPr>
          <w:rFonts w:ascii="Garamond" w:hAnsi="Garamond"/>
        </w:rPr>
        <w:t>Permit #OP2035-04</w:t>
      </w:r>
      <w:r w:rsidRPr="006124D6">
        <w:rPr>
          <w:rFonts w:ascii="Garamond" w:hAnsi="Garamond"/>
        </w:rPr>
        <w:t>.</w:t>
      </w:r>
    </w:p>
    <w:p w14:paraId="60DFDF8B" w14:textId="77777777" w:rsidR="002F398B" w:rsidRPr="00E5135F" w:rsidRDefault="002F398B">
      <w:pPr>
        <w:rPr>
          <w:rFonts w:ascii="Garamond" w:hAnsi="Garamond"/>
          <w:sz w:val="21"/>
          <w:szCs w:val="21"/>
        </w:rPr>
      </w:pPr>
    </w:p>
    <w:p w14:paraId="078FD42E" w14:textId="77777777" w:rsidR="0011127E" w:rsidRPr="006124D6" w:rsidRDefault="0011127E">
      <w:pPr>
        <w:pStyle w:val="Heading2"/>
        <w:rPr>
          <w:rFonts w:ascii="Garamond" w:hAnsi="Garamond"/>
          <w:sz w:val="24"/>
          <w:szCs w:val="24"/>
        </w:rPr>
      </w:pPr>
      <w:bookmarkStart w:id="11" w:name="_Toc163359610"/>
      <w:bookmarkStart w:id="12" w:name="_Toc104892062"/>
      <w:r w:rsidRPr="006124D6">
        <w:rPr>
          <w:rFonts w:ascii="Garamond" w:hAnsi="Garamond"/>
          <w:sz w:val="24"/>
          <w:szCs w:val="24"/>
        </w:rPr>
        <w:t>D.</w:t>
      </w:r>
      <w:r w:rsidRPr="006124D6">
        <w:rPr>
          <w:rFonts w:ascii="Garamond" w:hAnsi="Garamond"/>
          <w:sz w:val="24"/>
          <w:szCs w:val="24"/>
        </w:rPr>
        <w:tab/>
        <w:t>Current Permit Action</w:t>
      </w:r>
      <w:bookmarkEnd w:id="11"/>
      <w:bookmarkEnd w:id="12"/>
    </w:p>
    <w:p w14:paraId="33CBA5C7" w14:textId="77777777" w:rsidR="0011127E" w:rsidRPr="00E5135F" w:rsidRDefault="0011127E">
      <w:pPr>
        <w:jc w:val="center"/>
        <w:rPr>
          <w:rFonts w:ascii="Garamond" w:hAnsi="Garamond"/>
          <w:sz w:val="21"/>
          <w:szCs w:val="21"/>
        </w:rPr>
      </w:pPr>
    </w:p>
    <w:p w14:paraId="27E92A91" w14:textId="030D4F0E" w:rsidR="00C1603D" w:rsidRDefault="00C1603D" w:rsidP="00C1603D">
      <w:pPr>
        <w:widowControl/>
        <w:autoSpaceDE/>
        <w:autoSpaceDN/>
        <w:adjustRightInd/>
        <w:ind w:left="720"/>
        <w:rPr>
          <w:rFonts w:ascii="Garamond" w:hAnsi="Garamond"/>
        </w:rPr>
      </w:pPr>
      <w:bookmarkStart w:id="13" w:name="_Toc23569538"/>
      <w:bookmarkStart w:id="14" w:name="_Toc163359611"/>
      <w:r>
        <w:rPr>
          <w:rFonts w:ascii="Garamond" w:hAnsi="Garamond"/>
        </w:rPr>
        <w:t xml:space="preserve">On April 21, 2025, DEQ received </w:t>
      </w:r>
      <w:r w:rsidR="002C7AA1">
        <w:rPr>
          <w:rFonts w:ascii="Garamond" w:hAnsi="Garamond"/>
        </w:rPr>
        <w:t>an application</w:t>
      </w:r>
      <w:r>
        <w:rPr>
          <w:rFonts w:ascii="Garamond" w:hAnsi="Garamond"/>
        </w:rPr>
        <w:t xml:space="preserve"> for </w:t>
      </w:r>
      <w:r w:rsidR="002C7AA1">
        <w:rPr>
          <w:rFonts w:ascii="Garamond" w:hAnsi="Garamond"/>
        </w:rPr>
        <w:t xml:space="preserve">renewal of </w:t>
      </w:r>
      <w:r>
        <w:rPr>
          <w:rFonts w:ascii="Garamond" w:hAnsi="Garamond"/>
        </w:rPr>
        <w:t xml:space="preserve">CELP’s Title V </w:t>
      </w:r>
      <w:r w:rsidR="002C7AA1">
        <w:rPr>
          <w:rFonts w:ascii="Garamond" w:hAnsi="Garamond"/>
        </w:rPr>
        <w:t>operating permit</w:t>
      </w:r>
      <w:r w:rsidRPr="0056403B">
        <w:rPr>
          <w:rFonts w:ascii="Garamond" w:hAnsi="Garamond"/>
        </w:rPr>
        <w:t xml:space="preserve">. In addition, </w:t>
      </w:r>
      <w:r w:rsidR="00CE5EED" w:rsidRPr="0056403B">
        <w:rPr>
          <w:rFonts w:ascii="Garamond" w:hAnsi="Garamond"/>
        </w:rPr>
        <w:t xml:space="preserve">DEQ updated language in the permit </w:t>
      </w:r>
      <w:r w:rsidR="0056403B" w:rsidRPr="0056403B">
        <w:rPr>
          <w:rFonts w:ascii="Garamond" w:hAnsi="Garamond"/>
        </w:rPr>
        <w:t xml:space="preserve">consistent with current </w:t>
      </w:r>
      <w:r w:rsidR="0056403B">
        <w:rPr>
          <w:rFonts w:ascii="Garamond" w:hAnsi="Garamond"/>
        </w:rPr>
        <w:t xml:space="preserve">internal </w:t>
      </w:r>
      <w:r w:rsidR="0056403B" w:rsidRPr="0056403B">
        <w:rPr>
          <w:rFonts w:ascii="Garamond" w:hAnsi="Garamond"/>
        </w:rPr>
        <w:t>processes.</w:t>
      </w:r>
      <w:r>
        <w:rPr>
          <w:rFonts w:ascii="Garamond" w:hAnsi="Garamond"/>
        </w:rPr>
        <w:t xml:space="preserve"> </w:t>
      </w:r>
      <w:r w:rsidRPr="006124D6">
        <w:rPr>
          <w:rFonts w:ascii="Garamond" w:hAnsi="Garamond"/>
          <w:b/>
        </w:rPr>
        <w:t>Operating</w:t>
      </w:r>
      <w:r w:rsidRPr="006124D6">
        <w:rPr>
          <w:rFonts w:ascii="Garamond" w:hAnsi="Garamond"/>
        </w:rPr>
        <w:t xml:space="preserve"> </w:t>
      </w:r>
      <w:r>
        <w:rPr>
          <w:rFonts w:ascii="Garamond" w:hAnsi="Garamond"/>
          <w:b/>
        </w:rPr>
        <w:t>Permit #OP2035-0</w:t>
      </w:r>
      <w:r w:rsidR="00D16BBC">
        <w:rPr>
          <w:rFonts w:ascii="Garamond" w:hAnsi="Garamond"/>
          <w:b/>
        </w:rPr>
        <w:t>6</w:t>
      </w:r>
      <w:r w:rsidRPr="006124D6">
        <w:rPr>
          <w:rFonts w:ascii="Garamond" w:hAnsi="Garamond"/>
        </w:rPr>
        <w:t xml:space="preserve"> replace</w:t>
      </w:r>
      <w:r>
        <w:rPr>
          <w:rFonts w:ascii="Garamond" w:hAnsi="Garamond"/>
        </w:rPr>
        <w:t>d</w:t>
      </w:r>
      <w:r w:rsidRPr="006124D6">
        <w:rPr>
          <w:rFonts w:ascii="Garamond" w:hAnsi="Garamond"/>
        </w:rPr>
        <w:t xml:space="preserve"> Operating </w:t>
      </w:r>
      <w:r>
        <w:rPr>
          <w:rFonts w:ascii="Garamond" w:hAnsi="Garamond"/>
        </w:rPr>
        <w:t>Permit #OP2035-0</w:t>
      </w:r>
      <w:r w:rsidR="00FD3992">
        <w:rPr>
          <w:rFonts w:ascii="Garamond" w:hAnsi="Garamond"/>
        </w:rPr>
        <w:t>5</w:t>
      </w:r>
      <w:r w:rsidR="002C7AA1">
        <w:rPr>
          <w:rFonts w:ascii="Garamond" w:hAnsi="Garamond"/>
        </w:rPr>
        <w:t>.</w:t>
      </w:r>
    </w:p>
    <w:p w14:paraId="5ED80B58" w14:textId="4AB1F3F7" w:rsidR="00491812" w:rsidRDefault="00491812" w:rsidP="000655A0">
      <w:pPr>
        <w:widowControl/>
        <w:autoSpaceDE/>
        <w:autoSpaceDN/>
        <w:adjustRightInd/>
        <w:ind w:left="720"/>
        <w:rPr>
          <w:rFonts w:ascii="Garamond" w:hAnsi="Garamond"/>
        </w:rPr>
      </w:pPr>
    </w:p>
    <w:p w14:paraId="0CE4E27F" w14:textId="7BC8BBC2" w:rsidR="0011127E" w:rsidRPr="006124D6" w:rsidRDefault="00491812" w:rsidP="00491812">
      <w:pPr>
        <w:pStyle w:val="Heading2"/>
        <w:rPr>
          <w:rFonts w:ascii="Garamond" w:hAnsi="Garamond"/>
          <w:sz w:val="24"/>
          <w:szCs w:val="24"/>
        </w:rPr>
      </w:pPr>
      <w:r w:rsidRPr="006124D6">
        <w:rPr>
          <w:rFonts w:ascii="Garamond" w:hAnsi="Garamond"/>
        </w:rPr>
        <w:t xml:space="preserve"> </w:t>
      </w:r>
      <w:bookmarkStart w:id="15" w:name="_Toc104892063"/>
      <w:r w:rsidR="0011127E" w:rsidRPr="006124D6">
        <w:rPr>
          <w:rFonts w:ascii="Garamond" w:hAnsi="Garamond"/>
          <w:sz w:val="24"/>
          <w:szCs w:val="24"/>
        </w:rPr>
        <w:t>E.</w:t>
      </w:r>
      <w:r w:rsidR="0011127E" w:rsidRPr="006124D6">
        <w:rPr>
          <w:rFonts w:ascii="Garamond" w:hAnsi="Garamond"/>
          <w:sz w:val="24"/>
          <w:szCs w:val="24"/>
        </w:rPr>
        <w:tab/>
        <w:t>Taking and Damaging Analysis</w:t>
      </w:r>
      <w:bookmarkEnd w:id="13"/>
      <w:bookmarkEnd w:id="14"/>
      <w:bookmarkEnd w:id="15"/>
      <w:r w:rsidR="0011127E" w:rsidRPr="006124D6">
        <w:rPr>
          <w:rFonts w:ascii="Garamond" w:hAnsi="Garamond"/>
          <w:sz w:val="24"/>
          <w:szCs w:val="24"/>
        </w:rPr>
        <w:t xml:space="preserve"> </w:t>
      </w:r>
    </w:p>
    <w:p w14:paraId="43D1D11E" w14:textId="77777777" w:rsidR="0011127E" w:rsidRPr="00E5135F" w:rsidRDefault="0011127E">
      <w:pPr>
        <w:rPr>
          <w:rFonts w:ascii="Garamond" w:hAnsi="Garamond"/>
          <w:sz w:val="21"/>
          <w:szCs w:val="21"/>
        </w:rPr>
      </w:pPr>
    </w:p>
    <w:p w14:paraId="63504177" w14:textId="3388544D" w:rsidR="006253C6" w:rsidRPr="006124D6" w:rsidRDefault="006253C6" w:rsidP="006253C6">
      <w:pPr>
        <w:pStyle w:val="BodyTextIndent"/>
        <w:rPr>
          <w:rFonts w:ascii="Garamond" w:hAnsi="Garamond"/>
          <w:sz w:val="24"/>
          <w:szCs w:val="24"/>
        </w:rPr>
      </w:pPr>
      <w:r w:rsidRPr="006124D6">
        <w:rPr>
          <w:rFonts w:ascii="Garamond" w:hAnsi="Garamond"/>
          <w:sz w:val="24"/>
          <w:szCs w:val="24"/>
        </w:rPr>
        <w:t>House Bill (HB) 311, the Montana Private Property Assessment Act, requires analysis of every proposed state agency’s administrative rule, policy, permit condition or permit denial, pertaining to an environmental matter, to determine whether the state action constitutes a taking or damaging of private real property that requires compensation under the Montana or U.S. Constitution</w:t>
      </w:r>
      <w:r w:rsidR="00D8745A">
        <w:rPr>
          <w:rFonts w:ascii="Garamond" w:hAnsi="Garamond"/>
          <w:sz w:val="24"/>
          <w:szCs w:val="24"/>
        </w:rPr>
        <w:t xml:space="preserve">. </w:t>
      </w:r>
      <w:r w:rsidRPr="006124D6">
        <w:rPr>
          <w:rFonts w:ascii="Garamond" w:hAnsi="Garamond"/>
          <w:sz w:val="24"/>
          <w:szCs w:val="24"/>
        </w:rPr>
        <w:t xml:space="preserve">As part of issuing an operating permit, </w:t>
      </w:r>
      <w:r w:rsidR="009C3F2D">
        <w:rPr>
          <w:rFonts w:ascii="Garamond" w:hAnsi="Garamond"/>
          <w:sz w:val="24"/>
          <w:szCs w:val="24"/>
        </w:rPr>
        <w:t>DEQ</w:t>
      </w:r>
      <w:r w:rsidRPr="006124D6">
        <w:rPr>
          <w:rFonts w:ascii="Garamond" w:hAnsi="Garamond"/>
          <w:sz w:val="24"/>
          <w:szCs w:val="24"/>
        </w:rPr>
        <w:t xml:space="preserve"> is required to complete a Taking and Damaging Checklist</w:t>
      </w:r>
      <w:r w:rsidR="00D8745A">
        <w:rPr>
          <w:rFonts w:ascii="Garamond" w:hAnsi="Garamond"/>
          <w:sz w:val="24"/>
          <w:szCs w:val="24"/>
        </w:rPr>
        <w:t xml:space="preserve">. </w:t>
      </w:r>
      <w:r w:rsidRPr="006124D6">
        <w:rPr>
          <w:rFonts w:ascii="Garamond" w:hAnsi="Garamond"/>
          <w:sz w:val="24"/>
          <w:szCs w:val="24"/>
        </w:rPr>
        <w:t xml:space="preserve">As required by 2-10-101 through 2-10-105, Montana Code Annotated (MCA), </w:t>
      </w:r>
      <w:r w:rsidR="009C3F2D">
        <w:rPr>
          <w:rFonts w:ascii="Garamond" w:hAnsi="Garamond"/>
          <w:sz w:val="24"/>
          <w:szCs w:val="24"/>
        </w:rPr>
        <w:t>DEQ</w:t>
      </w:r>
      <w:r w:rsidRPr="006124D6">
        <w:rPr>
          <w:rFonts w:ascii="Garamond" w:hAnsi="Garamond"/>
          <w:sz w:val="24"/>
          <w:szCs w:val="24"/>
        </w:rPr>
        <w:t xml:space="preserve"> conducted the following private property taking and damaging assessment.</w:t>
      </w:r>
    </w:p>
    <w:p w14:paraId="18EC5CB5" w14:textId="77777777" w:rsidR="00584E26" w:rsidRPr="006124D6" w:rsidRDefault="00584E26" w:rsidP="006253C6">
      <w:pPr>
        <w:ind w:left="360"/>
        <w:rPr>
          <w:rFonts w:ascii="Garamond" w:hAnsi="Garamond"/>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0"/>
        <w:gridCol w:w="7897"/>
      </w:tblGrid>
      <w:tr w:rsidR="006253C6" w:rsidRPr="0000543F" w14:paraId="06946B50" w14:textId="77777777" w:rsidTr="00F700D4">
        <w:trPr>
          <w:cantSplit/>
          <w:tblHeader/>
        </w:trPr>
        <w:tc>
          <w:tcPr>
            <w:tcW w:w="738" w:type="dxa"/>
            <w:tcBorders>
              <w:bottom w:val="nil"/>
            </w:tcBorders>
            <w:shd w:val="clear" w:color="auto" w:fill="FFFFFF"/>
          </w:tcPr>
          <w:p w14:paraId="3EAD4380" w14:textId="77777777" w:rsidR="006253C6" w:rsidRPr="006124D6" w:rsidRDefault="006253C6" w:rsidP="00534A88">
            <w:pPr>
              <w:rPr>
                <w:rFonts w:ascii="Garamond" w:hAnsi="Garamond"/>
                <w:b/>
                <w:sz w:val="22"/>
                <w:szCs w:val="22"/>
              </w:rPr>
            </w:pPr>
            <w:r w:rsidRPr="006124D6">
              <w:rPr>
                <w:rFonts w:ascii="Garamond" w:hAnsi="Garamond"/>
                <w:b/>
                <w:sz w:val="22"/>
                <w:szCs w:val="22"/>
              </w:rPr>
              <w:t>YES</w:t>
            </w:r>
          </w:p>
        </w:tc>
        <w:tc>
          <w:tcPr>
            <w:tcW w:w="720" w:type="dxa"/>
            <w:shd w:val="clear" w:color="auto" w:fill="CCCCCC"/>
          </w:tcPr>
          <w:p w14:paraId="180364BD" w14:textId="77777777" w:rsidR="006253C6" w:rsidRPr="006124D6" w:rsidRDefault="006253C6" w:rsidP="00534A88">
            <w:pPr>
              <w:rPr>
                <w:rFonts w:ascii="Garamond" w:hAnsi="Garamond"/>
                <w:b/>
                <w:sz w:val="22"/>
                <w:szCs w:val="22"/>
              </w:rPr>
            </w:pPr>
            <w:r w:rsidRPr="006124D6">
              <w:rPr>
                <w:rFonts w:ascii="Garamond" w:hAnsi="Garamond"/>
                <w:b/>
                <w:sz w:val="22"/>
                <w:szCs w:val="22"/>
              </w:rPr>
              <w:t>NO</w:t>
            </w:r>
          </w:p>
        </w:tc>
        <w:tc>
          <w:tcPr>
            <w:tcW w:w="7897" w:type="dxa"/>
          </w:tcPr>
          <w:p w14:paraId="553C54F7" w14:textId="77777777" w:rsidR="006253C6" w:rsidRPr="006124D6" w:rsidRDefault="006253C6" w:rsidP="00534A88">
            <w:pPr>
              <w:rPr>
                <w:rFonts w:ascii="Garamond" w:hAnsi="Garamond"/>
                <w:sz w:val="22"/>
                <w:szCs w:val="22"/>
              </w:rPr>
            </w:pPr>
          </w:p>
        </w:tc>
      </w:tr>
      <w:tr w:rsidR="006253C6" w:rsidRPr="0000543F" w14:paraId="3BA712DD" w14:textId="77777777" w:rsidTr="00F700D4">
        <w:tc>
          <w:tcPr>
            <w:tcW w:w="738" w:type="dxa"/>
            <w:tcBorders>
              <w:bottom w:val="nil"/>
            </w:tcBorders>
            <w:shd w:val="clear" w:color="auto" w:fill="FFFFFF"/>
            <w:vAlign w:val="center"/>
          </w:tcPr>
          <w:p w14:paraId="06E59EE7" w14:textId="77777777" w:rsidR="006253C6" w:rsidRPr="006124D6" w:rsidRDefault="0000543F" w:rsidP="006124D6">
            <w:pPr>
              <w:jc w:val="center"/>
              <w:rPr>
                <w:rFonts w:ascii="Garamond" w:hAnsi="Garamond"/>
                <w:sz w:val="22"/>
                <w:szCs w:val="22"/>
              </w:rPr>
            </w:pPr>
            <w:r>
              <w:rPr>
                <w:rFonts w:ascii="Garamond" w:hAnsi="Garamond"/>
                <w:sz w:val="22"/>
                <w:szCs w:val="22"/>
              </w:rPr>
              <w:sym w:font="Wingdings 2" w:char="F050"/>
            </w:r>
          </w:p>
        </w:tc>
        <w:tc>
          <w:tcPr>
            <w:tcW w:w="720" w:type="dxa"/>
            <w:shd w:val="clear" w:color="auto" w:fill="CCCCCC"/>
            <w:vAlign w:val="center"/>
          </w:tcPr>
          <w:p w14:paraId="320DB84B" w14:textId="77777777" w:rsidR="006253C6" w:rsidRPr="006124D6" w:rsidRDefault="006253C6">
            <w:pPr>
              <w:jc w:val="center"/>
              <w:rPr>
                <w:rFonts w:ascii="Garamond" w:hAnsi="Garamond"/>
                <w:sz w:val="22"/>
                <w:szCs w:val="22"/>
              </w:rPr>
            </w:pPr>
          </w:p>
        </w:tc>
        <w:tc>
          <w:tcPr>
            <w:tcW w:w="7897" w:type="dxa"/>
          </w:tcPr>
          <w:p w14:paraId="5363EDCF" w14:textId="77777777" w:rsidR="006253C6" w:rsidRPr="006124D6" w:rsidRDefault="006253C6" w:rsidP="00534A88">
            <w:pPr>
              <w:rPr>
                <w:rFonts w:ascii="Garamond" w:hAnsi="Garamond"/>
                <w:sz w:val="22"/>
                <w:szCs w:val="22"/>
              </w:rPr>
            </w:pPr>
            <w:r w:rsidRPr="006124D6">
              <w:rPr>
                <w:rFonts w:ascii="Garamond" w:hAnsi="Garamond"/>
                <w:sz w:val="22"/>
                <w:szCs w:val="22"/>
              </w:rPr>
              <w:t>1. Does the action pertain to land or water management or environmental regulation affecting private real property or water rights?</w:t>
            </w:r>
          </w:p>
        </w:tc>
      </w:tr>
      <w:tr w:rsidR="006253C6" w:rsidRPr="0000543F" w14:paraId="3C9E02F6" w14:textId="77777777" w:rsidTr="00F700D4">
        <w:tc>
          <w:tcPr>
            <w:tcW w:w="738" w:type="dxa"/>
            <w:shd w:val="pct15" w:color="auto" w:fill="FFFFFF"/>
            <w:vAlign w:val="center"/>
          </w:tcPr>
          <w:p w14:paraId="138B7B02" w14:textId="77777777" w:rsidR="006253C6" w:rsidRPr="006124D6" w:rsidRDefault="006253C6">
            <w:pPr>
              <w:jc w:val="center"/>
              <w:rPr>
                <w:rFonts w:ascii="Garamond" w:hAnsi="Garamond"/>
                <w:sz w:val="22"/>
                <w:szCs w:val="22"/>
              </w:rPr>
            </w:pPr>
          </w:p>
        </w:tc>
        <w:tc>
          <w:tcPr>
            <w:tcW w:w="720" w:type="dxa"/>
            <w:vAlign w:val="center"/>
          </w:tcPr>
          <w:p w14:paraId="68FAC395" w14:textId="77777777" w:rsidR="006253C6" w:rsidRPr="006124D6" w:rsidRDefault="0000543F">
            <w:pPr>
              <w:jc w:val="center"/>
              <w:rPr>
                <w:rFonts w:ascii="Garamond" w:hAnsi="Garamond"/>
                <w:sz w:val="22"/>
                <w:szCs w:val="22"/>
              </w:rPr>
            </w:pPr>
            <w:r>
              <w:rPr>
                <w:rFonts w:ascii="Garamond" w:hAnsi="Garamond"/>
                <w:sz w:val="22"/>
                <w:szCs w:val="22"/>
              </w:rPr>
              <w:sym w:font="Wingdings 2" w:char="F050"/>
            </w:r>
          </w:p>
        </w:tc>
        <w:tc>
          <w:tcPr>
            <w:tcW w:w="7897" w:type="dxa"/>
          </w:tcPr>
          <w:p w14:paraId="772E0C62" w14:textId="0274F139" w:rsidR="006253C6" w:rsidRPr="006124D6" w:rsidRDefault="006253C6" w:rsidP="00534A88">
            <w:pPr>
              <w:rPr>
                <w:rFonts w:ascii="Garamond" w:hAnsi="Garamond"/>
                <w:sz w:val="22"/>
                <w:szCs w:val="22"/>
              </w:rPr>
            </w:pPr>
            <w:r w:rsidRPr="006124D6">
              <w:rPr>
                <w:rFonts w:ascii="Garamond" w:hAnsi="Garamond"/>
                <w:sz w:val="22"/>
                <w:szCs w:val="22"/>
              </w:rPr>
              <w:t>2</w:t>
            </w:r>
            <w:r w:rsidR="00D8745A">
              <w:rPr>
                <w:rFonts w:ascii="Garamond" w:hAnsi="Garamond"/>
                <w:sz w:val="22"/>
                <w:szCs w:val="22"/>
              </w:rPr>
              <w:t xml:space="preserve">. </w:t>
            </w:r>
            <w:r w:rsidRPr="006124D6">
              <w:rPr>
                <w:rFonts w:ascii="Garamond" w:hAnsi="Garamond"/>
                <w:sz w:val="22"/>
                <w:szCs w:val="22"/>
              </w:rPr>
              <w:t>Does the action result in either a permanent or indefinite physical occupation of private property?</w:t>
            </w:r>
          </w:p>
        </w:tc>
      </w:tr>
      <w:tr w:rsidR="006253C6" w:rsidRPr="0000543F" w14:paraId="5A04DE8A" w14:textId="77777777" w:rsidTr="00F700D4">
        <w:tc>
          <w:tcPr>
            <w:tcW w:w="738" w:type="dxa"/>
            <w:shd w:val="pct15" w:color="auto" w:fill="FFFFFF"/>
            <w:vAlign w:val="center"/>
          </w:tcPr>
          <w:p w14:paraId="14E47ED9" w14:textId="77777777" w:rsidR="006253C6" w:rsidRPr="006124D6" w:rsidRDefault="006253C6">
            <w:pPr>
              <w:jc w:val="center"/>
              <w:rPr>
                <w:rFonts w:ascii="Garamond" w:hAnsi="Garamond"/>
                <w:sz w:val="22"/>
                <w:szCs w:val="22"/>
              </w:rPr>
            </w:pPr>
          </w:p>
        </w:tc>
        <w:tc>
          <w:tcPr>
            <w:tcW w:w="720" w:type="dxa"/>
            <w:vAlign w:val="center"/>
          </w:tcPr>
          <w:p w14:paraId="1CE2F864" w14:textId="77777777" w:rsidR="006253C6" w:rsidRPr="006124D6" w:rsidRDefault="0000543F">
            <w:pPr>
              <w:jc w:val="center"/>
              <w:rPr>
                <w:rFonts w:ascii="Garamond" w:hAnsi="Garamond"/>
                <w:sz w:val="22"/>
                <w:szCs w:val="22"/>
              </w:rPr>
            </w:pPr>
            <w:r>
              <w:rPr>
                <w:rFonts w:ascii="Garamond" w:hAnsi="Garamond"/>
                <w:sz w:val="22"/>
                <w:szCs w:val="22"/>
              </w:rPr>
              <w:sym w:font="Wingdings 2" w:char="F050"/>
            </w:r>
          </w:p>
        </w:tc>
        <w:tc>
          <w:tcPr>
            <w:tcW w:w="7897" w:type="dxa"/>
          </w:tcPr>
          <w:p w14:paraId="4A5FD896" w14:textId="2CB7B080" w:rsidR="006253C6" w:rsidRPr="006124D6" w:rsidRDefault="006253C6" w:rsidP="00534A88">
            <w:pPr>
              <w:rPr>
                <w:rFonts w:ascii="Garamond" w:hAnsi="Garamond"/>
                <w:sz w:val="22"/>
                <w:szCs w:val="22"/>
              </w:rPr>
            </w:pPr>
            <w:r w:rsidRPr="006124D6">
              <w:rPr>
                <w:rFonts w:ascii="Garamond" w:hAnsi="Garamond"/>
                <w:sz w:val="22"/>
                <w:szCs w:val="22"/>
              </w:rPr>
              <w:t>3</w:t>
            </w:r>
            <w:r w:rsidR="00D8745A">
              <w:rPr>
                <w:rFonts w:ascii="Garamond" w:hAnsi="Garamond"/>
                <w:sz w:val="22"/>
                <w:szCs w:val="22"/>
              </w:rPr>
              <w:t xml:space="preserve">. </w:t>
            </w:r>
            <w:r w:rsidRPr="006124D6">
              <w:rPr>
                <w:rFonts w:ascii="Garamond" w:hAnsi="Garamond"/>
                <w:sz w:val="22"/>
                <w:szCs w:val="22"/>
              </w:rPr>
              <w:t>Does the action deny a fundamental attribute of ownership? (ex.:  right to exclude others, disposal of property)</w:t>
            </w:r>
          </w:p>
        </w:tc>
      </w:tr>
      <w:tr w:rsidR="006253C6" w:rsidRPr="0000543F" w14:paraId="0441C1C3" w14:textId="77777777" w:rsidTr="00F700D4">
        <w:tc>
          <w:tcPr>
            <w:tcW w:w="738" w:type="dxa"/>
            <w:shd w:val="pct15" w:color="auto" w:fill="FFFFFF"/>
            <w:vAlign w:val="center"/>
          </w:tcPr>
          <w:p w14:paraId="07DA2B21" w14:textId="77777777" w:rsidR="006253C6" w:rsidRPr="006124D6" w:rsidRDefault="006253C6">
            <w:pPr>
              <w:jc w:val="center"/>
              <w:rPr>
                <w:rFonts w:ascii="Garamond" w:hAnsi="Garamond"/>
                <w:sz w:val="22"/>
                <w:szCs w:val="22"/>
              </w:rPr>
            </w:pPr>
          </w:p>
        </w:tc>
        <w:tc>
          <w:tcPr>
            <w:tcW w:w="720" w:type="dxa"/>
            <w:vAlign w:val="center"/>
          </w:tcPr>
          <w:p w14:paraId="57B5400B" w14:textId="77777777" w:rsidR="006253C6" w:rsidRPr="006124D6" w:rsidRDefault="0000543F">
            <w:pPr>
              <w:jc w:val="center"/>
              <w:rPr>
                <w:rFonts w:ascii="Garamond" w:hAnsi="Garamond"/>
                <w:sz w:val="22"/>
                <w:szCs w:val="22"/>
              </w:rPr>
            </w:pPr>
            <w:r>
              <w:rPr>
                <w:rFonts w:ascii="Garamond" w:hAnsi="Garamond"/>
                <w:sz w:val="22"/>
                <w:szCs w:val="22"/>
              </w:rPr>
              <w:sym w:font="Wingdings 2" w:char="F050"/>
            </w:r>
          </w:p>
        </w:tc>
        <w:tc>
          <w:tcPr>
            <w:tcW w:w="7897" w:type="dxa"/>
          </w:tcPr>
          <w:p w14:paraId="5F66C288" w14:textId="3BBAA575" w:rsidR="006253C6" w:rsidRPr="006124D6" w:rsidRDefault="006253C6" w:rsidP="00534A88">
            <w:pPr>
              <w:rPr>
                <w:rFonts w:ascii="Garamond" w:hAnsi="Garamond"/>
                <w:sz w:val="22"/>
                <w:szCs w:val="22"/>
              </w:rPr>
            </w:pPr>
            <w:r w:rsidRPr="006124D6">
              <w:rPr>
                <w:rFonts w:ascii="Garamond" w:hAnsi="Garamond"/>
                <w:sz w:val="22"/>
                <w:szCs w:val="22"/>
              </w:rPr>
              <w:t>4</w:t>
            </w:r>
            <w:r w:rsidR="00D8745A">
              <w:rPr>
                <w:rFonts w:ascii="Garamond" w:hAnsi="Garamond"/>
                <w:sz w:val="22"/>
                <w:szCs w:val="22"/>
              </w:rPr>
              <w:t xml:space="preserve">. </w:t>
            </w:r>
            <w:r w:rsidRPr="006124D6">
              <w:rPr>
                <w:rFonts w:ascii="Garamond" w:hAnsi="Garamond"/>
                <w:sz w:val="22"/>
                <w:szCs w:val="22"/>
              </w:rPr>
              <w:t>Does the action deprive the owner of all economically viable uses of the property?</w:t>
            </w:r>
          </w:p>
        </w:tc>
      </w:tr>
      <w:tr w:rsidR="006253C6" w:rsidRPr="0000543F" w14:paraId="0C321EC2" w14:textId="77777777" w:rsidTr="00F700D4">
        <w:tc>
          <w:tcPr>
            <w:tcW w:w="738" w:type="dxa"/>
            <w:vAlign w:val="center"/>
          </w:tcPr>
          <w:p w14:paraId="69B30DF5" w14:textId="77777777" w:rsidR="006253C6" w:rsidRPr="006124D6" w:rsidRDefault="006253C6">
            <w:pPr>
              <w:jc w:val="center"/>
              <w:rPr>
                <w:rFonts w:ascii="Garamond" w:hAnsi="Garamond"/>
                <w:sz w:val="22"/>
                <w:szCs w:val="22"/>
              </w:rPr>
            </w:pPr>
          </w:p>
        </w:tc>
        <w:tc>
          <w:tcPr>
            <w:tcW w:w="720" w:type="dxa"/>
            <w:vAlign w:val="center"/>
          </w:tcPr>
          <w:p w14:paraId="152B7215" w14:textId="77777777" w:rsidR="006253C6" w:rsidRPr="006124D6" w:rsidRDefault="0000543F">
            <w:pPr>
              <w:jc w:val="center"/>
              <w:rPr>
                <w:rFonts w:ascii="Garamond" w:hAnsi="Garamond"/>
                <w:sz w:val="22"/>
                <w:szCs w:val="22"/>
              </w:rPr>
            </w:pPr>
            <w:r>
              <w:rPr>
                <w:rFonts w:ascii="Garamond" w:hAnsi="Garamond"/>
                <w:sz w:val="22"/>
                <w:szCs w:val="22"/>
              </w:rPr>
              <w:sym w:font="Wingdings 2" w:char="F050"/>
            </w:r>
          </w:p>
        </w:tc>
        <w:tc>
          <w:tcPr>
            <w:tcW w:w="7897" w:type="dxa"/>
          </w:tcPr>
          <w:p w14:paraId="3EC44FB1" w14:textId="42237EA0" w:rsidR="006253C6" w:rsidRPr="006124D6" w:rsidRDefault="006253C6" w:rsidP="00534A88">
            <w:pPr>
              <w:rPr>
                <w:rFonts w:ascii="Garamond" w:hAnsi="Garamond"/>
                <w:sz w:val="22"/>
                <w:szCs w:val="22"/>
              </w:rPr>
            </w:pPr>
            <w:r w:rsidRPr="006124D6">
              <w:rPr>
                <w:rFonts w:ascii="Garamond" w:hAnsi="Garamond"/>
                <w:sz w:val="22"/>
                <w:szCs w:val="22"/>
              </w:rPr>
              <w:t>5</w:t>
            </w:r>
            <w:r w:rsidR="00D8745A">
              <w:rPr>
                <w:rFonts w:ascii="Garamond" w:hAnsi="Garamond"/>
                <w:sz w:val="22"/>
                <w:szCs w:val="22"/>
              </w:rPr>
              <w:t xml:space="preserve">. </w:t>
            </w:r>
            <w:r w:rsidRPr="006124D6">
              <w:rPr>
                <w:rFonts w:ascii="Garamond" w:hAnsi="Garamond"/>
                <w:sz w:val="22"/>
                <w:szCs w:val="22"/>
              </w:rPr>
              <w:t>Does the action require a property owner to dedicate a portion of property or to grant an easement? [If no, go to (6)].</w:t>
            </w:r>
          </w:p>
        </w:tc>
      </w:tr>
      <w:tr w:rsidR="006253C6" w:rsidRPr="0000543F" w14:paraId="14CBD149" w14:textId="77777777" w:rsidTr="00F700D4">
        <w:tc>
          <w:tcPr>
            <w:tcW w:w="738" w:type="dxa"/>
            <w:vAlign w:val="center"/>
          </w:tcPr>
          <w:p w14:paraId="79D2A9B4" w14:textId="77777777" w:rsidR="006253C6" w:rsidRPr="006124D6" w:rsidRDefault="006253C6">
            <w:pPr>
              <w:jc w:val="center"/>
              <w:rPr>
                <w:rFonts w:ascii="Garamond" w:hAnsi="Garamond"/>
                <w:sz w:val="22"/>
                <w:szCs w:val="22"/>
              </w:rPr>
            </w:pPr>
          </w:p>
        </w:tc>
        <w:tc>
          <w:tcPr>
            <w:tcW w:w="720" w:type="dxa"/>
            <w:shd w:val="pct15" w:color="auto" w:fill="FFFFFF"/>
            <w:vAlign w:val="center"/>
          </w:tcPr>
          <w:p w14:paraId="21C54532" w14:textId="77777777" w:rsidR="006253C6" w:rsidRPr="006124D6" w:rsidRDefault="006253C6">
            <w:pPr>
              <w:jc w:val="center"/>
              <w:rPr>
                <w:rFonts w:ascii="Garamond" w:hAnsi="Garamond"/>
                <w:sz w:val="22"/>
                <w:szCs w:val="22"/>
              </w:rPr>
            </w:pPr>
          </w:p>
        </w:tc>
        <w:tc>
          <w:tcPr>
            <w:tcW w:w="7897" w:type="dxa"/>
          </w:tcPr>
          <w:p w14:paraId="27FC4ABC" w14:textId="143870DB" w:rsidR="006253C6" w:rsidRPr="006124D6" w:rsidRDefault="006253C6" w:rsidP="006253C6">
            <w:pPr>
              <w:rPr>
                <w:rFonts w:ascii="Garamond" w:hAnsi="Garamond"/>
                <w:sz w:val="22"/>
                <w:szCs w:val="22"/>
              </w:rPr>
            </w:pPr>
            <w:r w:rsidRPr="006124D6">
              <w:rPr>
                <w:rFonts w:ascii="Garamond" w:hAnsi="Garamond"/>
                <w:sz w:val="22"/>
                <w:szCs w:val="22"/>
              </w:rPr>
              <w:t>5a</w:t>
            </w:r>
            <w:r w:rsidR="00D8745A">
              <w:rPr>
                <w:rFonts w:ascii="Garamond" w:hAnsi="Garamond"/>
                <w:sz w:val="22"/>
                <w:szCs w:val="22"/>
              </w:rPr>
              <w:t xml:space="preserve">. </w:t>
            </w:r>
            <w:r w:rsidRPr="006124D6">
              <w:rPr>
                <w:rFonts w:ascii="Garamond" w:hAnsi="Garamond"/>
                <w:sz w:val="22"/>
                <w:szCs w:val="22"/>
              </w:rPr>
              <w:t>Is there a reasonable, specific connection between the government requirement and legitimate state interests?</w:t>
            </w:r>
          </w:p>
        </w:tc>
      </w:tr>
      <w:tr w:rsidR="006253C6" w:rsidRPr="0000543F" w14:paraId="1D7250BB" w14:textId="77777777" w:rsidTr="00F700D4">
        <w:tc>
          <w:tcPr>
            <w:tcW w:w="738" w:type="dxa"/>
            <w:vAlign w:val="center"/>
          </w:tcPr>
          <w:p w14:paraId="6A289FD4" w14:textId="77777777" w:rsidR="006253C6" w:rsidRPr="006124D6" w:rsidRDefault="006253C6">
            <w:pPr>
              <w:jc w:val="center"/>
              <w:rPr>
                <w:rFonts w:ascii="Garamond" w:hAnsi="Garamond"/>
                <w:sz w:val="22"/>
                <w:szCs w:val="22"/>
              </w:rPr>
            </w:pPr>
          </w:p>
        </w:tc>
        <w:tc>
          <w:tcPr>
            <w:tcW w:w="720" w:type="dxa"/>
            <w:shd w:val="pct15" w:color="auto" w:fill="FFFFFF"/>
            <w:vAlign w:val="center"/>
          </w:tcPr>
          <w:p w14:paraId="33887EB4" w14:textId="77777777" w:rsidR="006253C6" w:rsidRPr="006124D6" w:rsidRDefault="006253C6">
            <w:pPr>
              <w:jc w:val="center"/>
              <w:rPr>
                <w:rFonts w:ascii="Garamond" w:hAnsi="Garamond"/>
                <w:sz w:val="22"/>
                <w:szCs w:val="22"/>
              </w:rPr>
            </w:pPr>
          </w:p>
        </w:tc>
        <w:tc>
          <w:tcPr>
            <w:tcW w:w="7897" w:type="dxa"/>
          </w:tcPr>
          <w:p w14:paraId="16718E71" w14:textId="57584BD0" w:rsidR="006253C6" w:rsidRPr="006124D6" w:rsidRDefault="006253C6" w:rsidP="00534A88">
            <w:pPr>
              <w:rPr>
                <w:rFonts w:ascii="Garamond" w:hAnsi="Garamond"/>
                <w:sz w:val="22"/>
                <w:szCs w:val="22"/>
              </w:rPr>
            </w:pPr>
            <w:r w:rsidRPr="006124D6">
              <w:rPr>
                <w:rFonts w:ascii="Garamond" w:hAnsi="Garamond"/>
                <w:sz w:val="22"/>
                <w:szCs w:val="22"/>
              </w:rPr>
              <w:t>5b</w:t>
            </w:r>
            <w:r w:rsidR="00D8745A">
              <w:rPr>
                <w:rFonts w:ascii="Garamond" w:hAnsi="Garamond"/>
                <w:sz w:val="22"/>
                <w:szCs w:val="22"/>
              </w:rPr>
              <w:t xml:space="preserve">. </w:t>
            </w:r>
            <w:r w:rsidRPr="006124D6">
              <w:rPr>
                <w:rFonts w:ascii="Garamond" w:hAnsi="Garamond"/>
                <w:sz w:val="22"/>
                <w:szCs w:val="22"/>
              </w:rPr>
              <w:t>Is the government requirement roughly proportional to the impact of the proposed use of the property?</w:t>
            </w:r>
          </w:p>
        </w:tc>
      </w:tr>
      <w:tr w:rsidR="0000543F" w:rsidRPr="0000543F" w14:paraId="78A28218" w14:textId="77777777" w:rsidTr="00F700D4">
        <w:tc>
          <w:tcPr>
            <w:tcW w:w="738" w:type="dxa"/>
            <w:shd w:val="pct15" w:color="auto" w:fill="FFFFFF"/>
            <w:vAlign w:val="center"/>
          </w:tcPr>
          <w:p w14:paraId="458FDAF1" w14:textId="77777777" w:rsidR="0000543F" w:rsidRPr="006124D6" w:rsidRDefault="0000543F">
            <w:pPr>
              <w:jc w:val="center"/>
              <w:rPr>
                <w:rFonts w:ascii="Garamond" w:hAnsi="Garamond"/>
                <w:sz w:val="22"/>
                <w:szCs w:val="22"/>
              </w:rPr>
            </w:pPr>
          </w:p>
        </w:tc>
        <w:tc>
          <w:tcPr>
            <w:tcW w:w="720" w:type="dxa"/>
            <w:vAlign w:val="center"/>
          </w:tcPr>
          <w:p w14:paraId="3ACF348E" w14:textId="77777777" w:rsidR="0000543F" w:rsidRPr="006124D6" w:rsidRDefault="0000543F">
            <w:pPr>
              <w:jc w:val="center"/>
              <w:rPr>
                <w:rFonts w:ascii="Garamond" w:hAnsi="Garamond"/>
                <w:sz w:val="22"/>
                <w:szCs w:val="22"/>
              </w:rPr>
            </w:pPr>
            <w:r w:rsidRPr="00151D0B">
              <w:rPr>
                <w:rFonts w:ascii="Garamond" w:hAnsi="Garamond"/>
                <w:sz w:val="22"/>
                <w:szCs w:val="22"/>
              </w:rPr>
              <w:sym w:font="Wingdings 2" w:char="F050"/>
            </w:r>
          </w:p>
        </w:tc>
        <w:tc>
          <w:tcPr>
            <w:tcW w:w="7897" w:type="dxa"/>
          </w:tcPr>
          <w:p w14:paraId="3A1FFFBB" w14:textId="3ADA9CFB" w:rsidR="0000543F" w:rsidRPr="006124D6" w:rsidRDefault="0000543F" w:rsidP="00534A88">
            <w:pPr>
              <w:rPr>
                <w:rFonts w:ascii="Garamond" w:hAnsi="Garamond"/>
                <w:sz w:val="22"/>
                <w:szCs w:val="22"/>
              </w:rPr>
            </w:pPr>
            <w:r w:rsidRPr="006124D6">
              <w:rPr>
                <w:rFonts w:ascii="Garamond" w:hAnsi="Garamond"/>
                <w:sz w:val="22"/>
                <w:szCs w:val="22"/>
              </w:rPr>
              <w:t>6</w:t>
            </w:r>
            <w:r w:rsidR="00D8745A">
              <w:rPr>
                <w:rFonts w:ascii="Garamond" w:hAnsi="Garamond"/>
                <w:sz w:val="22"/>
                <w:szCs w:val="22"/>
              </w:rPr>
              <w:t xml:space="preserve">. </w:t>
            </w:r>
            <w:r w:rsidRPr="006124D6">
              <w:rPr>
                <w:rFonts w:ascii="Garamond" w:hAnsi="Garamond"/>
                <w:sz w:val="22"/>
                <w:szCs w:val="22"/>
              </w:rPr>
              <w:t>Does the action have a severe impact on the value of the property?  (consider economic impact, investment-backed expectations, character of government action)</w:t>
            </w:r>
          </w:p>
        </w:tc>
      </w:tr>
      <w:tr w:rsidR="0000543F" w:rsidRPr="0000543F" w14:paraId="7DFD93EA" w14:textId="77777777" w:rsidTr="00F700D4">
        <w:tc>
          <w:tcPr>
            <w:tcW w:w="738" w:type="dxa"/>
            <w:vAlign w:val="center"/>
          </w:tcPr>
          <w:p w14:paraId="0D65D8C5" w14:textId="77777777" w:rsidR="0000543F" w:rsidRPr="006124D6" w:rsidRDefault="0000543F">
            <w:pPr>
              <w:jc w:val="center"/>
              <w:rPr>
                <w:rFonts w:ascii="Garamond" w:hAnsi="Garamond"/>
                <w:sz w:val="22"/>
                <w:szCs w:val="22"/>
              </w:rPr>
            </w:pPr>
          </w:p>
        </w:tc>
        <w:tc>
          <w:tcPr>
            <w:tcW w:w="720" w:type="dxa"/>
            <w:vAlign w:val="center"/>
          </w:tcPr>
          <w:p w14:paraId="1739AF66" w14:textId="77777777" w:rsidR="0000543F" w:rsidRPr="006124D6" w:rsidRDefault="0000543F">
            <w:pPr>
              <w:jc w:val="center"/>
              <w:rPr>
                <w:rFonts w:ascii="Garamond" w:hAnsi="Garamond"/>
                <w:sz w:val="22"/>
                <w:szCs w:val="22"/>
              </w:rPr>
            </w:pPr>
            <w:r w:rsidRPr="00151D0B">
              <w:rPr>
                <w:rFonts w:ascii="Garamond" w:hAnsi="Garamond"/>
                <w:sz w:val="22"/>
                <w:szCs w:val="22"/>
              </w:rPr>
              <w:sym w:font="Wingdings 2" w:char="F050"/>
            </w:r>
          </w:p>
        </w:tc>
        <w:tc>
          <w:tcPr>
            <w:tcW w:w="7897" w:type="dxa"/>
          </w:tcPr>
          <w:p w14:paraId="1B0A8784" w14:textId="763CCD1C" w:rsidR="0000543F" w:rsidRPr="006124D6" w:rsidRDefault="0000543F" w:rsidP="00534A88">
            <w:pPr>
              <w:rPr>
                <w:rFonts w:ascii="Garamond" w:hAnsi="Garamond"/>
                <w:sz w:val="22"/>
                <w:szCs w:val="22"/>
              </w:rPr>
            </w:pPr>
            <w:r w:rsidRPr="006124D6">
              <w:rPr>
                <w:rFonts w:ascii="Garamond" w:hAnsi="Garamond"/>
                <w:sz w:val="22"/>
                <w:szCs w:val="22"/>
              </w:rPr>
              <w:t>7</w:t>
            </w:r>
            <w:r w:rsidR="00D8745A">
              <w:rPr>
                <w:rFonts w:ascii="Garamond" w:hAnsi="Garamond"/>
                <w:sz w:val="22"/>
                <w:szCs w:val="22"/>
              </w:rPr>
              <w:t xml:space="preserve">. </w:t>
            </w:r>
            <w:r w:rsidRPr="006124D6">
              <w:rPr>
                <w:rFonts w:ascii="Garamond" w:hAnsi="Garamond"/>
                <w:sz w:val="22"/>
                <w:szCs w:val="22"/>
              </w:rPr>
              <w:t xml:space="preserve">Does the action damage the property by causing some physical disturbance with respect to the property </w:t>
            </w:r>
            <w:proofErr w:type="gramStart"/>
            <w:r w:rsidRPr="006124D6">
              <w:rPr>
                <w:rFonts w:ascii="Garamond" w:hAnsi="Garamond"/>
                <w:sz w:val="22"/>
                <w:szCs w:val="22"/>
              </w:rPr>
              <w:t>in excess of</w:t>
            </w:r>
            <w:proofErr w:type="gramEnd"/>
            <w:r w:rsidRPr="006124D6">
              <w:rPr>
                <w:rFonts w:ascii="Garamond" w:hAnsi="Garamond"/>
                <w:sz w:val="22"/>
                <w:szCs w:val="22"/>
              </w:rPr>
              <w:t xml:space="preserve"> that sustained by the public generally?</w:t>
            </w:r>
          </w:p>
        </w:tc>
      </w:tr>
      <w:tr w:rsidR="0000543F" w:rsidRPr="0000543F" w14:paraId="57C992B4" w14:textId="77777777" w:rsidTr="00F700D4">
        <w:tc>
          <w:tcPr>
            <w:tcW w:w="738" w:type="dxa"/>
            <w:shd w:val="pct15" w:color="auto" w:fill="FFFFFF"/>
            <w:vAlign w:val="center"/>
          </w:tcPr>
          <w:p w14:paraId="0420645C" w14:textId="77777777" w:rsidR="0000543F" w:rsidRPr="006124D6" w:rsidRDefault="0000543F">
            <w:pPr>
              <w:jc w:val="center"/>
              <w:rPr>
                <w:rFonts w:ascii="Garamond" w:hAnsi="Garamond"/>
                <w:sz w:val="22"/>
                <w:szCs w:val="22"/>
              </w:rPr>
            </w:pPr>
          </w:p>
        </w:tc>
        <w:tc>
          <w:tcPr>
            <w:tcW w:w="720" w:type="dxa"/>
            <w:vAlign w:val="center"/>
          </w:tcPr>
          <w:p w14:paraId="69B6C3B5" w14:textId="77777777" w:rsidR="0000543F" w:rsidRPr="006124D6" w:rsidRDefault="0000543F">
            <w:pPr>
              <w:jc w:val="center"/>
              <w:rPr>
                <w:rFonts w:ascii="Garamond" w:hAnsi="Garamond"/>
                <w:sz w:val="22"/>
                <w:szCs w:val="22"/>
              </w:rPr>
            </w:pPr>
            <w:r w:rsidRPr="00151D0B">
              <w:rPr>
                <w:rFonts w:ascii="Garamond" w:hAnsi="Garamond"/>
                <w:sz w:val="22"/>
                <w:szCs w:val="22"/>
              </w:rPr>
              <w:sym w:font="Wingdings 2" w:char="F050"/>
            </w:r>
          </w:p>
        </w:tc>
        <w:tc>
          <w:tcPr>
            <w:tcW w:w="7897" w:type="dxa"/>
          </w:tcPr>
          <w:p w14:paraId="237EEFFD" w14:textId="2A944B59" w:rsidR="0000543F" w:rsidRPr="006124D6" w:rsidRDefault="0000543F" w:rsidP="00534A88">
            <w:pPr>
              <w:rPr>
                <w:rFonts w:ascii="Garamond" w:hAnsi="Garamond"/>
                <w:sz w:val="22"/>
                <w:szCs w:val="22"/>
              </w:rPr>
            </w:pPr>
            <w:r w:rsidRPr="006124D6">
              <w:rPr>
                <w:rFonts w:ascii="Garamond" w:hAnsi="Garamond"/>
                <w:sz w:val="22"/>
                <w:szCs w:val="22"/>
              </w:rPr>
              <w:t>7a</w:t>
            </w:r>
            <w:r w:rsidR="00D8745A">
              <w:rPr>
                <w:rFonts w:ascii="Garamond" w:hAnsi="Garamond"/>
                <w:sz w:val="22"/>
                <w:szCs w:val="22"/>
              </w:rPr>
              <w:t xml:space="preserve">. </w:t>
            </w:r>
            <w:r w:rsidRPr="006124D6">
              <w:rPr>
                <w:rFonts w:ascii="Garamond" w:hAnsi="Garamond"/>
                <w:sz w:val="22"/>
                <w:szCs w:val="22"/>
              </w:rPr>
              <w:t xml:space="preserve">Is the impact of government action direct, peculiar, and significant?  </w:t>
            </w:r>
          </w:p>
        </w:tc>
      </w:tr>
      <w:tr w:rsidR="0000543F" w:rsidRPr="0000543F" w14:paraId="39A51365" w14:textId="77777777" w:rsidTr="00F700D4">
        <w:tc>
          <w:tcPr>
            <w:tcW w:w="738" w:type="dxa"/>
            <w:shd w:val="pct15" w:color="auto" w:fill="FFFFFF"/>
            <w:vAlign w:val="center"/>
          </w:tcPr>
          <w:p w14:paraId="6B0DDC67" w14:textId="77777777" w:rsidR="0000543F" w:rsidRPr="006124D6" w:rsidRDefault="0000543F">
            <w:pPr>
              <w:jc w:val="center"/>
              <w:rPr>
                <w:rFonts w:ascii="Garamond" w:hAnsi="Garamond"/>
                <w:sz w:val="22"/>
                <w:szCs w:val="22"/>
              </w:rPr>
            </w:pPr>
          </w:p>
        </w:tc>
        <w:tc>
          <w:tcPr>
            <w:tcW w:w="720" w:type="dxa"/>
            <w:vAlign w:val="center"/>
          </w:tcPr>
          <w:p w14:paraId="0DCD5388" w14:textId="77777777" w:rsidR="0000543F" w:rsidRPr="006124D6" w:rsidRDefault="0000543F">
            <w:pPr>
              <w:jc w:val="center"/>
              <w:rPr>
                <w:rFonts w:ascii="Garamond" w:hAnsi="Garamond"/>
                <w:sz w:val="22"/>
                <w:szCs w:val="22"/>
              </w:rPr>
            </w:pPr>
            <w:r w:rsidRPr="00151D0B">
              <w:rPr>
                <w:rFonts w:ascii="Garamond" w:hAnsi="Garamond"/>
                <w:sz w:val="22"/>
                <w:szCs w:val="22"/>
              </w:rPr>
              <w:sym w:font="Wingdings 2" w:char="F050"/>
            </w:r>
          </w:p>
        </w:tc>
        <w:tc>
          <w:tcPr>
            <w:tcW w:w="7897" w:type="dxa"/>
          </w:tcPr>
          <w:p w14:paraId="190A427A" w14:textId="31770B58" w:rsidR="0000543F" w:rsidRPr="006124D6" w:rsidRDefault="0000543F" w:rsidP="00534A88">
            <w:pPr>
              <w:rPr>
                <w:rFonts w:ascii="Garamond" w:hAnsi="Garamond"/>
                <w:sz w:val="22"/>
                <w:szCs w:val="22"/>
              </w:rPr>
            </w:pPr>
            <w:r w:rsidRPr="006124D6">
              <w:rPr>
                <w:rFonts w:ascii="Garamond" w:hAnsi="Garamond"/>
                <w:sz w:val="22"/>
                <w:szCs w:val="22"/>
              </w:rPr>
              <w:t>7b</w:t>
            </w:r>
            <w:r w:rsidR="00D8745A">
              <w:rPr>
                <w:rFonts w:ascii="Garamond" w:hAnsi="Garamond"/>
                <w:sz w:val="22"/>
                <w:szCs w:val="22"/>
              </w:rPr>
              <w:t xml:space="preserve">. </w:t>
            </w:r>
            <w:r w:rsidRPr="006124D6">
              <w:rPr>
                <w:rFonts w:ascii="Garamond" w:hAnsi="Garamond"/>
                <w:sz w:val="22"/>
                <w:szCs w:val="22"/>
              </w:rPr>
              <w:t>Has government action resulted in the property becoming practically inaccessible, waterlogged or flooded?</w:t>
            </w:r>
          </w:p>
        </w:tc>
      </w:tr>
      <w:tr w:rsidR="0000543F" w:rsidRPr="0000543F" w14:paraId="08925D00" w14:textId="77777777" w:rsidTr="00F700D4">
        <w:tc>
          <w:tcPr>
            <w:tcW w:w="738" w:type="dxa"/>
            <w:shd w:val="pct15" w:color="auto" w:fill="FFFFFF"/>
            <w:vAlign w:val="center"/>
          </w:tcPr>
          <w:p w14:paraId="0CE5D1B3" w14:textId="77777777" w:rsidR="0000543F" w:rsidRPr="006124D6" w:rsidRDefault="0000543F">
            <w:pPr>
              <w:jc w:val="center"/>
              <w:rPr>
                <w:rFonts w:ascii="Garamond" w:hAnsi="Garamond"/>
                <w:sz w:val="22"/>
                <w:szCs w:val="22"/>
              </w:rPr>
            </w:pPr>
          </w:p>
        </w:tc>
        <w:tc>
          <w:tcPr>
            <w:tcW w:w="720" w:type="dxa"/>
            <w:vAlign w:val="center"/>
          </w:tcPr>
          <w:p w14:paraId="67AA88DB" w14:textId="77777777" w:rsidR="0000543F" w:rsidRPr="006124D6" w:rsidRDefault="0000543F">
            <w:pPr>
              <w:jc w:val="center"/>
              <w:rPr>
                <w:rFonts w:ascii="Garamond" w:hAnsi="Garamond"/>
                <w:sz w:val="22"/>
                <w:szCs w:val="22"/>
              </w:rPr>
            </w:pPr>
            <w:r w:rsidRPr="00151D0B">
              <w:rPr>
                <w:rFonts w:ascii="Garamond" w:hAnsi="Garamond"/>
                <w:sz w:val="22"/>
                <w:szCs w:val="22"/>
              </w:rPr>
              <w:sym w:font="Wingdings 2" w:char="F050"/>
            </w:r>
          </w:p>
        </w:tc>
        <w:tc>
          <w:tcPr>
            <w:tcW w:w="7897" w:type="dxa"/>
          </w:tcPr>
          <w:p w14:paraId="145128AE" w14:textId="3E37AE43" w:rsidR="0000543F" w:rsidRPr="006124D6" w:rsidRDefault="0000543F" w:rsidP="00534A88">
            <w:pPr>
              <w:rPr>
                <w:rFonts w:ascii="Garamond" w:hAnsi="Garamond"/>
                <w:sz w:val="22"/>
                <w:szCs w:val="22"/>
              </w:rPr>
            </w:pPr>
            <w:r w:rsidRPr="006124D6">
              <w:rPr>
                <w:rFonts w:ascii="Garamond" w:hAnsi="Garamond"/>
                <w:sz w:val="22"/>
                <w:szCs w:val="22"/>
              </w:rPr>
              <w:t>7c</w:t>
            </w:r>
            <w:r w:rsidR="00D8745A">
              <w:rPr>
                <w:rFonts w:ascii="Garamond" w:hAnsi="Garamond"/>
                <w:sz w:val="22"/>
                <w:szCs w:val="22"/>
              </w:rPr>
              <w:t xml:space="preserve">. </w:t>
            </w:r>
            <w:r w:rsidRPr="006124D6">
              <w:rPr>
                <w:rFonts w:ascii="Garamond" w:hAnsi="Garamond"/>
                <w:sz w:val="22"/>
                <w:szCs w:val="22"/>
              </w:rPr>
              <w:t>Has government action lowered property values by more than 30% and necessitated the physical taking of adjacent property or property across a public way from the property in question?</w:t>
            </w:r>
          </w:p>
        </w:tc>
      </w:tr>
      <w:tr w:rsidR="0000543F" w:rsidRPr="0000543F" w14:paraId="1D700BDE" w14:textId="77777777" w:rsidTr="00F700D4">
        <w:tc>
          <w:tcPr>
            <w:tcW w:w="738" w:type="dxa"/>
            <w:vAlign w:val="center"/>
          </w:tcPr>
          <w:p w14:paraId="72068EE8" w14:textId="77777777" w:rsidR="0000543F" w:rsidRPr="006124D6" w:rsidRDefault="0000543F">
            <w:pPr>
              <w:jc w:val="center"/>
              <w:rPr>
                <w:rFonts w:ascii="Garamond" w:hAnsi="Garamond"/>
                <w:sz w:val="22"/>
                <w:szCs w:val="22"/>
              </w:rPr>
            </w:pPr>
          </w:p>
        </w:tc>
        <w:tc>
          <w:tcPr>
            <w:tcW w:w="720" w:type="dxa"/>
            <w:vAlign w:val="center"/>
          </w:tcPr>
          <w:p w14:paraId="00A5462F" w14:textId="77777777" w:rsidR="0000543F" w:rsidRPr="006124D6" w:rsidRDefault="0000543F">
            <w:pPr>
              <w:jc w:val="center"/>
              <w:rPr>
                <w:rFonts w:ascii="Garamond" w:hAnsi="Garamond"/>
                <w:sz w:val="22"/>
                <w:szCs w:val="22"/>
              </w:rPr>
            </w:pPr>
            <w:r w:rsidRPr="00151D0B">
              <w:rPr>
                <w:rFonts w:ascii="Garamond" w:hAnsi="Garamond"/>
                <w:sz w:val="22"/>
                <w:szCs w:val="22"/>
              </w:rPr>
              <w:sym w:font="Wingdings 2" w:char="F050"/>
            </w:r>
          </w:p>
        </w:tc>
        <w:tc>
          <w:tcPr>
            <w:tcW w:w="7897" w:type="dxa"/>
          </w:tcPr>
          <w:p w14:paraId="5F821BC4" w14:textId="77777777" w:rsidR="0000543F" w:rsidRPr="006124D6" w:rsidRDefault="0000543F" w:rsidP="00534A88">
            <w:pPr>
              <w:rPr>
                <w:rFonts w:ascii="Garamond" w:hAnsi="Garamond"/>
                <w:sz w:val="22"/>
                <w:szCs w:val="22"/>
              </w:rPr>
            </w:pPr>
            <w:r w:rsidRPr="006124D6">
              <w:rPr>
                <w:rFonts w:ascii="Garamond" w:hAnsi="Garamond"/>
                <w:sz w:val="22"/>
                <w:szCs w:val="22"/>
              </w:rPr>
              <w:t xml:space="preserve">Takings or damaging implications?  (Taking or damaging implications exist if YES is checked in response to question 1 </w:t>
            </w:r>
            <w:proofErr w:type="gramStart"/>
            <w:r w:rsidRPr="006124D6">
              <w:rPr>
                <w:rFonts w:ascii="Garamond" w:hAnsi="Garamond"/>
                <w:sz w:val="22"/>
                <w:szCs w:val="22"/>
              </w:rPr>
              <w:t>and also</w:t>
            </w:r>
            <w:proofErr w:type="gramEnd"/>
            <w:r w:rsidRPr="006124D6">
              <w:rPr>
                <w:rFonts w:ascii="Garamond" w:hAnsi="Garamond"/>
                <w:sz w:val="22"/>
                <w:szCs w:val="22"/>
              </w:rPr>
              <w:t xml:space="preserve"> to any one or more of the following questions</w:t>
            </w:r>
            <w:proofErr w:type="gramStart"/>
            <w:r w:rsidRPr="006124D6">
              <w:rPr>
                <w:rFonts w:ascii="Garamond" w:hAnsi="Garamond"/>
                <w:sz w:val="22"/>
                <w:szCs w:val="22"/>
              </w:rPr>
              <w:t>:  2</w:t>
            </w:r>
            <w:proofErr w:type="gramEnd"/>
            <w:r w:rsidRPr="006124D6">
              <w:rPr>
                <w:rFonts w:ascii="Garamond" w:hAnsi="Garamond"/>
                <w:sz w:val="22"/>
                <w:szCs w:val="22"/>
              </w:rPr>
              <w:t>, 3, 4, 6, 7a, 7b, 7c; or if NO is checked in response to questions 5a or 5b; the shaded areas)</w:t>
            </w:r>
          </w:p>
        </w:tc>
      </w:tr>
    </w:tbl>
    <w:p w14:paraId="6E840489" w14:textId="77777777" w:rsidR="0083326E" w:rsidRDefault="0083326E" w:rsidP="00DC068D">
      <w:pPr>
        <w:pStyle w:val="BodyTextIndent2"/>
        <w:spacing w:after="0" w:line="240" w:lineRule="auto"/>
        <w:ind w:left="720"/>
        <w:rPr>
          <w:rFonts w:ascii="Garamond" w:hAnsi="Garamond"/>
        </w:rPr>
      </w:pPr>
    </w:p>
    <w:p w14:paraId="59AEE125" w14:textId="5A5A81A3" w:rsidR="006253C6" w:rsidRPr="006124D6" w:rsidRDefault="006253C6" w:rsidP="00DC068D">
      <w:pPr>
        <w:pStyle w:val="BodyTextIndent2"/>
        <w:spacing w:after="0" w:line="240" w:lineRule="auto"/>
        <w:ind w:left="720"/>
        <w:rPr>
          <w:rFonts w:ascii="Garamond" w:hAnsi="Garamond"/>
        </w:rPr>
      </w:pPr>
      <w:r w:rsidRPr="006124D6">
        <w:rPr>
          <w:rFonts w:ascii="Garamond" w:hAnsi="Garamond"/>
        </w:rPr>
        <w:t xml:space="preserve">Based on this analysis, </w:t>
      </w:r>
      <w:r w:rsidR="009C3F2D">
        <w:rPr>
          <w:rFonts w:ascii="Garamond" w:hAnsi="Garamond"/>
        </w:rPr>
        <w:t>DEQ</w:t>
      </w:r>
      <w:r w:rsidRPr="006124D6">
        <w:rPr>
          <w:rFonts w:ascii="Garamond" w:hAnsi="Garamond"/>
        </w:rPr>
        <w:t xml:space="preserve"> determined there are no taking or damaging implications associated with this permit action.</w:t>
      </w:r>
    </w:p>
    <w:p w14:paraId="25003F81" w14:textId="77777777" w:rsidR="006253C6" w:rsidRPr="006124D6" w:rsidRDefault="006253C6">
      <w:pPr>
        <w:ind w:left="720"/>
        <w:rPr>
          <w:rFonts w:ascii="Garamond" w:hAnsi="Garamond"/>
        </w:rPr>
      </w:pPr>
    </w:p>
    <w:p w14:paraId="15910365" w14:textId="77777777" w:rsidR="0011127E" w:rsidRPr="006124D6" w:rsidRDefault="0011127E">
      <w:pPr>
        <w:pStyle w:val="Heading2"/>
        <w:rPr>
          <w:rFonts w:ascii="Garamond" w:hAnsi="Garamond"/>
          <w:sz w:val="24"/>
          <w:szCs w:val="24"/>
        </w:rPr>
      </w:pPr>
      <w:bookmarkStart w:id="16" w:name="_Toc163359612"/>
      <w:bookmarkStart w:id="17" w:name="_Toc104892064"/>
      <w:r w:rsidRPr="006124D6">
        <w:rPr>
          <w:rFonts w:ascii="Garamond" w:hAnsi="Garamond"/>
          <w:sz w:val="24"/>
          <w:szCs w:val="24"/>
        </w:rPr>
        <w:t>F.</w:t>
      </w:r>
      <w:r w:rsidRPr="006124D6">
        <w:rPr>
          <w:rFonts w:ascii="Garamond" w:hAnsi="Garamond"/>
          <w:sz w:val="24"/>
          <w:szCs w:val="24"/>
        </w:rPr>
        <w:tab/>
        <w:t>Compliance Designation</w:t>
      </w:r>
      <w:bookmarkEnd w:id="16"/>
      <w:bookmarkEnd w:id="17"/>
    </w:p>
    <w:p w14:paraId="585A4B75" w14:textId="77777777" w:rsidR="00796F1B" w:rsidRDefault="00796F1B" w:rsidP="00F04C59">
      <w:pPr>
        <w:rPr>
          <w:rFonts w:ascii="Garamond" w:hAnsi="Garamond"/>
        </w:rPr>
      </w:pPr>
    </w:p>
    <w:p w14:paraId="06885F4A" w14:textId="650AB260" w:rsidR="00796F1B" w:rsidRPr="00796F1B" w:rsidRDefault="009C3F2D" w:rsidP="00796F1B">
      <w:pPr>
        <w:widowControl/>
        <w:autoSpaceDE/>
        <w:autoSpaceDN/>
        <w:adjustRightInd/>
        <w:ind w:left="720"/>
        <w:rPr>
          <w:rFonts w:ascii="Garamond" w:hAnsi="Garamond"/>
        </w:rPr>
      </w:pPr>
      <w:r>
        <w:rPr>
          <w:rFonts w:ascii="Garamond" w:hAnsi="Garamond"/>
        </w:rPr>
        <w:t>DEQ</w:t>
      </w:r>
      <w:r w:rsidR="00796F1B" w:rsidRPr="00796F1B">
        <w:rPr>
          <w:rFonts w:ascii="Garamond" w:hAnsi="Garamond"/>
        </w:rPr>
        <w:t xml:space="preserve"> conducted a Full Compliance Evaluation (FCE) on </w:t>
      </w:r>
      <w:r w:rsidR="002C64C4">
        <w:rPr>
          <w:rFonts w:ascii="Garamond" w:hAnsi="Garamond"/>
        </w:rPr>
        <w:t>September 11</w:t>
      </w:r>
      <w:r w:rsidR="00796F1B" w:rsidRPr="00796F1B">
        <w:rPr>
          <w:rFonts w:ascii="Garamond" w:hAnsi="Garamond"/>
        </w:rPr>
        <w:t>, 202</w:t>
      </w:r>
      <w:r w:rsidR="002C64C4">
        <w:rPr>
          <w:rFonts w:ascii="Garamond" w:hAnsi="Garamond"/>
        </w:rPr>
        <w:t>4</w:t>
      </w:r>
      <w:r w:rsidR="00D8745A">
        <w:rPr>
          <w:rFonts w:ascii="Garamond" w:hAnsi="Garamond"/>
        </w:rPr>
        <w:t xml:space="preserve">. </w:t>
      </w:r>
      <w:r w:rsidR="00796F1B" w:rsidRPr="00796F1B">
        <w:rPr>
          <w:rFonts w:ascii="Garamond" w:hAnsi="Garamond"/>
        </w:rPr>
        <w:t xml:space="preserve">The FCE included compliance reports/records submitted by CELP for the review period of </w:t>
      </w:r>
      <w:r w:rsidR="007734EC">
        <w:rPr>
          <w:rFonts w:ascii="Garamond" w:hAnsi="Garamond"/>
        </w:rPr>
        <w:t>July 16</w:t>
      </w:r>
      <w:r w:rsidR="00796F1B" w:rsidRPr="00796F1B">
        <w:rPr>
          <w:rFonts w:ascii="Garamond" w:hAnsi="Garamond"/>
        </w:rPr>
        <w:t xml:space="preserve">, </w:t>
      </w:r>
      <w:r w:rsidR="00E613F3" w:rsidRPr="00796F1B">
        <w:rPr>
          <w:rFonts w:ascii="Garamond" w:hAnsi="Garamond"/>
        </w:rPr>
        <w:t>20</w:t>
      </w:r>
      <w:r w:rsidR="00E613F3">
        <w:rPr>
          <w:rFonts w:ascii="Garamond" w:hAnsi="Garamond"/>
        </w:rPr>
        <w:t>22,</w:t>
      </w:r>
      <w:r w:rsidR="00796F1B" w:rsidRPr="00796F1B">
        <w:rPr>
          <w:rFonts w:ascii="Garamond" w:hAnsi="Garamond"/>
        </w:rPr>
        <w:t xml:space="preserve"> through </w:t>
      </w:r>
      <w:r w:rsidR="007734EC">
        <w:rPr>
          <w:rFonts w:ascii="Garamond" w:hAnsi="Garamond"/>
        </w:rPr>
        <w:t>September</w:t>
      </w:r>
      <w:r w:rsidR="00796F1B" w:rsidRPr="00796F1B">
        <w:rPr>
          <w:rFonts w:ascii="Garamond" w:hAnsi="Garamond"/>
        </w:rPr>
        <w:t xml:space="preserve"> 1</w:t>
      </w:r>
      <w:r w:rsidR="007734EC">
        <w:rPr>
          <w:rFonts w:ascii="Garamond" w:hAnsi="Garamond"/>
        </w:rPr>
        <w:t>1</w:t>
      </w:r>
      <w:r w:rsidR="00796F1B" w:rsidRPr="00796F1B">
        <w:rPr>
          <w:rFonts w:ascii="Garamond" w:hAnsi="Garamond"/>
        </w:rPr>
        <w:t xml:space="preserve">, </w:t>
      </w:r>
      <w:r w:rsidR="00E613F3" w:rsidRPr="00796F1B">
        <w:rPr>
          <w:rFonts w:ascii="Garamond" w:hAnsi="Garamond"/>
        </w:rPr>
        <w:t>202</w:t>
      </w:r>
      <w:r w:rsidR="00E613F3">
        <w:rPr>
          <w:rFonts w:ascii="Garamond" w:hAnsi="Garamond"/>
        </w:rPr>
        <w:t>4,</w:t>
      </w:r>
      <w:r w:rsidR="00796F1B" w:rsidRPr="00796F1B">
        <w:rPr>
          <w:rFonts w:ascii="Garamond" w:hAnsi="Garamond"/>
        </w:rPr>
        <w:t xml:space="preserve"> and an on-site facility inspection conducted on </w:t>
      </w:r>
      <w:r w:rsidR="007734EC">
        <w:rPr>
          <w:rFonts w:ascii="Garamond" w:hAnsi="Garamond"/>
        </w:rPr>
        <w:t>September 11</w:t>
      </w:r>
      <w:r w:rsidR="00796F1B" w:rsidRPr="00796F1B">
        <w:rPr>
          <w:rFonts w:ascii="Garamond" w:hAnsi="Garamond"/>
        </w:rPr>
        <w:t>, 202</w:t>
      </w:r>
      <w:r w:rsidR="007734EC">
        <w:rPr>
          <w:rFonts w:ascii="Garamond" w:hAnsi="Garamond"/>
        </w:rPr>
        <w:t>4</w:t>
      </w:r>
      <w:r w:rsidR="00796F1B" w:rsidRPr="00796F1B">
        <w:rPr>
          <w:rFonts w:ascii="Garamond" w:hAnsi="Garamond"/>
        </w:rPr>
        <w:t>.</w:t>
      </w:r>
    </w:p>
    <w:p w14:paraId="38BC4079" w14:textId="77777777" w:rsidR="00796F1B" w:rsidRPr="00796F1B" w:rsidRDefault="00796F1B" w:rsidP="00796F1B">
      <w:pPr>
        <w:widowControl/>
        <w:autoSpaceDE/>
        <w:autoSpaceDN/>
        <w:adjustRightInd/>
        <w:ind w:left="720"/>
        <w:rPr>
          <w:rFonts w:ascii="Garamond" w:hAnsi="Garamond"/>
        </w:rPr>
      </w:pPr>
    </w:p>
    <w:p w14:paraId="02247C63" w14:textId="608CA4CB" w:rsidR="00796F1B" w:rsidRDefault="00796F1B" w:rsidP="00796F1B">
      <w:pPr>
        <w:widowControl/>
        <w:autoSpaceDE/>
        <w:autoSpaceDN/>
        <w:adjustRightInd/>
        <w:ind w:left="720"/>
        <w:rPr>
          <w:rFonts w:ascii="Garamond" w:hAnsi="Garamond"/>
        </w:rPr>
      </w:pPr>
      <w:r w:rsidRPr="00796F1B">
        <w:rPr>
          <w:rFonts w:ascii="Garamond" w:hAnsi="Garamond"/>
        </w:rPr>
        <w:t xml:space="preserve">Based on findings at the time of the facility inspection and review of reports and records, </w:t>
      </w:r>
      <w:proofErr w:type="gramStart"/>
      <w:r w:rsidR="009C3F2D">
        <w:rPr>
          <w:rFonts w:ascii="Garamond" w:hAnsi="Garamond"/>
        </w:rPr>
        <w:t>DEQ</w:t>
      </w:r>
      <w:r w:rsidRPr="00796F1B">
        <w:rPr>
          <w:rFonts w:ascii="Garamond" w:hAnsi="Garamond"/>
        </w:rPr>
        <w:t>,</w:t>
      </w:r>
      <w:proofErr w:type="gramEnd"/>
      <w:r w:rsidRPr="00796F1B">
        <w:rPr>
          <w:rFonts w:ascii="Garamond" w:hAnsi="Garamond"/>
        </w:rPr>
        <w:t xml:space="preserve"> determined CELP to </w:t>
      </w:r>
      <w:proofErr w:type="gramStart"/>
      <w:r w:rsidRPr="00796F1B">
        <w:rPr>
          <w:rFonts w:ascii="Garamond" w:hAnsi="Garamond"/>
        </w:rPr>
        <w:t>be in compliance with</w:t>
      </w:r>
      <w:proofErr w:type="gramEnd"/>
      <w:r w:rsidRPr="00796F1B">
        <w:rPr>
          <w:rFonts w:ascii="Garamond" w:hAnsi="Garamond"/>
        </w:rPr>
        <w:t xml:space="preserve"> the terms and conditions of the effective operating permit and reference rules and regulations</w:t>
      </w:r>
      <w:r>
        <w:rPr>
          <w:rFonts w:ascii="Garamond" w:hAnsi="Garamond"/>
        </w:rPr>
        <w:t>.</w:t>
      </w:r>
    </w:p>
    <w:p w14:paraId="29435D8A" w14:textId="77777777" w:rsidR="0083326E" w:rsidRPr="006124D6" w:rsidRDefault="0083326E" w:rsidP="0083326E">
      <w:pPr>
        <w:widowControl/>
        <w:autoSpaceDE/>
        <w:autoSpaceDN/>
        <w:adjustRightInd/>
        <w:ind w:left="720"/>
        <w:rPr>
          <w:rFonts w:ascii="Garamond" w:hAnsi="Garamond"/>
        </w:rPr>
      </w:pPr>
    </w:p>
    <w:p w14:paraId="18683EEB" w14:textId="3AD7E7FE" w:rsidR="0083326E" w:rsidRPr="006124D6" w:rsidRDefault="0083326E" w:rsidP="0083326E">
      <w:pPr>
        <w:widowControl/>
        <w:autoSpaceDE/>
        <w:autoSpaceDN/>
        <w:adjustRightInd/>
        <w:ind w:left="720"/>
        <w:rPr>
          <w:rFonts w:ascii="Garamond" w:hAnsi="Garamond"/>
        </w:rPr>
      </w:pPr>
      <w:r w:rsidRPr="006124D6">
        <w:rPr>
          <w:rFonts w:ascii="Garamond" w:hAnsi="Garamond"/>
        </w:rPr>
        <w:t xml:space="preserve">  </w:t>
      </w:r>
    </w:p>
    <w:p w14:paraId="7242714B" w14:textId="6A66E6A5" w:rsidR="0011127E" w:rsidRPr="006124D6" w:rsidRDefault="003E783E">
      <w:pPr>
        <w:pStyle w:val="Heading1"/>
        <w:rPr>
          <w:rFonts w:ascii="Garamond" w:hAnsi="Garamond"/>
          <w:sz w:val="24"/>
          <w:szCs w:val="24"/>
        </w:rPr>
      </w:pPr>
      <w:r w:rsidRPr="006124D6">
        <w:rPr>
          <w:rFonts w:ascii="Garamond" w:hAnsi="Garamond"/>
          <w:sz w:val="24"/>
          <w:szCs w:val="24"/>
        </w:rPr>
        <w:br w:type="page"/>
      </w:r>
      <w:bookmarkStart w:id="18" w:name="_Toc163359613"/>
      <w:bookmarkStart w:id="19" w:name="_Toc104892065"/>
      <w:r w:rsidRPr="006124D6">
        <w:rPr>
          <w:rFonts w:ascii="Garamond" w:hAnsi="Garamond"/>
          <w:sz w:val="24"/>
          <w:szCs w:val="24"/>
        </w:rPr>
        <w:lastRenderedPageBreak/>
        <w:t>Section ii</w:t>
      </w:r>
      <w:r w:rsidR="00D8745A">
        <w:rPr>
          <w:rFonts w:ascii="Garamond" w:hAnsi="Garamond"/>
          <w:sz w:val="24"/>
          <w:szCs w:val="24"/>
        </w:rPr>
        <w:t xml:space="preserve">. </w:t>
      </w:r>
      <w:r w:rsidRPr="006124D6">
        <w:rPr>
          <w:rFonts w:ascii="Garamond" w:hAnsi="Garamond"/>
          <w:sz w:val="24"/>
          <w:szCs w:val="24"/>
        </w:rPr>
        <w:t>Summary of Emission</w:t>
      </w:r>
      <w:r w:rsidR="0011127E" w:rsidRPr="006124D6">
        <w:rPr>
          <w:rFonts w:ascii="Garamond" w:hAnsi="Garamond"/>
          <w:sz w:val="24"/>
          <w:szCs w:val="24"/>
        </w:rPr>
        <w:t xml:space="preserve"> Units</w:t>
      </w:r>
      <w:bookmarkEnd w:id="18"/>
      <w:bookmarkEnd w:id="19"/>
    </w:p>
    <w:p w14:paraId="7A0145BA" w14:textId="77777777" w:rsidR="0011127E" w:rsidRPr="006124D6" w:rsidRDefault="0011127E">
      <w:pPr>
        <w:jc w:val="center"/>
        <w:rPr>
          <w:rFonts w:ascii="Garamond" w:hAnsi="Garamond"/>
        </w:rPr>
      </w:pPr>
    </w:p>
    <w:p w14:paraId="1DDCD799" w14:textId="77777777" w:rsidR="0011127E" w:rsidRPr="006124D6" w:rsidRDefault="0011127E">
      <w:pPr>
        <w:pStyle w:val="Heading2"/>
        <w:rPr>
          <w:rFonts w:ascii="Garamond" w:hAnsi="Garamond"/>
          <w:sz w:val="24"/>
          <w:szCs w:val="24"/>
        </w:rPr>
      </w:pPr>
      <w:bookmarkStart w:id="20" w:name="_Toc163359614"/>
      <w:bookmarkStart w:id="21" w:name="_Toc104892066"/>
      <w:r w:rsidRPr="006124D6">
        <w:rPr>
          <w:rFonts w:ascii="Garamond" w:hAnsi="Garamond"/>
          <w:sz w:val="24"/>
          <w:szCs w:val="24"/>
        </w:rPr>
        <w:t>A.</w:t>
      </w:r>
      <w:r w:rsidRPr="006124D6">
        <w:rPr>
          <w:rFonts w:ascii="Garamond" w:hAnsi="Garamond"/>
          <w:sz w:val="24"/>
          <w:szCs w:val="24"/>
        </w:rPr>
        <w:tab/>
        <w:t>Facility Process Description</w:t>
      </w:r>
      <w:bookmarkEnd w:id="20"/>
      <w:bookmarkEnd w:id="21"/>
    </w:p>
    <w:p w14:paraId="3C47D921" w14:textId="77777777" w:rsidR="0011127E" w:rsidRPr="006124D6" w:rsidRDefault="0011127E">
      <w:pPr>
        <w:tabs>
          <w:tab w:val="left" w:pos="-1440"/>
        </w:tabs>
        <w:ind w:left="360"/>
        <w:rPr>
          <w:rFonts w:ascii="Garamond" w:hAnsi="Garamond"/>
          <w:b/>
          <w:bCs/>
        </w:rPr>
      </w:pPr>
    </w:p>
    <w:p w14:paraId="2B61AAF2" w14:textId="0A9AAB7F" w:rsidR="0011127E" w:rsidRPr="006124D6" w:rsidRDefault="0011127E">
      <w:pPr>
        <w:ind w:left="720"/>
        <w:rPr>
          <w:rFonts w:ascii="Garamond" w:hAnsi="Garamond"/>
        </w:rPr>
      </w:pPr>
      <w:r w:rsidRPr="006124D6">
        <w:rPr>
          <w:rFonts w:ascii="Garamond" w:hAnsi="Garamond"/>
        </w:rPr>
        <w:t>CELP is an electric generating facility designed to burn low-BTU waste coal from mining operations east of Billings, Montana</w:t>
      </w:r>
      <w:r w:rsidR="00D8745A">
        <w:rPr>
          <w:rFonts w:ascii="Garamond" w:hAnsi="Garamond"/>
        </w:rPr>
        <w:t xml:space="preserve">. </w:t>
      </w:r>
      <w:r w:rsidRPr="006124D6">
        <w:rPr>
          <w:rFonts w:ascii="Garamond" w:hAnsi="Garamond"/>
        </w:rPr>
        <w:t xml:space="preserve">The facility uses a </w:t>
      </w:r>
      <w:r w:rsidR="00733887" w:rsidRPr="006124D6">
        <w:rPr>
          <w:rFonts w:ascii="Garamond" w:hAnsi="Garamond"/>
        </w:rPr>
        <w:t>C</w:t>
      </w:r>
      <w:r w:rsidRPr="006124D6">
        <w:rPr>
          <w:rFonts w:ascii="Garamond" w:hAnsi="Garamond"/>
        </w:rPr>
        <w:t>FB boiler</w:t>
      </w:r>
      <w:r w:rsidR="00D8745A">
        <w:rPr>
          <w:rFonts w:ascii="Garamond" w:hAnsi="Garamond"/>
        </w:rPr>
        <w:t xml:space="preserve">. </w:t>
      </w:r>
      <w:r w:rsidRPr="006124D6">
        <w:rPr>
          <w:rFonts w:ascii="Garamond" w:hAnsi="Garamond"/>
        </w:rPr>
        <w:t>The CFB boiler is designed to efficiently utilize low-Btu coal while also allowing a high recovery of fuel sulfur through the injection of limestone into the fluidized bed.</w:t>
      </w:r>
    </w:p>
    <w:p w14:paraId="5CE7C53A" w14:textId="77777777" w:rsidR="0011127E" w:rsidRPr="006124D6" w:rsidRDefault="0011127E">
      <w:pPr>
        <w:ind w:left="720"/>
        <w:rPr>
          <w:rFonts w:ascii="Garamond" w:hAnsi="Garamond"/>
        </w:rPr>
      </w:pPr>
    </w:p>
    <w:p w14:paraId="42862E91" w14:textId="0CB4C6A5" w:rsidR="0011127E" w:rsidRPr="006124D6" w:rsidRDefault="0011127E">
      <w:pPr>
        <w:pStyle w:val="BodyTextIndent"/>
        <w:rPr>
          <w:rFonts w:ascii="Garamond" w:hAnsi="Garamond"/>
          <w:sz w:val="24"/>
          <w:szCs w:val="24"/>
        </w:rPr>
      </w:pPr>
      <w:r w:rsidRPr="006124D6">
        <w:rPr>
          <w:rFonts w:ascii="Garamond" w:hAnsi="Garamond"/>
          <w:sz w:val="24"/>
          <w:szCs w:val="24"/>
        </w:rPr>
        <w:t>Coal is delivered to this facility using covered trucks and trailers</w:t>
      </w:r>
      <w:r w:rsidR="00D8745A">
        <w:rPr>
          <w:rFonts w:ascii="Garamond" w:hAnsi="Garamond"/>
          <w:sz w:val="24"/>
          <w:szCs w:val="24"/>
        </w:rPr>
        <w:t xml:space="preserve">. </w:t>
      </w:r>
      <w:r w:rsidR="00065535">
        <w:rPr>
          <w:rFonts w:ascii="Garamond" w:hAnsi="Garamond"/>
          <w:sz w:val="24"/>
          <w:szCs w:val="24"/>
        </w:rPr>
        <w:t>C</w:t>
      </w:r>
      <w:r w:rsidRPr="006124D6">
        <w:rPr>
          <w:rFonts w:ascii="Garamond" w:hAnsi="Garamond"/>
          <w:sz w:val="24"/>
          <w:szCs w:val="24"/>
        </w:rPr>
        <w:t xml:space="preserve">oal storage </w:t>
      </w:r>
      <w:r w:rsidR="00ED28C1">
        <w:rPr>
          <w:rFonts w:ascii="Garamond" w:hAnsi="Garamond"/>
          <w:sz w:val="24"/>
          <w:szCs w:val="24"/>
        </w:rPr>
        <w:t>at the facility is provided</w:t>
      </w:r>
      <w:r w:rsidR="00065535">
        <w:rPr>
          <w:rFonts w:ascii="Garamond" w:hAnsi="Garamond"/>
          <w:sz w:val="24"/>
          <w:szCs w:val="24"/>
        </w:rPr>
        <w:t xml:space="preserve"> </w:t>
      </w:r>
      <w:r w:rsidR="00ED28C1">
        <w:rPr>
          <w:rFonts w:ascii="Garamond" w:hAnsi="Garamond"/>
          <w:sz w:val="24"/>
          <w:szCs w:val="24"/>
        </w:rPr>
        <w:t>through</w:t>
      </w:r>
      <w:r w:rsidRPr="006124D6">
        <w:rPr>
          <w:rFonts w:ascii="Garamond" w:hAnsi="Garamond"/>
          <w:sz w:val="24"/>
          <w:szCs w:val="24"/>
        </w:rPr>
        <w:t xml:space="preserve"> the truck hopper (</w:t>
      </w:r>
      <w:proofErr w:type="gramStart"/>
      <w:r w:rsidRPr="006124D6">
        <w:rPr>
          <w:rFonts w:ascii="Garamond" w:hAnsi="Garamond"/>
          <w:sz w:val="24"/>
          <w:szCs w:val="24"/>
        </w:rPr>
        <w:t>80 ton</w:t>
      </w:r>
      <w:proofErr w:type="gramEnd"/>
      <w:r w:rsidRPr="006124D6">
        <w:rPr>
          <w:rFonts w:ascii="Garamond" w:hAnsi="Garamond"/>
          <w:sz w:val="24"/>
          <w:szCs w:val="24"/>
        </w:rPr>
        <w:t xml:space="preserve"> capacity), the boiler coal bunkers (</w:t>
      </w:r>
      <w:proofErr w:type="gramStart"/>
      <w:r w:rsidRPr="006124D6">
        <w:rPr>
          <w:rFonts w:ascii="Garamond" w:hAnsi="Garamond"/>
          <w:sz w:val="24"/>
          <w:szCs w:val="24"/>
        </w:rPr>
        <w:t>1</w:t>
      </w:r>
      <w:r w:rsidR="00E714B9">
        <w:rPr>
          <w:rFonts w:ascii="Garamond" w:hAnsi="Garamond"/>
          <w:sz w:val="24"/>
          <w:szCs w:val="24"/>
        </w:rPr>
        <w:t>,</w:t>
      </w:r>
      <w:r w:rsidRPr="006124D6">
        <w:rPr>
          <w:rFonts w:ascii="Garamond" w:hAnsi="Garamond"/>
          <w:sz w:val="24"/>
          <w:szCs w:val="24"/>
        </w:rPr>
        <w:t>700 ton</w:t>
      </w:r>
      <w:proofErr w:type="gramEnd"/>
      <w:r w:rsidRPr="006124D6">
        <w:rPr>
          <w:rFonts w:ascii="Garamond" w:hAnsi="Garamond"/>
          <w:sz w:val="24"/>
          <w:szCs w:val="24"/>
        </w:rPr>
        <w:t xml:space="preserve"> capacity)</w:t>
      </w:r>
      <w:r w:rsidR="00ED28C1">
        <w:rPr>
          <w:rFonts w:ascii="Garamond" w:hAnsi="Garamond"/>
          <w:sz w:val="24"/>
          <w:szCs w:val="24"/>
        </w:rPr>
        <w:t xml:space="preserve">, and a single open coal storage pile (25,000 </w:t>
      </w:r>
      <w:proofErr w:type="gramStart"/>
      <w:r w:rsidR="00ED28C1">
        <w:rPr>
          <w:rFonts w:ascii="Garamond" w:hAnsi="Garamond"/>
          <w:sz w:val="24"/>
          <w:szCs w:val="24"/>
        </w:rPr>
        <w:t>ton</w:t>
      </w:r>
      <w:proofErr w:type="gramEnd"/>
      <w:r w:rsidR="00ED28C1">
        <w:rPr>
          <w:rFonts w:ascii="Garamond" w:hAnsi="Garamond"/>
          <w:sz w:val="24"/>
          <w:szCs w:val="24"/>
        </w:rPr>
        <w:t>)</w:t>
      </w:r>
      <w:r w:rsidR="00D8745A">
        <w:rPr>
          <w:rFonts w:ascii="Garamond" w:hAnsi="Garamond"/>
          <w:sz w:val="24"/>
          <w:szCs w:val="24"/>
        </w:rPr>
        <w:t xml:space="preserve">. </w:t>
      </w:r>
      <w:r w:rsidRPr="006124D6">
        <w:rPr>
          <w:rFonts w:ascii="Garamond" w:hAnsi="Garamond"/>
          <w:sz w:val="24"/>
          <w:szCs w:val="24"/>
        </w:rPr>
        <w:t xml:space="preserve">The coal is crushed in primary and a </w:t>
      </w:r>
      <w:proofErr w:type="gramStart"/>
      <w:r w:rsidRPr="006124D6">
        <w:rPr>
          <w:rFonts w:ascii="Garamond" w:hAnsi="Garamond"/>
          <w:sz w:val="24"/>
          <w:szCs w:val="24"/>
        </w:rPr>
        <w:t>secondary crushers</w:t>
      </w:r>
      <w:proofErr w:type="gramEnd"/>
      <w:r w:rsidRPr="006124D6">
        <w:rPr>
          <w:rFonts w:ascii="Garamond" w:hAnsi="Garamond"/>
          <w:sz w:val="24"/>
          <w:szCs w:val="24"/>
        </w:rPr>
        <w:t>, then conveyed directly to the boiler house coal bunker</w:t>
      </w:r>
      <w:r w:rsidR="00D8745A">
        <w:rPr>
          <w:rFonts w:ascii="Garamond" w:hAnsi="Garamond"/>
          <w:sz w:val="24"/>
          <w:szCs w:val="24"/>
        </w:rPr>
        <w:t xml:space="preserve">. </w:t>
      </w:r>
      <w:r w:rsidRPr="006124D6">
        <w:rPr>
          <w:rFonts w:ascii="Garamond" w:hAnsi="Garamond"/>
          <w:sz w:val="24"/>
          <w:szCs w:val="24"/>
        </w:rPr>
        <w:t>The crushed coal is metered to the fluidized bed portion of the boiler using gravimetric feeders.</w:t>
      </w:r>
    </w:p>
    <w:p w14:paraId="30B54B1E" w14:textId="77777777" w:rsidR="0011127E" w:rsidRPr="006124D6" w:rsidRDefault="0011127E">
      <w:pPr>
        <w:ind w:left="720"/>
        <w:rPr>
          <w:rFonts w:ascii="Garamond" w:hAnsi="Garamond"/>
        </w:rPr>
      </w:pPr>
    </w:p>
    <w:p w14:paraId="360F7A97" w14:textId="0C451476" w:rsidR="0011127E" w:rsidRPr="006124D6" w:rsidRDefault="0011127E">
      <w:pPr>
        <w:ind w:left="720"/>
        <w:rPr>
          <w:rFonts w:ascii="Garamond" w:hAnsi="Garamond"/>
        </w:rPr>
      </w:pPr>
      <w:r w:rsidRPr="006124D6">
        <w:rPr>
          <w:rFonts w:ascii="Garamond" w:hAnsi="Garamond"/>
        </w:rPr>
        <w:t xml:space="preserve">Limestone is delivered to this facility in trucks and trailers and </w:t>
      </w:r>
      <w:r w:rsidR="00ED28C1">
        <w:rPr>
          <w:rFonts w:ascii="Garamond" w:hAnsi="Garamond"/>
        </w:rPr>
        <w:t xml:space="preserve">is </w:t>
      </w:r>
      <w:r w:rsidRPr="006124D6">
        <w:rPr>
          <w:rFonts w:ascii="Garamond" w:hAnsi="Garamond"/>
        </w:rPr>
        <w:t>unloaded pneumatically into a</w:t>
      </w:r>
      <w:r w:rsidR="00CE64E9">
        <w:rPr>
          <w:rFonts w:ascii="Garamond" w:hAnsi="Garamond"/>
        </w:rPr>
        <w:t>n</w:t>
      </w:r>
      <w:r w:rsidRPr="006124D6">
        <w:rPr>
          <w:rFonts w:ascii="Garamond" w:hAnsi="Garamond"/>
        </w:rPr>
        <w:t xml:space="preserve"> </w:t>
      </w:r>
      <w:proofErr w:type="gramStart"/>
      <w:r w:rsidRPr="006124D6">
        <w:rPr>
          <w:rFonts w:ascii="Garamond" w:hAnsi="Garamond"/>
        </w:rPr>
        <w:t>820 ton</w:t>
      </w:r>
      <w:proofErr w:type="gramEnd"/>
      <w:r w:rsidRPr="006124D6">
        <w:rPr>
          <w:rFonts w:ascii="Garamond" w:hAnsi="Garamond"/>
        </w:rPr>
        <w:t xml:space="preserve"> silo</w:t>
      </w:r>
      <w:r w:rsidR="00D8745A">
        <w:rPr>
          <w:rFonts w:ascii="Garamond" w:hAnsi="Garamond"/>
        </w:rPr>
        <w:t xml:space="preserve">. </w:t>
      </w:r>
      <w:r w:rsidRPr="006124D6">
        <w:rPr>
          <w:rFonts w:ascii="Garamond" w:hAnsi="Garamond"/>
        </w:rPr>
        <w:t>From the silo, limestone is metered to the boiler using gravimetric feeders and a pressure pneumatic conveying system</w:t>
      </w:r>
      <w:r w:rsidR="00D8745A">
        <w:rPr>
          <w:rFonts w:ascii="Garamond" w:hAnsi="Garamond"/>
        </w:rPr>
        <w:t xml:space="preserve">. </w:t>
      </w:r>
      <w:r w:rsidRPr="006124D6">
        <w:rPr>
          <w:rFonts w:ascii="Garamond" w:hAnsi="Garamond"/>
        </w:rPr>
        <w:t>In the boiler, the coal is burned at relatively low temperatures to minimize NO</w:t>
      </w:r>
      <w:r w:rsidR="0069641A" w:rsidRPr="006124D6">
        <w:rPr>
          <w:rFonts w:ascii="Garamond" w:hAnsi="Garamond"/>
          <w:vertAlign w:val="subscript"/>
        </w:rPr>
        <w:t>x</w:t>
      </w:r>
      <w:r w:rsidRPr="006124D6">
        <w:rPr>
          <w:rFonts w:ascii="Garamond" w:hAnsi="Garamond"/>
        </w:rPr>
        <w:t xml:space="preserve"> formation</w:t>
      </w:r>
      <w:r w:rsidR="00D8745A">
        <w:rPr>
          <w:rFonts w:ascii="Garamond" w:hAnsi="Garamond"/>
        </w:rPr>
        <w:t xml:space="preserve">. </w:t>
      </w:r>
      <w:r w:rsidRPr="006124D6">
        <w:rPr>
          <w:rFonts w:ascii="Garamond" w:hAnsi="Garamond"/>
        </w:rPr>
        <w:t xml:space="preserve">Limestone fed to the boiler acts as a reactant for removing </w:t>
      </w:r>
      <w:r w:rsidR="00ED28C1">
        <w:rPr>
          <w:rFonts w:ascii="Garamond" w:hAnsi="Garamond"/>
        </w:rPr>
        <w:t>SO</w:t>
      </w:r>
      <w:r w:rsidR="00ED28C1" w:rsidRPr="006124D6">
        <w:rPr>
          <w:rFonts w:ascii="Garamond" w:hAnsi="Garamond"/>
          <w:vertAlign w:val="subscript"/>
        </w:rPr>
        <w:t>2</w:t>
      </w:r>
      <w:r w:rsidRPr="006124D6">
        <w:rPr>
          <w:rFonts w:ascii="Garamond" w:hAnsi="Garamond"/>
        </w:rPr>
        <w:t>.</w:t>
      </w:r>
    </w:p>
    <w:p w14:paraId="0ADED1A5" w14:textId="77777777" w:rsidR="0011127E" w:rsidRPr="006124D6" w:rsidRDefault="0011127E">
      <w:pPr>
        <w:ind w:left="720"/>
        <w:rPr>
          <w:rFonts w:ascii="Garamond" w:hAnsi="Garamond"/>
        </w:rPr>
      </w:pPr>
    </w:p>
    <w:p w14:paraId="211D51CD" w14:textId="2D10DC4A" w:rsidR="0011127E" w:rsidRPr="006124D6" w:rsidRDefault="0011127E">
      <w:pPr>
        <w:ind w:left="720"/>
        <w:rPr>
          <w:rFonts w:ascii="Garamond" w:hAnsi="Garamond"/>
          <w:b/>
          <w:bCs/>
        </w:rPr>
      </w:pPr>
      <w:r w:rsidRPr="006124D6">
        <w:rPr>
          <w:rFonts w:ascii="Garamond" w:hAnsi="Garamond"/>
        </w:rPr>
        <w:t xml:space="preserve">Ash from the boiler is discharged as either </w:t>
      </w:r>
      <w:proofErr w:type="spellStart"/>
      <w:r w:rsidRPr="006124D6">
        <w:rPr>
          <w:rFonts w:ascii="Garamond" w:hAnsi="Garamond"/>
        </w:rPr>
        <w:t>bedash</w:t>
      </w:r>
      <w:proofErr w:type="spellEnd"/>
      <w:r w:rsidRPr="006124D6">
        <w:rPr>
          <w:rFonts w:ascii="Garamond" w:hAnsi="Garamond"/>
        </w:rPr>
        <w:t xml:space="preserve"> or </w:t>
      </w:r>
      <w:proofErr w:type="spellStart"/>
      <w:r w:rsidRPr="006124D6">
        <w:rPr>
          <w:rFonts w:ascii="Garamond" w:hAnsi="Garamond"/>
        </w:rPr>
        <w:t>flyash</w:t>
      </w:r>
      <w:proofErr w:type="spellEnd"/>
      <w:r w:rsidR="00D8745A">
        <w:rPr>
          <w:rFonts w:ascii="Garamond" w:hAnsi="Garamond"/>
        </w:rPr>
        <w:t xml:space="preserve">. </w:t>
      </w:r>
      <w:r w:rsidRPr="006124D6">
        <w:rPr>
          <w:rFonts w:ascii="Garamond" w:hAnsi="Garamond"/>
        </w:rPr>
        <w:t>Both types of ash are collected in separate systems and conveyed pneumatically to a common ash silo</w:t>
      </w:r>
      <w:r w:rsidR="00D8745A">
        <w:rPr>
          <w:rFonts w:ascii="Garamond" w:hAnsi="Garamond"/>
        </w:rPr>
        <w:t xml:space="preserve">. </w:t>
      </w:r>
      <w:r w:rsidRPr="006124D6">
        <w:rPr>
          <w:rFonts w:ascii="Garamond" w:hAnsi="Garamond"/>
        </w:rPr>
        <w:t>The combined ash is unloaded periodically into a plant ash truck and transported to an on-site disposal area.</w:t>
      </w:r>
    </w:p>
    <w:p w14:paraId="7CD7FB69" w14:textId="77777777" w:rsidR="0011127E" w:rsidRPr="006124D6" w:rsidRDefault="0011127E">
      <w:pPr>
        <w:tabs>
          <w:tab w:val="left" w:pos="-1440"/>
        </w:tabs>
        <w:ind w:left="360"/>
        <w:rPr>
          <w:rFonts w:ascii="Garamond" w:hAnsi="Garamond"/>
          <w:b/>
          <w:bCs/>
        </w:rPr>
      </w:pPr>
    </w:p>
    <w:p w14:paraId="04D4F877" w14:textId="77777777" w:rsidR="0011127E" w:rsidRPr="006124D6" w:rsidRDefault="0011127E">
      <w:pPr>
        <w:pStyle w:val="Heading2"/>
        <w:rPr>
          <w:rFonts w:ascii="Garamond" w:hAnsi="Garamond"/>
          <w:sz w:val="24"/>
          <w:szCs w:val="24"/>
        </w:rPr>
      </w:pPr>
      <w:bookmarkStart w:id="22" w:name="_Toc163359615"/>
      <w:bookmarkStart w:id="23" w:name="_Toc104892067"/>
      <w:r w:rsidRPr="006124D6">
        <w:rPr>
          <w:rFonts w:ascii="Garamond" w:hAnsi="Garamond"/>
          <w:sz w:val="24"/>
          <w:szCs w:val="24"/>
        </w:rPr>
        <w:t>B.</w:t>
      </w:r>
      <w:r w:rsidRPr="006124D6">
        <w:rPr>
          <w:rFonts w:ascii="Garamond" w:hAnsi="Garamond"/>
          <w:sz w:val="24"/>
          <w:szCs w:val="24"/>
        </w:rPr>
        <w:tab/>
        <w:t>Emission Units and Pollution Control Device Identification</w:t>
      </w:r>
      <w:bookmarkEnd w:id="22"/>
      <w:bookmarkEnd w:id="23"/>
    </w:p>
    <w:p w14:paraId="794C9085" w14:textId="77777777" w:rsidR="0011127E" w:rsidRPr="006124D6" w:rsidRDefault="0011127E">
      <w:pPr>
        <w:tabs>
          <w:tab w:val="left" w:pos="-1440"/>
        </w:tabs>
        <w:ind w:left="720"/>
        <w:rPr>
          <w:rFonts w:ascii="Garamond" w:hAnsi="Garamond"/>
          <w:b/>
          <w:bCs/>
        </w:rPr>
      </w:pPr>
    </w:p>
    <w:tbl>
      <w:tblPr>
        <w:tblW w:w="93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997"/>
        <w:gridCol w:w="3942"/>
        <w:gridCol w:w="4418"/>
      </w:tblGrid>
      <w:tr w:rsidR="007C1893" w:rsidRPr="0000543F" w14:paraId="2A83718C" w14:textId="77777777" w:rsidTr="00F700D4">
        <w:trPr>
          <w:trHeight w:val="481"/>
        </w:trPr>
        <w:tc>
          <w:tcPr>
            <w:tcW w:w="997" w:type="dxa"/>
            <w:tcBorders>
              <w:bottom w:val="single" w:sz="12" w:space="0" w:color="000000"/>
            </w:tcBorders>
            <w:tcMar>
              <w:left w:w="58" w:type="dxa"/>
              <w:right w:w="58" w:type="dxa"/>
            </w:tcMar>
          </w:tcPr>
          <w:p w14:paraId="09512D5D" w14:textId="77777777" w:rsidR="007C1893" w:rsidRPr="006124D6" w:rsidRDefault="007C1893">
            <w:pPr>
              <w:jc w:val="center"/>
              <w:rPr>
                <w:rFonts w:ascii="Garamond" w:hAnsi="Garamond"/>
                <w:b/>
                <w:sz w:val="22"/>
                <w:szCs w:val="22"/>
              </w:rPr>
            </w:pPr>
            <w:r w:rsidRPr="006124D6">
              <w:rPr>
                <w:rFonts w:ascii="Garamond" w:hAnsi="Garamond"/>
                <w:b/>
                <w:sz w:val="22"/>
                <w:szCs w:val="22"/>
              </w:rPr>
              <w:t>Emission Unit ID</w:t>
            </w:r>
          </w:p>
        </w:tc>
        <w:tc>
          <w:tcPr>
            <w:tcW w:w="3942" w:type="dxa"/>
            <w:tcBorders>
              <w:bottom w:val="single" w:sz="12" w:space="0" w:color="000000"/>
            </w:tcBorders>
            <w:tcMar>
              <w:left w:w="58" w:type="dxa"/>
              <w:right w:w="58" w:type="dxa"/>
            </w:tcMar>
          </w:tcPr>
          <w:p w14:paraId="0A4603C2" w14:textId="77777777" w:rsidR="007C1893" w:rsidRPr="006124D6" w:rsidRDefault="007C1893" w:rsidP="005947D5">
            <w:pPr>
              <w:jc w:val="center"/>
              <w:rPr>
                <w:rFonts w:ascii="Garamond" w:hAnsi="Garamond"/>
                <w:b/>
                <w:sz w:val="22"/>
                <w:szCs w:val="22"/>
              </w:rPr>
            </w:pPr>
            <w:r w:rsidRPr="006124D6">
              <w:rPr>
                <w:rFonts w:ascii="Garamond" w:hAnsi="Garamond"/>
                <w:b/>
                <w:sz w:val="22"/>
                <w:szCs w:val="22"/>
              </w:rPr>
              <w:t>Description</w:t>
            </w:r>
          </w:p>
        </w:tc>
        <w:tc>
          <w:tcPr>
            <w:tcW w:w="4418" w:type="dxa"/>
            <w:tcBorders>
              <w:bottom w:val="single" w:sz="12" w:space="0" w:color="000000"/>
            </w:tcBorders>
            <w:tcMar>
              <w:left w:w="58" w:type="dxa"/>
              <w:right w:w="58" w:type="dxa"/>
            </w:tcMar>
          </w:tcPr>
          <w:p w14:paraId="3B0ADB14" w14:textId="77777777" w:rsidR="007C1893" w:rsidRPr="006124D6" w:rsidRDefault="007C1893" w:rsidP="005947D5">
            <w:pPr>
              <w:jc w:val="center"/>
              <w:rPr>
                <w:rFonts w:ascii="Garamond" w:hAnsi="Garamond"/>
                <w:b/>
                <w:sz w:val="22"/>
                <w:szCs w:val="22"/>
              </w:rPr>
            </w:pPr>
            <w:r w:rsidRPr="006124D6">
              <w:rPr>
                <w:rFonts w:ascii="Garamond" w:hAnsi="Garamond"/>
                <w:b/>
                <w:sz w:val="22"/>
                <w:szCs w:val="22"/>
              </w:rPr>
              <w:t>Pollution Control Device/Practice</w:t>
            </w:r>
          </w:p>
        </w:tc>
      </w:tr>
      <w:tr w:rsidR="007C1893" w:rsidRPr="0000543F" w14:paraId="10892A3D" w14:textId="77777777" w:rsidTr="00F700D4">
        <w:trPr>
          <w:trHeight w:val="248"/>
        </w:trPr>
        <w:tc>
          <w:tcPr>
            <w:tcW w:w="997" w:type="dxa"/>
            <w:tcBorders>
              <w:top w:val="nil"/>
            </w:tcBorders>
            <w:tcMar>
              <w:left w:w="58" w:type="dxa"/>
              <w:right w:w="58" w:type="dxa"/>
            </w:tcMar>
          </w:tcPr>
          <w:p w14:paraId="0FA7D530"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EU001</w:t>
            </w:r>
          </w:p>
        </w:tc>
        <w:tc>
          <w:tcPr>
            <w:tcW w:w="3942" w:type="dxa"/>
            <w:tcBorders>
              <w:top w:val="nil"/>
            </w:tcBorders>
            <w:tcMar>
              <w:left w:w="58" w:type="dxa"/>
              <w:right w:w="58" w:type="dxa"/>
            </w:tcMar>
          </w:tcPr>
          <w:p w14:paraId="34AA574C" w14:textId="77777777" w:rsidR="007C1893" w:rsidRPr="006124D6" w:rsidRDefault="007C1893" w:rsidP="005947D5">
            <w:pPr>
              <w:rPr>
                <w:rFonts w:ascii="Garamond" w:hAnsi="Garamond"/>
                <w:sz w:val="22"/>
                <w:szCs w:val="22"/>
              </w:rPr>
            </w:pPr>
            <w:r w:rsidRPr="006124D6">
              <w:rPr>
                <w:rFonts w:ascii="Garamond" w:hAnsi="Garamond"/>
                <w:sz w:val="22"/>
                <w:szCs w:val="22"/>
              </w:rPr>
              <w:t>Truck Transport of Coal</w:t>
            </w:r>
          </w:p>
        </w:tc>
        <w:tc>
          <w:tcPr>
            <w:tcW w:w="4418" w:type="dxa"/>
            <w:tcBorders>
              <w:top w:val="nil"/>
            </w:tcBorders>
            <w:tcMar>
              <w:left w:w="58" w:type="dxa"/>
              <w:right w:w="58" w:type="dxa"/>
            </w:tcMar>
          </w:tcPr>
          <w:p w14:paraId="05E3D5AE" w14:textId="77777777" w:rsidR="007C1893" w:rsidRPr="006124D6" w:rsidRDefault="007C1893" w:rsidP="005947D5">
            <w:pPr>
              <w:rPr>
                <w:rFonts w:ascii="Garamond" w:hAnsi="Garamond"/>
                <w:sz w:val="22"/>
                <w:szCs w:val="22"/>
              </w:rPr>
            </w:pPr>
            <w:r w:rsidRPr="006124D6">
              <w:rPr>
                <w:rFonts w:ascii="Garamond" w:hAnsi="Garamond"/>
                <w:sz w:val="22"/>
                <w:szCs w:val="22"/>
              </w:rPr>
              <w:t>Reasonable Precautions and Covered Haul Trucks</w:t>
            </w:r>
          </w:p>
        </w:tc>
      </w:tr>
      <w:tr w:rsidR="007C1893" w:rsidRPr="0000543F" w14:paraId="7EA4FFCC" w14:textId="77777777" w:rsidTr="00F700D4">
        <w:trPr>
          <w:trHeight w:val="248"/>
        </w:trPr>
        <w:tc>
          <w:tcPr>
            <w:tcW w:w="997" w:type="dxa"/>
            <w:tcMar>
              <w:left w:w="58" w:type="dxa"/>
              <w:right w:w="58" w:type="dxa"/>
            </w:tcMar>
          </w:tcPr>
          <w:p w14:paraId="79261836"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EU002</w:t>
            </w:r>
          </w:p>
        </w:tc>
        <w:tc>
          <w:tcPr>
            <w:tcW w:w="3942" w:type="dxa"/>
            <w:tcMar>
              <w:left w:w="58" w:type="dxa"/>
              <w:right w:w="58" w:type="dxa"/>
            </w:tcMar>
          </w:tcPr>
          <w:p w14:paraId="457BB658" w14:textId="77777777" w:rsidR="007C1893" w:rsidRPr="006124D6" w:rsidRDefault="007C1893" w:rsidP="005947D5">
            <w:pPr>
              <w:rPr>
                <w:rFonts w:ascii="Garamond" w:hAnsi="Garamond"/>
                <w:sz w:val="22"/>
                <w:szCs w:val="22"/>
              </w:rPr>
            </w:pPr>
            <w:r w:rsidRPr="006124D6">
              <w:rPr>
                <w:rFonts w:ascii="Garamond" w:hAnsi="Garamond"/>
                <w:sz w:val="22"/>
                <w:szCs w:val="22"/>
              </w:rPr>
              <w:t>Truck Unloading of Coal</w:t>
            </w:r>
          </w:p>
        </w:tc>
        <w:tc>
          <w:tcPr>
            <w:tcW w:w="4418" w:type="dxa"/>
            <w:tcMar>
              <w:left w:w="58" w:type="dxa"/>
              <w:right w:w="58" w:type="dxa"/>
            </w:tcMar>
          </w:tcPr>
          <w:p w14:paraId="360F2902" w14:textId="77777777" w:rsidR="007C1893" w:rsidRPr="006124D6" w:rsidRDefault="007C1893" w:rsidP="005947D5">
            <w:pPr>
              <w:rPr>
                <w:rFonts w:ascii="Garamond" w:hAnsi="Garamond"/>
                <w:sz w:val="22"/>
                <w:szCs w:val="22"/>
              </w:rPr>
            </w:pPr>
            <w:r w:rsidRPr="006124D6">
              <w:rPr>
                <w:rFonts w:ascii="Garamond" w:hAnsi="Garamond"/>
                <w:sz w:val="22"/>
                <w:szCs w:val="22"/>
              </w:rPr>
              <w:t>Baghouse</w:t>
            </w:r>
          </w:p>
        </w:tc>
      </w:tr>
      <w:tr w:rsidR="007C1893" w:rsidRPr="0000543F" w14:paraId="1CFC6C0A" w14:textId="77777777" w:rsidTr="00F700D4">
        <w:trPr>
          <w:trHeight w:val="231"/>
        </w:trPr>
        <w:tc>
          <w:tcPr>
            <w:tcW w:w="997" w:type="dxa"/>
            <w:tcMar>
              <w:left w:w="58" w:type="dxa"/>
              <w:right w:w="58" w:type="dxa"/>
            </w:tcMar>
          </w:tcPr>
          <w:p w14:paraId="1AF63FA8"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EU003</w:t>
            </w:r>
          </w:p>
        </w:tc>
        <w:tc>
          <w:tcPr>
            <w:tcW w:w="3942" w:type="dxa"/>
            <w:tcMar>
              <w:left w:w="58" w:type="dxa"/>
              <w:right w:w="58" w:type="dxa"/>
            </w:tcMar>
          </w:tcPr>
          <w:p w14:paraId="73F4BDF6" w14:textId="77777777" w:rsidR="007C1893" w:rsidRPr="006124D6" w:rsidRDefault="007C1893" w:rsidP="005947D5">
            <w:pPr>
              <w:rPr>
                <w:rFonts w:ascii="Garamond" w:hAnsi="Garamond"/>
                <w:sz w:val="22"/>
                <w:szCs w:val="22"/>
              </w:rPr>
            </w:pPr>
            <w:r w:rsidRPr="006124D6">
              <w:rPr>
                <w:rFonts w:ascii="Garamond" w:hAnsi="Garamond"/>
                <w:sz w:val="22"/>
                <w:szCs w:val="22"/>
              </w:rPr>
              <w:t>Coal Crushing and Transport</w:t>
            </w:r>
          </w:p>
        </w:tc>
        <w:tc>
          <w:tcPr>
            <w:tcW w:w="4418" w:type="dxa"/>
            <w:tcMar>
              <w:left w:w="58" w:type="dxa"/>
              <w:right w:w="58" w:type="dxa"/>
            </w:tcMar>
          </w:tcPr>
          <w:p w14:paraId="0F286D79" w14:textId="77777777" w:rsidR="007C1893" w:rsidRPr="006124D6" w:rsidRDefault="007C1893" w:rsidP="005947D5">
            <w:pPr>
              <w:rPr>
                <w:rFonts w:ascii="Garamond" w:hAnsi="Garamond"/>
                <w:sz w:val="22"/>
                <w:szCs w:val="22"/>
              </w:rPr>
            </w:pPr>
            <w:r w:rsidRPr="006124D6">
              <w:rPr>
                <w:rFonts w:ascii="Garamond" w:hAnsi="Garamond"/>
                <w:sz w:val="22"/>
                <w:szCs w:val="22"/>
              </w:rPr>
              <w:t>Baghouse</w:t>
            </w:r>
          </w:p>
        </w:tc>
      </w:tr>
      <w:tr w:rsidR="007C1893" w:rsidRPr="0000543F" w14:paraId="741E3482" w14:textId="77777777" w:rsidTr="00F700D4">
        <w:trPr>
          <w:trHeight w:val="248"/>
        </w:trPr>
        <w:tc>
          <w:tcPr>
            <w:tcW w:w="997" w:type="dxa"/>
            <w:tcMar>
              <w:left w:w="58" w:type="dxa"/>
              <w:right w:w="58" w:type="dxa"/>
            </w:tcMar>
          </w:tcPr>
          <w:p w14:paraId="1AC96E23"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EU004</w:t>
            </w:r>
          </w:p>
        </w:tc>
        <w:tc>
          <w:tcPr>
            <w:tcW w:w="3942" w:type="dxa"/>
            <w:tcMar>
              <w:left w:w="58" w:type="dxa"/>
              <w:right w:w="58" w:type="dxa"/>
            </w:tcMar>
          </w:tcPr>
          <w:p w14:paraId="3C92F887" w14:textId="77777777" w:rsidR="007C1893" w:rsidRPr="006124D6" w:rsidRDefault="007C1893" w:rsidP="005947D5">
            <w:pPr>
              <w:rPr>
                <w:rFonts w:ascii="Garamond" w:hAnsi="Garamond"/>
                <w:sz w:val="22"/>
                <w:szCs w:val="22"/>
              </w:rPr>
            </w:pPr>
            <w:r w:rsidRPr="006124D6">
              <w:rPr>
                <w:rFonts w:ascii="Garamond" w:hAnsi="Garamond"/>
                <w:sz w:val="22"/>
                <w:szCs w:val="22"/>
              </w:rPr>
              <w:t>Coal Bunker Bin Vents</w:t>
            </w:r>
          </w:p>
        </w:tc>
        <w:tc>
          <w:tcPr>
            <w:tcW w:w="4418" w:type="dxa"/>
            <w:tcMar>
              <w:left w:w="58" w:type="dxa"/>
              <w:right w:w="58" w:type="dxa"/>
            </w:tcMar>
          </w:tcPr>
          <w:p w14:paraId="6D551547" w14:textId="77777777" w:rsidR="007C1893" w:rsidRPr="006124D6" w:rsidRDefault="007C1893" w:rsidP="005947D5">
            <w:pPr>
              <w:rPr>
                <w:rFonts w:ascii="Garamond" w:hAnsi="Garamond"/>
                <w:sz w:val="22"/>
                <w:szCs w:val="22"/>
              </w:rPr>
            </w:pPr>
            <w:r w:rsidRPr="006124D6">
              <w:rPr>
                <w:rFonts w:ascii="Garamond" w:hAnsi="Garamond"/>
                <w:sz w:val="22"/>
                <w:szCs w:val="22"/>
              </w:rPr>
              <w:t>Baghouses</w:t>
            </w:r>
          </w:p>
        </w:tc>
      </w:tr>
      <w:tr w:rsidR="007C1893" w:rsidRPr="0000543F" w14:paraId="6186E0CB" w14:textId="77777777" w:rsidTr="00F700D4">
        <w:trPr>
          <w:trHeight w:val="248"/>
        </w:trPr>
        <w:tc>
          <w:tcPr>
            <w:tcW w:w="997" w:type="dxa"/>
            <w:tcMar>
              <w:left w:w="58" w:type="dxa"/>
              <w:right w:w="58" w:type="dxa"/>
            </w:tcMar>
          </w:tcPr>
          <w:p w14:paraId="45D158D6"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EU005</w:t>
            </w:r>
          </w:p>
        </w:tc>
        <w:tc>
          <w:tcPr>
            <w:tcW w:w="3942" w:type="dxa"/>
            <w:tcMar>
              <w:left w:w="58" w:type="dxa"/>
              <w:right w:w="58" w:type="dxa"/>
            </w:tcMar>
          </w:tcPr>
          <w:p w14:paraId="0B49DC18" w14:textId="77777777" w:rsidR="007C1893" w:rsidRPr="006124D6" w:rsidRDefault="007C1893" w:rsidP="005947D5">
            <w:pPr>
              <w:rPr>
                <w:rFonts w:ascii="Garamond" w:hAnsi="Garamond"/>
                <w:sz w:val="22"/>
                <w:szCs w:val="22"/>
              </w:rPr>
            </w:pPr>
            <w:r w:rsidRPr="006124D6">
              <w:rPr>
                <w:rFonts w:ascii="Garamond" w:hAnsi="Garamond"/>
                <w:sz w:val="22"/>
                <w:szCs w:val="22"/>
              </w:rPr>
              <w:t>Limestone Unloading, Handling, and Storage</w:t>
            </w:r>
          </w:p>
        </w:tc>
        <w:tc>
          <w:tcPr>
            <w:tcW w:w="4418" w:type="dxa"/>
            <w:tcMar>
              <w:left w:w="58" w:type="dxa"/>
              <w:right w:w="58" w:type="dxa"/>
            </w:tcMar>
          </w:tcPr>
          <w:p w14:paraId="2B8D29BC" w14:textId="77777777" w:rsidR="007C1893" w:rsidRPr="006124D6" w:rsidRDefault="007C1893" w:rsidP="005947D5">
            <w:pPr>
              <w:pStyle w:val="Header"/>
              <w:tabs>
                <w:tab w:val="clear" w:pos="4320"/>
                <w:tab w:val="clear" w:pos="8640"/>
              </w:tabs>
              <w:rPr>
                <w:rFonts w:ascii="Garamond" w:hAnsi="Garamond"/>
                <w:sz w:val="22"/>
                <w:szCs w:val="22"/>
              </w:rPr>
            </w:pPr>
            <w:r w:rsidRPr="006124D6">
              <w:rPr>
                <w:rFonts w:ascii="Garamond" w:hAnsi="Garamond"/>
                <w:sz w:val="22"/>
                <w:szCs w:val="22"/>
              </w:rPr>
              <w:t>Fabric Filter Baghouse and Cartridge Filter</w:t>
            </w:r>
          </w:p>
        </w:tc>
      </w:tr>
      <w:tr w:rsidR="007C1893" w:rsidRPr="0000543F" w14:paraId="3341425A" w14:textId="77777777" w:rsidTr="00F700D4">
        <w:trPr>
          <w:trHeight w:val="231"/>
        </w:trPr>
        <w:tc>
          <w:tcPr>
            <w:tcW w:w="997" w:type="dxa"/>
            <w:tcMar>
              <w:left w:w="58" w:type="dxa"/>
              <w:right w:w="58" w:type="dxa"/>
            </w:tcMar>
          </w:tcPr>
          <w:p w14:paraId="0E6AC13D"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EU006</w:t>
            </w:r>
          </w:p>
        </w:tc>
        <w:tc>
          <w:tcPr>
            <w:tcW w:w="3942" w:type="dxa"/>
            <w:tcMar>
              <w:left w:w="58" w:type="dxa"/>
              <w:right w:w="58" w:type="dxa"/>
            </w:tcMar>
          </w:tcPr>
          <w:p w14:paraId="3083ED72" w14:textId="77777777" w:rsidR="007C1893" w:rsidRPr="006124D6" w:rsidRDefault="007C1893" w:rsidP="005947D5">
            <w:pPr>
              <w:rPr>
                <w:rFonts w:ascii="Garamond" w:hAnsi="Garamond"/>
                <w:sz w:val="22"/>
                <w:szCs w:val="22"/>
              </w:rPr>
            </w:pPr>
            <w:r w:rsidRPr="006124D6">
              <w:rPr>
                <w:rFonts w:ascii="Garamond" w:hAnsi="Garamond"/>
                <w:sz w:val="22"/>
                <w:szCs w:val="22"/>
              </w:rPr>
              <w:t>Circulating Fluidized Bed Boiler</w:t>
            </w:r>
          </w:p>
        </w:tc>
        <w:tc>
          <w:tcPr>
            <w:tcW w:w="4418" w:type="dxa"/>
            <w:tcMar>
              <w:left w:w="58" w:type="dxa"/>
              <w:right w:w="58" w:type="dxa"/>
            </w:tcMar>
          </w:tcPr>
          <w:p w14:paraId="5038EF4D" w14:textId="77777777" w:rsidR="007C1893" w:rsidRPr="006124D6" w:rsidRDefault="007C1893" w:rsidP="005947D5">
            <w:pPr>
              <w:rPr>
                <w:rFonts w:ascii="Garamond" w:hAnsi="Garamond"/>
                <w:sz w:val="22"/>
                <w:szCs w:val="22"/>
              </w:rPr>
            </w:pPr>
            <w:r w:rsidRPr="006124D6">
              <w:rPr>
                <w:rFonts w:ascii="Garamond" w:hAnsi="Garamond"/>
                <w:sz w:val="22"/>
                <w:szCs w:val="22"/>
              </w:rPr>
              <w:t>Baghouse</w:t>
            </w:r>
          </w:p>
        </w:tc>
      </w:tr>
      <w:tr w:rsidR="007C1893" w:rsidRPr="0000543F" w14:paraId="74614D55" w14:textId="77777777" w:rsidTr="00F700D4">
        <w:trPr>
          <w:trHeight w:val="248"/>
        </w:trPr>
        <w:tc>
          <w:tcPr>
            <w:tcW w:w="997" w:type="dxa"/>
            <w:tcMar>
              <w:left w:w="58" w:type="dxa"/>
              <w:right w:w="58" w:type="dxa"/>
            </w:tcMar>
          </w:tcPr>
          <w:p w14:paraId="699B4751"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EU007</w:t>
            </w:r>
          </w:p>
        </w:tc>
        <w:tc>
          <w:tcPr>
            <w:tcW w:w="3942" w:type="dxa"/>
            <w:tcMar>
              <w:left w:w="58" w:type="dxa"/>
              <w:right w:w="58" w:type="dxa"/>
            </w:tcMar>
          </w:tcPr>
          <w:p w14:paraId="050BD95A" w14:textId="61698090" w:rsidR="007C1893" w:rsidRPr="006124D6" w:rsidRDefault="007C1893" w:rsidP="005947D5">
            <w:pPr>
              <w:rPr>
                <w:rFonts w:ascii="Garamond" w:hAnsi="Garamond"/>
                <w:sz w:val="22"/>
                <w:szCs w:val="22"/>
              </w:rPr>
            </w:pPr>
            <w:r w:rsidRPr="006124D6">
              <w:rPr>
                <w:rFonts w:ascii="Garamond" w:hAnsi="Garamond"/>
                <w:sz w:val="22"/>
                <w:szCs w:val="22"/>
              </w:rPr>
              <w:t>Flyash Conve</w:t>
            </w:r>
            <w:r w:rsidR="00A44A87">
              <w:rPr>
                <w:rFonts w:ascii="Garamond" w:hAnsi="Garamond"/>
                <w:sz w:val="22"/>
                <w:szCs w:val="22"/>
              </w:rPr>
              <w:t>y</w:t>
            </w:r>
            <w:r w:rsidRPr="006124D6">
              <w:rPr>
                <w:rFonts w:ascii="Garamond" w:hAnsi="Garamond"/>
                <w:sz w:val="22"/>
                <w:szCs w:val="22"/>
              </w:rPr>
              <w:t>ing and Storage</w:t>
            </w:r>
          </w:p>
        </w:tc>
        <w:tc>
          <w:tcPr>
            <w:tcW w:w="4418" w:type="dxa"/>
            <w:tcMar>
              <w:left w:w="58" w:type="dxa"/>
              <w:right w:w="58" w:type="dxa"/>
            </w:tcMar>
          </w:tcPr>
          <w:p w14:paraId="329E0CE4" w14:textId="77777777" w:rsidR="007C1893" w:rsidRPr="006124D6" w:rsidRDefault="007C1893" w:rsidP="005947D5">
            <w:pPr>
              <w:rPr>
                <w:rFonts w:ascii="Garamond" w:hAnsi="Garamond"/>
                <w:sz w:val="22"/>
                <w:szCs w:val="22"/>
              </w:rPr>
            </w:pPr>
            <w:r w:rsidRPr="006124D6">
              <w:rPr>
                <w:rFonts w:ascii="Garamond" w:hAnsi="Garamond"/>
                <w:sz w:val="22"/>
                <w:szCs w:val="22"/>
              </w:rPr>
              <w:t>Baghouse</w:t>
            </w:r>
          </w:p>
        </w:tc>
      </w:tr>
      <w:tr w:rsidR="007C1893" w:rsidRPr="0000543F" w14:paraId="167FFA41" w14:textId="77777777" w:rsidTr="00F700D4">
        <w:trPr>
          <w:trHeight w:val="248"/>
        </w:trPr>
        <w:tc>
          <w:tcPr>
            <w:tcW w:w="997" w:type="dxa"/>
            <w:tcMar>
              <w:left w:w="58" w:type="dxa"/>
              <w:right w:w="58" w:type="dxa"/>
            </w:tcMar>
          </w:tcPr>
          <w:p w14:paraId="53E0B328"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EU008</w:t>
            </w:r>
          </w:p>
        </w:tc>
        <w:tc>
          <w:tcPr>
            <w:tcW w:w="3942" w:type="dxa"/>
            <w:tcMar>
              <w:left w:w="58" w:type="dxa"/>
              <w:right w:w="58" w:type="dxa"/>
            </w:tcMar>
          </w:tcPr>
          <w:p w14:paraId="6E45FA58" w14:textId="77777777" w:rsidR="007C1893" w:rsidRPr="006124D6" w:rsidRDefault="007C1893" w:rsidP="005947D5">
            <w:pPr>
              <w:rPr>
                <w:rFonts w:ascii="Garamond" w:hAnsi="Garamond"/>
                <w:sz w:val="22"/>
                <w:szCs w:val="22"/>
              </w:rPr>
            </w:pPr>
            <w:r w:rsidRPr="006124D6">
              <w:rPr>
                <w:rFonts w:ascii="Garamond" w:hAnsi="Garamond"/>
                <w:sz w:val="22"/>
                <w:szCs w:val="22"/>
              </w:rPr>
              <w:t>Bedash Conveying and Storage</w:t>
            </w:r>
          </w:p>
        </w:tc>
        <w:tc>
          <w:tcPr>
            <w:tcW w:w="4418" w:type="dxa"/>
            <w:tcMar>
              <w:left w:w="58" w:type="dxa"/>
              <w:right w:w="58" w:type="dxa"/>
            </w:tcMar>
          </w:tcPr>
          <w:p w14:paraId="0DA1E2A1" w14:textId="77777777" w:rsidR="007C1893" w:rsidRPr="006124D6" w:rsidRDefault="007C1893" w:rsidP="005947D5">
            <w:pPr>
              <w:rPr>
                <w:rFonts w:ascii="Garamond" w:hAnsi="Garamond"/>
                <w:sz w:val="22"/>
                <w:szCs w:val="22"/>
              </w:rPr>
            </w:pPr>
            <w:r w:rsidRPr="006124D6">
              <w:rPr>
                <w:rFonts w:ascii="Garamond" w:hAnsi="Garamond"/>
                <w:sz w:val="22"/>
                <w:szCs w:val="22"/>
              </w:rPr>
              <w:t>Baghouse</w:t>
            </w:r>
          </w:p>
        </w:tc>
      </w:tr>
      <w:tr w:rsidR="007C1893" w:rsidRPr="0000543F" w14:paraId="18EDEEDE" w14:textId="77777777" w:rsidTr="00F700D4">
        <w:trPr>
          <w:trHeight w:val="231"/>
        </w:trPr>
        <w:tc>
          <w:tcPr>
            <w:tcW w:w="997" w:type="dxa"/>
            <w:tcMar>
              <w:left w:w="58" w:type="dxa"/>
              <w:right w:w="58" w:type="dxa"/>
            </w:tcMar>
          </w:tcPr>
          <w:p w14:paraId="46B05931"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EU009</w:t>
            </w:r>
          </w:p>
        </w:tc>
        <w:tc>
          <w:tcPr>
            <w:tcW w:w="3942" w:type="dxa"/>
            <w:tcMar>
              <w:left w:w="58" w:type="dxa"/>
              <w:right w:w="58" w:type="dxa"/>
            </w:tcMar>
          </w:tcPr>
          <w:p w14:paraId="765A94E0" w14:textId="77777777" w:rsidR="007C1893" w:rsidRPr="006124D6" w:rsidRDefault="007C1893" w:rsidP="005947D5">
            <w:pPr>
              <w:rPr>
                <w:rFonts w:ascii="Garamond" w:hAnsi="Garamond"/>
                <w:sz w:val="22"/>
                <w:szCs w:val="22"/>
              </w:rPr>
            </w:pPr>
            <w:r w:rsidRPr="006124D6">
              <w:rPr>
                <w:rFonts w:ascii="Garamond" w:hAnsi="Garamond"/>
                <w:sz w:val="22"/>
                <w:szCs w:val="22"/>
              </w:rPr>
              <w:t>Ash Storage Silo Unloading</w:t>
            </w:r>
          </w:p>
        </w:tc>
        <w:tc>
          <w:tcPr>
            <w:tcW w:w="4418" w:type="dxa"/>
            <w:tcMar>
              <w:left w:w="58" w:type="dxa"/>
              <w:right w:w="58" w:type="dxa"/>
            </w:tcMar>
          </w:tcPr>
          <w:p w14:paraId="0C0E3AAE" w14:textId="77777777" w:rsidR="007C1893" w:rsidRPr="006124D6" w:rsidRDefault="007C1893" w:rsidP="005947D5">
            <w:pPr>
              <w:rPr>
                <w:rFonts w:ascii="Garamond" w:hAnsi="Garamond"/>
                <w:sz w:val="22"/>
                <w:szCs w:val="22"/>
              </w:rPr>
            </w:pPr>
            <w:r w:rsidRPr="006124D6">
              <w:rPr>
                <w:rFonts w:ascii="Garamond" w:hAnsi="Garamond"/>
                <w:sz w:val="22"/>
                <w:szCs w:val="22"/>
              </w:rPr>
              <w:t>Baghouse</w:t>
            </w:r>
          </w:p>
        </w:tc>
      </w:tr>
      <w:tr w:rsidR="007C1893" w:rsidRPr="0000543F" w14:paraId="44ACEB7B" w14:textId="77777777" w:rsidTr="00F700D4">
        <w:trPr>
          <w:trHeight w:val="248"/>
        </w:trPr>
        <w:tc>
          <w:tcPr>
            <w:tcW w:w="997" w:type="dxa"/>
            <w:tcMar>
              <w:left w:w="58" w:type="dxa"/>
              <w:right w:w="58" w:type="dxa"/>
            </w:tcMar>
          </w:tcPr>
          <w:p w14:paraId="7AF18353"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EU010</w:t>
            </w:r>
          </w:p>
        </w:tc>
        <w:tc>
          <w:tcPr>
            <w:tcW w:w="3942" w:type="dxa"/>
            <w:tcMar>
              <w:left w:w="58" w:type="dxa"/>
              <w:right w:w="58" w:type="dxa"/>
            </w:tcMar>
          </w:tcPr>
          <w:p w14:paraId="1E480EB3" w14:textId="77777777" w:rsidR="007C1893" w:rsidRPr="006124D6" w:rsidRDefault="007C1893" w:rsidP="005947D5">
            <w:pPr>
              <w:rPr>
                <w:rFonts w:ascii="Garamond" w:hAnsi="Garamond"/>
                <w:sz w:val="22"/>
                <w:szCs w:val="22"/>
              </w:rPr>
            </w:pPr>
            <w:r w:rsidRPr="006124D6">
              <w:rPr>
                <w:rFonts w:ascii="Garamond" w:hAnsi="Garamond"/>
                <w:sz w:val="22"/>
                <w:szCs w:val="22"/>
              </w:rPr>
              <w:t>Ash Truck Unloading</w:t>
            </w:r>
          </w:p>
        </w:tc>
        <w:tc>
          <w:tcPr>
            <w:tcW w:w="4418" w:type="dxa"/>
            <w:tcMar>
              <w:left w:w="58" w:type="dxa"/>
              <w:right w:w="58" w:type="dxa"/>
            </w:tcMar>
          </w:tcPr>
          <w:p w14:paraId="4D68B322" w14:textId="77777777" w:rsidR="007C1893" w:rsidRPr="006124D6" w:rsidRDefault="007C1893" w:rsidP="005947D5">
            <w:pPr>
              <w:rPr>
                <w:rFonts w:ascii="Garamond" w:hAnsi="Garamond"/>
                <w:sz w:val="22"/>
                <w:szCs w:val="22"/>
              </w:rPr>
            </w:pPr>
            <w:r w:rsidRPr="006124D6">
              <w:rPr>
                <w:rFonts w:ascii="Garamond" w:hAnsi="Garamond"/>
                <w:sz w:val="22"/>
                <w:szCs w:val="22"/>
              </w:rPr>
              <w:t>Water Spray</w:t>
            </w:r>
          </w:p>
        </w:tc>
      </w:tr>
      <w:tr w:rsidR="007C1893" w:rsidRPr="0000543F" w14:paraId="6374822D" w14:textId="77777777" w:rsidTr="00F700D4">
        <w:trPr>
          <w:trHeight w:val="248"/>
        </w:trPr>
        <w:tc>
          <w:tcPr>
            <w:tcW w:w="997" w:type="dxa"/>
            <w:tcMar>
              <w:left w:w="58" w:type="dxa"/>
              <w:right w:w="58" w:type="dxa"/>
            </w:tcMar>
          </w:tcPr>
          <w:p w14:paraId="38D29624"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EU011</w:t>
            </w:r>
          </w:p>
        </w:tc>
        <w:tc>
          <w:tcPr>
            <w:tcW w:w="3942" w:type="dxa"/>
            <w:tcMar>
              <w:left w:w="58" w:type="dxa"/>
              <w:right w:w="58" w:type="dxa"/>
            </w:tcMar>
          </w:tcPr>
          <w:p w14:paraId="01D6AF5C" w14:textId="77777777" w:rsidR="007C1893" w:rsidRPr="006124D6" w:rsidRDefault="007C1893" w:rsidP="005947D5">
            <w:pPr>
              <w:rPr>
                <w:rFonts w:ascii="Garamond" w:hAnsi="Garamond"/>
                <w:sz w:val="22"/>
                <w:szCs w:val="22"/>
              </w:rPr>
            </w:pPr>
            <w:r w:rsidRPr="006124D6">
              <w:rPr>
                <w:rFonts w:ascii="Garamond" w:hAnsi="Garamond"/>
                <w:sz w:val="22"/>
                <w:szCs w:val="22"/>
              </w:rPr>
              <w:t>Fugitive Emissions: Ash Disposal Area</w:t>
            </w:r>
          </w:p>
        </w:tc>
        <w:tc>
          <w:tcPr>
            <w:tcW w:w="4418" w:type="dxa"/>
            <w:tcMar>
              <w:left w:w="58" w:type="dxa"/>
              <w:right w:w="58" w:type="dxa"/>
            </w:tcMar>
          </w:tcPr>
          <w:p w14:paraId="24120C74" w14:textId="77777777" w:rsidR="007C1893" w:rsidRPr="006124D6" w:rsidRDefault="007C1893" w:rsidP="005947D5">
            <w:pPr>
              <w:rPr>
                <w:rFonts w:ascii="Garamond" w:hAnsi="Garamond"/>
                <w:sz w:val="22"/>
                <w:szCs w:val="22"/>
              </w:rPr>
            </w:pPr>
            <w:r w:rsidRPr="006124D6">
              <w:rPr>
                <w:rFonts w:ascii="Garamond" w:hAnsi="Garamond"/>
                <w:sz w:val="22"/>
                <w:szCs w:val="22"/>
              </w:rPr>
              <w:t>Water Spray</w:t>
            </w:r>
          </w:p>
        </w:tc>
      </w:tr>
      <w:tr w:rsidR="007C1893" w:rsidRPr="0000543F" w14:paraId="2C39BD7D" w14:textId="77777777" w:rsidTr="00F700D4">
        <w:trPr>
          <w:trHeight w:val="481"/>
        </w:trPr>
        <w:tc>
          <w:tcPr>
            <w:tcW w:w="997" w:type="dxa"/>
            <w:tcMar>
              <w:left w:w="58" w:type="dxa"/>
              <w:right w:w="58" w:type="dxa"/>
            </w:tcMar>
          </w:tcPr>
          <w:p w14:paraId="07B2E67F" w14:textId="77777777" w:rsidR="007C1893" w:rsidRPr="006124D6" w:rsidRDefault="007C1893" w:rsidP="006124D6">
            <w:pPr>
              <w:jc w:val="center"/>
              <w:rPr>
                <w:rFonts w:ascii="Garamond" w:hAnsi="Garamond"/>
                <w:sz w:val="22"/>
                <w:szCs w:val="22"/>
              </w:rPr>
            </w:pPr>
            <w:r w:rsidRPr="006124D6">
              <w:rPr>
                <w:rFonts w:ascii="Garamond" w:hAnsi="Garamond"/>
                <w:sz w:val="22"/>
                <w:szCs w:val="22"/>
              </w:rPr>
              <w:t>EU012</w:t>
            </w:r>
          </w:p>
        </w:tc>
        <w:tc>
          <w:tcPr>
            <w:tcW w:w="3942" w:type="dxa"/>
            <w:tcMar>
              <w:left w:w="58" w:type="dxa"/>
              <w:right w:w="58" w:type="dxa"/>
            </w:tcMar>
          </w:tcPr>
          <w:p w14:paraId="75414A0F" w14:textId="77777777" w:rsidR="007C1893" w:rsidRPr="006124D6" w:rsidRDefault="007C1893" w:rsidP="005947D5">
            <w:pPr>
              <w:rPr>
                <w:rFonts w:ascii="Garamond" w:hAnsi="Garamond"/>
                <w:sz w:val="22"/>
                <w:szCs w:val="22"/>
              </w:rPr>
            </w:pPr>
            <w:r w:rsidRPr="006124D6">
              <w:rPr>
                <w:rFonts w:ascii="Garamond" w:hAnsi="Garamond"/>
                <w:sz w:val="22"/>
                <w:szCs w:val="22"/>
              </w:rPr>
              <w:t>Fugitive Emissions: Vehicle Traffic</w:t>
            </w:r>
          </w:p>
        </w:tc>
        <w:tc>
          <w:tcPr>
            <w:tcW w:w="4418" w:type="dxa"/>
            <w:tcMar>
              <w:left w:w="58" w:type="dxa"/>
              <w:right w:w="58" w:type="dxa"/>
            </w:tcMar>
          </w:tcPr>
          <w:p w14:paraId="64C31CEE" w14:textId="77777777" w:rsidR="007C1893" w:rsidRPr="006124D6" w:rsidRDefault="007C1893" w:rsidP="005947D5">
            <w:pPr>
              <w:rPr>
                <w:rFonts w:ascii="Garamond" w:hAnsi="Garamond"/>
                <w:sz w:val="22"/>
                <w:szCs w:val="22"/>
              </w:rPr>
            </w:pPr>
            <w:r w:rsidRPr="006124D6">
              <w:rPr>
                <w:rFonts w:ascii="Garamond" w:hAnsi="Garamond"/>
                <w:sz w:val="22"/>
                <w:szCs w:val="22"/>
              </w:rPr>
              <w:t>Paving or chemical dust suppression or water spray as backup</w:t>
            </w:r>
          </w:p>
        </w:tc>
      </w:tr>
      <w:tr w:rsidR="00ED28C1" w:rsidRPr="0000543F" w14:paraId="68104981" w14:textId="77777777" w:rsidTr="00F700D4">
        <w:trPr>
          <w:trHeight w:val="248"/>
        </w:trPr>
        <w:tc>
          <w:tcPr>
            <w:tcW w:w="997" w:type="dxa"/>
            <w:tcMar>
              <w:left w:w="58" w:type="dxa"/>
              <w:right w:w="58" w:type="dxa"/>
            </w:tcMar>
          </w:tcPr>
          <w:p w14:paraId="3E2734E2" w14:textId="77777777" w:rsidR="00ED28C1" w:rsidRPr="006124D6" w:rsidRDefault="00ED28C1" w:rsidP="006124D6">
            <w:pPr>
              <w:jc w:val="center"/>
              <w:rPr>
                <w:rFonts w:ascii="Garamond" w:hAnsi="Garamond"/>
                <w:sz w:val="22"/>
                <w:szCs w:val="22"/>
              </w:rPr>
            </w:pPr>
            <w:r w:rsidRPr="00ED28C1">
              <w:rPr>
                <w:rFonts w:ascii="Garamond" w:hAnsi="Garamond"/>
                <w:sz w:val="22"/>
                <w:szCs w:val="22"/>
              </w:rPr>
              <w:t>EU013</w:t>
            </w:r>
          </w:p>
        </w:tc>
        <w:tc>
          <w:tcPr>
            <w:tcW w:w="3942" w:type="dxa"/>
            <w:tcMar>
              <w:left w:w="58" w:type="dxa"/>
              <w:right w:w="58" w:type="dxa"/>
            </w:tcMar>
          </w:tcPr>
          <w:p w14:paraId="01249F17" w14:textId="6D8DC757" w:rsidR="00ED28C1" w:rsidRPr="006124D6" w:rsidRDefault="00ED28C1" w:rsidP="005947D5">
            <w:pPr>
              <w:rPr>
                <w:rFonts w:ascii="Garamond" w:hAnsi="Garamond"/>
                <w:sz w:val="22"/>
                <w:szCs w:val="22"/>
              </w:rPr>
            </w:pPr>
            <w:r w:rsidRPr="00ED28C1">
              <w:rPr>
                <w:rFonts w:ascii="Garamond" w:hAnsi="Garamond"/>
                <w:sz w:val="22"/>
                <w:szCs w:val="22"/>
              </w:rPr>
              <w:t>Open Coal Storage Pile</w:t>
            </w:r>
            <w:r w:rsidR="002C5618">
              <w:rPr>
                <w:rFonts w:ascii="Garamond" w:hAnsi="Garamond"/>
                <w:sz w:val="22"/>
                <w:szCs w:val="22"/>
              </w:rPr>
              <w:t>s (Two)</w:t>
            </w:r>
          </w:p>
        </w:tc>
        <w:tc>
          <w:tcPr>
            <w:tcW w:w="4418" w:type="dxa"/>
            <w:tcMar>
              <w:left w:w="58" w:type="dxa"/>
              <w:right w:w="58" w:type="dxa"/>
            </w:tcMar>
          </w:tcPr>
          <w:p w14:paraId="74F7F8CA" w14:textId="77777777" w:rsidR="00ED28C1" w:rsidRPr="006124D6" w:rsidRDefault="00ED28C1" w:rsidP="005947D5">
            <w:pPr>
              <w:rPr>
                <w:rFonts w:ascii="Garamond" w:hAnsi="Garamond"/>
                <w:sz w:val="22"/>
                <w:szCs w:val="22"/>
              </w:rPr>
            </w:pPr>
            <w:r w:rsidRPr="00ED28C1">
              <w:rPr>
                <w:rFonts w:ascii="Garamond" w:hAnsi="Garamond"/>
                <w:sz w:val="22"/>
                <w:szCs w:val="22"/>
              </w:rPr>
              <w:t>Reasonable Precautions (chemical suppression)</w:t>
            </w:r>
          </w:p>
        </w:tc>
      </w:tr>
      <w:tr w:rsidR="00ED28C1" w:rsidRPr="0000543F" w14:paraId="47EB28C5" w14:textId="77777777" w:rsidTr="00F700D4">
        <w:trPr>
          <w:trHeight w:val="248"/>
        </w:trPr>
        <w:tc>
          <w:tcPr>
            <w:tcW w:w="997" w:type="dxa"/>
            <w:tcMar>
              <w:left w:w="58" w:type="dxa"/>
              <w:right w:w="58" w:type="dxa"/>
            </w:tcMar>
          </w:tcPr>
          <w:p w14:paraId="53E0C370" w14:textId="77777777" w:rsidR="00ED28C1" w:rsidRPr="00ED28C1" w:rsidRDefault="00ED28C1" w:rsidP="006124D6">
            <w:pPr>
              <w:jc w:val="center"/>
              <w:rPr>
                <w:rFonts w:ascii="Garamond" w:hAnsi="Garamond"/>
                <w:sz w:val="22"/>
                <w:szCs w:val="22"/>
              </w:rPr>
            </w:pPr>
            <w:r w:rsidRPr="00ED28C1">
              <w:rPr>
                <w:rFonts w:ascii="Garamond" w:hAnsi="Garamond"/>
                <w:sz w:val="22"/>
                <w:szCs w:val="22"/>
              </w:rPr>
              <w:t>EU014</w:t>
            </w:r>
          </w:p>
        </w:tc>
        <w:tc>
          <w:tcPr>
            <w:tcW w:w="3942" w:type="dxa"/>
            <w:tcMar>
              <w:left w:w="58" w:type="dxa"/>
              <w:right w:w="58" w:type="dxa"/>
            </w:tcMar>
          </w:tcPr>
          <w:p w14:paraId="70B676E7" w14:textId="77777777" w:rsidR="00ED28C1" w:rsidRPr="00ED28C1" w:rsidRDefault="00ED28C1" w:rsidP="005947D5">
            <w:pPr>
              <w:rPr>
                <w:rFonts w:ascii="Garamond" w:hAnsi="Garamond"/>
                <w:sz w:val="22"/>
                <w:szCs w:val="22"/>
              </w:rPr>
            </w:pPr>
            <w:r w:rsidRPr="00ED28C1">
              <w:rPr>
                <w:rFonts w:ascii="Garamond" w:hAnsi="Garamond"/>
                <w:sz w:val="22"/>
                <w:szCs w:val="22"/>
              </w:rPr>
              <w:t>Diesel-</w:t>
            </w:r>
            <w:r w:rsidR="001C28DF">
              <w:rPr>
                <w:rFonts w:ascii="Garamond" w:hAnsi="Garamond"/>
                <w:sz w:val="22"/>
                <w:szCs w:val="22"/>
              </w:rPr>
              <w:t>F</w:t>
            </w:r>
            <w:r w:rsidRPr="00ED28C1">
              <w:rPr>
                <w:rFonts w:ascii="Garamond" w:hAnsi="Garamond"/>
                <w:sz w:val="22"/>
                <w:szCs w:val="22"/>
              </w:rPr>
              <w:t>ired Emergency Boiler Feed Pump</w:t>
            </w:r>
          </w:p>
        </w:tc>
        <w:tc>
          <w:tcPr>
            <w:tcW w:w="4418" w:type="dxa"/>
            <w:tcMar>
              <w:left w:w="58" w:type="dxa"/>
              <w:right w:w="58" w:type="dxa"/>
            </w:tcMar>
          </w:tcPr>
          <w:p w14:paraId="22FC663E" w14:textId="77777777" w:rsidR="00ED28C1" w:rsidRPr="00ED28C1" w:rsidRDefault="00ED28C1" w:rsidP="005947D5">
            <w:pPr>
              <w:rPr>
                <w:rFonts w:ascii="Garamond" w:hAnsi="Garamond"/>
                <w:sz w:val="22"/>
                <w:szCs w:val="22"/>
              </w:rPr>
            </w:pPr>
            <w:r w:rsidRPr="00ED28C1">
              <w:rPr>
                <w:rFonts w:ascii="Garamond" w:hAnsi="Garamond"/>
                <w:sz w:val="22"/>
                <w:szCs w:val="22"/>
              </w:rPr>
              <w:t>Engine Design</w:t>
            </w:r>
          </w:p>
        </w:tc>
      </w:tr>
      <w:tr w:rsidR="00ED28C1" w:rsidRPr="0000543F" w14:paraId="5A502864" w14:textId="77777777" w:rsidTr="00F700D4">
        <w:trPr>
          <w:trHeight w:val="231"/>
        </w:trPr>
        <w:tc>
          <w:tcPr>
            <w:tcW w:w="997" w:type="dxa"/>
            <w:tcMar>
              <w:left w:w="58" w:type="dxa"/>
              <w:right w:w="58" w:type="dxa"/>
            </w:tcMar>
          </w:tcPr>
          <w:p w14:paraId="2387FC03" w14:textId="77777777" w:rsidR="00ED28C1" w:rsidRPr="006124D6" w:rsidRDefault="00ED28C1" w:rsidP="006124D6">
            <w:pPr>
              <w:jc w:val="center"/>
              <w:rPr>
                <w:rFonts w:ascii="Garamond" w:hAnsi="Garamond"/>
                <w:sz w:val="22"/>
                <w:szCs w:val="22"/>
              </w:rPr>
            </w:pPr>
            <w:r w:rsidRPr="00ED28C1">
              <w:rPr>
                <w:rFonts w:ascii="Garamond" w:hAnsi="Garamond"/>
                <w:sz w:val="22"/>
                <w:szCs w:val="22"/>
              </w:rPr>
              <w:t>EU015</w:t>
            </w:r>
          </w:p>
        </w:tc>
        <w:tc>
          <w:tcPr>
            <w:tcW w:w="3942" w:type="dxa"/>
            <w:tcMar>
              <w:left w:w="58" w:type="dxa"/>
              <w:right w:w="58" w:type="dxa"/>
            </w:tcMar>
          </w:tcPr>
          <w:p w14:paraId="32DBCEE4" w14:textId="77777777" w:rsidR="00ED28C1" w:rsidRPr="006124D6" w:rsidRDefault="00ED28C1" w:rsidP="005947D5">
            <w:pPr>
              <w:rPr>
                <w:rFonts w:ascii="Garamond" w:hAnsi="Garamond"/>
                <w:sz w:val="22"/>
                <w:szCs w:val="22"/>
              </w:rPr>
            </w:pPr>
            <w:r w:rsidRPr="00ED28C1">
              <w:rPr>
                <w:rFonts w:ascii="Garamond" w:hAnsi="Garamond"/>
                <w:sz w:val="22"/>
                <w:szCs w:val="22"/>
              </w:rPr>
              <w:t>Diesel-</w:t>
            </w:r>
            <w:r w:rsidR="001C28DF">
              <w:rPr>
                <w:rFonts w:ascii="Garamond" w:hAnsi="Garamond"/>
                <w:sz w:val="22"/>
                <w:szCs w:val="22"/>
              </w:rPr>
              <w:t>F</w:t>
            </w:r>
            <w:r w:rsidRPr="00ED28C1">
              <w:rPr>
                <w:rFonts w:ascii="Garamond" w:hAnsi="Garamond"/>
                <w:sz w:val="22"/>
                <w:szCs w:val="22"/>
              </w:rPr>
              <w:t>ired Fire Water Supply Pump</w:t>
            </w:r>
          </w:p>
        </w:tc>
        <w:tc>
          <w:tcPr>
            <w:tcW w:w="4418" w:type="dxa"/>
            <w:tcMar>
              <w:left w:w="58" w:type="dxa"/>
              <w:right w:w="58" w:type="dxa"/>
            </w:tcMar>
          </w:tcPr>
          <w:p w14:paraId="359CC577" w14:textId="77777777" w:rsidR="00ED28C1" w:rsidRPr="006124D6" w:rsidRDefault="00ED28C1" w:rsidP="005947D5">
            <w:pPr>
              <w:rPr>
                <w:rFonts w:ascii="Garamond" w:hAnsi="Garamond"/>
                <w:sz w:val="22"/>
                <w:szCs w:val="22"/>
              </w:rPr>
            </w:pPr>
            <w:r w:rsidRPr="00ED28C1">
              <w:rPr>
                <w:rFonts w:ascii="Garamond" w:hAnsi="Garamond"/>
                <w:sz w:val="22"/>
                <w:szCs w:val="22"/>
              </w:rPr>
              <w:t>Engine Design</w:t>
            </w:r>
          </w:p>
        </w:tc>
      </w:tr>
      <w:tr w:rsidR="00ED28C1" w:rsidRPr="0000543F" w14:paraId="325602CB" w14:textId="77777777" w:rsidTr="00F700D4">
        <w:trPr>
          <w:trHeight w:val="248"/>
        </w:trPr>
        <w:tc>
          <w:tcPr>
            <w:tcW w:w="997" w:type="dxa"/>
            <w:tcMar>
              <w:left w:w="58" w:type="dxa"/>
              <w:right w:w="58" w:type="dxa"/>
            </w:tcMar>
          </w:tcPr>
          <w:p w14:paraId="502A6D14" w14:textId="77777777" w:rsidR="00ED28C1" w:rsidRPr="00ED28C1" w:rsidRDefault="00ED28C1" w:rsidP="006124D6">
            <w:pPr>
              <w:jc w:val="center"/>
              <w:rPr>
                <w:rFonts w:ascii="Garamond" w:hAnsi="Garamond"/>
                <w:sz w:val="22"/>
                <w:szCs w:val="22"/>
              </w:rPr>
            </w:pPr>
            <w:r w:rsidRPr="00ED28C1">
              <w:rPr>
                <w:rFonts w:ascii="Garamond" w:hAnsi="Garamond"/>
                <w:sz w:val="22"/>
                <w:szCs w:val="22"/>
              </w:rPr>
              <w:t>EU016</w:t>
            </w:r>
          </w:p>
        </w:tc>
        <w:tc>
          <w:tcPr>
            <w:tcW w:w="3942" w:type="dxa"/>
            <w:tcMar>
              <w:left w:w="58" w:type="dxa"/>
              <w:right w:w="58" w:type="dxa"/>
            </w:tcMar>
          </w:tcPr>
          <w:p w14:paraId="06A76F90" w14:textId="77777777" w:rsidR="00ED28C1" w:rsidRPr="00ED28C1" w:rsidRDefault="00ED28C1" w:rsidP="005947D5">
            <w:pPr>
              <w:rPr>
                <w:rFonts w:ascii="Garamond" w:hAnsi="Garamond"/>
                <w:sz w:val="22"/>
                <w:szCs w:val="22"/>
              </w:rPr>
            </w:pPr>
            <w:r w:rsidRPr="00ED28C1">
              <w:rPr>
                <w:rFonts w:ascii="Garamond" w:hAnsi="Garamond"/>
                <w:sz w:val="22"/>
                <w:szCs w:val="22"/>
              </w:rPr>
              <w:t>Diesel-</w:t>
            </w:r>
            <w:r w:rsidR="001C28DF">
              <w:rPr>
                <w:rFonts w:ascii="Garamond" w:hAnsi="Garamond"/>
                <w:sz w:val="22"/>
                <w:szCs w:val="22"/>
              </w:rPr>
              <w:t>F</w:t>
            </w:r>
            <w:r w:rsidRPr="00ED28C1">
              <w:rPr>
                <w:rFonts w:ascii="Garamond" w:hAnsi="Garamond"/>
                <w:sz w:val="22"/>
                <w:szCs w:val="22"/>
              </w:rPr>
              <w:t>ired Portable Welder</w:t>
            </w:r>
          </w:p>
        </w:tc>
        <w:tc>
          <w:tcPr>
            <w:tcW w:w="4418" w:type="dxa"/>
            <w:tcMar>
              <w:left w:w="58" w:type="dxa"/>
              <w:right w:w="58" w:type="dxa"/>
            </w:tcMar>
          </w:tcPr>
          <w:p w14:paraId="606F8BE0" w14:textId="77777777" w:rsidR="00ED28C1" w:rsidRPr="00ED28C1" w:rsidRDefault="00ED28C1" w:rsidP="005947D5">
            <w:pPr>
              <w:rPr>
                <w:rFonts w:ascii="Garamond" w:hAnsi="Garamond"/>
                <w:sz w:val="22"/>
                <w:szCs w:val="22"/>
              </w:rPr>
            </w:pPr>
            <w:r w:rsidRPr="00ED28C1">
              <w:rPr>
                <w:rFonts w:ascii="Garamond" w:hAnsi="Garamond"/>
                <w:sz w:val="22"/>
                <w:szCs w:val="22"/>
              </w:rPr>
              <w:t>Engine Design</w:t>
            </w:r>
          </w:p>
        </w:tc>
      </w:tr>
    </w:tbl>
    <w:p w14:paraId="28B5E73C" w14:textId="77777777" w:rsidR="0011127E" w:rsidRDefault="0011127E">
      <w:pPr>
        <w:tabs>
          <w:tab w:val="left" w:pos="-1440"/>
        </w:tabs>
        <w:ind w:left="720"/>
        <w:rPr>
          <w:rFonts w:ascii="Garamond" w:hAnsi="Garamond"/>
          <w:b/>
          <w:bCs/>
        </w:rPr>
      </w:pPr>
    </w:p>
    <w:p w14:paraId="6574B931" w14:textId="77777777" w:rsidR="00FC17C0" w:rsidRDefault="00FC17C0">
      <w:pPr>
        <w:tabs>
          <w:tab w:val="left" w:pos="-1440"/>
        </w:tabs>
        <w:ind w:left="720"/>
        <w:rPr>
          <w:rFonts w:ascii="Garamond" w:hAnsi="Garamond"/>
          <w:b/>
          <w:bCs/>
        </w:rPr>
      </w:pPr>
    </w:p>
    <w:p w14:paraId="49F1892E" w14:textId="77777777" w:rsidR="00FC17C0" w:rsidRDefault="00FC17C0">
      <w:pPr>
        <w:tabs>
          <w:tab w:val="left" w:pos="-1440"/>
        </w:tabs>
        <w:ind w:left="720"/>
        <w:rPr>
          <w:rFonts w:ascii="Garamond" w:hAnsi="Garamond"/>
          <w:b/>
          <w:bCs/>
        </w:rPr>
      </w:pPr>
    </w:p>
    <w:p w14:paraId="522897A1" w14:textId="77777777" w:rsidR="00FC17C0" w:rsidRDefault="00FC17C0">
      <w:pPr>
        <w:tabs>
          <w:tab w:val="left" w:pos="-1440"/>
        </w:tabs>
        <w:ind w:left="720"/>
        <w:rPr>
          <w:rFonts w:ascii="Garamond" w:hAnsi="Garamond"/>
          <w:b/>
          <w:bCs/>
        </w:rPr>
      </w:pPr>
    </w:p>
    <w:p w14:paraId="7A4DE73B" w14:textId="77777777" w:rsidR="00FC17C0" w:rsidRPr="006124D6" w:rsidRDefault="00FC17C0">
      <w:pPr>
        <w:tabs>
          <w:tab w:val="left" w:pos="-1440"/>
        </w:tabs>
        <w:ind w:left="720"/>
        <w:rPr>
          <w:rFonts w:ascii="Garamond" w:hAnsi="Garamond"/>
          <w:b/>
          <w:bCs/>
        </w:rPr>
      </w:pPr>
    </w:p>
    <w:p w14:paraId="19ACCA48" w14:textId="77777777" w:rsidR="0011127E" w:rsidRPr="006124D6" w:rsidRDefault="0011127E">
      <w:pPr>
        <w:pStyle w:val="Heading2"/>
        <w:rPr>
          <w:rFonts w:ascii="Garamond" w:hAnsi="Garamond"/>
          <w:sz w:val="24"/>
          <w:szCs w:val="24"/>
        </w:rPr>
      </w:pPr>
      <w:bookmarkStart w:id="24" w:name="_Toc163359616"/>
      <w:bookmarkStart w:id="25" w:name="_Toc104892068"/>
      <w:r w:rsidRPr="006124D6">
        <w:rPr>
          <w:rFonts w:ascii="Garamond" w:hAnsi="Garamond"/>
          <w:sz w:val="24"/>
          <w:szCs w:val="24"/>
        </w:rPr>
        <w:t>C.</w:t>
      </w:r>
      <w:r w:rsidRPr="006124D6">
        <w:rPr>
          <w:rFonts w:ascii="Garamond" w:hAnsi="Garamond"/>
          <w:sz w:val="24"/>
          <w:szCs w:val="24"/>
        </w:rPr>
        <w:tab/>
        <w:t>Categorically Insignificant Sources/Activities</w:t>
      </w:r>
      <w:bookmarkEnd w:id="24"/>
      <w:bookmarkEnd w:id="25"/>
    </w:p>
    <w:p w14:paraId="14D8EBC6" w14:textId="77777777" w:rsidR="00FC17C0" w:rsidRPr="00FC17C0" w:rsidRDefault="00FC17C0" w:rsidP="00FC17C0">
      <w:pPr>
        <w:widowControl/>
        <w:autoSpaceDE/>
        <w:autoSpaceDN/>
        <w:adjustRightInd/>
        <w:rPr>
          <w:rFonts w:ascii="Univers" w:hAnsi="Univers"/>
          <w:sz w:val="20"/>
          <w:szCs w:val="20"/>
        </w:rPr>
      </w:pPr>
    </w:p>
    <w:p w14:paraId="60D9C692" w14:textId="77777777" w:rsidR="00FC17C0" w:rsidRDefault="00FC17C0" w:rsidP="00FC17C0">
      <w:pPr>
        <w:widowControl/>
        <w:autoSpaceDE/>
        <w:autoSpaceDN/>
        <w:adjustRightInd/>
        <w:ind w:left="360"/>
        <w:rPr>
          <w:rFonts w:ascii="Garamond" w:hAnsi="Garamond"/>
        </w:rPr>
      </w:pPr>
      <w:r w:rsidRPr="006124D6">
        <w:rPr>
          <w:rFonts w:ascii="Garamond" w:hAnsi="Garamond"/>
        </w:rPr>
        <w:t>The following table lists the significant emission units located at the CELP facility.</w:t>
      </w:r>
    </w:p>
    <w:p w14:paraId="1DA3BF5C" w14:textId="77777777" w:rsidR="00FC17C0" w:rsidRDefault="00FC17C0" w:rsidP="00FC17C0">
      <w:pPr>
        <w:widowControl/>
        <w:autoSpaceDE/>
        <w:autoSpaceDN/>
        <w:adjustRightInd/>
        <w:ind w:left="360"/>
        <w:rPr>
          <w:rFonts w:ascii="Garamond" w:hAnsi="Garamond"/>
        </w:rPr>
      </w:pPr>
    </w:p>
    <w:tbl>
      <w:tblPr>
        <w:tblW w:w="93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19"/>
        <w:gridCol w:w="8156"/>
      </w:tblGrid>
      <w:tr w:rsidR="00FC17C0" w:rsidRPr="00FC17C0" w14:paraId="61304CD3" w14:textId="77777777" w:rsidTr="00F700D4">
        <w:trPr>
          <w:trHeight w:val="497"/>
        </w:trPr>
        <w:tc>
          <w:tcPr>
            <w:tcW w:w="1219" w:type="dxa"/>
            <w:tcBorders>
              <w:bottom w:val="single" w:sz="12" w:space="0" w:color="000000"/>
            </w:tcBorders>
          </w:tcPr>
          <w:p w14:paraId="2DF0EA9D" w14:textId="77777777" w:rsidR="00FC17C0" w:rsidRPr="006124D6" w:rsidRDefault="00FC17C0" w:rsidP="00FC17C0">
            <w:pPr>
              <w:widowControl/>
              <w:autoSpaceDE/>
              <w:autoSpaceDN/>
              <w:adjustRightInd/>
              <w:jc w:val="center"/>
              <w:rPr>
                <w:rFonts w:ascii="Garamond" w:hAnsi="Garamond"/>
                <w:b/>
                <w:sz w:val="22"/>
                <w:szCs w:val="22"/>
              </w:rPr>
            </w:pPr>
            <w:r>
              <w:rPr>
                <w:rFonts w:ascii="Garamond" w:hAnsi="Garamond"/>
                <w:b/>
                <w:sz w:val="22"/>
                <w:szCs w:val="22"/>
              </w:rPr>
              <w:t xml:space="preserve">Emission </w:t>
            </w:r>
            <w:r w:rsidRPr="006124D6">
              <w:rPr>
                <w:rFonts w:ascii="Garamond" w:hAnsi="Garamond"/>
                <w:b/>
                <w:sz w:val="22"/>
                <w:szCs w:val="22"/>
              </w:rPr>
              <w:t>Unit ID</w:t>
            </w:r>
          </w:p>
        </w:tc>
        <w:tc>
          <w:tcPr>
            <w:tcW w:w="8156" w:type="dxa"/>
            <w:tcBorders>
              <w:bottom w:val="single" w:sz="12" w:space="0" w:color="000000"/>
            </w:tcBorders>
          </w:tcPr>
          <w:p w14:paraId="0E6559BC" w14:textId="77777777" w:rsidR="00FC17C0" w:rsidRPr="006124D6" w:rsidRDefault="00FC17C0" w:rsidP="00FC17C0">
            <w:pPr>
              <w:widowControl/>
              <w:autoSpaceDE/>
              <w:autoSpaceDN/>
              <w:adjustRightInd/>
              <w:jc w:val="center"/>
              <w:rPr>
                <w:rFonts w:ascii="Garamond" w:hAnsi="Garamond"/>
                <w:b/>
                <w:sz w:val="22"/>
                <w:szCs w:val="22"/>
              </w:rPr>
            </w:pPr>
            <w:r w:rsidRPr="006124D6">
              <w:rPr>
                <w:rFonts w:ascii="Garamond" w:hAnsi="Garamond"/>
                <w:b/>
                <w:sz w:val="22"/>
                <w:szCs w:val="22"/>
              </w:rPr>
              <w:t>Description</w:t>
            </w:r>
          </w:p>
        </w:tc>
      </w:tr>
      <w:tr w:rsidR="00FC17C0" w:rsidRPr="00FC17C0" w14:paraId="4F3B848E" w14:textId="77777777" w:rsidTr="00F700D4">
        <w:trPr>
          <w:trHeight w:val="257"/>
        </w:trPr>
        <w:tc>
          <w:tcPr>
            <w:tcW w:w="1219" w:type="dxa"/>
            <w:tcBorders>
              <w:top w:val="nil"/>
            </w:tcBorders>
          </w:tcPr>
          <w:p w14:paraId="15001817" w14:textId="77777777" w:rsidR="00FC17C0" w:rsidRPr="006124D6" w:rsidRDefault="00FC17C0" w:rsidP="00FC17C0">
            <w:pPr>
              <w:widowControl/>
              <w:autoSpaceDE/>
              <w:autoSpaceDN/>
              <w:adjustRightInd/>
              <w:rPr>
                <w:rFonts w:ascii="Garamond" w:hAnsi="Garamond"/>
                <w:sz w:val="22"/>
                <w:szCs w:val="22"/>
              </w:rPr>
            </w:pPr>
            <w:r w:rsidRPr="006124D6">
              <w:rPr>
                <w:rFonts w:ascii="Garamond" w:hAnsi="Garamond"/>
                <w:sz w:val="22"/>
                <w:szCs w:val="22"/>
              </w:rPr>
              <w:t>IEU01</w:t>
            </w:r>
          </w:p>
        </w:tc>
        <w:tc>
          <w:tcPr>
            <w:tcW w:w="8156" w:type="dxa"/>
            <w:tcBorders>
              <w:top w:val="nil"/>
            </w:tcBorders>
          </w:tcPr>
          <w:p w14:paraId="3FA8F13D" w14:textId="77777777" w:rsidR="00FC17C0" w:rsidRPr="006124D6" w:rsidRDefault="00FC17C0" w:rsidP="00FC17C0">
            <w:pPr>
              <w:widowControl/>
              <w:autoSpaceDE/>
              <w:autoSpaceDN/>
              <w:adjustRightInd/>
              <w:rPr>
                <w:rFonts w:ascii="Garamond" w:hAnsi="Garamond"/>
                <w:sz w:val="22"/>
                <w:szCs w:val="22"/>
              </w:rPr>
            </w:pPr>
            <w:r w:rsidRPr="006124D6">
              <w:rPr>
                <w:rFonts w:ascii="Garamond" w:hAnsi="Garamond"/>
                <w:sz w:val="22"/>
                <w:szCs w:val="22"/>
              </w:rPr>
              <w:t>Fugitive Emissions: Diesel Fuel Combustion</w:t>
            </w:r>
          </w:p>
        </w:tc>
      </w:tr>
      <w:tr w:rsidR="00FC17C0" w:rsidRPr="00FC17C0" w14:paraId="5C4C0129" w14:textId="77777777" w:rsidTr="00F700D4">
        <w:trPr>
          <w:trHeight w:val="257"/>
        </w:trPr>
        <w:tc>
          <w:tcPr>
            <w:tcW w:w="1219" w:type="dxa"/>
          </w:tcPr>
          <w:p w14:paraId="39591BCB" w14:textId="77777777" w:rsidR="00FC17C0" w:rsidRPr="006124D6" w:rsidRDefault="00FC17C0" w:rsidP="00FC17C0">
            <w:pPr>
              <w:widowControl/>
              <w:autoSpaceDE/>
              <w:autoSpaceDN/>
              <w:adjustRightInd/>
              <w:rPr>
                <w:rFonts w:ascii="Garamond" w:hAnsi="Garamond"/>
                <w:sz w:val="22"/>
                <w:szCs w:val="22"/>
              </w:rPr>
            </w:pPr>
            <w:r w:rsidRPr="006124D6">
              <w:rPr>
                <w:rFonts w:ascii="Garamond" w:hAnsi="Garamond"/>
                <w:sz w:val="22"/>
                <w:szCs w:val="22"/>
              </w:rPr>
              <w:t>IEU02</w:t>
            </w:r>
          </w:p>
        </w:tc>
        <w:tc>
          <w:tcPr>
            <w:tcW w:w="8156" w:type="dxa"/>
          </w:tcPr>
          <w:p w14:paraId="2A8C1D47" w14:textId="77777777" w:rsidR="00FC17C0" w:rsidRPr="006124D6" w:rsidRDefault="00FC17C0" w:rsidP="00FC17C0">
            <w:pPr>
              <w:widowControl/>
              <w:autoSpaceDE/>
              <w:autoSpaceDN/>
              <w:adjustRightInd/>
              <w:rPr>
                <w:rFonts w:ascii="Garamond" w:hAnsi="Garamond"/>
                <w:sz w:val="22"/>
                <w:szCs w:val="22"/>
              </w:rPr>
            </w:pPr>
            <w:r w:rsidRPr="006124D6">
              <w:rPr>
                <w:rFonts w:ascii="Garamond" w:hAnsi="Garamond"/>
                <w:sz w:val="22"/>
                <w:szCs w:val="22"/>
              </w:rPr>
              <w:t>Diesel Fuel Oil Storage Tanks</w:t>
            </w:r>
          </w:p>
        </w:tc>
      </w:tr>
      <w:tr w:rsidR="00FC17C0" w:rsidRPr="00FC17C0" w14:paraId="279B0DF7" w14:textId="77777777" w:rsidTr="00F700D4">
        <w:trPr>
          <w:trHeight w:val="239"/>
        </w:trPr>
        <w:tc>
          <w:tcPr>
            <w:tcW w:w="1219" w:type="dxa"/>
          </w:tcPr>
          <w:p w14:paraId="6AD56FF6" w14:textId="77777777" w:rsidR="00FC17C0" w:rsidRPr="006124D6" w:rsidRDefault="00FC17C0" w:rsidP="00FC17C0">
            <w:pPr>
              <w:widowControl/>
              <w:autoSpaceDE/>
              <w:autoSpaceDN/>
              <w:adjustRightInd/>
              <w:rPr>
                <w:rFonts w:ascii="Garamond" w:hAnsi="Garamond"/>
                <w:sz w:val="22"/>
                <w:szCs w:val="22"/>
              </w:rPr>
            </w:pPr>
            <w:r w:rsidRPr="006124D6">
              <w:rPr>
                <w:rFonts w:ascii="Garamond" w:hAnsi="Garamond"/>
                <w:sz w:val="22"/>
                <w:szCs w:val="22"/>
              </w:rPr>
              <w:t>IEU05</w:t>
            </w:r>
          </w:p>
        </w:tc>
        <w:tc>
          <w:tcPr>
            <w:tcW w:w="8156" w:type="dxa"/>
          </w:tcPr>
          <w:p w14:paraId="19352A0E" w14:textId="77777777" w:rsidR="00FC17C0" w:rsidRPr="006124D6" w:rsidRDefault="00FC17C0" w:rsidP="00FC17C0">
            <w:pPr>
              <w:widowControl/>
              <w:autoSpaceDE/>
              <w:autoSpaceDN/>
              <w:adjustRightInd/>
              <w:rPr>
                <w:rFonts w:ascii="Garamond" w:hAnsi="Garamond"/>
                <w:sz w:val="22"/>
                <w:szCs w:val="22"/>
              </w:rPr>
            </w:pPr>
            <w:r w:rsidRPr="006124D6">
              <w:rPr>
                <w:rFonts w:ascii="Garamond" w:hAnsi="Garamond"/>
                <w:sz w:val="22"/>
                <w:szCs w:val="22"/>
              </w:rPr>
              <w:t>Propane-fired Portable Heaters</w:t>
            </w:r>
          </w:p>
        </w:tc>
      </w:tr>
    </w:tbl>
    <w:p w14:paraId="02737D06" w14:textId="77777777" w:rsidR="00FC17C0" w:rsidRDefault="00FC17C0" w:rsidP="00FC17C0">
      <w:pPr>
        <w:widowControl/>
        <w:autoSpaceDE/>
        <w:autoSpaceDN/>
        <w:adjustRightInd/>
        <w:ind w:left="360"/>
        <w:rPr>
          <w:rFonts w:ascii="Garamond" w:hAnsi="Garamond"/>
        </w:rPr>
      </w:pPr>
    </w:p>
    <w:p w14:paraId="238FFCD0" w14:textId="77777777" w:rsidR="00E5135F" w:rsidRDefault="00E5135F" w:rsidP="00FC17C0">
      <w:pPr>
        <w:widowControl/>
        <w:autoSpaceDE/>
        <w:autoSpaceDN/>
        <w:adjustRightInd/>
        <w:ind w:left="360"/>
        <w:rPr>
          <w:rFonts w:ascii="Garamond" w:hAnsi="Garamond"/>
        </w:rPr>
        <w:sectPr w:rsidR="00E5135F" w:rsidSect="00434B5B">
          <w:endnotePr>
            <w:numFmt w:val="decimal"/>
          </w:endnotePr>
          <w:type w:val="continuous"/>
          <w:pgSz w:w="12240" w:h="15840" w:code="1"/>
          <w:pgMar w:top="1152" w:right="1440" w:bottom="1008" w:left="1440" w:header="720" w:footer="720" w:gutter="0"/>
          <w:cols w:space="720"/>
          <w:noEndnote/>
          <w:docGrid w:linePitch="326"/>
        </w:sectPr>
      </w:pPr>
    </w:p>
    <w:p w14:paraId="65E282CA" w14:textId="77777777" w:rsidR="00FC17C0" w:rsidRDefault="00FC17C0" w:rsidP="00FC17C0">
      <w:pPr>
        <w:widowControl/>
        <w:autoSpaceDE/>
        <w:autoSpaceDN/>
        <w:adjustRightInd/>
        <w:ind w:left="360"/>
        <w:rPr>
          <w:rFonts w:ascii="Garamond" w:hAnsi="Garamond"/>
        </w:rPr>
      </w:pPr>
    </w:p>
    <w:p w14:paraId="3DC07E50" w14:textId="78D8BA3D" w:rsidR="0011127E" w:rsidRPr="006124D6" w:rsidRDefault="0011127E">
      <w:pPr>
        <w:pStyle w:val="Heading1"/>
        <w:rPr>
          <w:rFonts w:ascii="Garamond" w:hAnsi="Garamond"/>
          <w:sz w:val="24"/>
          <w:szCs w:val="24"/>
        </w:rPr>
      </w:pPr>
      <w:bookmarkStart w:id="26" w:name="_Toc163359617"/>
      <w:bookmarkStart w:id="27" w:name="_Toc104892069"/>
      <w:r w:rsidRPr="006124D6">
        <w:rPr>
          <w:rFonts w:ascii="Garamond" w:hAnsi="Garamond"/>
          <w:sz w:val="24"/>
          <w:szCs w:val="24"/>
        </w:rPr>
        <w:t>section iii</w:t>
      </w:r>
      <w:r w:rsidR="00D8745A">
        <w:rPr>
          <w:rFonts w:ascii="Garamond" w:hAnsi="Garamond"/>
          <w:sz w:val="24"/>
          <w:szCs w:val="24"/>
        </w:rPr>
        <w:t xml:space="preserve">. </w:t>
      </w:r>
      <w:r w:rsidRPr="006124D6">
        <w:rPr>
          <w:rFonts w:ascii="Garamond" w:hAnsi="Garamond"/>
          <w:sz w:val="24"/>
          <w:szCs w:val="24"/>
        </w:rPr>
        <w:t>Explanation of Operating Permit Conditions</w:t>
      </w:r>
      <w:bookmarkEnd w:id="26"/>
      <w:bookmarkEnd w:id="27"/>
    </w:p>
    <w:p w14:paraId="1CBA915D" w14:textId="77777777" w:rsidR="0011127E" w:rsidRPr="006124D6" w:rsidRDefault="0011127E">
      <w:pPr>
        <w:rPr>
          <w:rFonts w:ascii="Garamond" w:hAnsi="Garamond"/>
        </w:rPr>
      </w:pPr>
    </w:p>
    <w:p w14:paraId="3C676F82" w14:textId="77777777" w:rsidR="0011127E" w:rsidRPr="006124D6" w:rsidRDefault="0011127E">
      <w:pPr>
        <w:pStyle w:val="Heading2"/>
        <w:rPr>
          <w:rFonts w:ascii="Garamond" w:hAnsi="Garamond"/>
          <w:sz w:val="24"/>
          <w:szCs w:val="24"/>
        </w:rPr>
      </w:pPr>
      <w:bookmarkStart w:id="28" w:name="_Toc163359618"/>
      <w:bookmarkStart w:id="29" w:name="_Toc104892070"/>
      <w:r w:rsidRPr="006124D6">
        <w:rPr>
          <w:rFonts w:ascii="Garamond" w:hAnsi="Garamond"/>
          <w:sz w:val="24"/>
          <w:szCs w:val="24"/>
        </w:rPr>
        <w:t>A.</w:t>
      </w:r>
      <w:r w:rsidRPr="006124D6">
        <w:rPr>
          <w:rFonts w:ascii="Garamond" w:hAnsi="Garamond"/>
          <w:sz w:val="24"/>
          <w:szCs w:val="24"/>
        </w:rPr>
        <w:tab/>
        <w:t>Emission Limits and Standards</w:t>
      </w:r>
      <w:bookmarkEnd w:id="28"/>
      <w:bookmarkEnd w:id="29"/>
    </w:p>
    <w:p w14:paraId="672D9615" w14:textId="77777777" w:rsidR="0011127E" w:rsidRPr="006124D6" w:rsidRDefault="0011127E">
      <w:pPr>
        <w:rPr>
          <w:rFonts w:ascii="Garamond" w:hAnsi="Garamond"/>
        </w:rPr>
      </w:pPr>
    </w:p>
    <w:p w14:paraId="5AE384E2" w14:textId="6979D48B" w:rsidR="0011127E" w:rsidRPr="006124D6" w:rsidRDefault="0011127E">
      <w:pPr>
        <w:ind w:left="720"/>
        <w:rPr>
          <w:rFonts w:ascii="Garamond" w:hAnsi="Garamond"/>
        </w:rPr>
      </w:pPr>
      <w:r w:rsidRPr="006124D6">
        <w:rPr>
          <w:rFonts w:ascii="Garamond" w:hAnsi="Garamond"/>
        </w:rPr>
        <w:t>Applicable requirements for significant emission units are listed after each emission unit</w:t>
      </w:r>
      <w:r w:rsidR="00D8745A">
        <w:rPr>
          <w:rFonts w:ascii="Garamond" w:hAnsi="Garamond"/>
        </w:rPr>
        <w:t xml:space="preserve">. </w:t>
      </w:r>
      <w:r w:rsidRPr="006124D6">
        <w:rPr>
          <w:rFonts w:ascii="Garamond" w:hAnsi="Garamond"/>
        </w:rPr>
        <w:t>At the time of permit issuance, the requirements listed underneath each emission unit or group of emission units are believed to be the applicable requirements</w:t>
      </w:r>
      <w:r w:rsidR="00D8745A">
        <w:rPr>
          <w:rFonts w:ascii="Garamond" w:hAnsi="Garamond"/>
        </w:rPr>
        <w:t xml:space="preserve">. </w:t>
      </w:r>
      <w:r w:rsidR="009C3F2D">
        <w:rPr>
          <w:rFonts w:ascii="Garamond" w:hAnsi="Garamond"/>
        </w:rPr>
        <w:t>DEQ</w:t>
      </w:r>
      <w:r w:rsidRPr="006124D6">
        <w:rPr>
          <w:rFonts w:ascii="Garamond" w:hAnsi="Garamond"/>
        </w:rPr>
        <w:t xml:space="preserve"> does not intend for the facility-wide conditions to supersede the applicable requirements listed below each emission unit or group of emission units. </w:t>
      </w:r>
    </w:p>
    <w:p w14:paraId="656DC976" w14:textId="77777777" w:rsidR="0011127E" w:rsidRPr="006124D6" w:rsidRDefault="0011127E">
      <w:pPr>
        <w:ind w:left="720"/>
        <w:rPr>
          <w:rFonts w:ascii="Garamond" w:hAnsi="Garamond"/>
        </w:rPr>
      </w:pPr>
    </w:p>
    <w:p w14:paraId="3FD69B45" w14:textId="10D129BA" w:rsidR="0011127E" w:rsidRPr="006124D6" w:rsidRDefault="0011127E">
      <w:pPr>
        <w:ind w:left="720"/>
        <w:rPr>
          <w:rFonts w:ascii="Garamond" w:hAnsi="Garamond"/>
        </w:rPr>
      </w:pPr>
      <w:r w:rsidRPr="006124D6">
        <w:rPr>
          <w:rFonts w:ascii="Garamond" w:hAnsi="Garamond"/>
        </w:rPr>
        <w:t>Section II.A.</w:t>
      </w:r>
      <w:r w:rsidR="00180803">
        <w:rPr>
          <w:rFonts w:ascii="Garamond" w:hAnsi="Garamond"/>
        </w:rPr>
        <w:t>20</w:t>
      </w:r>
      <w:r w:rsidRPr="006124D6">
        <w:rPr>
          <w:rFonts w:ascii="Garamond" w:hAnsi="Garamond"/>
        </w:rPr>
        <w:t xml:space="preserve"> of </w:t>
      </w:r>
      <w:r w:rsidR="00A031E4" w:rsidRPr="006124D6">
        <w:rPr>
          <w:rFonts w:ascii="Garamond" w:hAnsi="Garamond"/>
        </w:rPr>
        <w:t>MAQP</w:t>
      </w:r>
      <w:r w:rsidRPr="006124D6">
        <w:rPr>
          <w:rFonts w:ascii="Garamond" w:hAnsi="Garamond"/>
        </w:rPr>
        <w:t xml:space="preserve"> #2035-0</w:t>
      </w:r>
      <w:r w:rsidR="00180803">
        <w:rPr>
          <w:rFonts w:ascii="Garamond" w:hAnsi="Garamond"/>
        </w:rPr>
        <w:t>7</w:t>
      </w:r>
      <w:r w:rsidRPr="006124D6">
        <w:rPr>
          <w:rFonts w:ascii="Garamond" w:hAnsi="Garamond"/>
        </w:rPr>
        <w:t xml:space="preserve"> states that opacity shall not exceed 20% or greater averaged over 6 consecutive minutes</w:t>
      </w:r>
      <w:r w:rsidR="00D8745A">
        <w:rPr>
          <w:rFonts w:ascii="Garamond" w:hAnsi="Garamond"/>
        </w:rPr>
        <w:t xml:space="preserve">. </w:t>
      </w:r>
      <w:r w:rsidRPr="006124D6">
        <w:rPr>
          <w:rFonts w:ascii="Garamond" w:hAnsi="Garamond"/>
        </w:rPr>
        <w:t>The rule citation for Section II.A.11 is ARM 17.8.304</w:t>
      </w:r>
      <w:r w:rsidR="00D8745A">
        <w:rPr>
          <w:rFonts w:ascii="Garamond" w:hAnsi="Garamond"/>
        </w:rPr>
        <w:t xml:space="preserve">. </w:t>
      </w:r>
      <w:r w:rsidRPr="006124D6">
        <w:rPr>
          <w:rFonts w:ascii="Garamond" w:hAnsi="Garamond"/>
        </w:rPr>
        <w:t>ARM 17.8.304(4) states that this rule does not apply to those new stationary sources listed in ARM 17.8.340 for which a visible emission standard has been promulgated</w:t>
      </w:r>
      <w:r w:rsidR="00D8745A">
        <w:rPr>
          <w:rFonts w:ascii="Garamond" w:hAnsi="Garamond"/>
        </w:rPr>
        <w:t xml:space="preserve">. </w:t>
      </w:r>
      <w:r w:rsidRPr="006124D6">
        <w:rPr>
          <w:rFonts w:ascii="Garamond" w:hAnsi="Garamond"/>
        </w:rPr>
        <w:t xml:space="preserve">Subpart Da - Standards of Performance for Electric Utility Steam Generating Units for Which Construction Is Commenced After September 18, </w:t>
      </w:r>
      <w:proofErr w:type="gramStart"/>
      <w:r w:rsidRPr="006124D6">
        <w:rPr>
          <w:rFonts w:ascii="Garamond" w:hAnsi="Garamond"/>
        </w:rPr>
        <w:t>1978</w:t>
      </w:r>
      <w:proofErr w:type="gramEnd"/>
      <w:r w:rsidRPr="006124D6">
        <w:rPr>
          <w:rFonts w:ascii="Garamond" w:hAnsi="Garamond"/>
        </w:rPr>
        <w:t xml:space="preserve"> is an applicable requirement for the CFB boiler</w:t>
      </w:r>
      <w:r w:rsidR="00D8745A">
        <w:rPr>
          <w:rFonts w:ascii="Garamond" w:hAnsi="Garamond"/>
        </w:rPr>
        <w:t xml:space="preserve">. </w:t>
      </w:r>
      <w:r w:rsidRPr="006124D6">
        <w:rPr>
          <w:rFonts w:ascii="Garamond" w:hAnsi="Garamond"/>
        </w:rPr>
        <w:t xml:space="preserve">Therefore, the opacity limit on the CFB boiler in </w:t>
      </w:r>
      <w:r w:rsidR="001051B7" w:rsidRPr="006124D6">
        <w:rPr>
          <w:rFonts w:ascii="Garamond" w:hAnsi="Garamond"/>
        </w:rPr>
        <w:t>O</w:t>
      </w:r>
      <w:r w:rsidRPr="006124D6">
        <w:rPr>
          <w:rFonts w:ascii="Garamond" w:hAnsi="Garamond"/>
        </w:rPr>
        <w:t xml:space="preserve">perating </w:t>
      </w:r>
      <w:r w:rsidR="001051B7" w:rsidRPr="006124D6">
        <w:rPr>
          <w:rFonts w:ascii="Garamond" w:hAnsi="Garamond"/>
        </w:rPr>
        <w:t>P</w:t>
      </w:r>
      <w:r w:rsidRPr="006124D6">
        <w:rPr>
          <w:rFonts w:ascii="Garamond" w:hAnsi="Garamond"/>
        </w:rPr>
        <w:t>ermit #OP2035-00 is 40 CFR 60.42</w:t>
      </w:r>
      <w:r w:rsidR="00403322">
        <w:rPr>
          <w:rFonts w:ascii="Garamond" w:hAnsi="Garamond"/>
        </w:rPr>
        <w:t>D</w:t>
      </w:r>
      <w:r w:rsidRPr="006124D6">
        <w:rPr>
          <w:rFonts w:ascii="Garamond" w:hAnsi="Garamond"/>
        </w:rPr>
        <w:t>a(b)</w:t>
      </w:r>
      <w:r w:rsidR="00D8745A">
        <w:rPr>
          <w:rFonts w:ascii="Garamond" w:hAnsi="Garamond"/>
        </w:rPr>
        <w:t xml:space="preserve">. </w:t>
      </w:r>
      <w:r w:rsidRPr="006124D6">
        <w:rPr>
          <w:rFonts w:ascii="Garamond" w:hAnsi="Garamond"/>
        </w:rPr>
        <w:t>40 CFR 60.42</w:t>
      </w:r>
      <w:r w:rsidR="00403322">
        <w:rPr>
          <w:rFonts w:ascii="Garamond" w:hAnsi="Garamond"/>
        </w:rPr>
        <w:t>D</w:t>
      </w:r>
      <w:r w:rsidRPr="006124D6">
        <w:rPr>
          <w:rFonts w:ascii="Garamond" w:hAnsi="Garamond"/>
        </w:rPr>
        <w:t>a(b) states that a facility shall not cause to be discharged into the atmosphere from any affected facility any gases which exhibit greater than 20 percent opacity (</w:t>
      </w:r>
      <w:proofErr w:type="gramStart"/>
      <w:r w:rsidRPr="006124D6">
        <w:rPr>
          <w:rFonts w:ascii="Garamond" w:hAnsi="Garamond"/>
        </w:rPr>
        <w:t>6 minute</w:t>
      </w:r>
      <w:proofErr w:type="gramEnd"/>
      <w:r w:rsidRPr="006124D6">
        <w:rPr>
          <w:rFonts w:ascii="Garamond" w:hAnsi="Garamond"/>
        </w:rPr>
        <w:t xml:space="preserve"> average) except for one </w:t>
      </w:r>
      <w:proofErr w:type="gramStart"/>
      <w:r w:rsidRPr="006124D6">
        <w:rPr>
          <w:rFonts w:ascii="Garamond" w:hAnsi="Garamond"/>
        </w:rPr>
        <w:t>6</w:t>
      </w:r>
      <w:r w:rsidR="000A4FAB" w:rsidRPr="006124D6">
        <w:rPr>
          <w:rFonts w:ascii="Garamond" w:hAnsi="Garamond"/>
        </w:rPr>
        <w:t xml:space="preserve"> </w:t>
      </w:r>
      <w:r w:rsidRPr="006124D6">
        <w:rPr>
          <w:rFonts w:ascii="Garamond" w:hAnsi="Garamond"/>
        </w:rPr>
        <w:t>minute</w:t>
      </w:r>
      <w:proofErr w:type="gramEnd"/>
      <w:r w:rsidRPr="006124D6">
        <w:rPr>
          <w:rFonts w:ascii="Garamond" w:hAnsi="Garamond"/>
        </w:rPr>
        <w:t xml:space="preserve"> period per hour of not more than 27 percent opacity (ARM 17.8.340 and 40 CFR 60.42</w:t>
      </w:r>
      <w:r w:rsidR="00403322">
        <w:rPr>
          <w:rFonts w:ascii="Garamond" w:hAnsi="Garamond"/>
        </w:rPr>
        <w:t>D</w:t>
      </w:r>
      <w:r w:rsidRPr="006124D6">
        <w:rPr>
          <w:rFonts w:ascii="Garamond" w:hAnsi="Garamond"/>
        </w:rPr>
        <w:t xml:space="preserve">a(b)). </w:t>
      </w:r>
    </w:p>
    <w:p w14:paraId="270F7305" w14:textId="77777777" w:rsidR="0011127E" w:rsidRPr="006124D6" w:rsidRDefault="0011127E">
      <w:pPr>
        <w:ind w:left="720"/>
        <w:rPr>
          <w:rFonts w:ascii="Garamond" w:hAnsi="Garamond"/>
        </w:rPr>
      </w:pPr>
    </w:p>
    <w:p w14:paraId="16BC4F33" w14:textId="751BE7A5" w:rsidR="0011127E" w:rsidRPr="006124D6" w:rsidRDefault="0011127E">
      <w:pPr>
        <w:ind w:left="720"/>
        <w:rPr>
          <w:rFonts w:ascii="Garamond" w:hAnsi="Garamond"/>
        </w:rPr>
      </w:pPr>
      <w:r w:rsidRPr="006124D6">
        <w:rPr>
          <w:rFonts w:ascii="Garamond" w:hAnsi="Garamond"/>
        </w:rPr>
        <w:t>The NO</w:t>
      </w:r>
      <w:r w:rsidR="002014A6" w:rsidRPr="006124D6">
        <w:rPr>
          <w:rFonts w:ascii="Garamond" w:hAnsi="Garamond"/>
          <w:vertAlign w:val="subscript"/>
        </w:rPr>
        <w:t>x</w:t>
      </w:r>
      <w:r w:rsidRPr="006124D6">
        <w:rPr>
          <w:rFonts w:ascii="Garamond" w:hAnsi="Garamond"/>
        </w:rPr>
        <w:t xml:space="preserve"> emission limitations and monitoring requirements contained in Subpart Da do not apply to CELP since the facility burns more than 25%, by weight, refuse coal (40 CFR 60.44</w:t>
      </w:r>
      <w:r w:rsidR="00403322">
        <w:rPr>
          <w:rFonts w:ascii="Garamond" w:hAnsi="Garamond"/>
        </w:rPr>
        <w:t>D</w:t>
      </w:r>
      <w:r w:rsidRPr="006124D6">
        <w:rPr>
          <w:rFonts w:ascii="Garamond" w:hAnsi="Garamond"/>
        </w:rPr>
        <w:t>a(a)(1))</w:t>
      </w:r>
      <w:r w:rsidR="00D8745A">
        <w:rPr>
          <w:rFonts w:ascii="Garamond" w:hAnsi="Garamond"/>
        </w:rPr>
        <w:t xml:space="preserve">. </w:t>
      </w:r>
      <w:r w:rsidRPr="006124D6">
        <w:rPr>
          <w:rFonts w:ascii="Garamond" w:hAnsi="Garamond"/>
        </w:rPr>
        <w:t>However, CELP is subject to annual, daily, and hourly NO</w:t>
      </w:r>
      <w:r w:rsidR="002014A6" w:rsidRPr="006124D6">
        <w:rPr>
          <w:rFonts w:ascii="Garamond" w:hAnsi="Garamond"/>
          <w:vertAlign w:val="subscript"/>
        </w:rPr>
        <w:t>x</w:t>
      </w:r>
      <w:r w:rsidRPr="006124D6">
        <w:rPr>
          <w:rFonts w:ascii="Garamond" w:hAnsi="Garamond"/>
        </w:rPr>
        <w:t xml:space="preserve"> emission limits established to protect ambient air quality</w:t>
      </w:r>
      <w:r w:rsidR="00D8745A">
        <w:rPr>
          <w:rFonts w:ascii="Garamond" w:hAnsi="Garamond"/>
        </w:rPr>
        <w:t xml:space="preserve">. </w:t>
      </w:r>
      <w:r w:rsidRPr="006124D6">
        <w:rPr>
          <w:rFonts w:ascii="Garamond" w:hAnsi="Garamond"/>
        </w:rPr>
        <w:t>Section III.E.2. of the operating permit contains the applicable NO</w:t>
      </w:r>
      <w:r w:rsidR="002014A6" w:rsidRPr="006124D6">
        <w:rPr>
          <w:rFonts w:ascii="Garamond" w:hAnsi="Garamond"/>
          <w:vertAlign w:val="subscript"/>
        </w:rPr>
        <w:t>x</w:t>
      </w:r>
      <w:r w:rsidRPr="006124D6">
        <w:rPr>
          <w:rFonts w:ascii="Garamond" w:hAnsi="Garamond"/>
        </w:rPr>
        <w:t xml:space="preserve"> limits</w:t>
      </w:r>
      <w:r w:rsidR="00D8745A">
        <w:rPr>
          <w:rFonts w:ascii="Garamond" w:hAnsi="Garamond"/>
        </w:rPr>
        <w:t xml:space="preserve">. </w:t>
      </w:r>
    </w:p>
    <w:p w14:paraId="51371CD6" w14:textId="77777777" w:rsidR="0011127E" w:rsidRDefault="0011127E">
      <w:pPr>
        <w:ind w:left="720"/>
        <w:rPr>
          <w:rFonts w:ascii="Garamond" w:hAnsi="Garamond"/>
        </w:rPr>
      </w:pPr>
    </w:p>
    <w:p w14:paraId="4A5A1841" w14:textId="2645CE99" w:rsidR="00874F52" w:rsidRDefault="00BB59EB">
      <w:pPr>
        <w:ind w:left="720"/>
        <w:rPr>
          <w:rFonts w:ascii="Garamond" w:hAnsi="Garamond"/>
        </w:rPr>
      </w:pPr>
      <w:r>
        <w:rPr>
          <w:rFonts w:ascii="Garamond" w:hAnsi="Garamond"/>
        </w:rPr>
        <w:t>D</w:t>
      </w:r>
      <w:r w:rsidR="00874F52">
        <w:rPr>
          <w:rFonts w:ascii="Garamond" w:hAnsi="Garamond"/>
        </w:rPr>
        <w:t>emonstration of compliance to the SO</w:t>
      </w:r>
      <w:r w:rsidR="00874F52" w:rsidRPr="006124D6">
        <w:rPr>
          <w:rFonts w:ascii="Garamond" w:hAnsi="Garamond"/>
          <w:vertAlign w:val="subscript"/>
        </w:rPr>
        <w:t>2</w:t>
      </w:r>
      <w:r w:rsidR="00174368">
        <w:rPr>
          <w:rFonts w:ascii="Garamond" w:hAnsi="Garamond"/>
        </w:rPr>
        <w:t xml:space="preserve"> </w:t>
      </w:r>
      <w:r w:rsidR="00491931">
        <w:rPr>
          <w:rFonts w:ascii="Garamond" w:hAnsi="Garamond"/>
        </w:rPr>
        <w:t>limitations cont</w:t>
      </w:r>
      <w:r w:rsidR="00874F52">
        <w:rPr>
          <w:rFonts w:ascii="Garamond" w:hAnsi="Garamond"/>
        </w:rPr>
        <w:t xml:space="preserve">ained within 40 CFR </w:t>
      </w:r>
      <w:r w:rsidR="00942C9C">
        <w:rPr>
          <w:rFonts w:ascii="Garamond" w:hAnsi="Garamond"/>
        </w:rPr>
        <w:t>Subpart 60.</w:t>
      </w:r>
      <w:r w:rsidR="00874F52">
        <w:rPr>
          <w:rFonts w:ascii="Garamond" w:hAnsi="Garamond"/>
        </w:rPr>
        <w:t xml:space="preserve"> 43(a)(1)</w:t>
      </w:r>
      <w:r w:rsidR="0045201C">
        <w:rPr>
          <w:rFonts w:ascii="Garamond" w:hAnsi="Garamond"/>
        </w:rPr>
        <w:t xml:space="preserve"> shall</w:t>
      </w:r>
      <w:r w:rsidR="00874F52">
        <w:rPr>
          <w:rFonts w:ascii="Garamond" w:hAnsi="Garamond"/>
        </w:rPr>
        <w:t xml:space="preserve"> follow </w:t>
      </w:r>
      <w:r w:rsidR="0045201C">
        <w:rPr>
          <w:rFonts w:ascii="Garamond" w:hAnsi="Garamond"/>
        </w:rPr>
        <w:t xml:space="preserve">the requirements of 40 CFR Subpart Da 49 and 50, including </w:t>
      </w:r>
      <w:r w:rsidR="00874F52">
        <w:rPr>
          <w:rFonts w:ascii="Garamond" w:hAnsi="Garamond"/>
        </w:rPr>
        <w:t xml:space="preserve">Reference Method </w:t>
      </w:r>
      <w:r w:rsidR="0045201C">
        <w:rPr>
          <w:rFonts w:ascii="Garamond" w:hAnsi="Garamond"/>
        </w:rPr>
        <w:t>19</w:t>
      </w:r>
      <w:r w:rsidR="00E04BB1">
        <w:rPr>
          <w:rFonts w:ascii="Garamond" w:hAnsi="Garamond"/>
        </w:rPr>
        <w:t xml:space="preserve"> of Appendix A (40 CFR Part 60) and using a single F-Factor of 10,024 </w:t>
      </w:r>
      <w:proofErr w:type="spellStart"/>
      <w:r w:rsidR="00E04BB1">
        <w:rPr>
          <w:rFonts w:ascii="Garamond" w:hAnsi="Garamond"/>
        </w:rPr>
        <w:t>dscf</w:t>
      </w:r>
      <w:proofErr w:type="spellEnd"/>
      <w:r w:rsidR="00E04BB1">
        <w:rPr>
          <w:rFonts w:ascii="Garamond" w:hAnsi="Garamond"/>
        </w:rPr>
        <w:t>/MMBtu</w:t>
      </w:r>
      <w:r w:rsidR="00D8745A">
        <w:rPr>
          <w:rFonts w:ascii="Garamond" w:hAnsi="Garamond"/>
        </w:rPr>
        <w:t xml:space="preserve">. </w:t>
      </w:r>
      <w:r w:rsidR="00942C9C">
        <w:rPr>
          <w:rFonts w:ascii="Garamond" w:hAnsi="Garamond"/>
        </w:rPr>
        <w:t>The establishment of the</w:t>
      </w:r>
      <w:r w:rsidR="00E04BB1">
        <w:rPr>
          <w:rFonts w:ascii="Garamond" w:hAnsi="Garamond"/>
        </w:rPr>
        <w:t xml:space="preserve"> single F-Factor </w:t>
      </w:r>
      <w:r w:rsidR="00581355">
        <w:rPr>
          <w:rFonts w:ascii="Garamond" w:hAnsi="Garamond"/>
        </w:rPr>
        <w:t xml:space="preserve">was initiated </w:t>
      </w:r>
      <w:proofErr w:type="gramStart"/>
      <w:r w:rsidR="00581355">
        <w:rPr>
          <w:rFonts w:ascii="Garamond" w:hAnsi="Garamond"/>
        </w:rPr>
        <w:t>as a result of</w:t>
      </w:r>
      <w:proofErr w:type="gramEnd"/>
      <w:r w:rsidR="00581355">
        <w:rPr>
          <w:rFonts w:ascii="Garamond" w:hAnsi="Garamond"/>
        </w:rPr>
        <w:t xml:space="preserve"> </w:t>
      </w:r>
      <w:r w:rsidR="00A0153B">
        <w:rPr>
          <w:rFonts w:ascii="Garamond" w:hAnsi="Garamond"/>
        </w:rPr>
        <w:t xml:space="preserve">comments </w:t>
      </w:r>
      <w:proofErr w:type="gramStart"/>
      <w:r w:rsidR="00A0153B">
        <w:rPr>
          <w:rFonts w:ascii="Garamond" w:hAnsi="Garamond"/>
        </w:rPr>
        <w:t>to</w:t>
      </w:r>
      <w:proofErr w:type="gramEnd"/>
      <w:r w:rsidR="00A0153B">
        <w:rPr>
          <w:rFonts w:ascii="Garamond" w:hAnsi="Garamond"/>
        </w:rPr>
        <w:t xml:space="preserve"> the</w:t>
      </w:r>
      <w:r w:rsidR="00581355">
        <w:rPr>
          <w:rFonts w:ascii="Garamond" w:hAnsi="Garamond"/>
        </w:rPr>
        <w:t xml:space="preserve"> issuance of </w:t>
      </w:r>
      <w:r w:rsidR="00A0153B">
        <w:rPr>
          <w:rFonts w:ascii="Garamond" w:hAnsi="Garamond"/>
        </w:rPr>
        <w:t xml:space="preserve">the Draft Title V </w:t>
      </w:r>
      <w:r w:rsidR="00581355">
        <w:rPr>
          <w:rFonts w:ascii="Garamond" w:hAnsi="Garamond"/>
        </w:rPr>
        <w:t>#OP2035-01</w:t>
      </w:r>
      <w:r w:rsidR="00D8745A">
        <w:rPr>
          <w:rFonts w:ascii="Garamond" w:hAnsi="Garamond"/>
        </w:rPr>
        <w:t xml:space="preserve">. </w:t>
      </w:r>
      <w:proofErr w:type="gramStart"/>
      <w:r w:rsidR="00A0153B">
        <w:rPr>
          <w:rFonts w:ascii="Garamond" w:hAnsi="Garamond"/>
        </w:rPr>
        <w:t>Subsequent to</w:t>
      </w:r>
      <w:proofErr w:type="gramEnd"/>
      <w:r w:rsidR="00A0153B">
        <w:rPr>
          <w:rFonts w:ascii="Garamond" w:hAnsi="Garamond"/>
        </w:rPr>
        <w:t xml:space="preserve"> discussion with </w:t>
      </w:r>
      <w:r w:rsidR="009C3F2D">
        <w:rPr>
          <w:rFonts w:ascii="Garamond" w:hAnsi="Garamond"/>
        </w:rPr>
        <w:t>DEQ</w:t>
      </w:r>
      <w:r w:rsidR="00A0153B">
        <w:rPr>
          <w:rFonts w:ascii="Garamond" w:hAnsi="Garamond"/>
        </w:rPr>
        <w:t xml:space="preserve"> the concluding F-Factor value and </w:t>
      </w:r>
      <w:r w:rsidR="00E04BB1">
        <w:rPr>
          <w:rFonts w:ascii="Garamond" w:hAnsi="Garamond"/>
        </w:rPr>
        <w:t xml:space="preserve">justification </w:t>
      </w:r>
      <w:r w:rsidR="00A0153B">
        <w:rPr>
          <w:rFonts w:ascii="Garamond" w:hAnsi="Garamond"/>
        </w:rPr>
        <w:t>was</w:t>
      </w:r>
      <w:r w:rsidR="00942C9C">
        <w:rPr>
          <w:rFonts w:ascii="Garamond" w:hAnsi="Garamond"/>
        </w:rPr>
        <w:t xml:space="preserve"> </w:t>
      </w:r>
      <w:r w:rsidR="00E04BB1">
        <w:rPr>
          <w:rFonts w:ascii="Garamond" w:hAnsi="Garamond"/>
        </w:rPr>
        <w:t>presented by Bison, on behalf of CELP</w:t>
      </w:r>
      <w:r w:rsidR="00942C9C">
        <w:rPr>
          <w:rFonts w:ascii="Garamond" w:hAnsi="Garamond"/>
        </w:rPr>
        <w:t>, in a correspondence dated October 13, 2008</w:t>
      </w:r>
      <w:r w:rsidR="00D8745A">
        <w:rPr>
          <w:rFonts w:ascii="Garamond" w:hAnsi="Garamond"/>
        </w:rPr>
        <w:t xml:space="preserve">. </w:t>
      </w:r>
      <w:r w:rsidR="009C3F2D">
        <w:rPr>
          <w:rFonts w:ascii="Garamond" w:hAnsi="Garamond"/>
        </w:rPr>
        <w:t>DEQ</w:t>
      </w:r>
      <w:r w:rsidR="00942C9C">
        <w:rPr>
          <w:rFonts w:ascii="Garamond" w:hAnsi="Garamond"/>
        </w:rPr>
        <w:t xml:space="preserve"> </w:t>
      </w:r>
      <w:r w:rsidR="00A0153B">
        <w:rPr>
          <w:rFonts w:ascii="Garamond" w:hAnsi="Garamond"/>
        </w:rPr>
        <w:t xml:space="preserve">formally </w:t>
      </w:r>
      <w:r w:rsidR="00942C9C">
        <w:rPr>
          <w:rFonts w:ascii="Garamond" w:hAnsi="Garamond"/>
        </w:rPr>
        <w:t xml:space="preserve">agreed with the </w:t>
      </w:r>
      <w:r w:rsidR="00A0153B">
        <w:rPr>
          <w:rFonts w:ascii="Garamond" w:hAnsi="Garamond"/>
        </w:rPr>
        <w:t>10,024 dscf/MMBtu value through issuance of the Proposed Renewal Operating Permit on October 29, 2008.</w:t>
      </w:r>
    </w:p>
    <w:p w14:paraId="7D615FA2" w14:textId="77777777" w:rsidR="00403322" w:rsidRPr="006124D6" w:rsidRDefault="00403322" w:rsidP="006124D6">
      <w:pPr>
        <w:rPr>
          <w:rFonts w:ascii="Garamond" w:hAnsi="Garamond"/>
        </w:rPr>
      </w:pPr>
    </w:p>
    <w:p w14:paraId="1B9ECAE1" w14:textId="1AE64F3B" w:rsidR="00584E26" w:rsidRDefault="00913908">
      <w:pPr>
        <w:ind w:left="720"/>
        <w:rPr>
          <w:rFonts w:ascii="Garamond" w:hAnsi="Garamond"/>
        </w:rPr>
      </w:pPr>
      <w:r>
        <w:rPr>
          <w:rFonts w:ascii="Garamond" w:hAnsi="Garamond"/>
        </w:rPr>
        <w:t xml:space="preserve">40 CFR 60, </w:t>
      </w:r>
      <w:r w:rsidR="0011127E" w:rsidRPr="006124D6">
        <w:rPr>
          <w:rFonts w:ascii="Garamond" w:hAnsi="Garamond"/>
        </w:rPr>
        <w:t>Subpart Y - Standards of Performance for Coal Preparation Plants is applicable to emission units Truck Unloading of Coal (EU</w:t>
      </w:r>
      <w:r w:rsidR="00403322">
        <w:rPr>
          <w:rFonts w:ascii="Garamond" w:hAnsi="Garamond"/>
        </w:rPr>
        <w:t>00</w:t>
      </w:r>
      <w:r w:rsidR="0011127E" w:rsidRPr="006124D6">
        <w:rPr>
          <w:rFonts w:ascii="Garamond" w:hAnsi="Garamond"/>
        </w:rPr>
        <w:t>2), Coal Crushing and Transport (EU</w:t>
      </w:r>
      <w:r w:rsidR="00403322">
        <w:rPr>
          <w:rFonts w:ascii="Garamond" w:hAnsi="Garamond"/>
        </w:rPr>
        <w:t>00</w:t>
      </w:r>
      <w:r w:rsidR="0011127E" w:rsidRPr="006124D6">
        <w:rPr>
          <w:rFonts w:ascii="Garamond" w:hAnsi="Garamond"/>
        </w:rPr>
        <w:t>3), Coal Bunker Bin Vents (EU</w:t>
      </w:r>
      <w:r w:rsidR="00403322">
        <w:rPr>
          <w:rFonts w:ascii="Garamond" w:hAnsi="Garamond"/>
        </w:rPr>
        <w:t>00</w:t>
      </w:r>
      <w:r w:rsidR="0011127E" w:rsidRPr="006124D6">
        <w:rPr>
          <w:rFonts w:ascii="Garamond" w:hAnsi="Garamond"/>
        </w:rPr>
        <w:t>4)</w:t>
      </w:r>
      <w:r w:rsidR="00403322">
        <w:rPr>
          <w:rFonts w:ascii="Garamond" w:hAnsi="Garamond"/>
        </w:rPr>
        <w:t>, and the Open Coal Storage Pile</w:t>
      </w:r>
      <w:r w:rsidR="00180803">
        <w:rPr>
          <w:rFonts w:ascii="Garamond" w:hAnsi="Garamond"/>
        </w:rPr>
        <w:t>s</w:t>
      </w:r>
      <w:r w:rsidR="00403322">
        <w:rPr>
          <w:rFonts w:ascii="Garamond" w:hAnsi="Garamond"/>
        </w:rPr>
        <w:t xml:space="preserve"> (EU013).</w:t>
      </w:r>
      <w:r w:rsidR="0011127E" w:rsidRPr="006124D6">
        <w:rPr>
          <w:rFonts w:ascii="Garamond" w:hAnsi="Garamond"/>
        </w:rPr>
        <w:t xml:space="preserve"> </w:t>
      </w:r>
    </w:p>
    <w:p w14:paraId="35D9EB7C" w14:textId="77777777" w:rsidR="00584E26" w:rsidRDefault="00584E26">
      <w:pPr>
        <w:ind w:left="720"/>
        <w:rPr>
          <w:rFonts w:ascii="Garamond" w:hAnsi="Garamond"/>
        </w:rPr>
      </w:pPr>
    </w:p>
    <w:p w14:paraId="042BD469" w14:textId="77777777" w:rsidR="0011127E" w:rsidRPr="006124D6" w:rsidRDefault="00584E26">
      <w:pPr>
        <w:ind w:left="720"/>
        <w:rPr>
          <w:rFonts w:ascii="Garamond" w:hAnsi="Garamond"/>
        </w:rPr>
      </w:pPr>
      <w:r>
        <w:rPr>
          <w:rFonts w:ascii="Garamond" w:hAnsi="Garamond"/>
        </w:rPr>
        <w:t>CELP is not an affect unit subject to the Ac</w:t>
      </w:r>
      <w:r w:rsidR="00132113">
        <w:rPr>
          <w:rFonts w:ascii="Garamond" w:hAnsi="Garamond"/>
        </w:rPr>
        <w:t xml:space="preserve">id Rain Program as the plant </w:t>
      </w:r>
      <w:r>
        <w:rPr>
          <w:rFonts w:ascii="Garamond" w:hAnsi="Garamond"/>
        </w:rPr>
        <w:t>meets the definition of a qualifying facility under 40 CFR 72.2 and the applicability criterion listed under 40 CFR 72.6(b)(5)</w:t>
      </w:r>
      <w:r w:rsidR="00132113">
        <w:rPr>
          <w:rFonts w:ascii="Garamond" w:hAnsi="Garamond"/>
        </w:rPr>
        <w:t>.</w:t>
      </w:r>
      <w:r>
        <w:rPr>
          <w:rFonts w:ascii="Garamond" w:hAnsi="Garamond"/>
        </w:rPr>
        <w:t xml:space="preserve"> </w:t>
      </w:r>
    </w:p>
    <w:p w14:paraId="208063E3" w14:textId="77777777" w:rsidR="0011127E" w:rsidRDefault="0011127E">
      <w:pPr>
        <w:rPr>
          <w:rFonts w:ascii="Garamond" w:hAnsi="Garamond"/>
        </w:rPr>
      </w:pPr>
    </w:p>
    <w:p w14:paraId="7884C797" w14:textId="77777777" w:rsidR="003F0BEF" w:rsidRDefault="003F0BEF">
      <w:pPr>
        <w:rPr>
          <w:rFonts w:ascii="Garamond" w:hAnsi="Garamond"/>
        </w:rPr>
      </w:pPr>
    </w:p>
    <w:p w14:paraId="18E9DAAD" w14:textId="77777777" w:rsidR="003F0BEF" w:rsidRDefault="003F0BEF">
      <w:pPr>
        <w:rPr>
          <w:rFonts w:ascii="Garamond" w:hAnsi="Garamond"/>
        </w:rPr>
      </w:pPr>
    </w:p>
    <w:p w14:paraId="5E76EB33" w14:textId="77777777" w:rsidR="003F0BEF" w:rsidRPr="006124D6" w:rsidRDefault="003F0BEF">
      <w:pPr>
        <w:rPr>
          <w:rFonts w:ascii="Garamond" w:hAnsi="Garamond"/>
        </w:rPr>
      </w:pPr>
    </w:p>
    <w:p w14:paraId="1329E0E4" w14:textId="77777777" w:rsidR="0011127E" w:rsidRPr="006124D6" w:rsidRDefault="0011127E">
      <w:pPr>
        <w:pStyle w:val="Heading2"/>
        <w:rPr>
          <w:rFonts w:ascii="Garamond" w:hAnsi="Garamond"/>
          <w:sz w:val="24"/>
          <w:szCs w:val="24"/>
        </w:rPr>
      </w:pPr>
      <w:bookmarkStart w:id="30" w:name="_Toc163359619"/>
      <w:bookmarkStart w:id="31" w:name="_Toc104892071"/>
      <w:r w:rsidRPr="006124D6">
        <w:rPr>
          <w:rFonts w:ascii="Garamond" w:hAnsi="Garamond"/>
          <w:sz w:val="24"/>
          <w:szCs w:val="24"/>
        </w:rPr>
        <w:lastRenderedPageBreak/>
        <w:t>B.</w:t>
      </w:r>
      <w:r w:rsidRPr="006124D6">
        <w:rPr>
          <w:rFonts w:ascii="Garamond" w:hAnsi="Garamond"/>
          <w:sz w:val="24"/>
          <w:szCs w:val="24"/>
        </w:rPr>
        <w:tab/>
        <w:t>Monitoring Requirements</w:t>
      </w:r>
      <w:bookmarkEnd w:id="30"/>
      <w:bookmarkEnd w:id="31"/>
    </w:p>
    <w:p w14:paraId="48A54ABE" w14:textId="77777777" w:rsidR="0011127E" w:rsidRPr="006124D6" w:rsidRDefault="0011127E">
      <w:pPr>
        <w:rPr>
          <w:rFonts w:ascii="Garamond" w:hAnsi="Garamond"/>
          <w:b/>
          <w:bCs/>
        </w:rPr>
      </w:pPr>
    </w:p>
    <w:p w14:paraId="0831328B" w14:textId="49D43390" w:rsidR="0011127E" w:rsidRPr="006124D6" w:rsidRDefault="0011127E">
      <w:pPr>
        <w:ind w:left="720"/>
        <w:rPr>
          <w:rFonts w:ascii="Garamond" w:hAnsi="Garamond"/>
        </w:rPr>
      </w:pPr>
      <w:r w:rsidRPr="006124D6">
        <w:rPr>
          <w:rFonts w:ascii="Garamond" w:hAnsi="Garamond"/>
        </w:rPr>
        <w:t>ARM 17.8.1212(1) requires that all monitoring and analysis procedures or test methods required under applicable requirements are contained in operating permits</w:t>
      </w:r>
      <w:r w:rsidR="00D8745A">
        <w:rPr>
          <w:rFonts w:ascii="Garamond" w:hAnsi="Garamond"/>
        </w:rPr>
        <w:t xml:space="preserve">. </w:t>
      </w:r>
      <w:r w:rsidRPr="006124D6">
        <w:rPr>
          <w:rFonts w:ascii="Garamond" w:hAnsi="Garamond"/>
        </w:rPr>
        <w:t xml:space="preserve">In addition, when the applicable requirement does not require periodic testing or monitoring, periodic monitoring must be prescribed that is sufficient to yield reliable data from the relevant </w:t>
      </w:r>
      <w:proofErr w:type="gramStart"/>
      <w:r w:rsidRPr="006124D6">
        <w:rPr>
          <w:rFonts w:ascii="Garamond" w:hAnsi="Garamond"/>
        </w:rPr>
        <w:t>time period</w:t>
      </w:r>
      <w:proofErr w:type="gramEnd"/>
      <w:r w:rsidRPr="006124D6">
        <w:rPr>
          <w:rFonts w:ascii="Garamond" w:hAnsi="Garamond"/>
        </w:rPr>
        <w:t xml:space="preserve"> that is representative of the source’s compliance with the permit.</w:t>
      </w:r>
    </w:p>
    <w:p w14:paraId="626CB7F7" w14:textId="77777777" w:rsidR="0011127E" w:rsidRPr="006124D6" w:rsidRDefault="0011127E">
      <w:pPr>
        <w:ind w:left="720"/>
        <w:rPr>
          <w:rFonts w:ascii="Garamond" w:hAnsi="Garamond"/>
        </w:rPr>
      </w:pPr>
    </w:p>
    <w:p w14:paraId="7FDA64C7" w14:textId="740E0AF0" w:rsidR="0011127E" w:rsidRPr="006124D6" w:rsidRDefault="0011127E">
      <w:pPr>
        <w:ind w:left="720"/>
        <w:rPr>
          <w:rFonts w:ascii="Garamond" w:hAnsi="Garamond"/>
        </w:rPr>
      </w:pPr>
      <w:r w:rsidRPr="006124D6">
        <w:rPr>
          <w:rFonts w:ascii="Garamond" w:hAnsi="Garamond"/>
        </w:rPr>
        <w:t>The requirement</w:t>
      </w:r>
      <w:r w:rsidR="006F1C5F" w:rsidRPr="006124D6">
        <w:rPr>
          <w:rFonts w:ascii="Garamond" w:hAnsi="Garamond"/>
        </w:rPr>
        <w:t>s</w:t>
      </w:r>
      <w:r w:rsidRPr="006124D6">
        <w:rPr>
          <w:rFonts w:ascii="Garamond" w:hAnsi="Garamond"/>
        </w:rPr>
        <w:t xml:space="preserve"> for testing, monitoring, recordkeeping, reporting, and compliance certification sufficient to assure compliance does not require the permit to impose the same level of rigor for all emission units</w:t>
      </w:r>
      <w:r w:rsidR="00D8745A">
        <w:rPr>
          <w:rFonts w:ascii="Garamond" w:hAnsi="Garamond"/>
        </w:rPr>
        <w:t xml:space="preserve">. </w:t>
      </w:r>
      <w:r w:rsidRPr="006124D6">
        <w:rPr>
          <w:rFonts w:ascii="Garamond" w:hAnsi="Garamond"/>
        </w:rPr>
        <w:t>Furthermore, it does not require extensive testing or monitoring to assure compliance with the applicable requirements for emission units that do not have significant potential to violate emission limitations or other requirements under normal operating conditions</w:t>
      </w:r>
      <w:r w:rsidR="00D8745A">
        <w:rPr>
          <w:rFonts w:ascii="Garamond" w:hAnsi="Garamond"/>
        </w:rPr>
        <w:t xml:space="preserve">. </w:t>
      </w:r>
      <w:r w:rsidRPr="006124D6">
        <w:rPr>
          <w:rFonts w:ascii="Garamond" w:hAnsi="Garamond"/>
        </w:rPr>
        <w:t>When compliance with the underlying applicable requirement for an insignificant emissions unit is not threatened by lack of regular monitoring and when periodic testing or monitoring is not otherwise required by the applicable requirement, the status quo (i.e., no monitoring) will meet the requirements of ARM 17.8.1212(1)</w:t>
      </w:r>
      <w:r w:rsidR="00D8745A">
        <w:rPr>
          <w:rFonts w:ascii="Garamond" w:hAnsi="Garamond"/>
        </w:rPr>
        <w:t xml:space="preserve">. </w:t>
      </w:r>
      <w:r w:rsidRPr="006124D6">
        <w:rPr>
          <w:rFonts w:ascii="Garamond" w:hAnsi="Garamond"/>
        </w:rPr>
        <w:t xml:space="preserve">Therefore, the permit does not include monitoring for insignificant emission units. </w:t>
      </w:r>
    </w:p>
    <w:p w14:paraId="785935A1" w14:textId="77777777" w:rsidR="00BF09DC" w:rsidRPr="006124D6" w:rsidRDefault="00BF09DC">
      <w:pPr>
        <w:ind w:left="720"/>
        <w:rPr>
          <w:rFonts w:ascii="Garamond" w:hAnsi="Garamond"/>
        </w:rPr>
      </w:pPr>
    </w:p>
    <w:p w14:paraId="116B4DC3" w14:textId="0D5A579E" w:rsidR="0011127E" w:rsidRDefault="0011127E">
      <w:pPr>
        <w:ind w:left="720"/>
        <w:rPr>
          <w:rFonts w:ascii="Garamond" w:hAnsi="Garamond"/>
        </w:rPr>
      </w:pPr>
      <w:r w:rsidRPr="006124D6">
        <w:rPr>
          <w:rFonts w:ascii="Garamond" w:hAnsi="Garamond"/>
        </w:rPr>
        <w:t>This permit includes periodic monitoring or recordkeeping for each applicable requirement</w:t>
      </w:r>
      <w:r w:rsidR="00D8745A">
        <w:rPr>
          <w:rFonts w:ascii="Garamond" w:hAnsi="Garamond"/>
        </w:rPr>
        <w:t xml:space="preserve">. </w:t>
      </w:r>
      <w:r w:rsidRPr="006124D6">
        <w:rPr>
          <w:rFonts w:ascii="Garamond" w:hAnsi="Garamond"/>
        </w:rPr>
        <w:t>The information obtained from the monitoring and recordkeeping will be used by CELP to periodically certify compliance with the emission limits and standards</w:t>
      </w:r>
      <w:r w:rsidR="00D8745A">
        <w:rPr>
          <w:rFonts w:ascii="Garamond" w:hAnsi="Garamond"/>
        </w:rPr>
        <w:t xml:space="preserve">. </w:t>
      </w:r>
      <w:r w:rsidRPr="006124D6">
        <w:rPr>
          <w:rFonts w:ascii="Garamond" w:hAnsi="Garamond"/>
        </w:rPr>
        <w:t xml:space="preserve">However, </w:t>
      </w:r>
      <w:r w:rsidR="009C3F2D">
        <w:rPr>
          <w:rFonts w:ascii="Garamond" w:hAnsi="Garamond"/>
        </w:rPr>
        <w:t>DEQ</w:t>
      </w:r>
      <w:r w:rsidRPr="006124D6">
        <w:rPr>
          <w:rFonts w:ascii="Garamond" w:hAnsi="Garamond"/>
        </w:rPr>
        <w:t xml:space="preserve"> may request additional testing to determine compliance with the emission limits and standards. </w:t>
      </w:r>
    </w:p>
    <w:p w14:paraId="5C92F772" w14:textId="77777777" w:rsidR="00403322" w:rsidRPr="006124D6" w:rsidRDefault="00403322">
      <w:pPr>
        <w:ind w:left="720"/>
        <w:rPr>
          <w:rFonts w:ascii="Garamond" w:hAnsi="Garamond"/>
        </w:rPr>
      </w:pPr>
    </w:p>
    <w:p w14:paraId="0D2BC6CE" w14:textId="53253657" w:rsidR="006253C6" w:rsidRPr="006124D6" w:rsidRDefault="006253C6">
      <w:pPr>
        <w:ind w:left="720"/>
        <w:rPr>
          <w:rFonts w:ascii="Garamond" w:hAnsi="Garamond"/>
        </w:rPr>
      </w:pPr>
      <w:r w:rsidRPr="006124D6">
        <w:rPr>
          <w:rFonts w:ascii="Garamond" w:hAnsi="Garamond"/>
        </w:rPr>
        <w:t>ARM 17.8.771, Mercury Emission Standards for Mercury-Emitting Generating Units, applies to the CELP</w:t>
      </w:r>
      <w:r w:rsidR="00D8745A">
        <w:rPr>
          <w:rFonts w:ascii="Garamond" w:hAnsi="Garamond"/>
        </w:rPr>
        <w:t xml:space="preserve">. </w:t>
      </w:r>
      <w:r w:rsidRPr="006124D6">
        <w:rPr>
          <w:rFonts w:ascii="Garamond" w:hAnsi="Garamond"/>
        </w:rPr>
        <w:t>This rule requires mercury monitoring be conducted by CELP</w:t>
      </w:r>
      <w:r w:rsidR="00D8745A">
        <w:rPr>
          <w:rFonts w:ascii="Garamond" w:hAnsi="Garamond"/>
        </w:rPr>
        <w:t xml:space="preserve">. </w:t>
      </w:r>
      <w:r w:rsidRPr="006124D6">
        <w:rPr>
          <w:rFonts w:ascii="Garamond" w:hAnsi="Garamond"/>
        </w:rPr>
        <w:t>Mercury monitoring provisions are contained in the Title V operating permit and outlined in Appendix H of Operating Permit #OP2035-02.</w:t>
      </w:r>
    </w:p>
    <w:p w14:paraId="63768003" w14:textId="77777777" w:rsidR="0011127E" w:rsidRPr="006124D6" w:rsidRDefault="0011127E">
      <w:pPr>
        <w:rPr>
          <w:rFonts w:ascii="Garamond" w:hAnsi="Garamond"/>
          <w:b/>
          <w:bCs/>
        </w:rPr>
      </w:pPr>
    </w:p>
    <w:p w14:paraId="5419CF40" w14:textId="77777777" w:rsidR="0011127E" w:rsidRPr="006124D6" w:rsidRDefault="0011127E">
      <w:pPr>
        <w:pStyle w:val="Heading2"/>
        <w:rPr>
          <w:rFonts w:ascii="Garamond" w:hAnsi="Garamond"/>
          <w:sz w:val="24"/>
          <w:szCs w:val="24"/>
        </w:rPr>
      </w:pPr>
      <w:bookmarkStart w:id="32" w:name="_Toc163359620"/>
      <w:bookmarkStart w:id="33" w:name="_Toc104892072"/>
      <w:r w:rsidRPr="006124D6">
        <w:rPr>
          <w:rFonts w:ascii="Garamond" w:hAnsi="Garamond"/>
          <w:sz w:val="24"/>
          <w:szCs w:val="24"/>
        </w:rPr>
        <w:t>C.</w:t>
      </w:r>
      <w:r w:rsidRPr="006124D6">
        <w:rPr>
          <w:rFonts w:ascii="Garamond" w:hAnsi="Garamond"/>
          <w:sz w:val="24"/>
          <w:szCs w:val="24"/>
        </w:rPr>
        <w:tab/>
        <w:t>Test Methods and Procedures</w:t>
      </w:r>
      <w:bookmarkEnd w:id="32"/>
      <w:bookmarkEnd w:id="33"/>
    </w:p>
    <w:p w14:paraId="7D30B41F" w14:textId="77777777" w:rsidR="0011127E" w:rsidRPr="006124D6" w:rsidRDefault="0011127E">
      <w:pPr>
        <w:rPr>
          <w:rFonts w:ascii="Garamond" w:hAnsi="Garamond"/>
        </w:rPr>
      </w:pPr>
    </w:p>
    <w:p w14:paraId="507AFC5A" w14:textId="76F67937" w:rsidR="0011127E" w:rsidRPr="006124D6" w:rsidRDefault="0011127E">
      <w:pPr>
        <w:ind w:left="720"/>
        <w:rPr>
          <w:rFonts w:ascii="Garamond" w:hAnsi="Garamond"/>
        </w:rPr>
      </w:pPr>
      <w:r w:rsidRPr="006124D6">
        <w:rPr>
          <w:rFonts w:ascii="Garamond" w:hAnsi="Garamond"/>
        </w:rPr>
        <w:t xml:space="preserve">The operating permit may not require testing for all sources if routine monitoring is used to determine compliance, but </w:t>
      </w:r>
      <w:r w:rsidR="009C3F2D">
        <w:rPr>
          <w:rFonts w:ascii="Garamond" w:hAnsi="Garamond"/>
        </w:rPr>
        <w:t>DEQ</w:t>
      </w:r>
      <w:r w:rsidRPr="006124D6">
        <w:rPr>
          <w:rFonts w:ascii="Garamond" w:hAnsi="Garamond"/>
        </w:rPr>
        <w:t xml:space="preserve"> has the authority to require testing if deemed necessary to determine compliance with an emission limit or standard</w:t>
      </w:r>
      <w:r w:rsidR="00D8745A">
        <w:rPr>
          <w:rFonts w:ascii="Garamond" w:hAnsi="Garamond"/>
        </w:rPr>
        <w:t xml:space="preserve">. </w:t>
      </w:r>
      <w:r w:rsidRPr="006124D6">
        <w:rPr>
          <w:rFonts w:ascii="Garamond" w:hAnsi="Garamond"/>
        </w:rPr>
        <w:t>In addition, CELP may elect to voluntarily conduct compliance testing to confirm its compliance status.</w:t>
      </w:r>
    </w:p>
    <w:p w14:paraId="192FE289" w14:textId="77777777" w:rsidR="0011127E" w:rsidRPr="006124D6" w:rsidRDefault="0011127E">
      <w:pPr>
        <w:rPr>
          <w:rFonts w:ascii="Garamond" w:hAnsi="Garamond"/>
        </w:rPr>
      </w:pPr>
    </w:p>
    <w:p w14:paraId="5D127371" w14:textId="77777777" w:rsidR="0011127E" w:rsidRPr="006124D6" w:rsidRDefault="0011127E">
      <w:pPr>
        <w:pStyle w:val="Heading2"/>
        <w:rPr>
          <w:rFonts w:ascii="Garamond" w:hAnsi="Garamond"/>
          <w:sz w:val="24"/>
          <w:szCs w:val="24"/>
        </w:rPr>
      </w:pPr>
      <w:bookmarkStart w:id="34" w:name="_Toc163359621"/>
      <w:bookmarkStart w:id="35" w:name="_Toc104892073"/>
      <w:r w:rsidRPr="006124D6">
        <w:rPr>
          <w:rFonts w:ascii="Garamond" w:hAnsi="Garamond"/>
          <w:sz w:val="24"/>
          <w:szCs w:val="24"/>
        </w:rPr>
        <w:t>D.</w:t>
      </w:r>
      <w:r w:rsidRPr="006124D6">
        <w:rPr>
          <w:rFonts w:ascii="Garamond" w:hAnsi="Garamond"/>
          <w:sz w:val="24"/>
          <w:szCs w:val="24"/>
        </w:rPr>
        <w:tab/>
        <w:t>Recordkeeping Requirements</w:t>
      </w:r>
      <w:bookmarkEnd w:id="34"/>
      <w:bookmarkEnd w:id="35"/>
    </w:p>
    <w:p w14:paraId="27E38F71" w14:textId="77777777" w:rsidR="0011127E" w:rsidRPr="006124D6" w:rsidRDefault="0011127E">
      <w:pPr>
        <w:rPr>
          <w:rFonts w:ascii="Garamond" w:hAnsi="Garamond"/>
        </w:rPr>
      </w:pPr>
    </w:p>
    <w:p w14:paraId="6002B046" w14:textId="77777777" w:rsidR="0011127E" w:rsidRPr="006124D6" w:rsidRDefault="0011127E">
      <w:pPr>
        <w:ind w:left="720"/>
        <w:rPr>
          <w:rFonts w:ascii="Garamond" w:hAnsi="Garamond"/>
        </w:rPr>
      </w:pPr>
      <w:r w:rsidRPr="006124D6">
        <w:rPr>
          <w:rFonts w:ascii="Garamond" w:hAnsi="Garamond"/>
        </w:rPr>
        <w:t xml:space="preserve">CELP is required to keep all records listed in the operating permit as a permanent business record for at least </w:t>
      </w:r>
      <w:r w:rsidR="000D4F9A" w:rsidRPr="006124D6">
        <w:rPr>
          <w:rFonts w:ascii="Garamond" w:hAnsi="Garamond"/>
        </w:rPr>
        <w:t>5</w:t>
      </w:r>
      <w:r w:rsidRPr="006124D6">
        <w:rPr>
          <w:rFonts w:ascii="Garamond" w:hAnsi="Garamond"/>
        </w:rPr>
        <w:t xml:space="preserve"> years following the date of the generation of the record.</w:t>
      </w:r>
    </w:p>
    <w:p w14:paraId="62315F8B" w14:textId="77777777" w:rsidR="0011127E" w:rsidRPr="006124D6" w:rsidRDefault="0011127E">
      <w:pPr>
        <w:rPr>
          <w:rFonts w:ascii="Garamond" w:hAnsi="Garamond"/>
          <w:b/>
          <w:bCs/>
        </w:rPr>
      </w:pPr>
    </w:p>
    <w:p w14:paraId="1B2B49D7" w14:textId="77777777" w:rsidR="0011127E" w:rsidRPr="006124D6" w:rsidRDefault="0011127E">
      <w:pPr>
        <w:pStyle w:val="Heading2"/>
        <w:rPr>
          <w:rFonts w:ascii="Garamond" w:hAnsi="Garamond"/>
          <w:sz w:val="24"/>
          <w:szCs w:val="24"/>
        </w:rPr>
      </w:pPr>
      <w:bookmarkStart w:id="36" w:name="_Toc163359622"/>
      <w:bookmarkStart w:id="37" w:name="_Toc104892074"/>
      <w:r w:rsidRPr="006124D6">
        <w:rPr>
          <w:rFonts w:ascii="Garamond" w:hAnsi="Garamond"/>
          <w:sz w:val="24"/>
          <w:szCs w:val="24"/>
        </w:rPr>
        <w:t>E.</w:t>
      </w:r>
      <w:r w:rsidRPr="006124D6">
        <w:rPr>
          <w:rFonts w:ascii="Garamond" w:hAnsi="Garamond"/>
          <w:sz w:val="24"/>
          <w:szCs w:val="24"/>
        </w:rPr>
        <w:tab/>
        <w:t>Reporting Requirements</w:t>
      </w:r>
      <w:bookmarkEnd w:id="36"/>
      <w:bookmarkEnd w:id="37"/>
    </w:p>
    <w:p w14:paraId="66BC779F" w14:textId="77777777" w:rsidR="0011127E" w:rsidRPr="006124D6" w:rsidRDefault="0011127E">
      <w:pPr>
        <w:rPr>
          <w:rFonts w:ascii="Garamond" w:hAnsi="Garamond"/>
          <w:i/>
          <w:iCs/>
        </w:rPr>
      </w:pPr>
    </w:p>
    <w:p w14:paraId="674609A4" w14:textId="3B304DFB" w:rsidR="0011127E" w:rsidRPr="006124D6" w:rsidRDefault="0011127E" w:rsidP="003F0BEF">
      <w:pPr>
        <w:ind w:left="720"/>
        <w:rPr>
          <w:rFonts w:ascii="Garamond" w:hAnsi="Garamond"/>
        </w:rPr>
      </w:pPr>
      <w:r w:rsidRPr="006124D6">
        <w:rPr>
          <w:rFonts w:ascii="Garamond" w:hAnsi="Garamond"/>
        </w:rPr>
        <w:t>Reporting requirements are included in the permit for each emissions unit and Section V of the operating permit “General Conditions “explains the reporting requirements</w:t>
      </w:r>
      <w:r w:rsidR="00D8745A">
        <w:rPr>
          <w:rFonts w:ascii="Garamond" w:hAnsi="Garamond"/>
        </w:rPr>
        <w:t xml:space="preserve">. </w:t>
      </w:r>
      <w:r w:rsidRPr="006124D6">
        <w:rPr>
          <w:rFonts w:ascii="Garamond" w:hAnsi="Garamond"/>
        </w:rPr>
        <w:t xml:space="preserve">However, CELP is required to submit semi-annual and annual monitoring reports to </w:t>
      </w:r>
      <w:r w:rsidR="009C3F2D">
        <w:rPr>
          <w:rFonts w:ascii="Garamond" w:hAnsi="Garamond"/>
        </w:rPr>
        <w:t>DEQ</w:t>
      </w:r>
      <w:r w:rsidRPr="006124D6">
        <w:rPr>
          <w:rFonts w:ascii="Garamond" w:hAnsi="Garamond"/>
        </w:rPr>
        <w:t xml:space="preserve"> and to annually certify compliance with the applicable requirements contained in the permit</w:t>
      </w:r>
      <w:r w:rsidR="00D8745A">
        <w:rPr>
          <w:rFonts w:ascii="Garamond" w:hAnsi="Garamond"/>
        </w:rPr>
        <w:t xml:space="preserve">. </w:t>
      </w:r>
      <w:r w:rsidRPr="006124D6">
        <w:rPr>
          <w:rFonts w:ascii="Garamond" w:hAnsi="Garamond"/>
        </w:rPr>
        <w:t xml:space="preserve">The reports must include a list of all emission limit and monitoring deviations, the reason for any deviation, and the corrective action taken </w:t>
      </w:r>
      <w:proofErr w:type="gramStart"/>
      <w:r w:rsidRPr="006124D6">
        <w:rPr>
          <w:rFonts w:ascii="Garamond" w:hAnsi="Garamond"/>
        </w:rPr>
        <w:t>as a result of</w:t>
      </w:r>
      <w:proofErr w:type="gramEnd"/>
      <w:r w:rsidRPr="006124D6">
        <w:rPr>
          <w:rFonts w:ascii="Garamond" w:hAnsi="Garamond"/>
        </w:rPr>
        <w:t xml:space="preserve"> any deviation. </w:t>
      </w:r>
    </w:p>
    <w:p w14:paraId="04ECD497" w14:textId="77777777" w:rsidR="00CD776B" w:rsidRPr="006124D6" w:rsidRDefault="0011127E" w:rsidP="006124D6">
      <w:pPr>
        <w:pStyle w:val="Heading2"/>
        <w:keepNext/>
        <w:rPr>
          <w:rFonts w:ascii="Garamond" w:hAnsi="Garamond"/>
          <w:sz w:val="24"/>
          <w:szCs w:val="24"/>
        </w:rPr>
      </w:pPr>
      <w:bookmarkStart w:id="38" w:name="_Toc163359623"/>
      <w:bookmarkStart w:id="39" w:name="_Toc104892075"/>
      <w:bookmarkStart w:id="40" w:name="_Toc23569550"/>
      <w:r w:rsidRPr="006124D6">
        <w:rPr>
          <w:rFonts w:ascii="Garamond" w:hAnsi="Garamond"/>
          <w:sz w:val="24"/>
          <w:szCs w:val="24"/>
        </w:rPr>
        <w:lastRenderedPageBreak/>
        <w:t>F.</w:t>
      </w:r>
      <w:r w:rsidRPr="006124D6">
        <w:rPr>
          <w:rFonts w:ascii="Garamond" w:hAnsi="Garamond"/>
          <w:sz w:val="24"/>
          <w:szCs w:val="24"/>
        </w:rPr>
        <w:tab/>
        <w:t>Public Notice</w:t>
      </w:r>
      <w:bookmarkEnd w:id="38"/>
      <w:bookmarkEnd w:id="39"/>
      <w:r w:rsidRPr="006124D6">
        <w:rPr>
          <w:rFonts w:ascii="Garamond" w:hAnsi="Garamond"/>
          <w:sz w:val="24"/>
          <w:szCs w:val="24"/>
        </w:rPr>
        <w:t xml:space="preserve"> </w:t>
      </w:r>
      <w:bookmarkEnd w:id="40"/>
    </w:p>
    <w:p w14:paraId="2A4DBAF8" w14:textId="77777777" w:rsidR="008E1CDC" w:rsidRDefault="008E1CDC" w:rsidP="00F04C59">
      <w:pPr>
        <w:rPr>
          <w:rFonts w:ascii="Garamond" w:hAnsi="Garamond"/>
        </w:rPr>
      </w:pPr>
    </w:p>
    <w:p w14:paraId="15A74008" w14:textId="622C51D0" w:rsidR="0011127E" w:rsidRPr="003F0BEF" w:rsidRDefault="0041403A" w:rsidP="006124D6">
      <w:pPr>
        <w:keepNext/>
        <w:widowControl/>
        <w:ind w:left="720"/>
        <w:rPr>
          <w:rFonts w:ascii="Garamond" w:hAnsi="Garamond"/>
        </w:rPr>
      </w:pPr>
      <w:r w:rsidRPr="00F82CFD">
        <w:rPr>
          <w:rFonts w:ascii="Garamond" w:hAnsi="Garamond"/>
        </w:rPr>
        <w:t xml:space="preserve">In accordance with ARM 17.8.1232, a public notice was published in the </w:t>
      </w:r>
      <w:r>
        <w:rPr>
          <w:rFonts w:ascii="Garamond" w:hAnsi="Garamond"/>
          <w:i/>
        </w:rPr>
        <w:t>Forsyth Independent Press</w:t>
      </w:r>
      <w:r w:rsidRPr="00F82CFD">
        <w:rPr>
          <w:rFonts w:ascii="Garamond" w:hAnsi="Garamond"/>
        </w:rPr>
        <w:t xml:space="preserve"> newspaper on or before </w:t>
      </w:r>
      <w:r>
        <w:rPr>
          <w:rFonts w:ascii="Garamond" w:hAnsi="Garamond"/>
        </w:rPr>
        <w:t>May 2</w:t>
      </w:r>
      <w:r w:rsidR="00957CE2">
        <w:rPr>
          <w:rFonts w:ascii="Garamond" w:hAnsi="Garamond"/>
        </w:rPr>
        <w:t>8</w:t>
      </w:r>
      <w:r>
        <w:rPr>
          <w:rFonts w:ascii="Garamond" w:hAnsi="Garamond"/>
        </w:rPr>
        <w:t>, 2026</w:t>
      </w:r>
      <w:r w:rsidRPr="00F82CFD">
        <w:rPr>
          <w:rFonts w:ascii="Garamond" w:hAnsi="Garamond"/>
        </w:rPr>
        <w:t xml:space="preserve">.  </w:t>
      </w:r>
      <w:r>
        <w:rPr>
          <w:rFonts w:ascii="Garamond" w:hAnsi="Garamond"/>
        </w:rPr>
        <w:t>DEQ</w:t>
      </w:r>
      <w:r w:rsidRPr="00F82CFD">
        <w:rPr>
          <w:rFonts w:ascii="Garamond" w:hAnsi="Garamond"/>
        </w:rPr>
        <w:t xml:space="preserve"> provided a public comment period on the draft operating permit from </w:t>
      </w:r>
      <w:r>
        <w:rPr>
          <w:rFonts w:ascii="Garamond" w:hAnsi="Garamond"/>
        </w:rPr>
        <w:t>May 2</w:t>
      </w:r>
      <w:r w:rsidR="00957CE2">
        <w:rPr>
          <w:rFonts w:ascii="Garamond" w:hAnsi="Garamond"/>
        </w:rPr>
        <w:t>8</w:t>
      </w:r>
      <w:r>
        <w:rPr>
          <w:rFonts w:ascii="Garamond" w:hAnsi="Garamond"/>
        </w:rPr>
        <w:t xml:space="preserve">, </w:t>
      </w:r>
      <w:r w:rsidR="00096594">
        <w:rPr>
          <w:rFonts w:ascii="Garamond" w:hAnsi="Garamond"/>
        </w:rPr>
        <w:t>2026,</w:t>
      </w:r>
      <w:r>
        <w:rPr>
          <w:rFonts w:ascii="Garamond" w:hAnsi="Garamond"/>
        </w:rPr>
        <w:t xml:space="preserve"> to June </w:t>
      </w:r>
      <w:r w:rsidR="009B6ED0">
        <w:rPr>
          <w:rFonts w:ascii="Garamond" w:hAnsi="Garamond"/>
        </w:rPr>
        <w:t>2</w:t>
      </w:r>
      <w:r w:rsidR="00957CE2">
        <w:rPr>
          <w:rFonts w:ascii="Garamond" w:hAnsi="Garamond"/>
        </w:rPr>
        <w:t>9</w:t>
      </w:r>
      <w:r>
        <w:rPr>
          <w:rFonts w:ascii="Garamond" w:hAnsi="Garamond"/>
        </w:rPr>
        <w:t>, 2026</w:t>
      </w:r>
      <w:r w:rsidRPr="00F82CFD">
        <w:rPr>
          <w:rFonts w:ascii="Garamond" w:hAnsi="Garamond"/>
        </w:rPr>
        <w:t xml:space="preserve">.  ARM 17.8.1232 requires </w:t>
      </w:r>
      <w:r>
        <w:rPr>
          <w:rFonts w:ascii="Garamond" w:hAnsi="Garamond"/>
        </w:rPr>
        <w:t>DEQ</w:t>
      </w:r>
      <w:r w:rsidRPr="00F82CFD">
        <w:rPr>
          <w:rFonts w:ascii="Garamond" w:hAnsi="Garamond"/>
        </w:rPr>
        <w:t xml:space="preserve"> to keep a record of both comments and issues raised during the public participation process.  The comments and issues received by </w:t>
      </w:r>
      <w:r>
        <w:rPr>
          <w:rFonts w:ascii="Garamond" w:hAnsi="Garamond"/>
        </w:rPr>
        <w:t xml:space="preserve">June </w:t>
      </w:r>
      <w:r w:rsidR="009B6ED0">
        <w:rPr>
          <w:rFonts w:ascii="Garamond" w:hAnsi="Garamond"/>
        </w:rPr>
        <w:t>2</w:t>
      </w:r>
      <w:r w:rsidR="00957CE2">
        <w:rPr>
          <w:rFonts w:ascii="Garamond" w:hAnsi="Garamond"/>
        </w:rPr>
        <w:t>9</w:t>
      </w:r>
      <w:r w:rsidR="00096594">
        <w:rPr>
          <w:rFonts w:ascii="Garamond" w:hAnsi="Garamond"/>
        </w:rPr>
        <w:t>, 2026,</w:t>
      </w:r>
      <w:r w:rsidRPr="00F82CFD">
        <w:rPr>
          <w:rFonts w:ascii="Garamond" w:hAnsi="Garamond"/>
        </w:rPr>
        <w:t xml:space="preserve"> will be summarized, along with </w:t>
      </w:r>
      <w:r>
        <w:rPr>
          <w:rFonts w:ascii="Garamond" w:hAnsi="Garamond"/>
        </w:rPr>
        <w:t>DEQ</w:t>
      </w:r>
      <w:r w:rsidRPr="00F82CFD">
        <w:rPr>
          <w:rFonts w:ascii="Garamond" w:hAnsi="Garamond"/>
        </w:rPr>
        <w:t xml:space="preserve">'s responses, in the following table.  All comments received during the public comment period will be promptly forwarded to </w:t>
      </w:r>
      <w:r w:rsidR="00096594">
        <w:rPr>
          <w:rFonts w:ascii="Garamond" w:hAnsi="Garamond"/>
        </w:rPr>
        <w:t>CELP</w:t>
      </w:r>
      <w:r w:rsidRPr="00F82CFD">
        <w:rPr>
          <w:rFonts w:ascii="Garamond" w:hAnsi="Garamond"/>
        </w:rPr>
        <w:t xml:space="preserve"> so they may have an opportunity to respond to these comments as well.</w:t>
      </w:r>
    </w:p>
    <w:p w14:paraId="743A58CD" w14:textId="77777777" w:rsidR="00CD776B" w:rsidRPr="006124D6" w:rsidRDefault="00CD776B" w:rsidP="00CD776B">
      <w:pPr>
        <w:widowControl/>
        <w:autoSpaceDE/>
        <w:autoSpaceDN/>
        <w:adjustRightInd/>
        <w:rPr>
          <w:rFonts w:ascii="Garamond" w:hAnsi="Garamond"/>
        </w:rPr>
      </w:pPr>
    </w:p>
    <w:p w14:paraId="13B5E6CE" w14:textId="77777777" w:rsidR="00CD776B" w:rsidRPr="006124D6" w:rsidRDefault="00CD776B" w:rsidP="00CD776B">
      <w:pPr>
        <w:widowControl/>
        <w:autoSpaceDE/>
        <w:autoSpaceDN/>
        <w:adjustRightInd/>
        <w:rPr>
          <w:rFonts w:ascii="Garamond" w:hAnsi="Garamond"/>
        </w:rPr>
      </w:pPr>
    </w:p>
    <w:p w14:paraId="6E909D2D" w14:textId="77777777" w:rsidR="0052221A" w:rsidRPr="006124D6" w:rsidRDefault="0052221A">
      <w:pPr>
        <w:rPr>
          <w:rFonts w:ascii="Garamond" w:hAnsi="Garamond"/>
          <w:b/>
        </w:rPr>
        <w:sectPr w:rsidR="0052221A" w:rsidRPr="006124D6" w:rsidSect="00E5135F">
          <w:endnotePr>
            <w:numFmt w:val="decimal"/>
          </w:endnotePr>
          <w:pgSz w:w="12240" w:h="15840" w:code="1"/>
          <w:pgMar w:top="1152" w:right="1440" w:bottom="1008" w:left="1440" w:header="720" w:footer="432" w:gutter="0"/>
          <w:cols w:space="720"/>
          <w:noEndnote/>
        </w:sectPr>
      </w:pPr>
    </w:p>
    <w:p w14:paraId="3CEAB006" w14:textId="3B956C3A" w:rsidR="0011127E" w:rsidRPr="006124D6" w:rsidRDefault="0011127E">
      <w:pPr>
        <w:pStyle w:val="Heading1"/>
        <w:rPr>
          <w:rFonts w:ascii="Garamond" w:hAnsi="Garamond"/>
          <w:sz w:val="24"/>
          <w:szCs w:val="24"/>
        </w:rPr>
      </w:pPr>
      <w:bookmarkStart w:id="41" w:name="_Toc163359624"/>
      <w:bookmarkStart w:id="42" w:name="_Toc104892076"/>
      <w:r w:rsidRPr="006124D6">
        <w:rPr>
          <w:rFonts w:ascii="Garamond" w:hAnsi="Garamond"/>
          <w:sz w:val="24"/>
          <w:szCs w:val="24"/>
        </w:rPr>
        <w:lastRenderedPageBreak/>
        <w:t>section iv</w:t>
      </w:r>
      <w:r w:rsidR="00D8745A">
        <w:rPr>
          <w:rFonts w:ascii="Garamond" w:hAnsi="Garamond"/>
          <w:sz w:val="24"/>
          <w:szCs w:val="24"/>
        </w:rPr>
        <w:t xml:space="preserve">. </w:t>
      </w:r>
      <w:r w:rsidRPr="006124D6">
        <w:rPr>
          <w:rFonts w:ascii="Garamond" w:hAnsi="Garamond"/>
          <w:sz w:val="24"/>
          <w:szCs w:val="24"/>
        </w:rPr>
        <w:t>Non-Applicable Requirements Analysis</w:t>
      </w:r>
      <w:bookmarkEnd w:id="41"/>
      <w:bookmarkEnd w:id="42"/>
    </w:p>
    <w:p w14:paraId="126FA695" w14:textId="77777777" w:rsidR="0011127E" w:rsidRPr="006124D6" w:rsidRDefault="0011127E">
      <w:pPr>
        <w:rPr>
          <w:rFonts w:ascii="Garamond" w:hAnsi="Garamond"/>
          <w:b/>
          <w:bCs/>
        </w:rPr>
      </w:pPr>
    </w:p>
    <w:p w14:paraId="605651C8" w14:textId="0FE93B4F" w:rsidR="0011127E" w:rsidRPr="006124D6" w:rsidRDefault="0011127E">
      <w:pPr>
        <w:pStyle w:val="BodyText"/>
        <w:rPr>
          <w:rFonts w:ascii="Garamond" w:hAnsi="Garamond"/>
          <w:sz w:val="24"/>
        </w:rPr>
      </w:pPr>
      <w:r w:rsidRPr="006124D6">
        <w:rPr>
          <w:rFonts w:ascii="Garamond" w:hAnsi="Garamond"/>
          <w:sz w:val="24"/>
        </w:rPr>
        <w:t>Pursuant to ARM 17.8.1221, CELP requested a permit shield for all non-applicable regulatory requirements and regulatory orders identified in the tables in Section 8 of the permit application</w:t>
      </w:r>
      <w:r w:rsidR="00D8745A">
        <w:rPr>
          <w:rFonts w:ascii="Garamond" w:hAnsi="Garamond"/>
          <w:sz w:val="24"/>
        </w:rPr>
        <w:t xml:space="preserve">. </w:t>
      </w:r>
      <w:r w:rsidRPr="006124D6">
        <w:rPr>
          <w:rFonts w:ascii="Garamond" w:hAnsi="Garamond"/>
          <w:sz w:val="24"/>
        </w:rPr>
        <w:t>In addition, the CELP permit application identified a permit shield request for applicable requirements for both the facility and for certain emission units</w:t>
      </w:r>
      <w:r w:rsidR="00D8745A">
        <w:rPr>
          <w:rFonts w:ascii="Garamond" w:hAnsi="Garamond"/>
          <w:sz w:val="24"/>
        </w:rPr>
        <w:t xml:space="preserve">. </w:t>
      </w:r>
      <w:r w:rsidR="009C3F2D">
        <w:rPr>
          <w:rFonts w:ascii="Garamond" w:hAnsi="Garamond"/>
          <w:sz w:val="24"/>
        </w:rPr>
        <w:t>DEQ</w:t>
      </w:r>
      <w:r w:rsidRPr="006124D6">
        <w:rPr>
          <w:rFonts w:ascii="Garamond" w:hAnsi="Garamond"/>
          <w:sz w:val="24"/>
        </w:rPr>
        <w:t xml:space="preserve"> has determined that the requirements identified in the permit application for the individual emissions units are non-applicable</w:t>
      </w:r>
      <w:r w:rsidR="00D8745A">
        <w:rPr>
          <w:rFonts w:ascii="Garamond" w:hAnsi="Garamond"/>
          <w:sz w:val="24"/>
        </w:rPr>
        <w:t xml:space="preserve">. </w:t>
      </w:r>
      <w:r w:rsidRPr="006124D6">
        <w:rPr>
          <w:rFonts w:ascii="Garamond" w:hAnsi="Garamond"/>
          <w:sz w:val="24"/>
        </w:rPr>
        <w:t>These requirements are contained in the permit in Section IV- Non-applicable Requirements</w:t>
      </w:r>
      <w:r w:rsidR="00D8745A">
        <w:rPr>
          <w:rFonts w:ascii="Garamond" w:hAnsi="Garamond"/>
          <w:sz w:val="24"/>
        </w:rPr>
        <w:t xml:space="preserve">. </w:t>
      </w:r>
    </w:p>
    <w:p w14:paraId="6A8C5393" w14:textId="77777777" w:rsidR="0011127E" w:rsidRPr="006124D6" w:rsidRDefault="001112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246F1A27" w14:textId="4E6C7F63" w:rsidR="0011127E" w:rsidRPr="006124D6" w:rsidRDefault="0011127E" w:rsidP="00761D77">
      <w:pPr>
        <w:pStyle w:val="BodyText"/>
        <w:rPr>
          <w:rFonts w:ascii="Garamond" w:hAnsi="Garamond"/>
          <w:sz w:val="24"/>
        </w:rPr>
      </w:pPr>
      <w:r w:rsidRPr="006124D6">
        <w:rPr>
          <w:rFonts w:ascii="Garamond" w:hAnsi="Garamond"/>
          <w:sz w:val="24"/>
        </w:rPr>
        <w:t xml:space="preserve">The following table outlines those requirements that </w:t>
      </w:r>
      <w:r w:rsidR="007C1ADA" w:rsidRPr="006124D6">
        <w:rPr>
          <w:rFonts w:ascii="Garamond" w:hAnsi="Garamond"/>
          <w:sz w:val="24"/>
        </w:rPr>
        <w:t>CE</w:t>
      </w:r>
      <w:r w:rsidRPr="006124D6">
        <w:rPr>
          <w:rFonts w:ascii="Garamond" w:hAnsi="Garamond"/>
          <w:sz w:val="24"/>
        </w:rPr>
        <w:t>LP had identified as non-applicable in the permit application but will not be included in the operating permit as non-applicable</w:t>
      </w:r>
      <w:r w:rsidR="00D8745A">
        <w:rPr>
          <w:rFonts w:ascii="Garamond" w:hAnsi="Garamond"/>
          <w:sz w:val="24"/>
        </w:rPr>
        <w:t xml:space="preserve">. </w:t>
      </w:r>
      <w:r w:rsidRPr="006124D6">
        <w:rPr>
          <w:rFonts w:ascii="Garamond" w:hAnsi="Garamond"/>
          <w:sz w:val="24"/>
        </w:rPr>
        <w:t xml:space="preserve">The table includes both the applicable requirement and reason that </w:t>
      </w:r>
      <w:r w:rsidR="009C3F2D">
        <w:rPr>
          <w:rFonts w:ascii="Garamond" w:hAnsi="Garamond"/>
          <w:sz w:val="24"/>
        </w:rPr>
        <w:t>DEQ</w:t>
      </w:r>
      <w:r w:rsidRPr="006124D6">
        <w:rPr>
          <w:rFonts w:ascii="Garamond" w:hAnsi="Garamond"/>
          <w:sz w:val="24"/>
        </w:rPr>
        <w:t xml:space="preserve"> did not identify this requirement as non-applicable. </w:t>
      </w:r>
    </w:p>
    <w:p w14:paraId="554B0549" w14:textId="77777777" w:rsidR="007C1ADA" w:rsidRPr="006124D6" w:rsidRDefault="007C1ADA" w:rsidP="007C1ADA">
      <w:pPr>
        <w:rPr>
          <w:rFonts w:ascii="Garamond" w:hAnsi="Garamond" w:cs="Shruti"/>
        </w:rPr>
      </w:pPr>
    </w:p>
    <w:p w14:paraId="3A16A76C" w14:textId="392D06C9" w:rsidR="007C1ADA" w:rsidRPr="006124D6" w:rsidRDefault="007C1ADA" w:rsidP="007C1ADA">
      <w:pPr>
        <w:rPr>
          <w:rFonts w:ascii="Garamond" w:hAnsi="Garamond"/>
        </w:rPr>
      </w:pPr>
      <w:r w:rsidRPr="006124D6">
        <w:rPr>
          <w:rFonts w:ascii="Garamond" w:hAnsi="Garamond"/>
          <w:b/>
          <w:bCs/>
        </w:rPr>
        <w:t>Table 3</w:t>
      </w:r>
      <w:r w:rsidR="00D8745A">
        <w:rPr>
          <w:rFonts w:ascii="Garamond" w:hAnsi="Garamond"/>
          <w:b/>
          <w:bCs/>
        </w:rPr>
        <w:t xml:space="preserve">. </w:t>
      </w:r>
      <w:r w:rsidRPr="006124D6">
        <w:rPr>
          <w:rFonts w:ascii="Garamond" w:hAnsi="Garamond"/>
          <w:b/>
          <w:bCs/>
        </w:rPr>
        <w:t xml:space="preserve">Regulations Not Identified as Non-Applicable By </w:t>
      </w:r>
      <w:r w:rsidR="009C3F2D">
        <w:rPr>
          <w:rFonts w:ascii="Garamond" w:hAnsi="Garamond"/>
          <w:b/>
          <w:bCs/>
        </w:rPr>
        <w:t>DEQ</w:t>
      </w:r>
      <w:r w:rsidR="00D8745A">
        <w:rPr>
          <w:rFonts w:ascii="Garamond" w:hAnsi="Garamond"/>
          <w:b/>
          <w:bCs/>
        </w:rPr>
        <w:t xml:space="preserve">. </w:t>
      </w:r>
      <w:r w:rsidRPr="006124D6">
        <w:rPr>
          <w:rFonts w:ascii="Garamond" w:hAnsi="Garamond"/>
          <w:i/>
          <w:iCs/>
        </w:rPr>
        <w:t xml:space="preserve">Table 3 lists the requirements that </w:t>
      </w:r>
      <w:r w:rsidR="009C3F2D">
        <w:rPr>
          <w:rFonts w:ascii="Garamond" w:hAnsi="Garamond"/>
          <w:i/>
          <w:iCs/>
        </w:rPr>
        <w:t>DEQ</w:t>
      </w:r>
      <w:r w:rsidRPr="006124D6">
        <w:rPr>
          <w:rFonts w:ascii="Garamond" w:hAnsi="Garamond"/>
          <w:i/>
          <w:iCs/>
        </w:rPr>
        <w:t xml:space="preserve"> did not agree were non-applicable</w:t>
      </w:r>
      <w:r w:rsidR="00D8745A">
        <w:rPr>
          <w:rFonts w:ascii="Garamond" w:hAnsi="Garamond"/>
          <w:i/>
          <w:iCs/>
        </w:rPr>
        <w:t xml:space="preserve">. </w:t>
      </w:r>
      <w:r w:rsidRPr="006124D6">
        <w:rPr>
          <w:rFonts w:ascii="Garamond" w:hAnsi="Garamond"/>
        </w:rPr>
        <w:t xml:space="preserve">  </w:t>
      </w:r>
    </w:p>
    <w:p w14:paraId="1221B546" w14:textId="77777777" w:rsidR="007C1ADA" w:rsidRPr="006124D6" w:rsidRDefault="007C1ADA" w:rsidP="007C1ADA">
      <w:pPr>
        <w:rPr>
          <w:rFonts w:ascii="Garamond" w:hAnsi="Garamond"/>
        </w:rPr>
      </w:pPr>
      <w:r w:rsidRPr="006124D6">
        <w:rPr>
          <w:rFonts w:ascii="Garamond" w:hAnsi="Garamond"/>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2520"/>
        <w:gridCol w:w="2338"/>
      </w:tblGrid>
      <w:tr w:rsidR="007C1ADA" w:rsidRPr="0000543F" w14:paraId="251BCD19" w14:textId="77777777" w:rsidTr="006E2345">
        <w:trPr>
          <w:cantSplit/>
          <w:tblHeader/>
        </w:trPr>
        <w:tc>
          <w:tcPr>
            <w:tcW w:w="4410" w:type="dxa"/>
            <w:tcBorders>
              <w:top w:val="single" w:sz="7" w:space="0" w:color="000000"/>
              <w:left w:val="single" w:sz="7" w:space="0" w:color="000000"/>
              <w:bottom w:val="single" w:sz="7" w:space="0" w:color="000000"/>
              <w:right w:val="single" w:sz="7" w:space="0" w:color="000000"/>
            </w:tcBorders>
          </w:tcPr>
          <w:p w14:paraId="32340C82" w14:textId="77777777" w:rsidR="007C1ADA" w:rsidRPr="006124D6" w:rsidRDefault="007C1ADA" w:rsidP="005947D5">
            <w:pPr>
              <w:spacing w:line="120" w:lineRule="exact"/>
              <w:rPr>
                <w:rFonts w:ascii="Garamond" w:hAnsi="Garamond"/>
                <w:sz w:val="22"/>
                <w:szCs w:val="22"/>
              </w:rPr>
            </w:pPr>
          </w:p>
          <w:p w14:paraId="11D0950C" w14:textId="77777777" w:rsidR="007C1ADA" w:rsidRPr="006124D6" w:rsidRDefault="007C1ADA" w:rsidP="005947D5">
            <w:pPr>
              <w:spacing w:after="58"/>
              <w:rPr>
                <w:rFonts w:ascii="Garamond" w:hAnsi="Garamond"/>
                <w:b/>
                <w:bCs/>
                <w:sz w:val="22"/>
                <w:szCs w:val="22"/>
              </w:rPr>
            </w:pPr>
            <w:r w:rsidRPr="006124D6">
              <w:rPr>
                <w:rFonts w:ascii="Garamond" w:hAnsi="Garamond"/>
                <w:b/>
                <w:bCs/>
                <w:sz w:val="22"/>
                <w:szCs w:val="22"/>
              </w:rPr>
              <w:t>Reason</w:t>
            </w:r>
          </w:p>
        </w:tc>
        <w:tc>
          <w:tcPr>
            <w:tcW w:w="4858" w:type="dxa"/>
            <w:gridSpan w:val="2"/>
            <w:tcBorders>
              <w:top w:val="single" w:sz="7" w:space="0" w:color="000000"/>
              <w:left w:val="single" w:sz="7" w:space="0" w:color="000000"/>
              <w:bottom w:val="single" w:sz="7" w:space="0" w:color="000000"/>
              <w:right w:val="single" w:sz="7" w:space="0" w:color="000000"/>
            </w:tcBorders>
          </w:tcPr>
          <w:p w14:paraId="09F29B38" w14:textId="77777777" w:rsidR="007C1ADA" w:rsidRPr="006124D6" w:rsidRDefault="007C1ADA" w:rsidP="005947D5">
            <w:pPr>
              <w:spacing w:line="120" w:lineRule="exact"/>
              <w:rPr>
                <w:rFonts w:ascii="Garamond" w:hAnsi="Garamond"/>
                <w:b/>
                <w:bCs/>
                <w:sz w:val="22"/>
                <w:szCs w:val="22"/>
              </w:rPr>
            </w:pPr>
          </w:p>
          <w:p w14:paraId="3B396D1D" w14:textId="77777777" w:rsidR="007C1ADA" w:rsidRPr="006124D6" w:rsidRDefault="007C1ADA" w:rsidP="005947D5">
            <w:pPr>
              <w:spacing w:after="58"/>
              <w:rPr>
                <w:rFonts w:ascii="Garamond" w:hAnsi="Garamond"/>
                <w:b/>
                <w:bCs/>
                <w:sz w:val="22"/>
                <w:szCs w:val="22"/>
              </w:rPr>
            </w:pPr>
            <w:r w:rsidRPr="006124D6">
              <w:rPr>
                <w:rFonts w:ascii="Garamond" w:hAnsi="Garamond"/>
                <w:b/>
                <w:bCs/>
                <w:sz w:val="22"/>
                <w:szCs w:val="22"/>
              </w:rPr>
              <w:t>Rule Citation</w:t>
            </w:r>
          </w:p>
        </w:tc>
      </w:tr>
      <w:tr w:rsidR="006E2345" w:rsidRPr="0000543F" w14:paraId="315B7F66" w14:textId="77777777" w:rsidTr="00584E26">
        <w:trPr>
          <w:cantSplit/>
        </w:trPr>
        <w:tc>
          <w:tcPr>
            <w:tcW w:w="4410" w:type="dxa"/>
            <w:tcBorders>
              <w:top w:val="single" w:sz="7" w:space="0" w:color="000000"/>
              <w:left w:val="single" w:sz="7" w:space="0" w:color="000000"/>
              <w:bottom w:val="single" w:sz="7" w:space="0" w:color="000000"/>
              <w:right w:val="single" w:sz="7" w:space="0" w:color="000000"/>
            </w:tcBorders>
          </w:tcPr>
          <w:p w14:paraId="36981093" w14:textId="77777777" w:rsidR="006E2345" w:rsidRPr="006124D6" w:rsidRDefault="006E2345" w:rsidP="005947D5">
            <w:pPr>
              <w:spacing w:line="120" w:lineRule="exact"/>
              <w:rPr>
                <w:rFonts w:ascii="Garamond" w:hAnsi="Garamond"/>
                <w:b/>
                <w:bCs/>
                <w:sz w:val="22"/>
                <w:szCs w:val="22"/>
              </w:rPr>
            </w:pPr>
          </w:p>
          <w:p w14:paraId="02C09EBD" w14:textId="77162DE8" w:rsidR="006E2345" w:rsidRPr="006124D6" w:rsidRDefault="006E2345" w:rsidP="005947D5">
            <w:pPr>
              <w:spacing w:after="58"/>
              <w:rPr>
                <w:rFonts w:ascii="Garamond" w:hAnsi="Garamond"/>
                <w:sz w:val="22"/>
                <w:szCs w:val="22"/>
              </w:rPr>
            </w:pPr>
            <w:r w:rsidRPr="006124D6">
              <w:rPr>
                <w:rFonts w:ascii="Garamond" w:hAnsi="Garamond"/>
                <w:sz w:val="22"/>
                <w:szCs w:val="22"/>
              </w:rPr>
              <w:t>These rules do not have specific requirements for major sources because they are requirements for EPA or state and local authorities</w:t>
            </w:r>
            <w:r w:rsidR="00D8745A">
              <w:rPr>
                <w:rFonts w:ascii="Garamond" w:hAnsi="Garamond"/>
                <w:sz w:val="22"/>
                <w:szCs w:val="22"/>
              </w:rPr>
              <w:t xml:space="preserve">. </w:t>
            </w:r>
            <w:r w:rsidRPr="006124D6">
              <w:rPr>
                <w:rFonts w:ascii="Garamond" w:hAnsi="Garamond"/>
                <w:sz w:val="22"/>
                <w:szCs w:val="22"/>
              </w:rPr>
              <w:t>These rules can be used as authority to impose specific requirements on a major source.</w:t>
            </w:r>
          </w:p>
        </w:tc>
        <w:tc>
          <w:tcPr>
            <w:tcW w:w="4858" w:type="dxa"/>
            <w:gridSpan w:val="2"/>
            <w:tcBorders>
              <w:top w:val="single" w:sz="7" w:space="0" w:color="000000"/>
              <w:left w:val="single" w:sz="7" w:space="0" w:color="000000"/>
              <w:bottom w:val="single" w:sz="7" w:space="0" w:color="000000"/>
              <w:right w:val="single" w:sz="7" w:space="0" w:color="000000"/>
            </w:tcBorders>
          </w:tcPr>
          <w:p w14:paraId="32966924" w14:textId="77777777" w:rsidR="006E2345" w:rsidRPr="006124D6" w:rsidRDefault="006E2345" w:rsidP="005947D5">
            <w:pPr>
              <w:spacing w:line="120" w:lineRule="exact"/>
              <w:rPr>
                <w:rFonts w:ascii="Garamond" w:hAnsi="Garamond"/>
                <w:sz w:val="22"/>
                <w:szCs w:val="22"/>
              </w:rPr>
            </w:pPr>
          </w:p>
          <w:p w14:paraId="4F4C5190" w14:textId="77777777" w:rsidR="006E2345" w:rsidRPr="006124D6" w:rsidRDefault="006E2345" w:rsidP="005947D5">
            <w:pPr>
              <w:rPr>
                <w:rFonts w:ascii="Garamond" w:hAnsi="Garamond"/>
                <w:sz w:val="22"/>
                <w:szCs w:val="22"/>
              </w:rPr>
            </w:pPr>
            <w:r w:rsidRPr="006124D6">
              <w:rPr>
                <w:rFonts w:ascii="Garamond" w:hAnsi="Garamond"/>
                <w:sz w:val="22"/>
                <w:szCs w:val="22"/>
              </w:rPr>
              <w:t>40 CFR 51</w:t>
            </w:r>
          </w:p>
          <w:p w14:paraId="3DE1D6BB" w14:textId="77777777" w:rsidR="006E2345" w:rsidRPr="006124D6" w:rsidRDefault="006E2345" w:rsidP="005947D5">
            <w:pPr>
              <w:spacing w:after="58"/>
              <w:rPr>
                <w:rFonts w:ascii="Garamond" w:hAnsi="Garamond"/>
                <w:sz w:val="22"/>
                <w:szCs w:val="22"/>
              </w:rPr>
            </w:pPr>
            <w:r w:rsidRPr="006124D6">
              <w:rPr>
                <w:rFonts w:ascii="Garamond" w:hAnsi="Garamond"/>
                <w:sz w:val="22"/>
                <w:szCs w:val="22"/>
              </w:rPr>
              <w:t>40 CFR 71</w:t>
            </w:r>
          </w:p>
          <w:p w14:paraId="1BF7A079" w14:textId="77777777" w:rsidR="006E2345" w:rsidRPr="006124D6" w:rsidRDefault="006E2345" w:rsidP="005947D5">
            <w:pPr>
              <w:spacing w:line="120" w:lineRule="exact"/>
              <w:rPr>
                <w:rFonts w:ascii="Garamond" w:hAnsi="Garamond"/>
                <w:sz w:val="22"/>
                <w:szCs w:val="22"/>
              </w:rPr>
            </w:pPr>
          </w:p>
          <w:p w14:paraId="05D401F3" w14:textId="77777777" w:rsidR="006E2345" w:rsidRPr="006124D6" w:rsidRDefault="006E2345" w:rsidP="005947D5">
            <w:pPr>
              <w:spacing w:after="58"/>
              <w:rPr>
                <w:rFonts w:ascii="Garamond" w:hAnsi="Garamond"/>
                <w:sz w:val="22"/>
                <w:szCs w:val="22"/>
              </w:rPr>
            </w:pPr>
          </w:p>
        </w:tc>
      </w:tr>
      <w:tr w:rsidR="007C1ADA" w:rsidRPr="0000543F" w14:paraId="64FFE989" w14:textId="77777777">
        <w:trPr>
          <w:cantSplit/>
        </w:trPr>
        <w:tc>
          <w:tcPr>
            <w:tcW w:w="4410" w:type="dxa"/>
            <w:tcBorders>
              <w:top w:val="single" w:sz="7" w:space="0" w:color="000000"/>
              <w:left w:val="single" w:sz="7" w:space="0" w:color="000000"/>
              <w:bottom w:val="single" w:sz="7" w:space="0" w:color="000000"/>
              <w:right w:val="single" w:sz="7" w:space="0" w:color="000000"/>
            </w:tcBorders>
          </w:tcPr>
          <w:p w14:paraId="1E3347C5" w14:textId="77777777" w:rsidR="007C1ADA" w:rsidRPr="006124D6" w:rsidRDefault="007C1ADA" w:rsidP="005947D5">
            <w:pPr>
              <w:spacing w:line="120" w:lineRule="exact"/>
              <w:rPr>
                <w:rFonts w:ascii="Garamond" w:hAnsi="Garamond"/>
                <w:sz w:val="22"/>
                <w:szCs w:val="22"/>
              </w:rPr>
            </w:pPr>
          </w:p>
          <w:p w14:paraId="305510A2" w14:textId="033726C3" w:rsidR="007C1ADA" w:rsidRPr="006124D6" w:rsidRDefault="007C1ADA" w:rsidP="005947D5">
            <w:pPr>
              <w:spacing w:after="58"/>
              <w:rPr>
                <w:rFonts w:ascii="Garamond" w:hAnsi="Garamond"/>
                <w:sz w:val="22"/>
                <w:szCs w:val="22"/>
              </w:rPr>
            </w:pPr>
            <w:r w:rsidRPr="006124D6">
              <w:rPr>
                <w:rFonts w:ascii="Garamond" w:hAnsi="Garamond"/>
                <w:sz w:val="22"/>
                <w:szCs w:val="22"/>
              </w:rPr>
              <w:t xml:space="preserve">These regulations may not be applicable to the source at this </w:t>
            </w:r>
            <w:proofErr w:type="gramStart"/>
            <w:r w:rsidRPr="006124D6">
              <w:rPr>
                <w:rFonts w:ascii="Garamond" w:hAnsi="Garamond"/>
                <w:sz w:val="22"/>
                <w:szCs w:val="22"/>
              </w:rPr>
              <w:t>time,</w:t>
            </w:r>
            <w:proofErr w:type="gramEnd"/>
            <w:r w:rsidRPr="006124D6">
              <w:rPr>
                <w:rFonts w:ascii="Garamond" w:hAnsi="Garamond"/>
                <w:sz w:val="22"/>
                <w:szCs w:val="22"/>
              </w:rPr>
              <w:t xml:space="preserve"> however, these regulations may become applicable during the life of the permit</w:t>
            </w:r>
            <w:r w:rsidR="00D8745A">
              <w:rPr>
                <w:rFonts w:ascii="Garamond" w:hAnsi="Garamond"/>
                <w:sz w:val="22"/>
                <w:szCs w:val="22"/>
              </w:rPr>
              <w:t xml:space="preserve">. </w:t>
            </w:r>
            <w:r w:rsidRPr="006124D6">
              <w:rPr>
                <w:rFonts w:ascii="Garamond" w:hAnsi="Garamond"/>
                <w:sz w:val="22"/>
                <w:szCs w:val="22"/>
              </w:rPr>
              <w:t xml:space="preserve"> </w:t>
            </w:r>
          </w:p>
        </w:tc>
        <w:tc>
          <w:tcPr>
            <w:tcW w:w="2520" w:type="dxa"/>
            <w:tcBorders>
              <w:top w:val="single" w:sz="7" w:space="0" w:color="000000"/>
              <w:left w:val="single" w:sz="7" w:space="0" w:color="000000"/>
              <w:bottom w:val="single" w:sz="7" w:space="0" w:color="000000"/>
              <w:right w:val="nil"/>
            </w:tcBorders>
          </w:tcPr>
          <w:p w14:paraId="4A6BD5F1" w14:textId="77777777" w:rsidR="007C1ADA" w:rsidRPr="006124D6" w:rsidRDefault="007C1ADA" w:rsidP="005947D5">
            <w:pPr>
              <w:spacing w:line="120" w:lineRule="exact"/>
              <w:rPr>
                <w:rFonts w:ascii="Garamond" w:hAnsi="Garamond"/>
                <w:sz w:val="22"/>
                <w:szCs w:val="22"/>
              </w:rPr>
            </w:pPr>
          </w:p>
          <w:p w14:paraId="25FB5625" w14:textId="77777777" w:rsidR="007C1ADA" w:rsidRPr="006124D6" w:rsidRDefault="007C1ADA" w:rsidP="005947D5">
            <w:pPr>
              <w:rPr>
                <w:rFonts w:ascii="Garamond" w:hAnsi="Garamond"/>
                <w:sz w:val="22"/>
                <w:szCs w:val="22"/>
              </w:rPr>
            </w:pPr>
            <w:r w:rsidRPr="006124D6">
              <w:rPr>
                <w:rFonts w:ascii="Garamond" w:hAnsi="Garamond"/>
                <w:sz w:val="22"/>
                <w:szCs w:val="22"/>
              </w:rPr>
              <w:t>ARM 17.8.514</w:t>
            </w:r>
          </w:p>
          <w:p w14:paraId="362489E1" w14:textId="77777777" w:rsidR="007C1ADA" w:rsidRPr="006124D6" w:rsidRDefault="007C1ADA" w:rsidP="005947D5">
            <w:pPr>
              <w:rPr>
                <w:rFonts w:ascii="Garamond" w:hAnsi="Garamond"/>
                <w:sz w:val="22"/>
                <w:szCs w:val="22"/>
              </w:rPr>
            </w:pPr>
            <w:r w:rsidRPr="006124D6">
              <w:rPr>
                <w:rFonts w:ascii="Garamond" w:hAnsi="Garamond"/>
                <w:sz w:val="22"/>
                <w:szCs w:val="22"/>
              </w:rPr>
              <w:t>ARM 17.8.515</w:t>
            </w:r>
          </w:p>
          <w:p w14:paraId="32CA5EAC" w14:textId="77777777" w:rsidR="007C1ADA" w:rsidRPr="006124D6" w:rsidRDefault="007C1ADA" w:rsidP="005947D5">
            <w:pPr>
              <w:rPr>
                <w:rFonts w:ascii="Garamond" w:hAnsi="Garamond"/>
                <w:sz w:val="22"/>
                <w:szCs w:val="22"/>
              </w:rPr>
            </w:pPr>
            <w:r w:rsidRPr="006124D6">
              <w:rPr>
                <w:rFonts w:ascii="Garamond" w:hAnsi="Garamond"/>
                <w:sz w:val="22"/>
                <w:szCs w:val="22"/>
              </w:rPr>
              <w:t>ARM 17.8.611</w:t>
            </w:r>
          </w:p>
          <w:p w14:paraId="189EAF79" w14:textId="77777777" w:rsidR="007C1ADA" w:rsidRPr="006124D6" w:rsidRDefault="007C1ADA" w:rsidP="005947D5">
            <w:pPr>
              <w:rPr>
                <w:rFonts w:ascii="Garamond" w:hAnsi="Garamond"/>
                <w:sz w:val="22"/>
                <w:szCs w:val="22"/>
              </w:rPr>
            </w:pPr>
            <w:r w:rsidRPr="006124D6">
              <w:rPr>
                <w:rFonts w:ascii="Garamond" w:hAnsi="Garamond"/>
                <w:sz w:val="22"/>
                <w:szCs w:val="22"/>
              </w:rPr>
              <w:t>ARM 17.8.612</w:t>
            </w:r>
          </w:p>
          <w:p w14:paraId="1ABE7745" w14:textId="77777777" w:rsidR="007C1ADA" w:rsidRPr="006124D6" w:rsidRDefault="007C1ADA" w:rsidP="005947D5">
            <w:pPr>
              <w:rPr>
                <w:rFonts w:ascii="Garamond" w:hAnsi="Garamond"/>
                <w:sz w:val="22"/>
                <w:szCs w:val="22"/>
              </w:rPr>
            </w:pPr>
            <w:r w:rsidRPr="006124D6">
              <w:rPr>
                <w:rFonts w:ascii="Garamond" w:hAnsi="Garamond"/>
                <w:sz w:val="22"/>
                <w:szCs w:val="22"/>
              </w:rPr>
              <w:t>ARM 17.8.740</w:t>
            </w:r>
            <w:r w:rsidRPr="006124D6">
              <w:rPr>
                <w:rFonts w:ascii="Garamond" w:hAnsi="Garamond"/>
                <w:i/>
                <w:iCs/>
                <w:sz w:val="22"/>
                <w:szCs w:val="22"/>
              </w:rPr>
              <w:t xml:space="preserve"> et seq.</w:t>
            </w:r>
          </w:p>
          <w:p w14:paraId="17F26264"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ARM 17.8.818-828</w:t>
            </w:r>
          </w:p>
        </w:tc>
        <w:tc>
          <w:tcPr>
            <w:tcW w:w="2338" w:type="dxa"/>
            <w:tcBorders>
              <w:top w:val="single" w:sz="7" w:space="0" w:color="000000"/>
              <w:left w:val="nil"/>
              <w:bottom w:val="single" w:sz="7" w:space="0" w:color="000000"/>
              <w:right w:val="single" w:sz="7" w:space="0" w:color="000000"/>
            </w:tcBorders>
          </w:tcPr>
          <w:p w14:paraId="48B56561" w14:textId="77777777" w:rsidR="007C1ADA" w:rsidRPr="006124D6" w:rsidRDefault="007C1ADA" w:rsidP="005947D5">
            <w:pPr>
              <w:spacing w:line="120" w:lineRule="exact"/>
              <w:rPr>
                <w:rFonts w:ascii="Garamond" w:hAnsi="Garamond"/>
                <w:sz w:val="22"/>
                <w:szCs w:val="22"/>
              </w:rPr>
            </w:pPr>
          </w:p>
          <w:p w14:paraId="71FF05EA" w14:textId="77777777" w:rsidR="007C1ADA" w:rsidRPr="006124D6" w:rsidRDefault="007C1ADA" w:rsidP="005947D5">
            <w:pPr>
              <w:rPr>
                <w:rFonts w:ascii="Garamond" w:hAnsi="Garamond"/>
                <w:sz w:val="22"/>
                <w:szCs w:val="22"/>
              </w:rPr>
            </w:pPr>
            <w:r w:rsidRPr="006124D6">
              <w:rPr>
                <w:rFonts w:ascii="Garamond" w:hAnsi="Garamond"/>
                <w:sz w:val="22"/>
                <w:szCs w:val="22"/>
              </w:rPr>
              <w:t>40 CFR 60.14</w:t>
            </w:r>
          </w:p>
          <w:p w14:paraId="5F92CD61" w14:textId="77777777" w:rsidR="007C1ADA" w:rsidRPr="006124D6" w:rsidRDefault="007C1ADA" w:rsidP="005947D5">
            <w:pPr>
              <w:rPr>
                <w:rFonts w:ascii="Garamond" w:hAnsi="Garamond"/>
                <w:sz w:val="22"/>
                <w:szCs w:val="22"/>
              </w:rPr>
            </w:pPr>
            <w:r w:rsidRPr="006124D6">
              <w:rPr>
                <w:rFonts w:ascii="Garamond" w:hAnsi="Garamond"/>
                <w:sz w:val="22"/>
                <w:szCs w:val="22"/>
              </w:rPr>
              <w:t>40 CFR 60.15</w:t>
            </w:r>
          </w:p>
          <w:p w14:paraId="1DDDE752" w14:textId="77777777" w:rsidR="007C1ADA" w:rsidRPr="006124D6" w:rsidRDefault="007C1ADA" w:rsidP="005947D5">
            <w:pPr>
              <w:spacing w:after="58"/>
              <w:rPr>
                <w:rFonts w:ascii="Garamond" w:hAnsi="Garamond"/>
                <w:sz w:val="22"/>
                <w:szCs w:val="22"/>
              </w:rPr>
            </w:pPr>
          </w:p>
        </w:tc>
      </w:tr>
      <w:tr w:rsidR="007C1ADA" w:rsidRPr="0000543F" w14:paraId="3DDA745F" w14:textId="77777777" w:rsidTr="006E2345">
        <w:trPr>
          <w:cantSplit/>
        </w:trPr>
        <w:tc>
          <w:tcPr>
            <w:tcW w:w="4410" w:type="dxa"/>
            <w:tcBorders>
              <w:top w:val="single" w:sz="7" w:space="0" w:color="000000"/>
              <w:left w:val="single" w:sz="7" w:space="0" w:color="000000"/>
              <w:bottom w:val="single" w:sz="7" w:space="0" w:color="000000"/>
              <w:right w:val="single" w:sz="7" w:space="0" w:color="000000"/>
            </w:tcBorders>
          </w:tcPr>
          <w:p w14:paraId="48AF282D" w14:textId="77777777" w:rsidR="007C1ADA" w:rsidRPr="006124D6" w:rsidRDefault="007C1ADA" w:rsidP="005947D5">
            <w:pPr>
              <w:spacing w:line="120" w:lineRule="exact"/>
              <w:rPr>
                <w:rFonts w:ascii="Garamond" w:hAnsi="Garamond"/>
                <w:sz w:val="22"/>
                <w:szCs w:val="22"/>
              </w:rPr>
            </w:pPr>
          </w:p>
          <w:p w14:paraId="02A52669"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This federal regulation has specific procedural requirements that may become relevant during the permit term.</w:t>
            </w:r>
          </w:p>
        </w:tc>
        <w:tc>
          <w:tcPr>
            <w:tcW w:w="4858" w:type="dxa"/>
            <w:gridSpan w:val="2"/>
            <w:tcBorders>
              <w:top w:val="single" w:sz="7" w:space="0" w:color="000000"/>
              <w:left w:val="single" w:sz="7" w:space="0" w:color="000000"/>
              <w:bottom w:val="single" w:sz="7" w:space="0" w:color="000000"/>
              <w:right w:val="single" w:sz="7" w:space="0" w:color="000000"/>
            </w:tcBorders>
          </w:tcPr>
          <w:p w14:paraId="14BF3861" w14:textId="77777777" w:rsidR="007C1ADA" w:rsidRPr="006124D6" w:rsidRDefault="007C1ADA" w:rsidP="005947D5">
            <w:pPr>
              <w:spacing w:line="120" w:lineRule="exact"/>
              <w:rPr>
                <w:rFonts w:ascii="Garamond" w:hAnsi="Garamond"/>
                <w:sz w:val="22"/>
                <w:szCs w:val="22"/>
              </w:rPr>
            </w:pPr>
          </w:p>
          <w:p w14:paraId="06E2977E"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40 CFR 61 Subpart M</w:t>
            </w:r>
          </w:p>
        </w:tc>
      </w:tr>
      <w:tr w:rsidR="007C1ADA" w:rsidRPr="0000543F" w14:paraId="5C297022" w14:textId="77777777" w:rsidTr="006E2345">
        <w:trPr>
          <w:cantSplit/>
        </w:trPr>
        <w:tc>
          <w:tcPr>
            <w:tcW w:w="4410" w:type="dxa"/>
            <w:tcBorders>
              <w:top w:val="single" w:sz="7" w:space="0" w:color="000000"/>
              <w:left w:val="single" w:sz="7" w:space="0" w:color="000000"/>
              <w:bottom w:val="single" w:sz="7" w:space="0" w:color="000000"/>
              <w:right w:val="single" w:sz="7" w:space="0" w:color="000000"/>
            </w:tcBorders>
          </w:tcPr>
          <w:p w14:paraId="00AF31D0" w14:textId="77777777" w:rsidR="007C1ADA" w:rsidRPr="006124D6" w:rsidRDefault="007C1ADA" w:rsidP="005947D5">
            <w:pPr>
              <w:spacing w:line="120" w:lineRule="exact"/>
              <w:rPr>
                <w:rFonts w:ascii="Garamond" w:hAnsi="Garamond"/>
                <w:sz w:val="22"/>
                <w:szCs w:val="22"/>
              </w:rPr>
            </w:pPr>
          </w:p>
          <w:p w14:paraId="5C16AF1C"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This rule contains requirements for regulatory authorities and not major sources; this rule can be used to impose specific requirements on a major facility.</w:t>
            </w:r>
          </w:p>
        </w:tc>
        <w:tc>
          <w:tcPr>
            <w:tcW w:w="4858" w:type="dxa"/>
            <w:gridSpan w:val="2"/>
            <w:tcBorders>
              <w:top w:val="single" w:sz="7" w:space="0" w:color="000000"/>
              <w:left w:val="single" w:sz="7" w:space="0" w:color="000000"/>
              <w:bottom w:val="single" w:sz="7" w:space="0" w:color="000000"/>
              <w:right w:val="single" w:sz="7" w:space="0" w:color="000000"/>
            </w:tcBorders>
          </w:tcPr>
          <w:p w14:paraId="6D48A800" w14:textId="77777777" w:rsidR="007C1ADA" w:rsidRPr="006124D6" w:rsidRDefault="007C1ADA" w:rsidP="005947D5">
            <w:pPr>
              <w:spacing w:line="120" w:lineRule="exact"/>
              <w:rPr>
                <w:rFonts w:ascii="Garamond" w:hAnsi="Garamond"/>
                <w:sz w:val="22"/>
                <w:szCs w:val="22"/>
              </w:rPr>
            </w:pPr>
          </w:p>
          <w:p w14:paraId="176203B6" w14:textId="77777777" w:rsidR="007C1ADA" w:rsidRPr="006124D6" w:rsidRDefault="007C1ADA" w:rsidP="005947D5">
            <w:pPr>
              <w:rPr>
                <w:rFonts w:ascii="Garamond" w:hAnsi="Garamond"/>
                <w:sz w:val="22"/>
                <w:szCs w:val="22"/>
              </w:rPr>
            </w:pPr>
            <w:r w:rsidRPr="006124D6">
              <w:rPr>
                <w:rFonts w:ascii="Garamond" w:hAnsi="Garamond"/>
                <w:sz w:val="22"/>
                <w:szCs w:val="22"/>
              </w:rPr>
              <w:t>40 CFR 62</w:t>
            </w:r>
          </w:p>
          <w:p w14:paraId="26350C66" w14:textId="77777777" w:rsidR="007C1ADA" w:rsidRPr="006124D6" w:rsidRDefault="007C1ADA" w:rsidP="005947D5">
            <w:pPr>
              <w:spacing w:after="58"/>
              <w:rPr>
                <w:rFonts w:ascii="Garamond" w:hAnsi="Garamond"/>
                <w:sz w:val="22"/>
                <w:szCs w:val="22"/>
              </w:rPr>
            </w:pPr>
          </w:p>
        </w:tc>
      </w:tr>
      <w:tr w:rsidR="007C1ADA" w:rsidRPr="0000543F" w14:paraId="14FB9E2F" w14:textId="77777777" w:rsidTr="006E2345">
        <w:trPr>
          <w:cantSplit/>
        </w:trPr>
        <w:tc>
          <w:tcPr>
            <w:tcW w:w="4410" w:type="dxa"/>
            <w:tcBorders>
              <w:top w:val="single" w:sz="7" w:space="0" w:color="000000"/>
              <w:left w:val="single" w:sz="7" w:space="0" w:color="000000"/>
              <w:bottom w:val="single" w:sz="7" w:space="0" w:color="000000"/>
              <w:right w:val="single" w:sz="7" w:space="0" w:color="000000"/>
            </w:tcBorders>
          </w:tcPr>
          <w:p w14:paraId="3CBFA257" w14:textId="77777777" w:rsidR="007C1ADA" w:rsidRPr="006124D6" w:rsidRDefault="007C1ADA" w:rsidP="005947D5">
            <w:pPr>
              <w:spacing w:line="120" w:lineRule="exact"/>
              <w:rPr>
                <w:rFonts w:ascii="Garamond" w:hAnsi="Garamond"/>
                <w:sz w:val="22"/>
                <w:szCs w:val="22"/>
              </w:rPr>
            </w:pPr>
          </w:p>
          <w:p w14:paraId="1EC3C337"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These regulations are applicable requirements to specific emissions units; therefore, a facility wide shield will not be granted.</w:t>
            </w:r>
          </w:p>
        </w:tc>
        <w:tc>
          <w:tcPr>
            <w:tcW w:w="4858" w:type="dxa"/>
            <w:gridSpan w:val="2"/>
            <w:tcBorders>
              <w:top w:val="single" w:sz="7" w:space="0" w:color="000000"/>
              <w:left w:val="single" w:sz="7" w:space="0" w:color="000000"/>
              <w:bottom w:val="single" w:sz="7" w:space="0" w:color="000000"/>
              <w:right w:val="single" w:sz="7" w:space="0" w:color="000000"/>
            </w:tcBorders>
          </w:tcPr>
          <w:p w14:paraId="5724E620" w14:textId="77777777" w:rsidR="007C1ADA" w:rsidRPr="006124D6" w:rsidRDefault="007C1ADA" w:rsidP="005947D5">
            <w:pPr>
              <w:spacing w:line="120" w:lineRule="exact"/>
              <w:rPr>
                <w:rFonts w:ascii="Garamond" w:hAnsi="Garamond"/>
                <w:sz w:val="22"/>
                <w:szCs w:val="22"/>
              </w:rPr>
            </w:pPr>
          </w:p>
          <w:p w14:paraId="3D9D4EF7" w14:textId="77777777" w:rsidR="007C1ADA" w:rsidRPr="006124D6" w:rsidRDefault="007C1ADA" w:rsidP="005947D5">
            <w:pPr>
              <w:rPr>
                <w:rFonts w:ascii="Garamond" w:hAnsi="Garamond"/>
                <w:sz w:val="22"/>
                <w:szCs w:val="22"/>
              </w:rPr>
            </w:pPr>
            <w:r w:rsidRPr="006124D6">
              <w:rPr>
                <w:rFonts w:ascii="Garamond" w:hAnsi="Garamond"/>
                <w:sz w:val="22"/>
                <w:szCs w:val="22"/>
              </w:rPr>
              <w:t>ARM 17.8.340</w:t>
            </w:r>
          </w:p>
          <w:p w14:paraId="56EB1E70" w14:textId="77777777" w:rsidR="007C1ADA" w:rsidRPr="006124D6" w:rsidRDefault="007C1ADA" w:rsidP="005947D5">
            <w:pPr>
              <w:spacing w:after="58"/>
              <w:rPr>
                <w:rFonts w:ascii="Garamond" w:hAnsi="Garamond"/>
                <w:sz w:val="22"/>
                <w:szCs w:val="22"/>
              </w:rPr>
            </w:pPr>
          </w:p>
        </w:tc>
      </w:tr>
      <w:tr w:rsidR="007C1ADA" w:rsidRPr="0000543F" w14:paraId="64C840FE" w14:textId="77777777">
        <w:trPr>
          <w:cantSplit/>
        </w:trPr>
        <w:tc>
          <w:tcPr>
            <w:tcW w:w="4410" w:type="dxa"/>
            <w:tcBorders>
              <w:top w:val="single" w:sz="7" w:space="0" w:color="000000"/>
              <w:left w:val="single" w:sz="7" w:space="0" w:color="000000"/>
              <w:bottom w:val="single" w:sz="7" w:space="0" w:color="000000"/>
              <w:right w:val="single" w:sz="7" w:space="0" w:color="000000"/>
            </w:tcBorders>
          </w:tcPr>
          <w:p w14:paraId="13F02F58" w14:textId="77777777" w:rsidR="007C1ADA" w:rsidRPr="006124D6" w:rsidRDefault="007C1ADA" w:rsidP="005947D5">
            <w:pPr>
              <w:spacing w:line="120" w:lineRule="exact"/>
              <w:rPr>
                <w:rFonts w:ascii="Garamond" w:hAnsi="Garamond"/>
                <w:sz w:val="22"/>
                <w:szCs w:val="22"/>
              </w:rPr>
            </w:pPr>
          </w:p>
          <w:p w14:paraId="0054F447" w14:textId="4BD00EEA" w:rsidR="007C1ADA" w:rsidRPr="006124D6" w:rsidRDefault="007C1ADA" w:rsidP="005947D5">
            <w:pPr>
              <w:spacing w:after="58"/>
              <w:rPr>
                <w:rFonts w:ascii="Garamond" w:hAnsi="Garamond"/>
                <w:sz w:val="22"/>
                <w:szCs w:val="22"/>
              </w:rPr>
            </w:pPr>
            <w:r w:rsidRPr="006124D6">
              <w:rPr>
                <w:rFonts w:ascii="Garamond" w:hAnsi="Garamond"/>
                <w:sz w:val="22"/>
                <w:szCs w:val="22"/>
              </w:rPr>
              <w:t>These rules include either a statement of purpose, applicability statement, regulatory definitions, or a statement of incorporation by reference</w:t>
            </w:r>
            <w:r w:rsidR="00D8745A">
              <w:rPr>
                <w:rFonts w:ascii="Garamond" w:hAnsi="Garamond"/>
                <w:sz w:val="22"/>
                <w:szCs w:val="22"/>
              </w:rPr>
              <w:t xml:space="preserve">. </w:t>
            </w:r>
            <w:r w:rsidRPr="006124D6">
              <w:rPr>
                <w:rFonts w:ascii="Garamond" w:hAnsi="Garamond"/>
                <w:sz w:val="22"/>
                <w:szCs w:val="22"/>
              </w:rPr>
              <w:t xml:space="preserve">Therefore, facility wide permit shields will not be granted for these rules. </w:t>
            </w:r>
          </w:p>
        </w:tc>
        <w:tc>
          <w:tcPr>
            <w:tcW w:w="2520" w:type="dxa"/>
            <w:tcBorders>
              <w:top w:val="single" w:sz="7" w:space="0" w:color="000000"/>
              <w:left w:val="single" w:sz="7" w:space="0" w:color="000000"/>
              <w:bottom w:val="single" w:sz="7" w:space="0" w:color="000000"/>
              <w:right w:val="nil"/>
            </w:tcBorders>
          </w:tcPr>
          <w:p w14:paraId="562BE8D6" w14:textId="77777777" w:rsidR="007C1ADA" w:rsidRPr="006124D6" w:rsidRDefault="007C1ADA" w:rsidP="005947D5">
            <w:pPr>
              <w:spacing w:line="120" w:lineRule="exact"/>
              <w:rPr>
                <w:rFonts w:ascii="Garamond" w:hAnsi="Garamond"/>
                <w:sz w:val="22"/>
                <w:szCs w:val="22"/>
              </w:rPr>
            </w:pPr>
          </w:p>
          <w:p w14:paraId="6D90378D" w14:textId="77777777" w:rsidR="007C1ADA" w:rsidRPr="006124D6" w:rsidRDefault="007C1ADA" w:rsidP="005947D5">
            <w:pPr>
              <w:rPr>
                <w:rFonts w:ascii="Garamond" w:hAnsi="Garamond"/>
                <w:sz w:val="22"/>
                <w:szCs w:val="22"/>
              </w:rPr>
            </w:pPr>
            <w:r w:rsidRPr="006124D6">
              <w:rPr>
                <w:rFonts w:ascii="Garamond" w:hAnsi="Garamond"/>
                <w:sz w:val="22"/>
                <w:szCs w:val="22"/>
              </w:rPr>
              <w:t>ARM 17.8.301</w:t>
            </w:r>
          </w:p>
          <w:p w14:paraId="50B01455" w14:textId="77777777" w:rsidR="007C1ADA" w:rsidRPr="006124D6" w:rsidRDefault="007C1ADA" w:rsidP="005947D5">
            <w:pPr>
              <w:rPr>
                <w:rFonts w:ascii="Garamond" w:hAnsi="Garamond"/>
                <w:sz w:val="22"/>
                <w:szCs w:val="22"/>
              </w:rPr>
            </w:pPr>
            <w:r w:rsidRPr="006124D6">
              <w:rPr>
                <w:rFonts w:ascii="Garamond" w:hAnsi="Garamond"/>
                <w:sz w:val="22"/>
                <w:szCs w:val="22"/>
              </w:rPr>
              <w:t>ARM 17.8.302</w:t>
            </w:r>
          </w:p>
          <w:p w14:paraId="0E08E151" w14:textId="77777777" w:rsidR="007C1ADA" w:rsidRPr="006124D6" w:rsidRDefault="007C1ADA" w:rsidP="005947D5">
            <w:pPr>
              <w:rPr>
                <w:rFonts w:ascii="Garamond" w:hAnsi="Garamond"/>
                <w:sz w:val="22"/>
                <w:szCs w:val="22"/>
              </w:rPr>
            </w:pPr>
            <w:r w:rsidRPr="006124D6">
              <w:rPr>
                <w:rFonts w:ascii="Garamond" w:hAnsi="Garamond"/>
                <w:sz w:val="22"/>
                <w:szCs w:val="22"/>
              </w:rPr>
              <w:t>ARM 17.8.341</w:t>
            </w:r>
          </w:p>
          <w:p w14:paraId="05B88B24" w14:textId="77777777" w:rsidR="007C1ADA" w:rsidRPr="006124D6" w:rsidRDefault="007C1ADA" w:rsidP="005947D5">
            <w:pPr>
              <w:rPr>
                <w:rFonts w:ascii="Garamond" w:hAnsi="Garamond"/>
                <w:sz w:val="22"/>
                <w:szCs w:val="22"/>
              </w:rPr>
            </w:pPr>
            <w:r w:rsidRPr="006124D6">
              <w:rPr>
                <w:rFonts w:ascii="Garamond" w:hAnsi="Garamond"/>
                <w:sz w:val="22"/>
                <w:szCs w:val="22"/>
              </w:rPr>
              <w:t>ARM 17.8.342</w:t>
            </w:r>
          </w:p>
          <w:p w14:paraId="13BE85B9" w14:textId="77777777" w:rsidR="007C1ADA" w:rsidRPr="006124D6" w:rsidRDefault="007C1ADA" w:rsidP="005947D5">
            <w:pPr>
              <w:rPr>
                <w:rFonts w:ascii="Garamond" w:hAnsi="Garamond"/>
                <w:sz w:val="22"/>
                <w:szCs w:val="22"/>
              </w:rPr>
            </w:pPr>
            <w:r w:rsidRPr="006124D6">
              <w:rPr>
                <w:rFonts w:ascii="Garamond" w:hAnsi="Garamond"/>
                <w:sz w:val="22"/>
                <w:szCs w:val="22"/>
              </w:rPr>
              <w:t>ARM 17.8.601</w:t>
            </w:r>
          </w:p>
          <w:p w14:paraId="0F1CD30A" w14:textId="77777777" w:rsidR="007C1ADA" w:rsidRPr="006124D6" w:rsidRDefault="007C1ADA" w:rsidP="005947D5">
            <w:pPr>
              <w:rPr>
                <w:rFonts w:ascii="Garamond" w:hAnsi="Garamond"/>
                <w:sz w:val="22"/>
                <w:szCs w:val="22"/>
              </w:rPr>
            </w:pPr>
            <w:r w:rsidRPr="006124D6">
              <w:rPr>
                <w:rFonts w:ascii="Garamond" w:hAnsi="Garamond"/>
                <w:sz w:val="22"/>
                <w:szCs w:val="22"/>
              </w:rPr>
              <w:t xml:space="preserve">ARM 17.8.901 </w:t>
            </w:r>
            <w:r w:rsidRPr="006124D6">
              <w:rPr>
                <w:rFonts w:ascii="Garamond" w:hAnsi="Garamond"/>
                <w:i/>
                <w:iCs/>
                <w:sz w:val="22"/>
                <w:szCs w:val="22"/>
              </w:rPr>
              <w:t>et. seq</w:t>
            </w:r>
            <w:r w:rsidRPr="006124D6">
              <w:rPr>
                <w:rFonts w:ascii="Garamond" w:hAnsi="Garamond"/>
                <w:sz w:val="22"/>
                <w:szCs w:val="22"/>
              </w:rPr>
              <w:t>.</w:t>
            </w:r>
          </w:p>
          <w:p w14:paraId="5FD8EF63" w14:textId="77777777" w:rsidR="007C1ADA" w:rsidRPr="006124D6" w:rsidRDefault="007C1ADA" w:rsidP="005947D5">
            <w:pPr>
              <w:rPr>
                <w:rFonts w:ascii="Garamond" w:hAnsi="Garamond"/>
                <w:sz w:val="22"/>
                <w:szCs w:val="22"/>
              </w:rPr>
            </w:pPr>
            <w:r w:rsidRPr="006124D6">
              <w:rPr>
                <w:rFonts w:ascii="Garamond" w:hAnsi="Garamond"/>
                <w:sz w:val="22"/>
                <w:szCs w:val="22"/>
              </w:rPr>
              <w:t>ARM 17.8.1001</w:t>
            </w:r>
            <w:r w:rsidRPr="006124D6">
              <w:rPr>
                <w:rFonts w:ascii="Garamond" w:hAnsi="Garamond"/>
                <w:i/>
                <w:iCs/>
                <w:sz w:val="22"/>
                <w:szCs w:val="22"/>
              </w:rPr>
              <w:t xml:space="preserve"> et. seq.</w:t>
            </w:r>
          </w:p>
          <w:p w14:paraId="2064911E"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 xml:space="preserve">ARM 17.8.1100 </w:t>
            </w:r>
            <w:r w:rsidRPr="006124D6">
              <w:rPr>
                <w:rFonts w:ascii="Garamond" w:hAnsi="Garamond"/>
                <w:i/>
                <w:iCs/>
                <w:sz w:val="22"/>
                <w:szCs w:val="22"/>
              </w:rPr>
              <w:t>et. seq.</w:t>
            </w:r>
          </w:p>
        </w:tc>
        <w:tc>
          <w:tcPr>
            <w:tcW w:w="2338" w:type="dxa"/>
            <w:tcBorders>
              <w:top w:val="single" w:sz="7" w:space="0" w:color="000000"/>
              <w:left w:val="nil"/>
              <w:bottom w:val="single" w:sz="7" w:space="0" w:color="000000"/>
              <w:right w:val="single" w:sz="7" w:space="0" w:color="000000"/>
            </w:tcBorders>
          </w:tcPr>
          <w:p w14:paraId="4D1FF1CE" w14:textId="77777777" w:rsidR="007C1ADA" w:rsidRPr="006124D6" w:rsidRDefault="007C1ADA" w:rsidP="005947D5">
            <w:pPr>
              <w:spacing w:line="120" w:lineRule="exact"/>
              <w:rPr>
                <w:rFonts w:ascii="Garamond" w:hAnsi="Garamond"/>
                <w:sz w:val="22"/>
                <w:szCs w:val="22"/>
              </w:rPr>
            </w:pPr>
          </w:p>
          <w:p w14:paraId="5D8C57BB" w14:textId="77777777" w:rsidR="007C1ADA" w:rsidRPr="006124D6" w:rsidRDefault="007C1ADA" w:rsidP="005947D5">
            <w:pPr>
              <w:rPr>
                <w:rFonts w:ascii="Garamond" w:hAnsi="Garamond"/>
                <w:sz w:val="22"/>
                <w:szCs w:val="22"/>
              </w:rPr>
            </w:pPr>
            <w:r w:rsidRPr="006124D6">
              <w:rPr>
                <w:rFonts w:ascii="Garamond" w:hAnsi="Garamond"/>
                <w:sz w:val="22"/>
                <w:szCs w:val="22"/>
              </w:rPr>
              <w:t>40 CFR 52</w:t>
            </w:r>
          </w:p>
          <w:p w14:paraId="6C0E9059" w14:textId="77777777" w:rsidR="007C1ADA" w:rsidRPr="006124D6" w:rsidRDefault="007C1ADA" w:rsidP="005947D5">
            <w:pPr>
              <w:rPr>
                <w:rFonts w:ascii="Garamond" w:hAnsi="Garamond"/>
                <w:sz w:val="22"/>
                <w:szCs w:val="22"/>
              </w:rPr>
            </w:pPr>
            <w:r w:rsidRPr="006124D6">
              <w:rPr>
                <w:rFonts w:ascii="Garamond" w:hAnsi="Garamond"/>
                <w:sz w:val="22"/>
                <w:szCs w:val="22"/>
              </w:rPr>
              <w:t>40 CFR 63 Subpart A</w:t>
            </w:r>
          </w:p>
          <w:p w14:paraId="05C4AA5C"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40 CFR 63 Subpart B</w:t>
            </w:r>
          </w:p>
        </w:tc>
      </w:tr>
      <w:tr w:rsidR="007C1ADA" w:rsidRPr="0000543F" w14:paraId="6F91C851" w14:textId="77777777">
        <w:trPr>
          <w:cantSplit/>
        </w:trPr>
        <w:tc>
          <w:tcPr>
            <w:tcW w:w="4410" w:type="dxa"/>
            <w:tcBorders>
              <w:top w:val="single" w:sz="7" w:space="0" w:color="000000"/>
              <w:left w:val="single" w:sz="7" w:space="0" w:color="000000"/>
              <w:bottom w:val="single" w:sz="7" w:space="0" w:color="000000"/>
              <w:right w:val="single" w:sz="7" w:space="0" w:color="000000"/>
            </w:tcBorders>
          </w:tcPr>
          <w:p w14:paraId="71724B9A" w14:textId="77777777" w:rsidR="007C1ADA" w:rsidRPr="006124D6" w:rsidRDefault="007C1ADA" w:rsidP="005947D5">
            <w:pPr>
              <w:spacing w:line="120" w:lineRule="exact"/>
              <w:rPr>
                <w:rFonts w:ascii="Garamond" w:hAnsi="Garamond"/>
                <w:sz w:val="22"/>
                <w:szCs w:val="22"/>
              </w:rPr>
            </w:pPr>
          </w:p>
          <w:p w14:paraId="48CB5266"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Repealed Regulations</w:t>
            </w:r>
          </w:p>
        </w:tc>
        <w:tc>
          <w:tcPr>
            <w:tcW w:w="2520" w:type="dxa"/>
            <w:tcBorders>
              <w:top w:val="single" w:sz="7" w:space="0" w:color="000000"/>
              <w:left w:val="single" w:sz="7" w:space="0" w:color="000000"/>
              <w:bottom w:val="single" w:sz="7" w:space="0" w:color="000000"/>
              <w:right w:val="nil"/>
            </w:tcBorders>
          </w:tcPr>
          <w:p w14:paraId="3B24EBD8" w14:textId="77777777" w:rsidR="007C1ADA" w:rsidRPr="006124D6" w:rsidRDefault="007C1ADA" w:rsidP="005947D5">
            <w:pPr>
              <w:spacing w:line="120" w:lineRule="exact"/>
              <w:rPr>
                <w:rFonts w:ascii="Garamond" w:hAnsi="Garamond"/>
                <w:sz w:val="22"/>
                <w:szCs w:val="22"/>
              </w:rPr>
            </w:pPr>
          </w:p>
          <w:p w14:paraId="1278A0AD" w14:textId="77777777" w:rsidR="007C1ADA" w:rsidRPr="006124D6" w:rsidRDefault="007C1ADA" w:rsidP="005947D5">
            <w:pPr>
              <w:rPr>
                <w:rFonts w:ascii="Garamond" w:hAnsi="Garamond"/>
                <w:sz w:val="22"/>
                <w:szCs w:val="22"/>
              </w:rPr>
            </w:pPr>
            <w:r w:rsidRPr="006124D6">
              <w:rPr>
                <w:rFonts w:ascii="Garamond" w:hAnsi="Garamond"/>
                <w:sz w:val="22"/>
                <w:szCs w:val="22"/>
              </w:rPr>
              <w:t>ARM 16.8.1414</w:t>
            </w:r>
          </w:p>
          <w:p w14:paraId="38B8D335"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ARM 16.8.1419</w:t>
            </w:r>
          </w:p>
        </w:tc>
        <w:tc>
          <w:tcPr>
            <w:tcW w:w="2338" w:type="dxa"/>
            <w:tcBorders>
              <w:top w:val="single" w:sz="7" w:space="0" w:color="000000"/>
              <w:left w:val="nil"/>
              <w:bottom w:val="single" w:sz="7" w:space="0" w:color="000000"/>
              <w:right w:val="single" w:sz="7" w:space="0" w:color="000000"/>
            </w:tcBorders>
          </w:tcPr>
          <w:p w14:paraId="258B613C" w14:textId="77777777" w:rsidR="007C1ADA" w:rsidRPr="006124D6" w:rsidRDefault="007C1ADA" w:rsidP="005947D5">
            <w:pPr>
              <w:spacing w:line="120" w:lineRule="exact"/>
              <w:rPr>
                <w:rFonts w:ascii="Garamond" w:hAnsi="Garamond"/>
                <w:sz w:val="22"/>
                <w:szCs w:val="22"/>
              </w:rPr>
            </w:pPr>
          </w:p>
          <w:p w14:paraId="6F1E117D" w14:textId="77777777" w:rsidR="007C1ADA" w:rsidRPr="006124D6" w:rsidRDefault="007C1ADA" w:rsidP="005947D5">
            <w:pPr>
              <w:spacing w:after="58"/>
              <w:rPr>
                <w:rFonts w:ascii="Garamond" w:hAnsi="Garamond"/>
                <w:sz w:val="22"/>
                <w:szCs w:val="22"/>
              </w:rPr>
            </w:pPr>
          </w:p>
        </w:tc>
      </w:tr>
      <w:tr w:rsidR="007C1ADA" w:rsidRPr="0000543F" w14:paraId="651B45E1" w14:textId="77777777" w:rsidTr="006E2345">
        <w:trPr>
          <w:cantSplit/>
        </w:trPr>
        <w:tc>
          <w:tcPr>
            <w:tcW w:w="4410" w:type="dxa"/>
            <w:tcBorders>
              <w:top w:val="single" w:sz="7" w:space="0" w:color="000000"/>
              <w:left w:val="single" w:sz="7" w:space="0" w:color="000000"/>
              <w:bottom w:val="single" w:sz="7" w:space="0" w:color="000000"/>
              <w:right w:val="single" w:sz="7" w:space="0" w:color="000000"/>
            </w:tcBorders>
          </w:tcPr>
          <w:p w14:paraId="46BEB872" w14:textId="77777777" w:rsidR="007C1ADA" w:rsidRPr="006124D6" w:rsidRDefault="007C1ADA" w:rsidP="005947D5">
            <w:pPr>
              <w:spacing w:line="120" w:lineRule="exact"/>
              <w:rPr>
                <w:rFonts w:ascii="Garamond" w:hAnsi="Garamond"/>
                <w:sz w:val="22"/>
                <w:szCs w:val="22"/>
              </w:rPr>
            </w:pPr>
          </w:p>
          <w:p w14:paraId="1DB6D258" w14:textId="76C63310" w:rsidR="007C1ADA" w:rsidRPr="006124D6" w:rsidRDefault="007C1ADA" w:rsidP="005947D5">
            <w:pPr>
              <w:spacing w:after="58"/>
              <w:rPr>
                <w:rFonts w:ascii="Garamond" w:hAnsi="Garamond"/>
                <w:sz w:val="22"/>
                <w:szCs w:val="22"/>
              </w:rPr>
            </w:pPr>
            <w:r w:rsidRPr="006124D6">
              <w:rPr>
                <w:rFonts w:ascii="Garamond" w:hAnsi="Garamond"/>
                <w:sz w:val="22"/>
                <w:szCs w:val="22"/>
              </w:rPr>
              <w:t xml:space="preserve">This rule may or may not be </w:t>
            </w:r>
            <w:proofErr w:type="gramStart"/>
            <w:r w:rsidRPr="006124D6">
              <w:rPr>
                <w:rFonts w:ascii="Garamond" w:hAnsi="Garamond"/>
                <w:sz w:val="22"/>
                <w:szCs w:val="22"/>
              </w:rPr>
              <w:t>relevant</w:t>
            </w:r>
            <w:proofErr w:type="gramEnd"/>
            <w:r w:rsidRPr="006124D6">
              <w:rPr>
                <w:rFonts w:ascii="Garamond" w:hAnsi="Garamond"/>
                <w:sz w:val="22"/>
                <w:szCs w:val="22"/>
              </w:rPr>
              <w:t xml:space="preserve"> but </w:t>
            </w:r>
            <w:r w:rsidR="009C3F2D">
              <w:rPr>
                <w:rFonts w:ascii="Garamond" w:hAnsi="Garamond"/>
                <w:sz w:val="22"/>
                <w:szCs w:val="22"/>
              </w:rPr>
              <w:t>DEQ</w:t>
            </w:r>
            <w:r w:rsidRPr="006124D6">
              <w:rPr>
                <w:rFonts w:ascii="Garamond" w:hAnsi="Garamond"/>
                <w:sz w:val="22"/>
                <w:szCs w:val="22"/>
              </w:rPr>
              <w:t xml:space="preserve"> will not be granting a shield for this rule.</w:t>
            </w:r>
          </w:p>
        </w:tc>
        <w:tc>
          <w:tcPr>
            <w:tcW w:w="4858" w:type="dxa"/>
            <w:gridSpan w:val="2"/>
            <w:tcBorders>
              <w:top w:val="single" w:sz="7" w:space="0" w:color="000000"/>
              <w:left w:val="single" w:sz="7" w:space="0" w:color="000000"/>
              <w:bottom w:val="single" w:sz="7" w:space="0" w:color="000000"/>
              <w:right w:val="single" w:sz="7" w:space="0" w:color="000000"/>
            </w:tcBorders>
          </w:tcPr>
          <w:p w14:paraId="09B04726" w14:textId="77777777" w:rsidR="007C1ADA" w:rsidRPr="006124D6" w:rsidRDefault="007C1ADA" w:rsidP="005947D5">
            <w:pPr>
              <w:spacing w:line="120" w:lineRule="exact"/>
              <w:rPr>
                <w:rFonts w:ascii="Garamond" w:hAnsi="Garamond"/>
                <w:sz w:val="22"/>
                <w:szCs w:val="22"/>
              </w:rPr>
            </w:pPr>
          </w:p>
          <w:p w14:paraId="4AA633BA" w14:textId="77777777" w:rsidR="007C1ADA" w:rsidRPr="006124D6" w:rsidRDefault="007C1ADA" w:rsidP="005947D5">
            <w:pPr>
              <w:spacing w:after="58"/>
              <w:rPr>
                <w:rFonts w:ascii="Garamond" w:hAnsi="Garamond"/>
                <w:sz w:val="22"/>
                <w:szCs w:val="22"/>
              </w:rPr>
            </w:pPr>
            <w:r w:rsidRPr="006124D6">
              <w:rPr>
                <w:rFonts w:ascii="Garamond" w:hAnsi="Garamond"/>
                <w:sz w:val="22"/>
                <w:szCs w:val="22"/>
              </w:rPr>
              <w:t>40 CFR 70</w:t>
            </w:r>
          </w:p>
        </w:tc>
      </w:tr>
    </w:tbl>
    <w:p w14:paraId="6254A460" w14:textId="77777777" w:rsidR="0011127E" w:rsidRPr="006124D6" w:rsidRDefault="0011127E">
      <w:pPr>
        <w:rPr>
          <w:rFonts w:ascii="Garamond" w:hAnsi="Garamond"/>
          <w:b/>
          <w:bCs/>
        </w:rPr>
      </w:pPr>
    </w:p>
    <w:p w14:paraId="6432D655" w14:textId="77777777" w:rsidR="00C102F0" w:rsidRPr="006124D6" w:rsidRDefault="00C102F0">
      <w:pPr>
        <w:rPr>
          <w:rFonts w:ascii="Garamond" w:hAnsi="Garamond"/>
          <w:b/>
          <w:bCs/>
        </w:rPr>
        <w:sectPr w:rsidR="00C102F0" w:rsidRPr="006124D6" w:rsidSect="006124D6">
          <w:endnotePr>
            <w:numFmt w:val="decimal"/>
          </w:endnotePr>
          <w:pgSz w:w="12240" w:h="15840" w:code="1"/>
          <w:pgMar w:top="1152" w:right="1440" w:bottom="1008" w:left="1440" w:header="720" w:footer="432" w:gutter="0"/>
          <w:cols w:space="720"/>
          <w:noEndnote/>
        </w:sectPr>
      </w:pPr>
    </w:p>
    <w:p w14:paraId="0D556475" w14:textId="77777777" w:rsidR="0011127E" w:rsidRPr="006124D6" w:rsidRDefault="0011127E">
      <w:pPr>
        <w:pStyle w:val="Heading1"/>
        <w:rPr>
          <w:rFonts w:ascii="Garamond" w:hAnsi="Garamond"/>
          <w:sz w:val="24"/>
          <w:szCs w:val="24"/>
        </w:rPr>
      </w:pPr>
      <w:bookmarkStart w:id="43" w:name="_Toc524226951"/>
      <w:bookmarkStart w:id="44" w:name="_Toc104892077"/>
      <w:r w:rsidRPr="006124D6">
        <w:rPr>
          <w:rFonts w:ascii="Garamond" w:hAnsi="Garamond"/>
          <w:sz w:val="24"/>
          <w:szCs w:val="24"/>
        </w:rPr>
        <w:lastRenderedPageBreak/>
        <w:t>section v.</w:t>
      </w:r>
      <w:r w:rsidRPr="006124D6">
        <w:rPr>
          <w:rFonts w:ascii="Garamond" w:hAnsi="Garamond"/>
          <w:sz w:val="24"/>
          <w:szCs w:val="24"/>
        </w:rPr>
        <w:tab/>
      </w:r>
      <w:r w:rsidR="006E2345">
        <w:rPr>
          <w:rFonts w:ascii="Garamond" w:hAnsi="Garamond"/>
          <w:sz w:val="24"/>
          <w:szCs w:val="24"/>
        </w:rPr>
        <w:t xml:space="preserve">  </w:t>
      </w:r>
      <w:r w:rsidRPr="006124D6">
        <w:rPr>
          <w:rFonts w:ascii="Garamond" w:hAnsi="Garamond"/>
          <w:sz w:val="24"/>
          <w:szCs w:val="24"/>
        </w:rPr>
        <w:t>FUTURE PERMIT CONSIDERATIONS</w:t>
      </w:r>
      <w:bookmarkEnd w:id="43"/>
      <w:bookmarkEnd w:id="44"/>
      <w:r w:rsidRPr="006124D6">
        <w:rPr>
          <w:rFonts w:ascii="Garamond" w:hAnsi="Garamond"/>
          <w:sz w:val="24"/>
          <w:szCs w:val="24"/>
        </w:rPr>
        <w:t xml:space="preserve"> </w:t>
      </w:r>
    </w:p>
    <w:p w14:paraId="1FFB8D5C" w14:textId="77777777" w:rsidR="0011127E" w:rsidRPr="006124D6" w:rsidRDefault="0011127E">
      <w:pPr>
        <w:rPr>
          <w:rFonts w:ascii="Garamond" w:hAnsi="Garamond"/>
        </w:rPr>
      </w:pPr>
    </w:p>
    <w:p w14:paraId="106AC663" w14:textId="77777777" w:rsidR="0011127E" w:rsidRPr="006124D6" w:rsidRDefault="0011127E">
      <w:pPr>
        <w:pStyle w:val="Heading2"/>
        <w:numPr>
          <w:ilvl w:val="0"/>
          <w:numId w:val="11"/>
        </w:numPr>
        <w:rPr>
          <w:rFonts w:ascii="Garamond" w:hAnsi="Garamond"/>
          <w:sz w:val="24"/>
          <w:szCs w:val="24"/>
        </w:rPr>
      </w:pPr>
      <w:bookmarkStart w:id="45" w:name="_Toc23569554"/>
      <w:bookmarkStart w:id="46" w:name="_Toc104892078"/>
      <w:r w:rsidRPr="006124D6">
        <w:rPr>
          <w:rFonts w:ascii="Garamond" w:hAnsi="Garamond"/>
          <w:sz w:val="24"/>
          <w:szCs w:val="24"/>
        </w:rPr>
        <w:t>MACT Standards</w:t>
      </w:r>
      <w:bookmarkStart w:id="47" w:name="_Toc23569555"/>
      <w:bookmarkEnd w:id="45"/>
      <w:bookmarkEnd w:id="46"/>
    </w:p>
    <w:p w14:paraId="6B496DC6" w14:textId="77777777" w:rsidR="0011127E" w:rsidRPr="006124D6" w:rsidRDefault="0011127E">
      <w:pPr>
        <w:rPr>
          <w:rFonts w:ascii="Garamond" w:hAnsi="Garamond"/>
        </w:rPr>
      </w:pPr>
    </w:p>
    <w:p w14:paraId="7B052C67" w14:textId="2DE23566" w:rsidR="006E2345" w:rsidRPr="006E2345" w:rsidRDefault="006E2345" w:rsidP="006124D6">
      <w:pPr>
        <w:ind w:left="360"/>
        <w:rPr>
          <w:rFonts w:ascii="Garamond" w:hAnsi="Garamond"/>
          <w:b/>
        </w:rPr>
      </w:pPr>
      <w:r w:rsidRPr="006E2345">
        <w:rPr>
          <w:rFonts w:ascii="Garamond" w:hAnsi="Garamond"/>
        </w:rPr>
        <w:t xml:space="preserve">On February 16, 2012, EPA finalized the Mercury Air Toxics Standard (MATS) rule, also known as the Utility MACT, which was promulgated under 40 CFR 63, Subpart UUUUU – </w:t>
      </w:r>
      <w:r w:rsidRPr="006E2345">
        <w:rPr>
          <w:rFonts w:ascii="Garamond" w:hAnsi="Garamond"/>
          <w:i/>
          <w:iCs/>
        </w:rPr>
        <w:t>National Emission Standards for Hazardous Air Pollutants: Coal and Oil-Fired Electric Utility Steam Generating Units</w:t>
      </w:r>
      <w:r w:rsidR="00D8745A">
        <w:rPr>
          <w:rFonts w:ascii="Garamond" w:hAnsi="Garamond"/>
        </w:rPr>
        <w:t xml:space="preserve">. </w:t>
      </w:r>
      <w:r>
        <w:rPr>
          <w:rFonts w:ascii="Garamond" w:hAnsi="Garamond"/>
        </w:rPr>
        <w:t>The C</w:t>
      </w:r>
      <w:r w:rsidRPr="006E2345">
        <w:rPr>
          <w:rFonts w:ascii="Garamond" w:hAnsi="Garamond"/>
        </w:rPr>
        <w:t>ELP facility is an affected source pursuant to this MACT standard, which ha</w:t>
      </w:r>
      <w:r w:rsidR="004F4292">
        <w:rPr>
          <w:rFonts w:ascii="Garamond" w:hAnsi="Garamond"/>
        </w:rPr>
        <w:t>d</w:t>
      </w:r>
      <w:r w:rsidRPr="006E2345">
        <w:rPr>
          <w:rFonts w:ascii="Garamond" w:hAnsi="Garamond"/>
        </w:rPr>
        <w:t xml:space="preserve"> a compliance date of April 16, 2015.</w:t>
      </w:r>
    </w:p>
    <w:p w14:paraId="108565C7" w14:textId="77777777" w:rsidR="006E2345" w:rsidRPr="006E2345" w:rsidRDefault="006E2345" w:rsidP="006E2345">
      <w:pPr>
        <w:rPr>
          <w:rFonts w:ascii="Garamond" w:hAnsi="Garamond"/>
          <w:b/>
        </w:rPr>
      </w:pPr>
    </w:p>
    <w:p w14:paraId="689E4E98" w14:textId="5C5ED4FE" w:rsidR="006E2345" w:rsidRPr="006E2345" w:rsidRDefault="006E2345" w:rsidP="006124D6">
      <w:pPr>
        <w:ind w:left="360"/>
        <w:rPr>
          <w:rFonts w:ascii="Garamond" w:hAnsi="Garamond"/>
        </w:rPr>
      </w:pPr>
      <w:r w:rsidRPr="006E2345">
        <w:rPr>
          <w:rFonts w:ascii="Garamond" w:hAnsi="Garamond"/>
        </w:rPr>
        <w:t xml:space="preserve">As of the issuance of this action, </w:t>
      </w:r>
      <w:r w:rsidR="009C3F2D">
        <w:rPr>
          <w:rFonts w:ascii="Garamond" w:hAnsi="Garamond"/>
        </w:rPr>
        <w:t>DEQ</w:t>
      </w:r>
      <w:r w:rsidRPr="006E2345">
        <w:rPr>
          <w:rFonts w:ascii="Garamond" w:hAnsi="Garamond"/>
        </w:rPr>
        <w:t xml:space="preserve"> is not aware of any future MACT standards to be promulgated that may affect the facility.</w:t>
      </w:r>
    </w:p>
    <w:p w14:paraId="1C3A0C1D" w14:textId="77777777" w:rsidR="006E2345" w:rsidRPr="006124D6" w:rsidRDefault="006E2345">
      <w:pPr>
        <w:rPr>
          <w:rFonts w:ascii="Garamond" w:hAnsi="Garamond"/>
        </w:rPr>
      </w:pPr>
    </w:p>
    <w:p w14:paraId="79EF87C7" w14:textId="77777777" w:rsidR="0011127E" w:rsidRPr="006124D6" w:rsidRDefault="0011127E">
      <w:pPr>
        <w:pStyle w:val="Heading2"/>
        <w:numPr>
          <w:ilvl w:val="0"/>
          <w:numId w:val="11"/>
        </w:numPr>
        <w:rPr>
          <w:rFonts w:ascii="Garamond" w:hAnsi="Garamond"/>
          <w:sz w:val="24"/>
          <w:szCs w:val="24"/>
        </w:rPr>
      </w:pPr>
      <w:bookmarkStart w:id="48" w:name="_Toc104892079"/>
      <w:r w:rsidRPr="006124D6">
        <w:rPr>
          <w:rFonts w:ascii="Garamond" w:hAnsi="Garamond"/>
          <w:sz w:val="24"/>
          <w:szCs w:val="24"/>
        </w:rPr>
        <w:t>NESHAP Standards</w:t>
      </w:r>
      <w:bookmarkStart w:id="49" w:name="_Toc23569556"/>
      <w:bookmarkEnd w:id="47"/>
      <w:bookmarkEnd w:id="48"/>
    </w:p>
    <w:p w14:paraId="7538D5ED" w14:textId="77777777" w:rsidR="0011127E" w:rsidRPr="006124D6" w:rsidRDefault="0011127E">
      <w:pPr>
        <w:rPr>
          <w:rFonts w:ascii="Garamond" w:hAnsi="Garamond"/>
        </w:rPr>
      </w:pPr>
    </w:p>
    <w:p w14:paraId="2073D006" w14:textId="42AEA467" w:rsidR="0011127E" w:rsidRPr="006124D6" w:rsidRDefault="0011127E">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rPr>
      </w:pPr>
      <w:r w:rsidRPr="006124D6">
        <w:rPr>
          <w:rFonts w:ascii="Garamond" w:hAnsi="Garamond"/>
        </w:rPr>
        <w:t>As of th</w:t>
      </w:r>
      <w:r w:rsidR="00C40E2F" w:rsidRPr="006124D6">
        <w:rPr>
          <w:rFonts w:ascii="Garamond" w:hAnsi="Garamond"/>
        </w:rPr>
        <w:t xml:space="preserve">e </w:t>
      </w:r>
      <w:r w:rsidR="0003089D" w:rsidRPr="006124D6">
        <w:rPr>
          <w:rFonts w:ascii="Garamond" w:hAnsi="Garamond"/>
        </w:rPr>
        <w:t>issuance</w:t>
      </w:r>
      <w:r w:rsidRPr="006124D6">
        <w:rPr>
          <w:rFonts w:ascii="Garamond" w:hAnsi="Garamond"/>
        </w:rPr>
        <w:t xml:space="preserve"> date, </w:t>
      </w:r>
      <w:r w:rsidR="009C3F2D">
        <w:rPr>
          <w:rFonts w:ascii="Garamond" w:hAnsi="Garamond"/>
        </w:rPr>
        <w:t>DEQ</w:t>
      </w:r>
      <w:r w:rsidRPr="006124D6">
        <w:rPr>
          <w:rFonts w:ascii="Garamond" w:hAnsi="Garamond"/>
        </w:rPr>
        <w:t xml:space="preserve"> is unaware of any future requirement that may be promulgated during the permit term for which this facility must comply other than </w:t>
      </w:r>
      <w:r w:rsidR="00C102F0" w:rsidRPr="006124D6">
        <w:rPr>
          <w:rFonts w:ascii="Garamond" w:hAnsi="Garamond"/>
        </w:rPr>
        <w:t xml:space="preserve">40 CFR 61, </w:t>
      </w:r>
      <w:r w:rsidRPr="006124D6">
        <w:rPr>
          <w:rFonts w:ascii="Garamond" w:hAnsi="Garamond"/>
        </w:rPr>
        <w:t>Subpart M for Asbestos.</w:t>
      </w:r>
    </w:p>
    <w:p w14:paraId="16003173" w14:textId="77777777" w:rsidR="0011127E" w:rsidRPr="006124D6" w:rsidRDefault="0011127E">
      <w:pPr>
        <w:rPr>
          <w:rFonts w:ascii="Garamond" w:hAnsi="Garamond"/>
        </w:rPr>
      </w:pPr>
    </w:p>
    <w:p w14:paraId="2075D641" w14:textId="77777777" w:rsidR="0011127E" w:rsidRPr="006124D6" w:rsidRDefault="0011127E">
      <w:pPr>
        <w:pStyle w:val="Heading2"/>
        <w:numPr>
          <w:ilvl w:val="0"/>
          <w:numId w:val="11"/>
        </w:numPr>
        <w:rPr>
          <w:rFonts w:ascii="Garamond" w:hAnsi="Garamond"/>
          <w:sz w:val="24"/>
          <w:szCs w:val="24"/>
        </w:rPr>
      </w:pPr>
      <w:bookmarkStart w:id="50" w:name="_Toc104892080"/>
      <w:r w:rsidRPr="006124D6">
        <w:rPr>
          <w:rFonts w:ascii="Garamond" w:hAnsi="Garamond"/>
          <w:sz w:val="24"/>
          <w:szCs w:val="24"/>
        </w:rPr>
        <w:t>NSPS Standards</w:t>
      </w:r>
      <w:bookmarkStart w:id="51" w:name="_Toc23569557"/>
      <w:bookmarkEnd w:id="49"/>
      <w:bookmarkEnd w:id="50"/>
    </w:p>
    <w:p w14:paraId="63A94E68" w14:textId="77777777" w:rsidR="0011127E" w:rsidRPr="006124D6" w:rsidRDefault="0011127E">
      <w:pPr>
        <w:rPr>
          <w:rFonts w:ascii="Garamond" w:hAnsi="Garamond"/>
        </w:rPr>
      </w:pPr>
    </w:p>
    <w:p w14:paraId="7131E0F7" w14:textId="4CC7E5C3" w:rsidR="0011127E" w:rsidRPr="006124D6" w:rsidRDefault="0011127E">
      <w:pPr>
        <w:ind w:left="360"/>
        <w:rPr>
          <w:rFonts w:ascii="Garamond" w:hAnsi="Garamond"/>
          <w:color w:val="FF0000"/>
        </w:rPr>
      </w:pPr>
      <w:r w:rsidRPr="006124D6">
        <w:rPr>
          <w:rFonts w:ascii="Garamond" w:hAnsi="Garamond"/>
        </w:rPr>
        <w:t>As of th</w:t>
      </w:r>
      <w:r w:rsidR="00C40E2F" w:rsidRPr="006124D6">
        <w:rPr>
          <w:rFonts w:ascii="Garamond" w:hAnsi="Garamond"/>
        </w:rPr>
        <w:t xml:space="preserve">e </w:t>
      </w:r>
      <w:r w:rsidR="0003089D" w:rsidRPr="006124D6">
        <w:rPr>
          <w:rFonts w:ascii="Garamond" w:hAnsi="Garamond"/>
        </w:rPr>
        <w:t>issuance</w:t>
      </w:r>
      <w:r w:rsidRPr="006124D6">
        <w:rPr>
          <w:rFonts w:ascii="Garamond" w:hAnsi="Garamond"/>
        </w:rPr>
        <w:t xml:space="preserve"> date, </w:t>
      </w:r>
      <w:r w:rsidR="009C3F2D">
        <w:rPr>
          <w:rFonts w:ascii="Garamond" w:hAnsi="Garamond"/>
        </w:rPr>
        <w:t>DEQ</w:t>
      </w:r>
      <w:r w:rsidRPr="006124D6">
        <w:rPr>
          <w:rFonts w:ascii="Garamond" w:hAnsi="Garamond"/>
        </w:rPr>
        <w:t xml:space="preserve"> is unaware of any NSPS Standards that are applicable to the facility other than 40 CFR 60, Subpart Da for the CFB Boiler</w:t>
      </w:r>
      <w:r w:rsidR="00B65D7A" w:rsidRPr="006124D6">
        <w:rPr>
          <w:rFonts w:ascii="Garamond" w:hAnsi="Garamond"/>
        </w:rPr>
        <w:t xml:space="preserve"> and 40 CFR 60, Subpart Y for coal handling</w:t>
      </w:r>
      <w:r w:rsidR="00C102F0" w:rsidRPr="006124D6">
        <w:rPr>
          <w:rFonts w:ascii="Garamond" w:hAnsi="Garamond"/>
        </w:rPr>
        <w:t>.</w:t>
      </w:r>
    </w:p>
    <w:p w14:paraId="2190673B" w14:textId="77777777" w:rsidR="0011127E" w:rsidRPr="006124D6" w:rsidRDefault="0011127E">
      <w:pPr>
        <w:rPr>
          <w:rFonts w:ascii="Garamond" w:hAnsi="Garamond"/>
        </w:rPr>
      </w:pPr>
    </w:p>
    <w:p w14:paraId="3BD513E2" w14:textId="77777777" w:rsidR="0011127E" w:rsidRPr="006124D6" w:rsidRDefault="0011127E">
      <w:pPr>
        <w:pStyle w:val="Heading2"/>
        <w:numPr>
          <w:ilvl w:val="0"/>
          <w:numId w:val="11"/>
        </w:numPr>
        <w:rPr>
          <w:rFonts w:ascii="Garamond" w:hAnsi="Garamond"/>
          <w:sz w:val="24"/>
          <w:szCs w:val="24"/>
        </w:rPr>
      </w:pPr>
      <w:bookmarkStart w:id="52" w:name="_Toc104892081"/>
      <w:r w:rsidRPr="006124D6">
        <w:rPr>
          <w:rFonts w:ascii="Garamond" w:hAnsi="Garamond"/>
          <w:sz w:val="24"/>
          <w:szCs w:val="24"/>
        </w:rPr>
        <w:t>Risk Management Plan</w:t>
      </w:r>
      <w:bookmarkEnd w:id="51"/>
      <w:bookmarkEnd w:id="52"/>
    </w:p>
    <w:p w14:paraId="78688995" w14:textId="77777777" w:rsidR="0011127E" w:rsidRPr="006124D6" w:rsidRDefault="0011127E">
      <w:pPr>
        <w:rPr>
          <w:rFonts w:ascii="Garamond" w:hAnsi="Garamond"/>
          <w:b/>
        </w:rPr>
      </w:pPr>
    </w:p>
    <w:p w14:paraId="5D731A14" w14:textId="65923124" w:rsidR="0011127E" w:rsidRPr="006124D6" w:rsidRDefault="0011127E">
      <w:pPr>
        <w:ind w:left="360"/>
        <w:rPr>
          <w:rFonts w:ascii="Garamond" w:hAnsi="Garamond"/>
        </w:rPr>
      </w:pPr>
      <w:r w:rsidRPr="006124D6">
        <w:rPr>
          <w:rFonts w:ascii="Garamond" w:hAnsi="Garamond"/>
        </w:rPr>
        <w:t>As of th</w:t>
      </w:r>
      <w:r w:rsidR="00C40E2F" w:rsidRPr="006124D6">
        <w:rPr>
          <w:rFonts w:ascii="Garamond" w:hAnsi="Garamond"/>
        </w:rPr>
        <w:t>e</w:t>
      </w:r>
      <w:r w:rsidRPr="006124D6">
        <w:rPr>
          <w:rFonts w:ascii="Garamond" w:hAnsi="Garamond"/>
        </w:rPr>
        <w:t xml:space="preserve"> </w:t>
      </w:r>
      <w:r w:rsidR="0003089D" w:rsidRPr="006124D6">
        <w:rPr>
          <w:rFonts w:ascii="Garamond" w:hAnsi="Garamond"/>
        </w:rPr>
        <w:t>issuance</w:t>
      </w:r>
      <w:r w:rsidR="00C40E2F" w:rsidRPr="006124D6">
        <w:rPr>
          <w:rFonts w:ascii="Garamond" w:hAnsi="Garamond"/>
        </w:rPr>
        <w:t xml:space="preserve"> </w:t>
      </w:r>
      <w:r w:rsidRPr="006124D6">
        <w:rPr>
          <w:rFonts w:ascii="Garamond" w:hAnsi="Garamond"/>
        </w:rPr>
        <w:t>date, this facility does not exceed the minimum threshold quantities for any regulated substance listed in 40 CFR 68.115 for any facility process</w:t>
      </w:r>
      <w:r w:rsidR="00D8745A">
        <w:rPr>
          <w:rFonts w:ascii="Garamond" w:hAnsi="Garamond"/>
        </w:rPr>
        <w:t xml:space="preserve">. </w:t>
      </w:r>
      <w:r w:rsidRPr="006124D6">
        <w:rPr>
          <w:rFonts w:ascii="Garamond" w:hAnsi="Garamond"/>
        </w:rPr>
        <w:t>Consequently, this facility is not required to submit a Risk Management Plan.</w:t>
      </w:r>
    </w:p>
    <w:p w14:paraId="23BC6256" w14:textId="77777777" w:rsidR="0011127E" w:rsidRPr="006124D6" w:rsidRDefault="0011127E">
      <w:pPr>
        <w:ind w:left="360"/>
        <w:rPr>
          <w:rFonts w:ascii="Garamond" w:hAnsi="Garamond"/>
        </w:rPr>
      </w:pPr>
    </w:p>
    <w:p w14:paraId="0D153465" w14:textId="77777777" w:rsidR="0011127E" w:rsidRPr="006124D6" w:rsidRDefault="0011127E">
      <w:pPr>
        <w:ind w:left="360"/>
        <w:rPr>
          <w:rFonts w:ascii="Garamond" w:hAnsi="Garamond"/>
        </w:rPr>
      </w:pPr>
      <w:r w:rsidRPr="006124D6">
        <w:rPr>
          <w:rFonts w:ascii="Garamond" w:hAnsi="Garamond"/>
        </w:rPr>
        <w:t xml:space="preserve">If a facility has more than a threshold quantity of a regulated substance in a process, the facility must comply with 40 CFR 68 requirements </w:t>
      </w:r>
      <w:r w:rsidR="006E2345">
        <w:rPr>
          <w:rFonts w:ascii="Garamond" w:hAnsi="Garamond"/>
        </w:rPr>
        <w:t>within</w:t>
      </w:r>
      <w:r w:rsidRPr="006124D6">
        <w:rPr>
          <w:rFonts w:ascii="Garamond" w:hAnsi="Garamond"/>
        </w:rPr>
        <w:t xml:space="preserve"> </w:t>
      </w:r>
      <w:r w:rsidR="002D356A" w:rsidRPr="006124D6">
        <w:rPr>
          <w:rFonts w:ascii="Garamond" w:hAnsi="Garamond"/>
        </w:rPr>
        <w:t>3</w:t>
      </w:r>
      <w:r w:rsidRPr="006124D6">
        <w:rPr>
          <w:rFonts w:ascii="Garamond" w:hAnsi="Garamond"/>
        </w:rPr>
        <w:t xml:space="preserve"> years after the date on which a regulated substance is first listed under 40 CFR 68.130; or the date on which a regulated substance is first present in more than a threshold quantity in a process, whichever is later.</w:t>
      </w:r>
    </w:p>
    <w:p w14:paraId="0187AE2F" w14:textId="77777777" w:rsidR="00A031E4" w:rsidRPr="006124D6" w:rsidRDefault="00A031E4">
      <w:pPr>
        <w:ind w:left="360"/>
        <w:rPr>
          <w:rFonts w:ascii="Garamond" w:hAnsi="Garamond"/>
        </w:rPr>
      </w:pPr>
    </w:p>
    <w:p w14:paraId="4D31E9FC" w14:textId="77777777" w:rsidR="00A031E4" w:rsidRDefault="00A031E4" w:rsidP="006124D6">
      <w:pPr>
        <w:pStyle w:val="Heading2"/>
        <w:numPr>
          <w:ilvl w:val="0"/>
          <w:numId w:val="11"/>
        </w:numPr>
        <w:rPr>
          <w:rFonts w:ascii="Garamond" w:hAnsi="Garamond"/>
          <w:sz w:val="24"/>
          <w:szCs w:val="24"/>
        </w:rPr>
      </w:pPr>
      <w:bookmarkStart w:id="53" w:name="_Toc104892082"/>
      <w:r w:rsidRPr="006124D6">
        <w:rPr>
          <w:rFonts w:ascii="Garamond" w:hAnsi="Garamond"/>
          <w:sz w:val="24"/>
          <w:szCs w:val="24"/>
        </w:rPr>
        <w:t>CAM Applicability</w:t>
      </w:r>
      <w:bookmarkEnd w:id="53"/>
    </w:p>
    <w:p w14:paraId="0EEA4922" w14:textId="77777777" w:rsidR="0011127E" w:rsidRPr="006124D6" w:rsidRDefault="0011127E" w:rsidP="006124D6">
      <w:pPr>
        <w:rPr>
          <w:rFonts w:ascii="Garamond" w:hAnsi="Garamond"/>
        </w:rPr>
      </w:pPr>
    </w:p>
    <w:p w14:paraId="4D046176" w14:textId="77777777" w:rsidR="006E2345" w:rsidRPr="006124D6" w:rsidRDefault="006E2345" w:rsidP="006E2345">
      <w:pPr>
        <w:widowControl/>
        <w:autoSpaceDE/>
        <w:autoSpaceDN/>
        <w:adjustRightInd/>
        <w:ind w:left="360"/>
        <w:rPr>
          <w:rFonts w:ascii="Garamond" w:hAnsi="Garamond"/>
        </w:rPr>
      </w:pPr>
      <w:r w:rsidRPr="006124D6">
        <w:rPr>
          <w:rFonts w:ascii="Garamond" w:hAnsi="Garamond"/>
        </w:rPr>
        <w:t>An emitting unit located at a Title V facility that meets the following criteria listed in ARM 17.8.1503 is subject to Subchapter 15 and must develop a CAM Plan for that unit:</w:t>
      </w:r>
    </w:p>
    <w:p w14:paraId="3C1BC9FA" w14:textId="77777777" w:rsidR="006E2345" w:rsidRPr="006124D6" w:rsidRDefault="006E2345" w:rsidP="006E2345">
      <w:pPr>
        <w:widowControl/>
        <w:autoSpaceDE/>
        <w:autoSpaceDN/>
        <w:adjustRightInd/>
        <w:ind w:left="360"/>
        <w:rPr>
          <w:rFonts w:ascii="Garamond" w:hAnsi="Garamond"/>
        </w:rPr>
      </w:pPr>
    </w:p>
    <w:p w14:paraId="11205B0F" w14:textId="77777777" w:rsidR="006E2345" w:rsidRPr="006124D6" w:rsidRDefault="006E2345" w:rsidP="006E2345">
      <w:pPr>
        <w:widowControl/>
        <w:numPr>
          <w:ilvl w:val="0"/>
          <w:numId w:val="14"/>
        </w:numPr>
        <w:tabs>
          <w:tab w:val="clear" w:pos="720"/>
          <w:tab w:val="num" w:pos="810"/>
        </w:tabs>
        <w:autoSpaceDE/>
        <w:autoSpaceDN/>
        <w:adjustRightInd/>
        <w:ind w:left="810" w:hanging="270"/>
        <w:rPr>
          <w:rFonts w:ascii="Garamond" w:hAnsi="Garamond"/>
        </w:rPr>
      </w:pPr>
      <w:r w:rsidRPr="006124D6">
        <w:rPr>
          <w:rFonts w:ascii="Garamond" w:hAnsi="Garamond"/>
        </w:rPr>
        <w:t>The emitting unit is subject to an emission limitation or standard for the applicable regulated air pollutant (other than emission limits or standards proposed after November 15, 1990, since these regulations contain specific monitoring requirements,</w:t>
      </w:r>
    </w:p>
    <w:p w14:paraId="2151FCC2" w14:textId="77777777" w:rsidR="006E2345" w:rsidRPr="006124D6" w:rsidRDefault="006E2345" w:rsidP="006E2345">
      <w:pPr>
        <w:widowControl/>
        <w:numPr>
          <w:ilvl w:val="0"/>
          <w:numId w:val="14"/>
        </w:numPr>
        <w:tabs>
          <w:tab w:val="clear" w:pos="720"/>
          <w:tab w:val="num" w:pos="810"/>
        </w:tabs>
        <w:autoSpaceDE/>
        <w:autoSpaceDN/>
        <w:adjustRightInd/>
        <w:ind w:left="810" w:hanging="270"/>
        <w:rPr>
          <w:rFonts w:ascii="Garamond" w:hAnsi="Garamond"/>
        </w:rPr>
      </w:pPr>
      <w:r w:rsidRPr="006124D6">
        <w:rPr>
          <w:rFonts w:ascii="Garamond" w:hAnsi="Garamond"/>
        </w:rPr>
        <w:t>The emitting unit uses a control device to achieve compliance with such limit; and</w:t>
      </w:r>
    </w:p>
    <w:p w14:paraId="615A5BB1" w14:textId="77777777" w:rsidR="006E2345" w:rsidRPr="006124D6" w:rsidRDefault="006E2345" w:rsidP="006E2345">
      <w:pPr>
        <w:widowControl/>
        <w:numPr>
          <w:ilvl w:val="0"/>
          <w:numId w:val="14"/>
        </w:numPr>
        <w:tabs>
          <w:tab w:val="clear" w:pos="720"/>
          <w:tab w:val="num" w:pos="810"/>
        </w:tabs>
        <w:autoSpaceDE/>
        <w:autoSpaceDN/>
        <w:adjustRightInd/>
        <w:ind w:left="810" w:hanging="270"/>
        <w:rPr>
          <w:rFonts w:ascii="Garamond" w:hAnsi="Garamond"/>
        </w:rPr>
      </w:pPr>
      <w:r w:rsidRPr="006124D6">
        <w:rPr>
          <w:rFonts w:ascii="Garamond" w:hAnsi="Garamond"/>
        </w:rPr>
        <w:t>The emitting unit has potential pre-control device emissions of the applicable regulated air pollutant that is greater than major source thresholds.</w:t>
      </w:r>
    </w:p>
    <w:p w14:paraId="627C7E80" w14:textId="77777777" w:rsidR="001C537D" w:rsidRPr="006124D6" w:rsidRDefault="001C537D" w:rsidP="001C537D">
      <w:pPr>
        <w:pStyle w:val="Default"/>
        <w:ind w:left="360"/>
        <w:rPr>
          <w:rFonts w:ascii="Garamond" w:hAnsi="Garamond"/>
        </w:rPr>
      </w:pPr>
    </w:p>
    <w:p w14:paraId="5D0DCF3D" w14:textId="77777777" w:rsidR="006E2345" w:rsidRPr="006124D6" w:rsidRDefault="001C537D" w:rsidP="006124D6">
      <w:pPr>
        <w:ind w:left="360"/>
        <w:rPr>
          <w:rFonts w:ascii="Garamond" w:hAnsi="Garamond"/>
        </w:rPr>
      </w:pPr>
      <w:r w:rsidRPr="006124D6">
        <w:rPr>
          <w:rFonts w:ascii="Garamond" w:hAnsi="Garamond"/>
        </w:rPr>
        <w:t>CELP meets the above criteria for particulate matter (PM) and SO</w:t>
      </w:r>
      <w:r w:rsidRPr="006124D6">
        <w:rPr>
          <w:rFonts w:ascii="Garamond" w:hAnsi="Garamond"/>
          <w:vertAlign w:val="subscript"/>
        </w:rPr>
        <w:t>2</w:t>
      </w:r>
      <w:r w:rsidRPr="006124D6">
        <w:rPr>
          <w:rFonts w:ascii="Garamond" w:hAnsi="Garamond"/>
        </w:rPr>
        <w:t>. Refer to Appendix F and Appendix G of Operating Permit #OP2035-02 for a summary of the CAM plans.</w:t>
      </w:r>
    </w:p>
    <w:p w14:paraId="75D42FB9" w14:textId="77777777" w:rsidR="00414659" w:rsidRDefault="00414659" w:rsidP="006124D6">
      <w:pPr>
        <w:pStyle w:val="Heading2"/>
        <w:numPr>
          <w:ilvl w:val="0"/>
          <w:numId w:val="11"/>
        </w:numPr>
        <w:rPr>
          <w:rFonts w:ascii="Garamond" w:hAnsi="Garamond"/>
          <w:sz w:val="24"/>
          <w:szCs w:val="24"/>
        </w:rPr>
      </w:pPr>
      <w:bookmarkStart w:id="54" w:name="_Toc104892083"/>
      <w:r w:rsidRPr="006124D6">
        <w:rPr>
          <w:rFonts w:ascii="Garamond" w:hAnsi="Garamond"/>
          <w:sz w:val="24"/>
          <w:szCs w:val="24"/>
        </w:rPr>
        <w:lastRenderedPageBreak/>
        <w:t>PSD and Title V Greenhouse Gas Tailoring Rule</w:t>
      </w:r>
      <w:bookmarkEnd w:id="54"/>
    </w:p>
    <w:p w14:paraId="6837C0DE" w14:textId="77777777" w:rsidR="00414659" w:rsidRDefault="00414659" w:rsidP="006124D6"/>
    <w:p w14:paraId="3DEEFDCF" w14:textId="1F088B28" w:rsidR="0083326E" w:rsidRPr="00F82CFD" w:rsidRDefault="0083326E" w:rsidP="0083326E">
      <w:pPr>
        <w:ind w:left="360"/>
        <w:rPr>
          <w:rFonts w:ascii="Garamond" w:hAnsi="Garamond"/>
        </w:rPr>
      </w:pPr>
      <w:r w:rsidRPr="00F82CFD">
        <w:rPr>
          <w:rFonts w:ascii="Garamond" w:hAnsi="Garamond"/>
        </w:rPr>
        <w:t>On May 7, 2010, EPA published the “light duty vehicle rule” (Docket # EPA-HQ-OAR- 2009-0472, 75 FR 25324) controlling greenhouse gas (GHG) emissions from mobile sources, whereby GHG became a pollutant subject to regulation under the Federal and Montana Clean Air Act(s)</w:t>
      </w:r>
      <w:r w:rsidR="00D8745A">
        <w:rPr>
          <w:rFonts w:ascii="Garamond" w:hAnsi="Garamond"/>
        </w:rPr>
        <w:t xml:space="preserve">. </w:t>
      </w:r>
      <w:r w:rsidRPr="00F82CFD">
        <w:rPr>
          <w:rFonts w:ascii="Garamond" w:hAnsi="Garamond"/>
        </w:rPr>
        <w:t>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w:t>
      </w:r>
      <w:r w:rsidR="00D8745A">
        <w:rPr>
          <w:rFonts w:ascii="Garamond" w:hAnsi="Garamond"/>
        </w:rPr>
        <w:t xml:space="preserve">. </w:t>
      </w:r>
    </w:p>
    <w:p w14:paraId="148BBD07" w14:textId="77777777" w:rsidR="0083326E" w:rsidRPr="00F82CFD" w:rsidRDefault="0083326E" w:rsidP="0083326E">
      <w:pPr>
        <w:ind w:left="360"/>
        <w:rPr>
          <w:rFonts w:ascii="Garamond" w:hAnsi="Garamond"/>
        </w:rPr>
      </w:pPr>
    </w:p>
    <w:p w14:paraId="4FDF6C51" w14:textId="3BDCCE79" w:rsidR="0083326E" w:rsidRPr="00F82CFD" w:rsidRDefault="0083326E" w:rsidP="0083326E">
      <w:pPr>
        <w:ind w:left="360"/>
        <w:rPr>
          <w:rFonts w:ascii="Garamond" w:hAnsi="Garamond"/>
        </w:rPr>
      </w:pPr>
      <w:r w:rsidRPr="00F82CFD">
        <w:rPr>
          <w:rFonts w:ascii="Garamond" w:hAnsi="Garamond"/>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F82CFD">
        <w:rPr>
          <w:rFonts w:ascii="Garamond" w:hAnsi="Garamond"/>
          <w:vertAlign w:val="subscript"/>
        </w:rPr>
        <w:t>2</w:t>
      </w:r>
      <w:r w:rsidRPr="00F82CFD">
        <w:rPr>
          <w:rFonts w:ascii="Garamond" w:hAnsi="Garamond"/>
        </w:rPr>
        <w:t>e) and greater than 0 TPY on a mass basis</w:t>
      </w:r>
      <w:r w:rsidR="00D8745A">
        <w:rPr>
          <w:rFonts w:ascii="Garamond" w:hAnsi="Garamond"/>
        </w:rPr>
        <w:t xml:space="preserve">. </w:t>
      </w:r>
      <w:r w:rsidRPr="00F82CFD">
        <w:rPr>
          <w:rFonts w:ascii="Garamond" w:hAnsi="Garamond"/>
        </w:rPr>
        <w:t>Similarly, if such action were taken, any resulting requirements would be subject to inclusion in the Title V Operating Permit</w:t>
      </w:r>
      <w:r w:rsidR="00D8745A">
        <w:rPr>
          <w:rFonts w:ascii="Garamond" w:hAnsi="Garamond"/>
        </w:rPr>
        <w:t xml:space="preserve">. </w:t>
      </w:r>
      <w:r w:rsidRPr="00F82CFD">
        <w:rPr>
          <w:rFonts w:ascii="Garamond" w:hAnsi="Garamond"/>
        </w:rPr>
        <w:t>Facilities which hold Title V permits due to criteria pollutant emissions over 100 TPY would need to incorporate any GHG applicable requirements into their operating permits for any Title V action that would have a final decision occurring on or after January 2, 2011</w:t>
      </w:r>
      <w:r w:rsidR="00D8745A">
        <w:rPr>
          <w:rFonts w:ascii="Garamond" w:hAnsi="Garamond"/>
        </w:rPr>
        <w:t xml:space="preserve">. </w:t>
      </w:r>
    </w:p>
    <w:p w14:paraId="494B30CC" w14:textId="77777777" w:rsidR="0083326E" w:rsidRPr="00F82CFD" w:rsidRDefault="0083326E" w:rsidP="0083326E">
      <w:pPr>
        <w:ind w:left="360"/>
        <w:rPr>
          <w:rFonts w:ascii="Garamond" w:hAnsi="Garamond"/>
        </w:rPr>
      </w:pPr>
    </w:p>
    <w:p w14:paraId="649BE5FD" w14:textId="42DACB09" w:rsidR="0083326E" w:rsidRPr="00913908" w:rsidRDefault="0083326E" w:rsidP="0083326E">
      <w:pPr>
        <w:ind w:left="360"/>
        <w:rPr>
          <w:rFonts w:ascii="Garamond" w:hAnsi="Garamond"/>
        </w:rPr>
      </w:pPr>
      <w:r w:rsidRPr="00F82CFD">
        <w:rPr>
          <w:rFonts w:ascii="Garamond" w:hAnsi="Garamond"/>
        </w:rPr>
        <w:t>Starting on July 1, 2011, PSD permitting requirements would be triggered for modifications that were determined to be major under PSD based on GHG emissions alone, even if no other pollutant triggered a major modification</w:t>
      </w:r>
      <w:r w:rsidR="00D8745A">
        <w:rPr>
          <w:rFonts w:ascii="Garamond" w:hAnsi="Garamond"/>
        </w:rPr>
        <w:t xml:space="preserve">. </w:t>
      </w:r>
      <w:r w:rsidRPr="00F82CFD">
        <w:rPr>
          <w:rFonts w:ascii="Garamond" w:hAnsi="Garamond"/>
        </w:rPr>
        <w:t>In addition, sources that are not considered PSD major sources based on criteria pollutant emissions would become subject to PSD review if their facility-wide potential emissions equaled or exceeded 100,000 TPY of CO</w:t>
      </w:r>
      <w:r w:rsidRPr="00F82CFD">
        <w:rPr>
          <w:rFonts w:ascii="Garamond" w:hAnsi="Garamond"/>
          <w:vertAlign w:val="subscript"/>
        </w:rPr>
        <w:t>2</w:t>
      </w:r>
      <w:r w:rsidRPr="00F82CFD">
        <w:rPr>
          <w:rFonts w:ascii="Garamond" w:hAnsi="Garamond"/>
        </w:rPr>
        <w:t>e and 100 or 250 TPY of GHG on a mass basis depending on their listed status in ARM 17.8.801(22) and they undertook a permitting action with increases of 75,000 TPY or more of CO</w:t>
      </w:r>
      <w:r w:rsidRPr="00F82CFD">
        <w:rPr>
          <w:rFonts w:ascii="Garamond" w:hAnsi="Garamond"/>
          <w:vertAlign w:val="subscript"/>
        </w:rPr>
        <w:t>2</w:t>
      </w:r>
      <w:r w:rsidRPr="00F82CFD">
        <w:rPr>
          <w:rFonts w:ascii="Garamond" w:hAnsi="Garamond"/>
        </w:rPr>
        <w:t>e and greater than 0 TPY of GHG on a mass basis. With respect to Title V, sources not currently holding a Title V permit that have potential facility-wide emissions equal to or exceeding 100,000 TPY of CO</w:t>
      </w:r>
      <w:r w:rsidRPr="00F82CFD">
        <w:rPr>
          <w:rFonts w:ascii="Garamond" w:hAnsi="Garamond"/>
          <w:vertAlign w:val="subscript"/>
        </w:rPr>
        <w:t>2</w:t>
      </w:r>
      <w:r w:rsidRPr="00F82CFD">
        <w:rPr>
          <w:rFonts w:ascii="Garamond" w:hAnsi="Garamond"/>
        </w:rPr>
        <w:t xml:space="preserve">e and 100 TPY of GHG on a mass basis would be required </w:t>
      </w:r>
      <w:r w:rsidRPr="00913908">
        <w:rPr>
          <w:rFonts w:ascii="Garamond" w:hAnsi="Garamond"/>
        </w:rPr>
        <w:t>to obtain a Title V Operating Permit.</w:t>
      </w:r>
    </w:p>
    <w:p w14:paraId="4BD2F99E" w14:textId="77777777" w:rsidR="0083326E" w:rsidRPr="00913908" w:rsidRDefault="0083326E" w:rsidP="0083326E">
      <w:pPr>
        <w:ind w:left="360"/>
        <w:rPr>
          <w:rFonts w:ascii="Garamond" w:hAnsi="Garamond"/>
        </w:rPr>
      </w:pPr>
    </w:p>
    <w:p w14:paraId="77BF1303" w14:textId="04461B6D" w:rsidR="0083326E" w:rsidRPr="00F82CFD" w:rsidRDefault="0083326E" w:rsidP="0083326E">
      <w:pPr>
        <w:pStyle w:val="Default"/>
        <w:ind w:left="360"/>
        <w:rPr>
          <w:rFonts w:ascii="Garamond" w:hAnsi="Garamond"/>
        </w:rPr>
      </w:pPr>
      <w:r w:rsidRPr="00913908">
        <w:rPr>
          <w:rFonts w:ascii="Garamond" w:hAnsi="Garamond"/>
        </w:rPr>
        <w:t>Based on information provided by CELP</w:t>
      </w:r>
      <w:r w:rsidR="00913908" w:rsidRPr="00913908">
        <w:rPr>
          <w:rFonts w:ascii="Garamond" w:hAnsi="Garamond"/>
        </w:rPr>
        <w:t>, CELP</w:t>
      </w:r>
      <w:r w:rsidRPr="00913908">
        <w:rPr>
          <w:rFonts w:ascii="Garamond" w:hAnsi="Garamond"/>
        </w:rPr>
        <w:t xml:space="preserve">’s potential emissions </w:t>
      </w:r>
      <w:r w:rsidR="00913908" w:rsidRPr="006124D6">
        <w:rPr>
          <w:rFonts w:ascii="Garamond" w:hAnsi="Garamond"/>
        </w:rPr>
        <w:t>exceed</w:t>
      </w:r>
      <w:r w:rsidRPr="00913908">
        <w:rPr>
          <w:rFonts w:ascii="Garamond" w:hAnsi="Garamond"/>
        </w:rPr>
        <w:t xml:space="preserve"> the GHG major source threshold of 100,000 TPY of CO</w:t>
      </w:r>
      <w:r w:rsidRPr="006124D6">
        <w:rPr>
          <w:rFonts w:ascii="Garamond" w:hAnsi="Garamond"/>
          <w:vertAlign w:val="subscript"/>
        </w:rPr>
        <w:t>2</w:t>
      </w:r>
      <w:r w:rsidRPr="00913908">
        <w:rPr>
          <w:rFonts w:ascii="Garamond" w:hAnsi="Garamond"/>
        </w:rPr>
        <w:t>e for both Title V and PSD under</w:t>
      </w:r>
      <w:r w:rsidRPr="00F82CFD">
        <w:rPr>
          <w:rFonts w:ascii="Garamond" w:hAnsi="Garamond"/>
        </w:rPr>
        <w:t xml:space="preserve"> the Tailoring Rule</w:t>
      </w:r>
      <w:r w:rsidR="00D8745A">
        <w:rPr>
          <w:rFonts w:ascii="Garamond" w:hAnsi="Garamond"/>
        </w:rPr>
        <w:t xml:space="preserve">. </w:t>
      </w:r>
    </w:p>
    <w:p w14:paraId="78495A84" w14:textId="77777777" w:rsidR="0083326E" w:rsidRPr="00F82CFD" w:rsidRDefault="0083326E" w:rsidP="0083326E">
      <w:pPr>
        <w:ind w:left="360"/>
        <w:rPr>
          <w:rFonts w:ascii="Garamond" w:hAnsi="Garamond"/>
          <w:color w:val="000000"/>
        </w:rPr>
      </w:pPr>
    </w:p>
    <w:p w14:paraId="312260AE" w14:textId="02E14E95" w:rsidR="0083326E" w:rsidRPr="00F82CFD" w:rsidRDefault="0083326E" w:rsidP="0083326E">
      <w:pPr>
        <w:ind w:left="360"/>
        <w:rPr>
          <w:rFonts w:ascii="Garamond" w:hAnsi="Garamond"/>
        </w:rPr>
      </w:pPr>
      <w:r w:rsidRPr="00F82CFD">
        <w:rPr>
          <w:rFonts w:ascii="Garamond" w:hAnsi="Garamond"/>
        </w:rPr>
        <w:t xml:space="preserve">The Supreme Court of the United States (SCOTUS), in its </w:t>
      </w:r>
      <w:r w:rsidRPr="00F82CFD">
        <w:rPr>
          <w:rFonts w:ascii="Garamond" w:hAnsi="Garamond"/>
          <w:i/>
          <w:iCs/>
        </w:rPr>
        <w:t>Utility Air Regulatory Group v. EPA</w:t>
      </w:r>
      <w:r w:rsidRPr="00F82CFD">
        <w:rPr>
          <w:rFonts w:ascii="Garamond" w:hAnsi="Garamond"/>
        </w:rPr>
        <w:t xml:space="preserve"> decision on June 23, 2014, ruled that the Clean Air Act neither compels nor permits EPA to require a source to obtain a PSD or Title V permit on the sole basis of its potential emissions of GHG</w:t>
      </w:r>
      <w:r w:rsidR="00D8745A">
        <w:rPr>
          <w:rFonts w:ascii="Garamond" w:hAnsi="Garamond"/>
        </w:rPr>
        <w:t xml:space="preserve">. </w:t>
      </w:r>
      <w:r w:rsidRPr="00F82CFD">
        <w:rPr>
          <w:rFonts w:ascii="Garamond" w:hAnsi="Garamond"/>
        </w:rPr>
        <w:t>SCOTUS also ruled that EPA lacked the authority to tailor the Clean Air Act’s unambiguous numerical thresholds of 100 or 250 TPY to accommodate a CO</w:t>
      </w:r>
      <w:r w:rsidRPr="00F82CFD">
        <w:rPr>
          <w:rFonts w:ascii="Garamond" w:hAnsi="Garamond"/>
          <w:vertAlign w:val="subscript"/>
        </w:rPr>
        <w:t>2</w:t>
      </w:r>
      <w:r w:rsidRPr="00F82CFD">
        <w:rPr>
          <w:rFonts w:ascii="Garamond" w:hAnsi="Garamond"/>
        </w:rPr>
        <w:t>e threshold of 100,000 TPY</w:t>
      </w:r>
      <w:r w:rsidR="00D8745A">
        <w:rPr>
          <w:rFonts w:ascii="Garamond" w:hAnsi="Garamond"/>
        </w:rPr>
        <w:t xml:space="preserve">. </w:t>
      </w:r>
      <w:r w:rsidRPr="00F82CFD">
        <w:rPr>
          <w:rFonts w:ascii="Garamond" w:hAnsi="Garamond"/>
        </w:rPr>
        <w:t>SCOTUS upheld that EPA reasonably interpreted the Clean Air Act to require sources that would need PSD permits based on their emission of conventional pollutants to comply with BACT for GHG</w:t>
      </w:r>
      <w:r w:rsidR="00D8745A">
        <w:rPr>
          <w:rFonts w:ascii="Garamond" w:hAnsi="Garamond"/>
        </w:rPr>
        <w:t xml:space="preserve">. </w:t>
      </w:r>
      <w:r w:rsidRPr="00F82CFD">
        <w:rPr>
          <w:rFonts w:ascii="Garamond" w:hAnsi="Garamond"/>
        </w:rPr>
        <w:t>As such, the Tailoring Rule has been rendered invalid and sources cannot become subject to PSD or Title V regulations based on GHG emissions alone</w:t>
      </w:r>
      <w:r w:rsidR="00D8745A">
        <w:rPr>
          <w:rFonts w:ascii="Garamond" w:hAnsi="Garamond"/>
        </w:rPr>
        <w:t xml:space="preserve">. </w:t>
      </w:r>
      <w:r w:rsidRPr="00F82CFD">
        <w:rPr>
          <w:rFonts w:ascii="Garamond" w:hAnsi="Garamond"/>
        </w:rPr>
        <w:t>Sources that must undergo PSD permitting due to pollutant emissions other than PSD may still be required to comply with BACT for GHG emissions.</w:t>
      </w:r>
    </w:p>
    <w:p w14:paraId="0EE3CE41" w14:textId="77777777" w:rsidR="00414659" w:rsidRPr="00141CB1" w:rsidRDefault="00414659" w:rsidP="006124D6"/>
    <w:sectPr w:rsidR="00414659" w:rsidRPr="00141CB1" w:rsidSect="006124D6">
      <w:endnotePr>
        <w:numFmt w:val="decimal"/>
      </w:endnotePr>
      <w:pgSz w:w="12240" w:h="15840" w:code="1"/>
      <w:pgMar w:top="1152" w:right="1440" w:bottom="1166"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278B" w14:textId="77777777" w:rsidR="00657D5B" w:rsidRDefault="00657D5B">
      <w:r>
        <w:separator/>
      </w:r>
    </w:p>
  </w:endnote>
  <w:endnote w:type="continuationSeparator" w:id="0">
    <w:p w14:paraId="335CC81B" w14:textId="77777777" w:rsidR="00657D5B" w:rsidRDefault="0065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8F2C" w14:textId="43C47265" w:rsidR="00625E00" w:rsidRDefault="00625E00" w:rsidP="006124D6">
    <w:pPr>
      <w:tabs>
        <w:tab w:val="left" w:pos="-1440"/>
        <w:tab w:val="center" w:pos="4680"/>
        <w:tab w:val="right" w:pos="9360"/>
      </w:tabs>
      <w:ind w:left="7110" w:hanging="7470"/>
      <w:rPr>
        <w:rFonts w:ascii="Garamond" w:hAnsi="Garamond"/>
        <w:sz w:val="18"/>
        <w:szCs w:val="18"/>
      </w:rPr>
    </w:pPr>
    <w:r w:rsidRPr="006124D6">
      <w:rPr>
        <w:rFonts w:ascii="Garamond" w:hAnsi="Garamond"/>
        <w:sz w:val="18"/>
        <w:szCs w:val="18"/>
      </w:rPr>
      <w:t>TRD2035-0</w:t>
    </w:r>
    <w:r w:rsidR="00C54C0E">
      <w:rPr>
        <w:rFonts w:ascii="Garamond" w:hAnsi="Garamond"/>
        <w:sz w:val="18"/>
        <w:szCs w:val="18"/>
      </w:rPr>
      <w:t>6</w:t>
    </w:r>
    <w:r w:rsidRPr="006124D6">
      <w:rPr>
        <w:rFonts w:ascii="Garamond" w:hAnsi="Garamond"/>
        <w:sz w:val="18"/>
        <w:szCs w:val="18"/>
      </w:rPr>
      <w:tab/>
    </w:r>
    <w:r w:rsidRPr="006124D6">
      <w:rPr>
        <w:rStyle w:val="PageNumber"/>
        <w:rFonts w:ascii="Garamond" w:hAnsi="Garamond"/>
        <w:sz w:val="18"/>
        <w:szCs w:val="18"/>
      </w:rPr>
      <w:fldChar w:fldCharType="begin"/>
    </w:r>
    <w:r w:rsidRPr="006124D6">
      <w:rPr>
        <w:rStyle w:val="PageNumber"/>
        <w:rFonts w:ascii="Garamond" w:hAnsi="Garamond"/>
        <w:sz w:val="18"/>
        <w:szCs w:val="18"/>
      </w:rPr>
      <w:instrText xml:space="preserve"> PAGE </w:instrText>
    </w:r>
    <w:r w:rsidRPr="006124D6">
      <w:rPr>
        <w:rStyle w:val="PageNumber"/>
        <w:rFonts w:ascii="Garamond" w:hAnsi="Garamond"/>
        <w:sz w:val="18"/>
        <w:szCs w:val="18"/>
      </w:rPr>
      <w:fldChar w:fldCharType="separate"/>
    </w:r>
    <w:r w:rsidR="008508DE">
      <w:rPr>
        <w:rStyle w:val="PageNumber"/>
        <w:rFonts w:ascii="Garamond" w:hAnsi="Garamond"/>
        <w:noProof/>
        <w:sz w:val="18"/>
        <w:szCs w:val="18"/>
      </w:rPr>
      <w:t>1</w:t>
    </w:r>
    <w:r w:rsidRPr="006124D6">
      <w:rPr>
        <w:rStyle w:val="PageNumber"/>
        <w:rFonts w:ascii="Garamond" w:hAnsi="Garamond"/>
        <w:sz w:val="18"/>
        <w:szCs w:val="18"/>
      </w:rPr>
      <w:fldChar w:fldCharType="end"/>
    </w:r>
    <w:r w:rsidRPr="006124D6">
      <w:rPr>
        <w:rFonts w:ascii="Garamond" w:hAnsi="Garamond"/>
        <w:sz w:val="18"/>
        <w:szCs w:val="18"/>
      </w:rPr>
      <w:tab/>
    </w:r>
    <w:r w:rsidR="007170AE">
      <w:rPr>
        <w:rFonts w:ascii="Garamond" w:hAnsi="Garamond"/>
        <w:sz w:val="18"/>
        <w:szCs w:val="18"/>
      </w:rPr>
      <w:tab/>
    </w:r>
    <w:r w:rsidR="00C54C0E">
      <w:rPr>
        <w:rFonts w:ascii="Garamond" w:hAnsi="Garamond"/>
        <w:sz w:val="18"/>
        <w:szCs w:val="18"/>
      </w:rPr>
      <w:t>Draft</w:t>
    </w:r>
    <w:r w:rsidR="00AA7C42">
      <w:rPr>
        <w:rFonts w:ascii="Garamond" w:hAnsi="Garamond"/>
        <w:sz w:val="18"/>
        <w:szCs w:val="18"/>
      </w:rPr>
      <w:t xml:space="preserve">: </w:t>
    </w:r>
    <w:r w:rsidR="00F86E6C">
      <w:rPr>
        <w:rFonts w:ascii="Garamond" w:hAnsi="Garamond"/>
        <w:sz w:val="18"/>
        <w:szCs w:val="18"/>
      </w:rPr>
      <w:t>0</w:t>
    </w:r>
    <w:r w:rsidR="001A0F57">
      <w:rPr>
        <w:rFonts w:ascii="Garamond" w:hAnsi="Garamond"/>
        <w:sz w:val="18"/>
        <w:szCs w:val="18"/>
      </w:rPr>
      <w:t>5/</w:t>
    </w:r>
    <w:r w:rsidR="00D56A7C">
      <w:rPr>
        <w:rFonts w:ascii="Garamond" w:hAnsi="Garamond"/>
        <w:sz w:val="18"/>
        <w:szCs w:val="18"/>
      </w:rPr>
      <w:t>2</w:t>
    </w:r>
    <w:r w:rsidR="002C7AA1">
      <w:rPr>
        <w:rFonts w:ascii="Garamond" w:hAnsi="Garamond"/>
        <w:sz w:val="18"/>
        <w:szCs w:val="18"/>
      </w:rPr>
      <w:t>8</w:t>
    </w:r>
    <w:r w:rsidRPr="003F0BEF">
      <w:rPr>
        <w:rFonts w:ascii="Garamond" w:hAnsi="Garamond"/>
        <w:sz w:val="18"/>
        <w:szCs w:val="18"/>
      </w:rPr>
      <w:t>/20</w:t>
    </w:r>
    <w:r>
      <w:rPr>
        <w:rFonts w:ascii="Garamond" w:hAnsi="Garamond"/>
        <w:sz w:val="18"/>
        <w:szCs w:val="18"/>
      </w:rPr>
      <w:t>2</w:t>
    </w:r>
    <w:r w:rsidR="001A0F57">
      <w:rPr>
        <w:rFonts w:ascii="Garamond" w:hAnsi="Garamond"/>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8879" w14:textId="77777777" w:rsidR="00657D5B" w:rsidRDefault="00657D5B">
      <w:r>
        <w:separator/>
      </w:r>
    </w:p>
  </w:footnote>
  <w:footnote w:type="continuationSeparator" w:id="0">
    <w:p w14:paraId="2B9921E1" w14:textId="77777777" w:rsidR="00657D5B" w:rsidRDefault="00657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EB1"/>
    <w:multiLevelType w:val="hybridMultilevel"/>
    <w:tmpl w:val="DB000920"/>
    <w:lvl w:ilvl="0" w:tplc="4B8A4112">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54F65"/>
    <w:multiLevelType w:val="multilevel"/>
    <w:tmpl w:val="C3A29AD0"/>
    <w:lvl w:ilvl="0">
      <w:start w:val="1"/>
      <w:numFmt w:val="upperRoman"/>
      <w:suff w:val="space"/>
      <w:lvlText w:val="SECTION %1."/>
      <w:lvlJc w:val="left"/>
      <w:pPr>
        <w:ind w:left="0" w:firstLine="0"/>
      </w:pPr>
      <w:rPr>
        <w:rFonts w:ascii="Times New Roman Bold" w:hAnsi="Times New Roman Bold" w:hint="default"/>
        <w:b/>
        <w:i w:val="0"/>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3AC694F"/>
    <w:multiLevelType w:val="hybridMultilevel"/>
    <w:tmpl w:val="D8DE34FC"/>
    <w:lvl w:ilvl="0" w:tplc="4360373A">
      <w:start w:val="6"/>
      <w:numFmt w:val="upperLetter"/>
      <w:lvlText w:val="%1."/>
      <w:lvlJc w:val="left"/>
      <w:pPr>
        <w:tabs>
          <w:tab w:val="num" w:pos="360"/>
        </w:tabs>
        <w:ind w:left="360" w:hanging="360"/>
      </w:pPr>
      <w:rPr>
        <w:rFonts w:ascii="Times New Roman Bold" w:hAnsi="Times New Roman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21903"/>
    <w:multiLevelType w:val="hybridMultilevel"/>
    <w:tmpl w:val="3224E6B4"/>
    <w:lvl w:ilvl="0" w:tplc="59A45F8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C8475A"/>
    <w:multiLevelType w:val="hybridMultilevel"/>
    <w:tmpl w:val="BEEE24EE"/>
    <w:lvl w:ilvl="0" w:tplc="C87A69B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CE0BB7"/>
    <w:multiLevelType w:val="multilevel"/>
    <w:tmpl w:val="AFE2E6DC"/>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2B13BAA"/>
    <w:multiLevelType w:val="multilevel"/>
    <w:tmpl w:val="248460C6"/>
    <w:lvl w:ilvl="0">
      <w:start w:val="1"/>
      <w:numFmt w:val="upperLetter"/>
      <w:lvlText w:val="%1."/>
      <w:lvlJc w:val="left"/>
      <w:pPr>
        <w:tabs>
          <w:tab w:val="num" w:pos="360"/>
        </w:tabs>
        <w:ind w:left="360" w:hanging="360"/>
      </w:pPr>
      <w:rPr>
        <w:rFonts w:ascii="Times New Roman Bold" w:hAnsi="Times New Roman Bold"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744360"/>
    <w:multiLevelType w:val="hybridMultilevel"/>
    <w:tmpl w:val="C4B85B6E"/>
    <w:lvl w:ilvl="0" w:tplc="2D405AB8">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6740CAE"/>
    <w:multiLevelType w:val="hybridMultilevel"/>
    <w:tmpl w:val="34004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127F04"/>
    <w:multiLevelType w:val="hybridMultilevel"/>
    <w:tmpl w:val="07F82386"/>
    <w:lvl w:ilvl="0" w:tplc="F6F2248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11" w15:restartNumberingAfterBreak="0">
    <w:nsid w:val="53A706A4"/>
    <w:multiLevelType w:val="hybridMultilevel"/>
    <w:tmpl w:val="EB2C75A8"/>
    <w:lvl w:ilvl="0" w:tplc="1C52D54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9DB56FB"/>
    <w:multiLevelType w:val="hybridMultilevel"/>
    <w:tmpl w:val="49BC42DC"/>
    <w:lvl w:ilvl="0" w:tplc="240AFDB4">
      <w:start w:val="5"/>
      <w:numFmt w:val="upperLetter"/>
      <w:lvlText w:val="%1."/>
      <w:lvlJc w:val="left"/>
      <w:pPr>
        <w:tabs>
          <w:tab w:val="num" w:pos="360"/>
        </w:tabs>
        <w:ind w:left="360" w:hanging="360"/>
      </w:pPr>
      <w:rPr>
        <w:rFonts w:ascii="Times New Roman Bold" w:hAnsi="Times New Roman Bold"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EA0983"/>
    <w:multiLevelType w:val="hybridMultilevel"/>
    <w:tmpl w:val="349EF5E0"/>
    <w:lvl w:ilvl="0" w:tplc="E3107B78">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03424356">
    <w:abstractNumId w:val="12"/>
  </w:num>
  <w:num w:numId="2" w16cid:durableId="1009798053">
    <w:abstractNumId w:val="6"/>
  </w:num>
  <w:num w:numId="3" w16cid:durableId="1669551450">
    <w:abstractNumId w:val="3"/>
  </w:num>
  <w:num w:numId="4" w16cid:durableId="474297466">
    <w:abstractNumId w:val="1"/>
  </w:num>
  <w:num w:numId="5" w16cid:durableId="310865054">
    <w:abstractNumId w:val="7"/>
  </w:num>
  <w:num w:numId="6" w16cid:durableId="569535763">
    <w:abstractNumId w:val="5"/>
  </w:num>
  <w:num w:numId="7" w16cid:durableId="221601047">
    <w:abstractNumId w:val="11"/>
  </w:num>
  <w:num w:numId="8" w16cid:durableId="673652157">
    <w:abstractNumId w:val="4"/>
  </w:num>
  <w:num w:numId="9" w16cid:durableId="855850498">
    <w:abstractNumId w:val="13"/>
  </w:num>
  <w:num w:numId="10" w16cid:durableId="1546674306">
    <w:abstractNumId w:val="0"/>
  </w:num>
  <w:num w:numId="11" w16cid:durableId="1751848353">
    <w:abstractNumId w:val="12"/>
    <w:lvlOverride w:ilvl="0">
      <w:startOverride w:val="1"/>
    </w:lvlOverride>
  </w:num>
  <w:num w:numId="12" w16cid:durableId="1596523799">
    <w:abstractNumId w:val="10"/>
  </w:num>
  <w:num w:numId="13" w16cid:durableId="228351709">
    <w:abstractNumId w:val="8"/>
  </w:num>
  <w:num w:numId="14" w16cid:durableId="1942300479">
    <w:abstractNumId w:val="9"/>
  </w:num>
  <w:num w:numId="15" w16cid:durableId="379473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NgjAaJ5wg8o/LTBJcjlP1J9S4d+Bz6qSrnc+KpXIrLY06W9yoh0H3BOIPdFHopjJMXtSx00PoJF1YfQSZVmhg==" w:salt="NJ7tar1dduiSE0wTXZrfU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17"/>
    <w:rsid w:val="0000543F"/>
    <w:rsid w:val="000209CC"/>
    <w:rsid w:val="0003089D"/>
    <w:rsid w:val="00036D98"/>
    <w:rsid w:val="00044BE6"/>
    <w:rsid w:val="00047130"/>
    <w:rsid w:val="000516FC"/>
    <w:rsid w:val="00051DD5"/>
    <w:rsid w:val="00065535"/>
    <w:rsid w:val="000655A0"/>
    <w:rsid w:val="00071345"/>
    <w:rsid w:val="00072726"/>
    <w:rsid w:val="00075D59"/>
    <w:rsid w:val="00082032"/>
    <w:rsid w:val="000948EA"/>
    <w:rsid w:val="00096594"/>
    <w:rsid w:val="000A4FAB"/>
    <w:rsid w:val="000A5713"/>
    <w:rsid w:val="000D4F9A"/>
    <w:rsid w:val="000E3CE2"/>
    <w:rsid w:val="000F02EC"/>
    <w:rsid w:val="000F24D6"/>
    <w:rsid w:val="000F75E9"/>
    <w:rsid w:val="0010072D"/>
    <w:rsid w:val="001024BF"/>
    <w:rsid w:val="001051B7"/>
    <w:rsid w:val="0011127E"/>
    <w:rsid w:val="00132113"/>
    <w:rsid w:val="00132E9F"/>
    <w:rsid w:val="00141CB1"/>
    <w:rsid w:val="00142943"/>
    <w:rsid w:val="00167877"/>
    <w:rsid w:val="00167BA8"/>
    <w:rsid w:val="001706D9"/>
    <w:rsid w:val="00174368"/>
    <w:rsid w:val="00180803"/>
    <w:rsid w:val="00185C72"/>
    <w:rsid w:val="001907A4"/>
    <w:rsid w:val="00197111"/>
    <w:rsid w:val="001A0F57"/>
    <w:rsid w:val="001B1C52"/>
    <w:rsid w:val="001B687E"/>
    <w:rsid w:val="001C28DF"/>
    <w:rsid w:val="001C537D"/>
    <w:rsid w:val="001C5DB7"/>
    <w:rsid w:val="001D69FC"/>
    <w:rsid w:val="002014A6"/>
    <w:rsid w:val="00203D65"/>
    <w:rsid w:val="002101D9"/>
    <w:rsid w:val="00222DF7"/>
    <w:rsid w:val="00234BDF"/>
    <w:rsid w:val="002358F2"/>
    <w:rsid w:val="00236537"/>
    <w:rsid w:val="002452E2"/>
    <w:rsid w:val="00252DC7"/>
    <w:rsid w:val="00255A04"/>
    <w:rsid w:val="00256917"/>
    <w:rsid w:val="00265C59"/>
    <w:rsid w:val="002678AE"/>
    <w:rsid w:val="002722C0"/>
    <w:rsid w:val="00275488"/>
    <w:rsid w:val="002844EA"/>
    <w:rsid w:val="0029636F"/>
    <w:rsid w:val="002B0E87"/>
    <w:rsid w:val="002B195C"/>
    <w:rsid w:val="002C5618"/>
    <w:rsid w:val="002C64C4"/>
    <w:rsid w:val="002C7AA1"/>
    <w:rsid w:val="002D228D"/>
    <w:rsid w:val="002D356A"/>
    <w:rsid w:val="002E74E6"/>
    <w:rsid w:val="002F398B"/>
    <w:rsid w:val="002F75C5"/>
    <w:rsid w:val="00302E29"/>
    <w:rsid w:val="00304D75"/>
    <w:rsid w:val="00306D40"/>
    <w:rsid w:val="00317DC1"/>
    <w:rsid w:val="003215FE"/>
    <w:rsid w:val="00371BCC"/>
    <w:rsid w:val="00371FBD"/>
    <w:rsid w:val="0037470C"/>
    <w:rsid w:val="003749EA"/>
    <w:rsid w:val="0038122A"/>
    <w:rsid w:val="00384F77"/>
    <w:rsid w:val="00392F8B"/>
    <w:rsid w:val="00393BC1"/>
    <w:rsid w:val="0039758E"/>
    <w:rsid w:val="003A3685"/>
    <w:rsid w:val="003B36E4"/>
    <w:rsid w:val="003C13AF"/>
    <w:rsid w:val="003D152B"/>
    <w:rsid w:val="003E0A9A"/>
    <w:rsid w:val="003E783E"/>
    <w:rsid w:val="003F0BEF"/>
    <w:rsid w:val="00403322"/>
    <w:rsid w:val="00405F3A"/>
    <w:rsid w:val="0041403A"/>
    <w:rsid w:val="00414659"/>
    <w:rsid w:val="00433CBF"/>
    <w:rsid w:val="00434B5B"/>
    <w:rsid w:val="00437D51"/>
    <w:rsid w:val="004439A1"/>
    <w:rsid w:val="00443A26"/>
    <w:rsid w:val="00444CFA"/>
    <w:rsid w:val="00450C65"/>
    <w:rsid w:val="0045201C"/>
    <w:rsid w:val="0045272D"/>
    <w:rsid w:val="00462E4C"/>
    <w:rsid w:val="004738FE"/>
    <w:rsid w:val="00473B99"/>
    <w:rsid w:val="00484607"/>
    <w:rsid w:val="00490EB2"/>
    <w:rsid w:val="00491812"/>
    <w:rsid w:val="00491931"/>
    <w:rsid w:val="00491F43"/>
    <w:rsid w:val="00492BD8"/>
    <w:rsid w:val="004B419F"/>
    <w:rsid w:val="004D1F6C"/>
    <w:rsid w:val="004D3461"/>
    <w:rsid w:val="004F4292"/>
    <w:rsid w:val="005026FA"/>
    <w:rsid w:val="005068A2"/>
    <w:rsid w:val="0051060A"/>
    <w:rsid w:val="0052221A"/>
    <w:rsid w:val="00522368"/>
    <w:rsid w:val="00523455"/>
    <w:rsid w:val="00534A88"/>
    <w:rsid w:val="00542130"/>
    <w:rsid w:val="00561175"/>
    <w:rsid w:val="005621F0"/>
    <w:rsid w:val="0056403B"/>
    <w:rsid w:val="00581355"/>
    <w:rsid w:val="00582C7A"/>
    <w:rsid w:val="00584E26"/>
    <w:rsid w:val="00593C39"/>
    <w:rsid w:val="005947D5"/>
    <w:rsid w:val="005A290F"/>
    <w:rsid w:val="005A6BAD"/>
    <w:rsid w:val="005B552C"/>
    <w:rsid w:val="005B6EBE"/>
    <w:rsid w:val="005C10AD"/>
    <w:rsid w:val="005C40D4"/>
    <w:rsid w:val="005D47BB"/>
    <w:rsid w:val="005F767F"/>
    <w:rsid w:val="00605FCB"/>
    <w:rsid w:val="006119CA"/>
    <w:rsid w:val="006124D6"/>
    <w:rsid w:val="00620BB2"/>
    <w:rsid w:val="006253C6"/>
    <w:rsid w:val="00625E00"/>
    <w:rsid w:val="00633D9E"/>
    <w:rsid w:val="006352C1"/>
    <w:rsid w:val="006566C1"/>
    <w:rsid w:val="00657D5B"/>
    <w:rsid w:val="00663812"/>
    <w:rsid w:val="006669D1"/>
    <w:rsid w:val="00686851"/>
    <w:rsid w:val="0069641A"/>
    <w:rsid w:val="006A5BD2"/>
    <w:rsid w:val="006A6537"/>
    <w:rsid w:val="006C336B"/>
    <w:rsid w:val="006C540C"/>
    <w:rsid w:val="006C56B9"/>
    <w:rsid w:val="006D494D"/>
    <w:rsid w:val="006D50BC"/>
    <w:rsid w:val="006E2345"/>
    <w:rsid w:val="006E6311"/>
    <w:rsid w:val="006F1C5F"/>
    <w:rsid w:val="006F50F5"/>
    <w:rsid w:val="006F5A8A"/>
    <w:rsid w:val="007170AE"/>
    <w:rsid w:val="0073110F"/>
    <w:rsid w:val="00733887"/>
    <w:rsid w:val="00740493"/>
    <w:rsid w:val="00755C20"/>
    <w:rsid w:val="007610B1"/>
    <w:rsid w:val="00761D77"/>
    <w:rsid w:val="007734EC"/>
    <w:rsid w:val="00780307"/>
    <w:rsid w:val="00796F1B"/>
    <w:rsid w:val="0079724F"/>
    <w:rsid w:val="007A79BC"/>
    <w:rsid w:val="007C1893"/>
    <w:rsid w:val="007C1ADA"/>
    <w:rsid w:val="007E1C0C"/>
    <w:rsid w:val="007E4DC6"/>
    <w:rsid w:val="007F76F7"/>
    <w:rsid w:val="0080591A"/>
    <w:rsid w:val="00806635"/>
    <w:rsid w:val="00807095"/>
    <w:rsid w:val="008074D3"/>
    <w:rsid w:val="00812013"/>
    <w:rsid w:val="008124F2"/>
    <w:rsid w:val="00825476"/>
    <w:rsid w:val="0082554A"/>
    <w:rsid w:val="0083326E"/>
    <w:rsid w:val="008508DE"/>
    <w:rsid w:val="008542DF"/>
    <w:rsid w:val="00861CD4"/>
    <w:rsid w:val="008624BF"/>
    <w:rsid w:val="00864424"/>
    <w:rsid w:val="00865CA2"/>
    <w:rsid w:val="00871C69"/>
    <w:rsid w:val="00874F52"/>
    <w:rsid w:val="008769C4"/>
    <w:rsid w:val="008953B2"/>
    <w:rsid w:val="008A478C"/>
    <w:rsid w:val="008A5D24"/>
    <w:rsid w:val="008A777A"/>
    <w:rsid w:val="008B3A6B"/>
    <w:rsid w:val="008B716D"/>
    <w:rsid w:val="008B7FDF"/>
    <w:rsid w:val="008C105D"/>
    <w:rsid w:val="008E1CDC"/>
    <w:rsid w:val="008F096E"/>
    <w:rsid w:val="008F1AA1"/>
    <w:rsid w:val="008F6005"/>
    <w:rsid w:val="009134B5"/>
    <w:rsid w:val="00913908"/>
    <w:rsid w:val="009265B6"/>
    <w:rsid w:val="00942C9C"/>
    <w:rsid w:val="00957CE2"/>
    <w:rsid w:val="00970CED"/>
    <w:rsid w:val="00970D5F"/>
    <w:rsid w:val="009716CF"/>
    <w:rsid w:val="009903C7"/>
    <w:rsid w:val="009A013C"/>
    <w:rsid w:val="009A3644"/>
    <w:rsid w:val="009B4C7F"/>
    <w:rsid w:val="009B6ED0"/>
    <w:rsid w:val="009C3F2D"/>
    <w:rsid w:val="009C57EE"/>
    <w:rsid w:val="009D3C07"/>
    <w:rsid w:val="009F3254"/>
    <w:rsid w:val="009F4F41"/>
    <w:rsid w:val="009F5A4C"/>
    <w:rsid w:val="009F6713"/>
    <w:rsid w:val="00A0153B"/>
    <w:rsid w:val="00A031E4"/>
    <w:rsid w:val="00A0464C"/>
    <w:rsid w:val="00A0779F"/>
    <w:rsid w:val="00A10D51"/>
    <w:rsid w:val="00A17582"/>
    <w:rsid w:val="00A37F2D"/>
    <w:rsid w:val="00A44A87"/>
    <w:rsid w:val="00A7253D"/>
    <w:rsid w:val="00A74E34"/>
    <w:rsid w:val="00A80B33"/>
    <w:rsid w:val="00A84144"/>
    <w:rsid w:val="00A92BEA"/>
    <w:rsid w:val="00A95425"/>
    <w:rsid w:val="00A96D74"/>
    <w:rsid w:val="00AA7C42"/>
    <w:rsid w:val="00AB3DAA"/>
    <w:rsid w:val="00AC2B87"/>
    <w:rsid w:val="00AC39C3"/>
    <w:rsid w:val="00AC7BDA"/>
    <w:rsid w:val="00AD3476"/>
    <w:rsid w:val="00AE68F3"/>
    <w:rsid w:val="00AF6C7A"/>
    <w:rsid w:val="00B020CA"/>
    <w:rsid w:val="00B1031D"/>
    <w:rsid w:val="00B2089A"/>
    <w:rsid w:val="00B32521"/>
    <w:rsid w:val="00B41C23"/>
    <w:rsid w:val="00B477F7"/>
    <w:rsid w:val="00B56F9C"/>
    <w:rsid w:val="00B57AE4"/>
    <w:rsid w:val="00B64018"/>
    <w:rsid w:val="00B65D7A"/>
    <w:rsid w:val="00B73BA0"/>
    <w:rsid w:val="00B95C5A"/>
    <w:rsid w:val="00BA0611"/>
    <w:rsid w:val="00BA28CC"/>
    <w:rsid w:val="00BB4679"/>
    <w:rsid w:val="00BB59EB"/>
    <w:rsid w:val="00BD0B69"/>
    <w:rsid w:val="00BD6EFC"/>
    <w:rsid w:val="00BE512F"/>
    <w:rsid w:val="00BF09DC"/>
    <w:rsid w:val="00BF0FEA"/>
    <w:rsid w:val="00C004B6"/>
    <w:rsid w:val="00C102F0"/>
    <w:rsid w:val="00C1052B"/>
    <w:rsid w:val="00C1603D"/>
    <w:rsid w:val="00C1790D"/>
    <w:rsid w:val="00C2206D"/>
    <w:rsid w:val="00C260D4"/>
    <w:rsid w:val="00C40E2F"/>
    <w:rsid w:val="00C46494"/>
    <w:rsid w:val="00C47F6C"/>
    <w:rsid w:val="00C54C0E"/>
    <w:rsid w:val="00C63D3A"/>
    <w:rsid w:val="00C70852"/>
    <w:rsid w:val="00C71AD5"/>
    <w:rsid w:val="00C92AF2"/>
    <w:rsid w:val="00C92FAB"/>
    <w:rsid w:val="00CA1142"/>
    <w:rsid w:val="00CA4D04"/>
    <w:rsid w:val="00CB1221"/>
    <w:rsid w:val="00CC6A00"/>
    <w:rsid w:val="00CD776B"/>
    <w:rsid w:val="00CE5EED"/>
    <w:rsid w:val="00CE64E9"/>
    <w:rsid w:val="00CE77CF"/>
    <w:rsid w:val="00CF7188"/>
    <w:rsid w:val="00D1462B"/>
    <w:rsid w:val="00D16BBC"/>
    <w:rsid w:val="00D17F2A"/>
    <w:rsid w:val="00D27B17"/>
    <w:rsid w:val="00D41C26"/>
    <w:rsid w:val="00D53683"/>
    <w:rsid w:val="00D55996"/>
    <w:rsid w:val="00D56781"/>
    <w:rsid w:val="00D56A7C"/>
    <w:rsid w:val="00D630E6"/>
    <w:rsid w:val="00D70779"/>
    <w:rsid w:val="00D8745A"/>
    <w:rsid w:val="00D970AB"/>
    <w:rsid w:val="00DB55BF"/>
    <w:rsid w:val="00DC068D"/>
    <w:rsid w:val="00DC49DE"/>
    <w:rsid w:val="00DD103B"/>
    <w:rsid w:val="00DD2604"/>
    <w:rsid w:val="00DD58B5"/>
    <w:rsid w:val="00DD5E6C"/>
    <w:rsid w:val="00E00BC2"/>
    <w:rsid w:val="00E04BB1"/>
    <w:rsid w:val="00E06B04"/>
    <w:rsid w:val="00E13160"/>
    <w:rsid w:val="00E34A8A"/>
    <w:rsid w:val="00E3570A"/>
    <w:rsid w:val="00E44C45"/>
    <w:rsid w:val="00E463BD"/>
    <w:rsid w:val="00E5135F"/>
    <w:rsid w:val="00E53941"/>
    <w:rsid w:val="00E60698"/>
    <w:rsid w:val="00E613F3"/>
    <w:rsid w:val="00E65F55"/>
    <w:rsid w:val="00E714B9"/>
    <w:rsid w:val="00E82A6C"/>
    <w:rsid w:val="00E95791"/>
    <w:rsid w:val="00E9682D"/>
    <w:rsid w:val="00EA3DE6"/>
    <w:rsid w:val="00EB059F"/>
    <w:rsid w:val="00EB2FCB"/>
    <w:rsid w:val="00EC08F7"/>
    <w:rsid w:val="00ED28C1"/>
    <w:rsid w:val="00ED56FA"/>
    <w:rsid w:val="00EE4819"/>
    <w:rsid w:val="00F03B32"/>
    <w:rsid w:val="00F04C59"/>
    <w:rsid w:val="00F04C8E"/>
    <w:rsid w:val="00F12B42"/>
    <w:rsid w:val="00F17C8B"/>
    <w:rsid w:val="00F2667C"/>
    <w:rsid w:val="00F45473"/>
    <w:rsid w:val="00F51B37"/>
    <w:rsid w:val="00F55724"/>
    <w:rsid w:val="00F61D33"/>
    <w:rsid w:val="00F67E46"/>
    <w:rsid w:val="00F700D4"/>
    <w:rsid w:val="00F722F3"/>
    <w:rsid w:val="00F74042"/>
    <w:rsid w:val="00F83824"/>
    <w:rsid w:val="00F83BF0"/>
    <w:rsid w:val="00F85B0D"/>
    <w:rsid w:val="00F86E6C"/>
    <w:rsid w:val="00FA2833"/>
    <w:rsid w:val="00FA791C"/>
    <w:rsid w:val="00FC17C0"/>
    <w:rsid w:val="00FC5CC3"/>
    <w:rsid w:val="00FD3717"/>
    <w:rsid w:val="00FD3992"/>
    <w:rsid w:val="00FD3FDE"/>
    <w:rsid w:val="00FD4564"/>
    <w:rsid w:val="00FE26EE"/>
    <w:rsid w:val="00FE60B4"/>
    <w:rsid w:val="00FF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4A021"/>
  <w15:docId w15:val="{D765CC0E-028B-46B1-A903-7EB32A4E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5A0"/>
    <w:pPr>
      <w:widowControl w:val="0"/>
      <w:autoSpaceDE w:val="0"/>
      <w:autoSpaceDN w:val="0"/>
      <w:adjustRightInd w:val="0"/>
    </w:pPr>
    <w:rPr>
      <w:sz w:val="24"/>
      <w:szCs w:val="24"/>
    </w:rPr>
  </w:style>
  <w:style w:type="paragraph" w:styleId="Heading1">
    <w:name w:val="heading 1"/>
    <w:basedOn w:val="Normal"/>
    <w:next w:val="Normal"/>
    <w:qFormat/>
    <w:pPr>
      <w:jc w:val="center"/>
      <w:outlineLvl w:val="0"/>
    </w:pPr>
    <w:rPr>
      <w:rFonts w:ascii="Times New Roman Bold" w:hAnsi="Times New Roman Bold"/>
      <w:b/>
      <w:bCs/>
      <w:caps/>
      <w:sz w:val="21"/>
      <w:szCs w:val="21"/>
    </w:rPr>
  </w:style>
  <w:style w:type="paragraph" w:styleId="Heading2">
    <w:name w:val="heading 2"/>
    <w:basedOn w:val="Normal"/>
    <w:next w:val="Normal"/>
    <w:qFormat/>
    <w:pPr>
      <w:tabs>
        <w:tab w:val="left" w:pos="-1440"/>
      </w:tabs>
      <w:outlineLvl w:val="1"/>
    </w:pPr>
    <w:rPr>
      <w:b/>
      <w:bCs/>
      <w:sz w:val="21"/>
      <w:szCs w:val="21"/>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5026FA"/>
    <w:pPr>
      <w:keepNext/>
      <w:ind w:left="720"/>
      <w:outlineLvl w:val="3"/>
    </w:pPr>
    <w:rPr>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rsid w:val="00A17582"/>
    <w:pPr>
      <w:tabs>
        <w:tab w:val="left" w:pos="1440"/>
        <w:tab w:val="right" w:leader="dot" w:pos="9350"/>
      </w:tabs>
      <w:spacing w:before="120" w:after="120"/>
      <w:ind w:left="720" w:hanging="720"/>
    </w:pPr>
    <w:rPr>
      <w:caps/>
    </w:rPr>
  </w:style>
  <w:style w:type="paragraph" w:styleId="TOC2">
    <w:name w:val="toc 2"/>
    <w:basedOn w:val="Normal"/>
    <w:next w:val="Normal"/>
    <w:autoRedefine/>
    <w:uiPriority w:val="39"/>
    <w:rsid w:val="00957CE2"/>
    <w:pPr>
      <w:tabs>
        <w:tab w:val="left" w:pos="540"/>
        <w:tab w:val="left" w:pos="900"/>
        <w:tab w:val="right" w:leader="dot" w:pos="9350"/>
      </w:tabs>
      <w:ind w:left="1440" w:hanging="1080"/>
    </w:pPr>
    <w:rPr>
      <w:rFonts w:ascii="Times New Roman Bold" w:hAnsi="Times New Roman Bold"/>
      <w:noProof/>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autoSpaceDE/>
      <w:autoSpaceDN/>
      <w:adjustRightInd/>
      <w:jc w:val="center"/>
    </w:pPr>
    <w:rPr>
      <w:rFonts w:ascii="Univers" w:hAnsi="Univers"/>
      <w:b/>
      <w:sz w:val="20"/>
      <w:szCs w:val="20"/>
    </w:rPr>
  </w:style>
  <w:style w:type="character" w:styleId="Hyperlink">
    <w:name w:val="Hyperlink"/>
    <w:basedOn w:val="DefaultParagraphFont"/>
    <w:uiPriority w:val="99"/>
    <w:rPr>
      <w:color w:val="0000FF"/>
      <w:u w:val="singl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rPr>
  </w:style>
  <w:style w:type="character" w:styleId="PageNumber">
    <w:name w:val="page number"/>
    <w:basedOn w:val="DefaultParagraphFont"/>
    <w:rsid w:val="0073110F"/>
  </w:style>
  <w:style w:type="paragraph" w:styleId="BodyTextIndent">
    <w:name w:val="Body Text Indent"/>
    <w:basedOn w:val="Normal"/>
    <w:rsid w:val="00761D77"/>
    <w:pPr>
      <w:ind w:left="720"/>
    </w:pPr>
    <w:rPr>
      <w:sz w:val="22"/>
      <w:szCs w:val="22"/>
    </w:rPr>
  </w:style>
  <w:style w:type="paragraph" w:styleId="BodyTextIndent2">
    <w:name w:val="Body Text Indent 2"/>
    <w:basedOn w:val="Normal"/>
    <w:rsid w:val="006253C6"/>
    <w:pPr>
      <w:spacing w:after="120" w:line="480" w:lineRule="auto"/>
      <w:ind w:left="360"/>
    </w:pPr>
  </w:style>
  <w:style w:type="paragraph" w:styleId="BalloonText">
    <w:name w:val="Balloon Text"/>
    <w:basedOn w:val="Normal"/>
    <w:semiHidden/>
    <w:rsid w:val="00444CFA"/>
    <w:rPr>
      <w:rFonts w:ascii="Tahoma" w:hAnsi="Tahoma" w:cs="Tahoma"/>
      <w:sz w:val="16"/>
      <w:szCs w:val="16"/>
    </w:rPr>
  </w:style>
  <w:style w:type="character" w:styleId="CommentReference">
    <w:name w:val="annotation reference"/>
    <w:basedOn w:val="DefaultParagraphFont"/>
    <w:semiHidden/>
    <w:rsid w:val="00A031E4"/>
    <w:rPr>
      <w:sz w:val="16"/>
      <w:szCs w:val="16"/>
    </w:rPr>
  </w:style>
  <w:style w:type="paragraph" w:styleId="CommentText">
    <w:name w:val="annotation text"/>
    <w:basedOn w:val="Normal"/>
    <w:semiHidden/>
    <w:rsid w:val="00A031E4"/>
    <w:rPr>
      <w:sz w:val="20"/>
      <w:szCs w:val="20"/>
    </w:rPr>
  </w:style>
  <w:style w:type="paragraph" w:styleId="CommentSubject">
    <w:name w:val="annotation subject"/>
    <w:basedOn w:val="CommentText"/>
    <w:next w:val="CommentText"/>
    <w:semiHidden/>
    <w:rsid w:val="00A031E4"/>
    <w:rPr>
      <w:b/>
      <w:bCs/>
    </w:rPr>
  </w:style>
  <w:style w:type="paragraph" w:customStyle="1" w:styleId="Default">
    <w:name w:val="Default"/>
    <w:rsid w:val="001C537D"/>
    <w:pPr>
      <w:autoSpaceDE w:val="0"/>
      <w:autoSpaceDN w:val="0"/>
      <w:adjustRightInd w:val="0"/>
    </w:pPr>
    <w:rPr>
      <w:color w:val="000000"/>
      <w:sz w:val="24"/>
      <w:szCs w:val="24"/>
    </w:rPr>
  </w:style>
  <w:style w:type="paragraph" w:styleId="ListParagraph">
    <w:name w:val="List Paragraph"/>
    <w:basedOn w:val="Normal"/>
    <w:uiPriority w:val="34"/>
    <w:qFormat/>
    <w:rsid w:val="002B0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9" ma:contentTypeDescription="Create a new document." ma:contentTypeScope="" ma:versionID="dbab83ca3e7d41a80e9b694526ccb076">
  <xsd:schema xmlns:xsd="http://www.w3.org/2001/XMLSchema" xmlns:xs="http://www.w3.org/2001/XMLSchema" xmlns:p="http://schemas.microsoft.com/office/2006/metadata/properties" xmlns:ns3="6986d3aa-350f-4e73-9113-c2e5d37cfeb1" xmlns:ns4="b976f764-c102-43ec-af34-7218909f1f0a" targetNamespace="http://schemas.microsoft.com/office/2006/metadata/properties" ma:root="true" ma:fieldsID="8f6ed339d5b2159552bd5ccc89d46285" ns3:_="" ns4:_="">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ECD4C-3063-4E5A-97E6-15CA1250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308A7-5B9D-4DB8-950D-F70E2157D681}">
  <ds:schemaRefs>
    <ds:schemaRef ds:uri="http://schemas.microsoft.com/sharepoint/v3/contenttype/forms"/>
  </ds:schemaRefs>
</ds:datastoreItem>
</file>

<file path=customXml/itemProps3.xml><?xml version="1.0" encoding="utf-8"?>
<ds:datastoreItem xmlns:ds="http://schemas.openxmlformats.org/officeDocument/2006/customXml" ds:itemID="{A8573D25-CAA0-46CA-BF45-06459EAE0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FFF219-5793-454B-9E58-A089390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6614</Words>
  <Characters>37702</Characters>
  <Application>Microsoft Office Word</Application>
  <DocSecurity>8</DocSecurity>
  <Lines>314</Lines>
  <Paragraphs>88</Paragraphs>
  <ScaleCrop>false</ScaleCrop>
  <HeadingPairs>
    <vt:vector size="2" baseType="variant">
      <vt:variant>
        <vt:lpstr>Title</vt:lpstr>
      </vt:variant>
      <vt:variant>
        <vt:i4>1</vt:i4>
      </vt:variant>
    </vt:vector>
  </HeadingPairs>
  <TitlesOfParts>
    <vt:vector size="1" baseType="lpstr">
      <vt:lpstr>Montana DEQ - Air Quality Permit - Colstrip Energy Limited Partnership</vt:lpstr>
    </vt:vector>
  </TitlesOfParts>
  <Company>Montana Dept. of Environmental Quality</Company>
  <LinksUpToDate>false</LinksUpToDate>
  <CharactersWithSpaces>44228</CharactersWithSpaces>
  <SharedDoc>false</SharedDoc>
  <HLinks>
    <vt:vector size="150" baseType="variant">
      <vt:variant>
        <vt:i4>1769524</vt:i4>
      </vt:variant>
      <vt:variant>
        <vt:i4>146</vt:i4>
      </vt:variant>
      <vt:variant>
        <vt:i4>0</vt:i4>
      </vt:variant>
      <vt:variant>
        <vt:i4>5</vt:i4>
      </vt:variant>
      <vt:variant>
        <vt:lpwstr/>
      </vt:variant>
      <vt:variant>
        <vt:lpwstr>_Toc246839399</vt:lpwstr>
      </vt:variant>
      <vt:variant>
        <vt:i4>1769524</vt:i4>
      </vt:variant>
      <vt:variant>
        <vt:i4>140</vt:i4>
      </vt:variant>
      <vt:variant>
        <vt:i4>0</vt:i4>
      </vt:variant>
      <vt:variant>
        <vt:i4>5</vt:i4>
      </vt:variant>
      <vt:variant>
        <vt:lpwstr/>
      </vt:variant>
      <vt:variant>
        <vt:lpwstr>_Toc246839398</vt:lpwstr>
      </vt:variant>
      <vt:variant>
        <vt:i4>1769524</vt:i4>
      </vt:variant>
      <vt:variant>
        <vt:i4>134</vt:i4>
      </vt:variant>
      <vt:variant>
        <vt:i4>0</vt:i4>
      </vt:variant>
      <vt:variant>
        <vt:i4>5</vt:i4>
      </vt:variant>
      <vt:variant>
        <vt:lpwstr/>
      </vt:variant>
      <vt:variant>
        <vt:lpwstr>_Toc246839397</vt:lpwstr>
      </vt:variant>
      <vt:variant>
        <vt:i4>1769524</vt:i4>
      </vt:variant>
      <vt:variant>
        <vt:i4>128</vt:i4>
      </vt:variant>
      <vt:variant>
        <vt:i4>0</vt:i4>
      </vt:variant>
      <vt:variant>
        <vt:i4>5</vt:i4>
      </vt:variant>
      <vt:variant>
        <vt:lpwstr/>
      </vt:variant>
      <vt:variant>
        <vt:lpwstr>_Toc246839396</vt:lpwstr>
      </vt:variant>
      <vt:variant>
        <vt:i4>1769524</vt:i4>
      </vt:variant>
      <vt:variant>
        <vt:i4>122</vt:i4>
      </vt:variant>
      <vt:variant>
        <vt:i4>0</vt:i4>
      </vt:variant>
      <vt:variant>
        <vt:i4>5</vt:i4>
      </vt:variant>
      <vt:variant>
        <vt:lpwstr/>
      </vt:variant>
      <vt:variant>
        <vt:lpwstr>_Toc246839395</vt:lpwstr>
      </vt:variant>
      <vt:variant>
        <vt:i4>1769524</vt:i4>
      </vt:variant>
      <vt:variant>
        <vt:i4>116</vt:i4>
      </vt:variant>
      <vt:variant>
        <vt:i4>0</vt:i4>
      </vt:variant>
      <vt:variant>
        <vt:i4>5</vt:i4>
      </vt:variant>
      <vt:variant>
        <vt:lpwstr/>
      </vt:variant>
      <vt:variant>
        <vt:lpwstr>_Toc246839394</vt:lpwstr>
      </vt:variant>
      <vt:variant>
        <vt:i4>1769524</vt:i4>
      </vt:variant>
      <vt:variant>
        <vt:i4>110</vt:i4>
      </vt:variant>
      <vt:variant>
        <vt:i4>0</vt:i4>
      </vt:variant>
      <vt:variant>
        <vt:i4>5</vt:i4>
      </vt:variant>
      <vt:variant>
        <vt:lpwstr/>
      </vt:variant>
      <vt:variant>
        <vt:lpwstr>_Toc246839393</vt:lpwstr>
      </vt:variant>
      <vt:variant>
        <vt:i4>1769524</vt:i4>
      </vt:variant>
      <vt:variant>
        <vt:i4>104</vt:i4>
      </vt:variant>
      <vt:variant>
        <vt:i4>0</vt:i4>
      </vt:variant>
      <vt:variant>
        <vt:i4>5</vt:i4>
      </vt:variant>
      <vt:variant>
        <vt:lpwstr/>
      </vt:variant>
      <vt:variant>
        <vt:lpwstr>_Toc246839392</vt:lpwstr>
      </vt:variant>
      <vt:variant>
        <vt:i4>1769524</vt:i4>
      </vt:variant>
      <vt:variant>
        <vt:i4>98</vt:i4>
      </vt:variant>
      <vt:variant>
        <vt:i4>0</vt:i4>
      </vt:variant>
      <vt:variant>
        <vt:i4>5</vt:i4>
      </vt:variant>
      <vt:variant>
        <vt:lpwstr/>
      </vt:variant>
      <vt:variant>
        <vt:lpwstr>_Toc246839391</vt:lpwstr>
      </vt:variant>
      <vt:variant>
        <vt:i4>1769524</vt:i4>
      </vt:variant>
      <vt:variant>
        <vt:i4>92</vt:i4>
      </vt:variant>
      <vt:variant>
        <vt:i4>0</vt:i4>
      </vt:variant>
      <vt:variant>
        <vt:i4>5</vt:i4>
      </vt:variant>
      <vt:variant>
        <vt:lpwstr/>
      </vt:variant>
      <vt:variant>
        <vt:lpwstr>_Toc246839390</vt:lpwstr>
      </vt:variant>
      <vt:variant>
        <vt:i4>1703988</vt:i4>
      </vt:variant>
      <vt:variant>
        <vt:i4>86</vt:i4>
      </vt:variant>
      <vt:variant>
        <vt:i4>0</vt:i4>
      </vt:variant>
      <vt:variant>
        <vt:i4>5</vt:i4>
      </vt:variant>
      <vt:variant>
        <vt:lpwstr/>
      </vt:variant>
      <vt:variant>
        <vt:lpwstr>_Toc246839389</vt:lpwstr>
      </vt:variant>
      <vt:variant>
        <vt:i4>1703988</vt:i4>
      </vt:variant>
      <vt:variant>
        <vt:i4>80</vt:i4>
      </vt:variant>
      <vt:variant>
        <vt:i4>0</vt:i4>
      </vt:variant>
      <vt:variant>
        <vt:i4>5</vt:i4>
      </vt:variant>
      <vt:variant>
        <vt:lpwstr/>
      </vt:variant>
      <vt:variant>
        <vt:lpwstr>_Toc246839388</vt:lpwstr>
      </vt:variant>
      <vt:variant>
        <vt:i4>1703988</vt:i4>
      </vt:variant>
      <vt:variant>
        <vt:i4>74</vt:i4>
      </vt:variant>
      <vt:variant>
        <vt:i4>0</vt:i4>
      </vt:variant>
      <vt:variant>
        <vt:i4>5</vt:i4>
      </vt:variant>
      <vt:variant>
        <vt:lpwstr/>
      </vt:variant>
      <vt:variant>
        <vt:lpwstr>_Toc246839387</vt:lpwstr>
      </vt:variant>
      <vt:variant>
        <vt:i4>1703988</vt:i4>
      </vt:variant>
      <vt:variant>
        <vt:i4>68</vt:i4>
      </vt:variant>
      <vt:variant>
        <vt:i4>0</vt:i4>
      </vt:variant>
      <vt:variant>
        <vt:i4>5</vt:i4>
      </vt:variant>
      <vt:variant>
        <vt:lpwstr/>
      </vt:variant>
      <vt:variant>
        <vt:lpwstr>_Toc246839386</vt:lpwstr>
      </vt:variant>
      <vt:variant>
        <vt:i4>1703988</vt:i4>
      </vt:variant>
      <vt:variant>
        <vt:i4>62</vt:i4>
      </vt:variant>
      <vt:variant>
        <vt:i4>0</vt:i4>
      </vt:variant>
      <vt:variant>
        <vt:i4>5</vt:i4>
      </vt:variant>
      <vt:variant>
        <vt:lpwstr/>
      </vt:variant>
      <vt:variant>
        <vt:lpwstr>_Toc246839385</vt:lpwstr>
      </vt:variant>
      <vt:variant>
        <vt:i4>1703988</vt:i4>
      </vt:variant>
      <vt:variant>
        <vt:i4>56</vt:i4>
      </vt:variant>
      <vt:variant>
        <vt:i4>0</vt:i4>
      </vt:variant>
      <vt:variant>
        <vt:i4>5</vt:i4>
      </vt:variant>
      <vt:variant>
        <vt:lpwstr/>
      </vt:variant>
      <vt:variant>
        <vt:lpwstr>_Toc246839384</vt:lpwstr>
      </vt:variant>
      <vt:variant>
        <vt:i4>1703988</vt:i4>
      </vt:variant>
      <vt:variant>
        <vt:i4>50</vt:i4>
      </vt:variant>
      <vt:variant>
        <vt:i4>0</vt:i4>
      </vt:variant>
      <vt:variant>
        <vt:i4>5</vt:i4>
      </vt:variant>
      <vt:variant>
        <vt:lpwstr/>
      </vt:variant>
      <vt:variant>
        <vt:lpwstr>_Toc246839383</vt:lpwstr>
      </vt:variant>
      <vt:variant>
        <vt:i4>1703988</vt:i4>
      </vt:variant>
      <vt:variant>
        <vt:i4>44</vt:i4>
      </vt:variant>
      <vt:variant>
        <vt:i4>0</vt:i4>
      </vt:variant>
      <vt:variant>
        <vt:i4>5</vt:i4>
      </vt:variant>
      <vt:variant>
        <vt:lpwstr/>
      </vt:variant>
      <vt:variant>
        <vt:lpwstr>_Toc246839382</vt:lpwstr>
      </vt:variant>
      <vt:variant>
        <vt:i4>1703988</vt:i4>
      </vt:variant>
      <vt:variant>
        <vt:i4>38</vt:i4>
      </vt:variant>
      <vt:variant>
        <vt:i4>0</vt:i4>
      </vt:variant>
      <vt:variant>
        <vt:i4>5</vt:i4>
      </vt:variant>
      <vt:variant>
        <vt:lpwstr/>
      </vt:variant>
      <vt:variant>
        <vt:lpwstr>_Toc246839381</vt:lpwstr>
      </vt:variant>
      <vt:variant>
        <vt:i4>1703988</vt:i4>
      </vt:variant>
      <vt:variant>
        <vt:i4>32</vt:i4>
      </vt:variant>
      <vt:variant>
        <vt:i4>0</vt:i4>
      </vt:variant>
      <vt:variant>
        <vt:i4>5</vt:i4>
      </vt:variant>
      <vt:variant>
        <vt:lpwstr/>
      </vt:variant>
      <vt:variant>
        <vt:lpwstr>_Toc246839380</vt:lpwstr>
      </vt:variant>
      <vt:variant>
        <vt:i4>1376308</vt:i4>
      </vt:variant>
      <vt:variant>
        <vt:i4>26</vt:i4>
      </vt:variant>
      <vt:variant>
        <vt:i4>0</vt:i4>
      </vt:variant>
      <vt:variant>
        <vt:i4>5</vt:i4>
      </vt:variant>
      <vt:variant>
        <vt:lpwstr/>
      </vt:variant>
      <vt:variant>
        <vt:lpwstr>_Toc246839379</vt:lpwstr>
      </vt:variant>
      <vt:variant>
        <vt:i4>1376308</vt:i4>
      </vt:variant>
      <vt:variant>
        <vt:i4>20</vt:i4>
      </vt:variant>
      <vt:variant>
        <vt:i4>0</vt:i4>
      </vt:variant>
      <vt:variant>
        <vt:i4>5</vt:i4>
      </vt:variant>
      <vt:variant>
        <vt:lpwstr/>
      </vt:variant>
      <vt:variant>
        <vt:lpwstr>_Toc246839378</vt:lpwstr>
      </vt:variant>
      <vt:variant>
        <vt:i4>1376308</vt:i4>
      </vt:variant>
      <vt:variant>
        <vt:i4>14</vt:i4>
      </vt:variant>
      <vt:variant>
        <vt:i4>0</vt:i4>
      </vt:variant>
      <vt:variant>
        <vt:i4>5</vt:i4>
      </vt:variant>
      <vt:variant>
        <vt:lpwstr/>
      </vt:variant>
      <vt:variant>
        <vt:lpwstr>_Toc246839377</vt:lpwstr>
      </vt:variant>
      <vt:variant>
        <vt:i4>1376308</vt:i4>
      </vt:variant>
      <vt:variant>
        <vt:i4>8</vt:i4>
      </vt:variant>
      <vt:variant>
        <vt:i4>0</vt:i4>
      </vt:variant>
      <vt:variant>
        <vt:i4>5</vt:i4>
      </vt:variant>
      <vt:variant>
        <vt:lpwstr/>
      </vt:variant>
      <vt:variant>
        <vt:lpwstr>_Toc246839376</vt:lpwstr>
      </vt:variant>
      <vt:variant>
        <vt:i4>1376308</vt:i4>
      </vt:variant>
      <vt:variant>
        <vt:i4>2</vt:i4>
      </vt:variant>
      <vt:variant>
        <vt:i4>0</vt:i4>
      </vt:variant>
      <vt:variant>
        <vt:i4>5</vt:i4>
      </vt:variant>
      <vt:variant>
        <vt:lpwstr/>
      </vt:variant>
      <vt:variant>
        <vt:lpwstr>_Toc246839375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DEQ - Air Quality Permit - Colstrip Energy Limited Partnership</dc:title>
  <dc:subject>Permit # TRD2035-03</dc:subject>
  <dc:creator>Air Resources Management Bureau/DEQ</dc:creator>
  <cp:lastModifiedBy>Velasquez, Rina</cp:lastModifiedBy>
  <cp:revision>3</cp:revision>
  <cp:lastPrinted>2008-12-24T15:15:00Z</cp:lastPrinted>
  <dcterms:created xsi:type="dcterms:W3CDTF">2026-05-28T19:56:00Z</dcterms:created>
  <dcterms:modified xsi:type="dcterms:W3CDTF">2026-05-28T19:57:00Z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