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E3D7" w14:textId="77777777" w:rsidR="00633285" w:rsidRPr="00606C6A" w:rsidRDefault="00633285">
      <w:pPr>
        <w:pStyle w:val="Title"/>
        <w:rPr>
          <w:rFonts w:ascii="Garamond" w:hAnsi="Garamond"/>
          <w:sz w:val="24"/>
          <w:szCs w:val="24"/>
        </w:rPr>
      </w:pPr>
      <w:r w:rsidRPr="00606C6A">
        <w:rPr>
          <w:rFonts w:ascii="Garamond" w:hAnsi="Garamond"/>
          <w:sz w:val="24"/>
          <w:szCs w:val="24"/>
        </w:rPr>
        <w:t>MONTANA DEPARTMENT OF ENVIRONMENTAL QUALITY</w:t>
      </w:r>
    </w:p>
    <w:p w14:paraId="5755638E" w14:textId="77777777" w:rsidR="00633285" w:rsidRPr="00606C6A" w:rsidRDefault="00633285">
      <w:pPr>
        <w:jc w:val="center"/>
        <w:rPr>
          <w:rFonts w:ascii="Garamond" w:hAnsi="Garamond"/>
          <w:b/>
          <w:sz w:val="24"/>
          <w:szCs w:val="24"/>
        </w:rPr>
      </w:pPr>
      <w:r w:rsidRPr="00606C6A">
        <w:rPr>
          <w:rFonts w:ascii="Garamond" w:hAnsi="Garamond"/>
          <w:b/>
          <w:sz w:val="24"/>
          <w:szCs w:val="24"/>
        </w:rPr>
        <w:t>OPERATING PERMIT TECHNICAL REVIEW DOCUMENT</w:t>
      </w:r>
    </w:p>
    <w:p w14:paraId="01D91E20" w14:textId="77777777" w:rsidR="00633285" w:rsidRPr="00606C6A" w:rsidRDefault="00633285">
      <w:pPr>
        <w:jc w:val="center"/>
        <w:rPr>
          <w:rFonts w:ascii="Garamond" w:hAnsi="Garamond"/>
          <w:b/>
          <w:sz w:val="24"/>
          <w:szCs w:val="24"/>
        </w:rPr>
      </w:pPr>
    </w:p>
    <w:p w14:paraId="01655572" w14:textId="4334CAC1" w:rsidR="00633285" w:rsidRPr="00606C6A" w:rsidRDefault="00C96768">
      <w:pPr>
        <w:jc w:val="center"/>
        <w:rPr>
          <w:rFonts w:ascii="Garamond" w:hAnsi="Garamond"/>
          <w:b/>
          <w:sz w:val="24"/>
          <w:szCs w:val="24"/>
        </w:rPr>
      </w:pPr>
      <w:r>
        <w:rPr>
          <w:rFonts w:ascii="Garamond" w:hAnsi="Garamond"/>
          <w:b/>
          <w:sz w:val="24"/>
          <w:szCs w:val="24"/>
        </w:rPr>
        <w:t>A</w:t>
      </w:r>
      <w:r w:rsidR="000159FA">
        <w:rPr>
          <w:rFonts w:ascii="Garamond" w:hAnsi="Garamond"/>
          <w:b/>
          <w:sz w:val="24"/>
          <w:szCs w:val="24"/>
        </w:rPr>
        <w:t>EMD – Air Quality Bureau</w:t>
      </w:r>
    </w:p>
    <w:p w14:paraId="32FEC423" w14:textId="2BAC0B83" w:rsidR="00633285" w:rsidRPr="00606C6A" w:rsidRDefault="00633285">
      <w:pPr>
        <w:jc w:val="center"/>
        <w:rPr>
          <w:rFonts w:ascii="Garamond" w:hAnsi="Garamond"/>
          <w:b/>
          <w:sz w:val="24"/>
          <w:szCs w:val="24"/>
        </w:rPr>
      </w:pPr>
      <w:r w:rsidRPr="00606C6A">
        <w:rPr>
          <w:rFonts w:ascii="Garamond" w:hAnsi="Garamond"/>
          <w:b/>
          <w:sz w:val="24"/>
          <w:szCs w:val="24"/>
        </w:rPr>
        <w:t>P.O. Box 200901</w:t>
      </w:r>
      <w:r w:rsidR="005D3666">
        <w:rPr>
          <w:rFonts w:ascii="Garamond" w:hAnsi="Garamond"/>
          <w:b/>
          <w:sz w:val="24"/>
          <w:szCs w:val="24"/>
        </w:rPr>
        <w:t xml:space="preserve"> </w:t>
      </w:r>
    </w:p>
    <w:p w14:paraId="72B74984" w14:textId="77777777" w:rsidR="00633285" w:rsidRPr="00606C6A" w:rsidRDefault="00633285">
      <w:pPr>
        <w:jc w:val="center"/>
        <w:rPr>
          <w:rFonts w:ascii="Garamond" w:hAnsi="Garamond"/>
          <w:sz w:val="24"/>
          <w:szCs w:val="24"/>
        </w:rPr>
      </w:pPr>
      <w:r w:rsidRPr="00606C6A">
        <w:rPr>
          <w:rFonts w:ascii="Garamond" w:hAnsi="Garamond"/>
          <w:b/>
          <w:sz w:val="24"/>
          <w:szCs w:val="24"/>
        </w:rPr>
        <w:t>Helena, Montana 59620-0901</w:t>
      </w:r>
    </w:p>
    <w:p w14:paraId="7C8C4A7E" w14:textId="77777777" w:rsidR="00633285" w:rsidRPr="00606C6A" w:rsidRDefault="00633285">
      <w:pPr>
        <w:jc w:val="center"/>
        <w:rPr>
          <w:rFonts w:ascii="Garamond" w:hAnsi="Garamond"/>
          <w:sz w:val="24"/>
          <w:szCs w:val="24"/>
        </w:rPr>
      </w:pPr>
    </w:p>
    <w:p w14:paraId="2D12BDD5" w14:textId="77777777" w:rsidR="00467333" w:rsidRPr="00606C6A" w:rsidRDefault="001A0F2E" w:rsidP="00467333">
      <w:pPr>
        <w:jc w:val="center"/>
        <w:rPr>
          <w:rFonts w:ascii="Garamond" w:hAnsi="Garamond"/>
          <w:sz w:val="24"/>
          <w:szCs w:val="24"/>
        </w:rPr>
      </w:pPr>
      <w:r w:rsidRPr="00606C6A">
        <w:rPr>
          <w:rFonts w:ascii="Garamond" w:hAnsi="Garamond"/>
          <w:sz w:val="24"/>
          <w:szCs w:val="24"/>
        </w:rPr>
        <w:t>Barrick Gold</w:t>
      </w:r>
      <w:r w:rsidR="009B0CDB" w:rsidRPr="00606C6A">
        <w:rPr>
          <w:rFonts w:ascii="Garamond" w:hAnsi="Garamond"/>
          <w:sz w:val="24"/>
          <w:szCs w:val="24"/>
        </w:rPr>
        <w:t>en Sunlight</w:t>
      </w:r>
    </w:p>
    <w:p w14:paraId="43096A2C" w14:textId="77777777" w:rsidR="00633285" w:rsidRPr="00606C6A" w:rsidRDefault="001A0F2E">
      <w:pPr>
        <w:jc w:val="center"/>
        <w:rPr>
          <w:rFonts w:ascii="Garamond" w:hAnsi="Garamond"/>
          <w:sz w:val="24"/>
          <w:szCs w:val="24"/>
        </w:rPr>
      </w:pPr>
      <w:r w:rsidRPr="00606C6A">
        <w:rPr>
          <w:rFonts w:ascii="Garamond" w:hAnsi="Garamond"/>
          <w:sz w:val="24"/>
          <w:szCs w:val="24"/>
        </w:rPr>
        <w:t>Golden Sunlight Mines Inc.</w:t>
      </w:r>
    </w:p>
    <w:p w14:paraId="5B3AF2FF" w14:textId="77777777" w:rsidR="00467333" w:rsidRPr="00606C6A" w:rsidRDefault="001A0F2E">
      <w:pPr>
        <w:jc w:val="center"/>
        <w:rPr>
          <w:rFonts w:ascii="Garamond" w:hAnsi="Garamond"/>
          <w:sz w:val="24"/>
          <w:szCs w:val="24"/>
        </w:rPr>
      </w:pPr>
      <w:r w:rsidRPr="00606C6A">
        <w:rPr>
          <w:rFonts w:ascii="Garamond" w:hAnsi="Garamond"/>
          <w:sz w:val="24"/>
          <w:szCs w:val="24"/>
        </w:rPr>
        <w:t>453 Montana Hwy 2 East</w:t>
      </w:r>
    </w:p>
    <w:p w14:paraId="7F8918BE" w14:textId="77777777" w:rsidR="00633285" w:rsidRPr="00606C6A" w:rsidRDefault="001A0F2E">
      <w:pPr>
        <w:jc w:val="center"/>
        <w:rPr>
          <w:rFonts w:ascii="Garamond" w:hAnsi="Garamond"/>
          <w:sz w:val="24"/>
          <w:szCs w:val="24"/>
        </w:rPr>
      </w:pPr>
      <w:r w:rsidRPr="00606C6A">
        <w:rPr>
          <w:rFonts w:ascii="Garamond" w:hAnsi="Garamond"/>
          <w:sz w:val="24"/>
          <w:szCs w:val="24"/>
        </w:rPr>
        <w:t>Whitehall</w:t>
      </w:r>
      <w:r w:rsidR="00633285" w:rsidRPr="00606C6A">
        <w:rPr>
          <w:rFonts w:ascii="Garamond" w:hAnsi="Garamond"/>
          <w:sz w:val="24"/>
          <w:szCs w:val="24"/>
        </w:rPr>
        <w:t xml:space="preserve">, MT </w:t>
      </w:r>
      <w:r w:rsidRPr="00606C6A">
        <w:rPr>
          <w:rFonts w:ascii="Garamond" w:hAnsi="Garamond"/>
          <w:sz w:val="24"/>
          <w:szCs w:val="24"/>
        </w:rPr>
        <w:t>59759</w:t>
      </w:r>
    </w:p>
    <w:p w14:paraId="498737BF" w14:textId="77777777" w:rsidR="00633285" w:rsidRPr="00606C6A" w:rsidRDefault="00633285">
      <w:pPr>
        <w:rPr>
          <w:rFonts w:ascii="Garamond" w:hAnsi="Garamond"/>
          <w:sz w:val="24"/>
          <w:szCs w:val="24"/>
        </w:rPr>
      </w:pPr>
    </w:p>
    <w:p w14:paraId="368BC1A5" w14:textId="01F68FB9" w:rsidR="00633285" w:rsidRPr="00606C6A" w:rsidRDefault="00633285">
      <w:pPr>
        <w:rPr>
          <w:sz w:val="24"/>
          <w:szCs w:val="24"/>
        </w:rPr>
      </w:pPr>
      <w:r w:rsidRPr="00606C6A">
        <w:rPr>
          <w:rFonts w:ascii="Garamond" w:hAnsi="Garamond"/>
          <w:sz w:val="24"/>
          <w:szCs w:val="24"/>
        </w:rPr>
        <w:t>The following table summarizes the air quality programs testing, monitoring, and reporting requirements applicable to this facility.</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0"/>
        <w:gridCol w:w="630"/>
        <w:gridCol w:w="540"/>
        <w:gridCol w:w="1620"/>
      </w:tblGrid>
      <w:tr w:rsidR="00633285" w:rsidRPr="001D5FCE" w14:paraId="79B561C8" w14:textId="77777777">
        <w:trPr>
          <w:trHeight w:val="400"/>
        </w:trPr>
        <w:tc>
          <w:tcPr>
            <w:tcW w:w="6570" w:type="dxa"/>
            <w:tcBorders>
              <w:top w:val="double" w:sz="4" w:space="0" w:color="auto"/>
              <w:left w:val="double" w:sz="4" w:space="0" w:color="auto"/>
              <w:bottom w:val="double" w:sz="4" w:space="0" w:color="auto"/>
            </w:tcBorders>
          </w:tcPr>
          <w:p w14:paraId="2A909728" w14:textId="77777777" w:rsidR="00633285" w:rsidRPr="001D5FCE" w:rsidRDefault="00633285">
            <w:pPr>
              <w:pStyle w:val="Title"/>
              <w:rPr>
                <w:rFonts w:ascii="Garamond" w:hAnsi="Garamond"/>
                <w:sz w:val="22"/>
                <w:szCs w:val="22"/>
              </w:rPr>
            </w:pPr>
            <w:r w:rsidRPr="001D5FCE">
              <w:rPr>
                <w:rFonts w:ascii="Garamond" w:hAnsi="Garamond"/>
                <w:sz w:val="22"/>
                <w:szCs w:val="22"/>
              </w:rPr>
              <w:t>Facility Compliance Requirements</w:t>
            </w:r>
          </w:p>
        </w:tc>
        <w:tc>
          <w:tcPr>
            <w:tcW w:w="630" w:type="dxa"/>
            <w:tcBorders>
              <w:top w:val="double" w:sz="4" w:space="0" w:color="auto"/>
              <w:bottom w:val="double" w:sz="4" w:space="0" w:color="auto"/>
            </w:tcBorders>
          </w:tcPr>
          <w:p w14:paraId="0803A690" w14:textId="77777777" w:rsidR="00633285" w:rsidRPr="001D5FCE" w:rsidRDefault="00633285">
            <w:pPr>
              <w:rPr>
                <w:rFonts w:ascii="Garamond" w:hAnsi="Garamond"/>
                <w:sz w:val="22"/>
                <w:szCs w:val="22"/>
              </w:rPr>
            </w:pPr>
            <w:r w:rsidRPr="001D5FCE">
              <w:rPr>
                <w:rFonts w:ascii="Garamond" w:hAnsi="Garamond"/>
                <w:sz w:val="22"/>
                <w:szCs w:val="22"/>
              </w:rPr>
              <w:t>Yes</w:t>
            </w:r>
          </w:p>
        </w:tc>
        <w:tc>
          <w:tcPr>
            <w:tcW w:w="540" w:type="dxa"/>
            <w:tcBorders>
              <w:top w:val="double" w:sz="4" w:space="0" w:color="auto"/>
              <w:bottom w:val="double" w:sz="4" w:space="0" w:color="auto"/>
            </w:tcBorders>
          </w:tcPr>
          <w:p w14:paraId="0F198B4D" w14:textId="77777777" w:rsidR="00633285" w:rsidRPr="001D5FCE" w:rsidRDefault="00633285">
            <w:pPr>
              <w:rPr>
                <w:rFonts w:ascii="Garamond" w:hAnsi="Garamond"/>
                <w:sz w:val="22"/>
                <w:szCs w:val="22"/>
              </w:rPr>
            </w:pPr>
            <w:r w:rsidRPr="001D5FCE">
              <w:rPr>
                <w:rFonts w:ascii="Garamond" w:hAnsi="Garamond"/>
                <w:sz w:val="22"/>
                <w:szCs w:val="22"/>
              </w:rPr>
              <w:t>No</w:t>
            </w:r>
          </w:p>
        </w:tc>
        <w:tc>
          <w:tcPr>
            <w:tcW w:w="1620" w:type="dxa"/>
            <w:tcBorders>
              <w:top w:val="double" w:sz="4" w:space="0" w:color="auto"/>
              <w:bottom w:val="double" w:sz="4" w:space="0" w:color="auto"/>
              <w:right w:val="double" w:sz="4" w:space="0" w:color="auto"/>
            </w:tcBorders>
          </w:tcPr>
          <w:p w14:paraId="6201CA29" w14:textId="77777777" w:rsidR="00633285" w:rsidRPr="001D5FCE" w:rsidRDefault="00633285">
            <w:pPr>
              <w:jc w:val="center"/>
              <w:rPr>
                <w:rFonts w:ascii="Garamond" w:hAnsi="Garamond"/>
                <w:sz w:val="22"/>
                <w:szCs w:val="22"/>
              </w:rPr>
            </w:pPr>
            <w:r w:rsidRPr="001D5FCE">
              <w:rPr>
                <w:rFonts w:ascii="Garamond" w:hAnsi="Garamond"/>
                <w:sz w:val="22"/>
                <w:szCs w:val="22"/>
              </w:rPr>
              <w:t>Comments</w:t>
            </w:r>
          </w:p>
        </w:tc>
      </w:tr>
      <w:tr w:rsidR="00633285" w:rsidRPr="001D5FCE" w14:paraId="2EB03BBE" w14:textId="77777777">
        <w:trPr>
          <w:trHeight w:val="400"/>
        </w:trPr>
        <w:tc>
          <w:tcPr>
            <w:tcW w:w="6570" w:type="dxa"/>
            <w:tcBorders>
              <w:top w:val="double" w:sz="4" w:space="0" w:color="auto"/>
              <w:left w:val="double" w:sz="4" w:space="0" w:color="auto"/>
            </w:tcBorders>
          </w:tcPr>
          <w:p w14:paraId="3E751C29" w14:textId="77777777" w:rsidR="00633285" w:rsidRPr="001D5FCE" w:rsidRDefault="00633285">
            <w:pPr>
              <w:rPr>
                <w:rFonts w:ascii="Garamond" w:hAnsi="Garamond"/>
                <w:sz w:val="22"/>
                <w:szCs w:val="22"/>
              </w:rPr>
            </w:pPr>
            <w:r w:rsidRPr="001D5FCE">
              <w:rPr>
                <w:rFonts w:ascii="Garamond" w:hAnsi="Garamond"/>
                <w:sz w:val="22"/>
                <w:szCs w:val="22"/>
              </w:rPr>
              <w:t>Source Tests Required</w:t>
            </w:r>
          </w:p>
        </w:tc>
        <w:tc>
          <w:tcPr>
            <w:tcW w:w="630" w:type="dxa"/>
            <w:tcBorders>
              <w:top w:val="double" w:sz="4" w:space="0" w:color="auto"/>
            </w:tcBorders>
          </w:tcPr>
          <w:p w14:paraId="2DC616F4" w14:textId="77777777" w:rsidR="00633285" w:rsidRPr="001D5FCE" w:rsidRDefault="009A390B" w:rsidP="009A390B">
            <w:pPr>
              <w:jc w:val="center"/>
              <w:rPr>
                <w:rFonts w:ascii="Garamond" w:hAnsi="Garamond"/>
                <w:sz w:val="22"/>
                <w:szCs w:val="22"/>
              </w:rPr>
            </w:pPr>
            <w:r w:rsidRPr="001D5FCE">
              <w:rPr>
                <w:rFonts w:ascii="Garamond" w:hAnsi="Garamond"/>
                <w:sz w:val="22"/>
                <w:szCs w:val="22"/>
              </w:rPr>
              <w:t>X</w:t>
            </w:r>
          </w:p>
        </w:tc>
        <w:tc>
          <w:tcPr>
            <w:tcW w:w="540" w:type="dxa"/>
            <w:tcBorders>
              <w:top w:val="double" w:sz="4" w:space="0" w:color="auto"/>
            </w:tcBorders>
          </w:tcPr>
          <w:p w14:paraId="236B621D" w14:textId="77777777" w:rsidR="00633285" w:rsidRPr="001D5FCE" w:rsidRDefault="00633285">
            <w:pPr>
              <w:rPr>
                <w:rFonts w:ascii="Garamond" w:hAnsi="Garamond"/>
                <w:sz w:val="22"/>
                <w:szCs w:val="22"/>
              </w:rPr>
            </w:pPr>
          </w:p>
        </w:tc>
        <w:tc>
          <w:tcPr>
            <w:tcW w:w="1620" w:type="dxa"/>
            <w:tcBorders>
              <w:top w:val="double" w:sz="4" w:space="0" w:color="auto"/>
              <w:right w:val="double" w:sz="4" w:space="0" w:color="auto"/>
            </w:tcBorders>
          </w:tcPr>
          <w:p w14:paraId="699FB359" w14:textId="77777777" w:rsidR="00633285" w:rsidRPr="001D5FCE" w:rsidRDefault="00633285">
            <w:pPr>
              <w:rPr>
                <w:rFonts w:ascii="Garamond" w:hAnsi="Garamond"/>
                <w:sz w:val="22"/>
                <w:szCs w:val="22"/>
              </w:rPr>
            </w:pPr>
          </w:p>
        </w:tc>
      </w:tr>
      <w:tr w:rsidR="00633285" w:rsidRPr="001D5FCE" w14:paraId="6B494A08" w14:textId="77777777">
        <w:trPr>
          <w:trHeight w:val="400"/>
        </w:trPr>
        <w:tc>
          <w:tcPr>
            <w:tcW w:w="6570" w:type="dxa"/>
            <w:tcBorders>
              <w:left w:val="double" w:sz="4" w:space="0" w:color="auto"/>
            </w:tcBorders>
          </w:tcPr>
          <w:p w14:paraId="39F0BCC5" w14:textId="77777777" w:rsidR="00633285" w:rsidRPr="001D5FCE" w:rsidRDefault="00633285">
            <w:pPr>
              <w:rPr>
                <w:rFonts w:ascii="Garamond" w:hAnsi="Garamond"/>
                <w:sz w:val="22"/>
                <w:szCs w:val="22"/>
              </w:rPr>
            </w:pPr>
            <w:r w:rsidRPr="001D5FCE">
              <w:rPr>
                <w:rFonts w:ascii="Garamond" w:hAnsi="Garamond"/>
                <w:sz w:val="22"/>
                <w:szCs w:val="22"/>
              </w:rPr>
              <w:t>Ambient Monitoring Required</w:t>
            </w:r>
          </w:p>
        </w:tc>
        <w:tc>
          <w:tcPr>
            <w:tcW w:w="630" w:type="dxa"/>
          </w:tcPr>
          <w:p w14:paraId="638695C0" w14:textId="77777777" w:rsidR="00633285" w:rsidRPr="001D5FCE" w:rsidRDefault="00633285">
            <w:pPr>
              <w:rPr>
                <w:rFonts w:ascii="Garamond" w:hAnsi="Garamond"/>
                <w:sz w:val="22"/>
                <w:szCs w:val="22"/>
              </w:rPr>
            </w:pPr>
          </w:p>
        </w:tc>
        <w:tc>
          <w:tcPr>
            <w:tcW w:w="540" w:type="dxa"/>
          </w:tcPr>
          <w:p w14:paraId="3D2BCBD4" w14:textId="77777777" w:rsidR="00633285" w:rsidRPr="001D5FCE" w:rsidRDefault="009A390B">
            <w:pPr>
              <w:rPr>
                <w:rFonts w:ascii="Garamond" w:hAnsi="Garamond"/>
                <w:sz w:val="22"/>
                <w:szCs w:val="22"/>
              </w:rPr>
            </w:pPr>
            <w:r w:rsidRPr="001D5FCE">
              <w:rPr>
                <w:rFonts w:ascii="Garamond" w:hAnsi="Garamond"/>
                <w:sz w:val="22"/>
                <w:szCs w:val="22"/>
              </w:rPr>
              <w:t>X</w:t>
            </w:r>
          </w:p>
        </w:tc>
        <w:tc>
          <w:tcPr>
            <w:tcW w:w="1620" w:type="dxa"/>
            <w:tcBorders>
              <w:right w:val="double" w:sz="4" w:space="0" w:color="auto"/>
            </w:tcBorders>
          </w:tcPr>
          <w:p w14:paraId="54375F21" w14:textId="77777777" w:rsidR="00633285" w:rsidRPr="001D5FCE" w:rsidRDefault="00633285">
            <w:pPr>
              <w:rPr>
                <w:rFonts w:ascii="Garamond" w:hAnsi="Garamond"/>
                <w:sz w:val="22"/>
                <w:szCs w:val="22"/>
              </w:rPr>
            </w:pPr>
          </w:p>
        </w:tc>
      </w:tr>
      <w:tr w:rsidR="00633285" w:rsidRPr="001D5FCE" w14:paraId="4983EF8E" w14:textId="77777777">
        <w:trPr>
          <w:trHeight w:val="400"/>
        </w:trPr>
        <w:tc>
          <w:tcPr>
            <w:tcW w:w="6570" w:type="dxa"/>
            <w:tcBorders>
              <w:left w:val="double" w:sz="4" w:space="0" w:color="auto"/>
            </w:tcBorders>
          </w:tcPr>
          <w:p w14:paraId="75A9F4F6" w14:textId="2ACF50A2" w:rsidR="00633285" w:rsidRPr="001D5FCE" w:rsidRDefault="00633285">
            <w:pPr>
              <w:rPr>
                <w:rFonts w:ascii="Garamond" w:hAnsi="Garamond"/>
                <w:sz w:val="22"/>
                <w:szCs w:val="22"/>
              </w:rPr>
            </w:pPr>
            <w:r w:rsidRPr="001D5FCE">
              <w:rPr>
                <w:rFonts w:ascii="Garamond" w:hAnsi="Garamond"/>
                <w:sz w:val="22"/>
                <w:szCs w:val="22"/>
              </w:rPr>
              <w:t>COMS Required</w:t>
            </w:r>
            <w:r w:rsidR="006129DF">
              <w:rPr>
                <w:rFonts w:ascii="Garamond" w:hAnsi="Garamond"/>
                <w:sz w:val="22"/>
                <w:szCs w:val="22"/>
              </w:rPr>
              <w:t xml:space="preserve"> </w:t>
            </w:r>
          </w:p>
        </w:tc>
        <w:tc>
          <w:tcPr>
            <w:tcW w:w="630" w:type="dxa"/>
          </w:tcPr>
          <w:p w14:paraId="14277C7A" w14:textId="77777777" w:rsidR="00633285" w:rsidRPr="001D5FCE" w:rsidRDefault="00633285">
            <w:pPr>
              <w:rPr>
                <w:rFonts w:ascii="Garamond" w:hAnsi="Garamond"/>
                <w:sz w:val="22"/>
                <w:szCs w:val="22"/>
              </w:rPr>
            </w:pPr>
          </w:p>
        </w:tc>
        <w:tc>
          <w:tcPr>
            <w:tcW w:w="540" w:type="dxa"/>
          </w:tcPr>
          <w:p w14:paraId="49DF1894" w14:textId="77777777" w:rsidR="00633285" w:rsidRPr="001D5FCE" w:rsidRDefault="009A390B">
            <w:pPr>
              <w:rPr>
                <w:rFonts w:ascii="Garamond" w:hAnsi="Garamond"/>
                <w:sz w:val="22"/>
                <w:szCs w:val="22"/>
              </w:rPr>
            </w:pPr>
            <w:r w:rsidRPr="001D5FCE">
              <w:rPr>
                <w:rFonts w:ascii="Garamond" w:hAnsi="Garamond"/>
                <w:sz w:val="22"/>
                <w:szCs w:val="22"/>
              </w:rPr>
              <w:t>X</w:t>
            </w:r>
          </w:p>
        </w:tc>
        <w:tc>
          <w:tcPr>
            <w:tcW w:w="1620" w:type="dxa"/>
            <w:tcBorders>
              <w:right w:val="double" w:sz="4" w:space="0" w:color="auto"/>
            </w:tcBorders>
          </w:tcPr>
          <w:p w14:paraId="0EBED1D1" w14:textId="77777777" w:rsidR="00633285" w:rsidRPr="001D5FCE" w:rsidRDefault="00633285">
            <w:pPr>
              <w:rPr>
                <w:rFonts w:ascii="Garamond" w:hAnsi="Garamond"/>
                <w:sz w:val="22"/>
                <w:szCs w:val="22"/>
              </w:rPr>
            </w:pPr>
          </w:p>
        </w:tc>
      </w:tr>
      <w:tr w:rsidR="00633285" w:rsidRPr="001D5FCE" w14:paraId="7C60D3BA" w14:textId="77777777">
        <w:trPr>
          <w:trHeight w:val="400"/>
        </w:trPr>
        <w:tc>
          <w:tcPr>
            <w:tcW w:w="6570" w:type="dxa"/>
            <w:tcBorders>
              <w:left w:val="double" w:sz="4" w:space="0" w:color="auto"/>
            </w:tcBorders>
          </w:tcPr>
          <w:p w14:paraId="6589F001" w14:textId="6E551CC2" w:rsidR="00633285" w:rsidRPr="001D5FCE" w:rsidRDefault="00633285">
            <w:pPr>
              <w:rPr>
                <w:rFonts w:ascii="Garamond" w:hAnsi="Garamond"/>
                <w:sz w:val="22"/>
                <w:szCs w:val="22"/>
              </w:rPr>
            </w:pPr>
            <w:r w:rsidRPr="001D5FCE">
              <w:rPr>
                <w:rFonts w:ascii="Garamond" w:hAnsi="Garamond"/>
                <w:sz w:val="22"/>
                <w:szCs w:val="22"/>
              </w:rPr>
              <w:t>CEMS Required</w:t>
            </w:r>
            <w:r w:rsidR="006129DF">
              <w:rPr>
                <w:rFonts w:ascii="Garamond" w:hAnsi="Garamond"/>
                <w:sz w:val="22"/>
                <w:szCs w:val="22"/>
              </w:rPr>
              <w:t xml:space="preserve"> </w:t>
            </w:r>
          </w:p>
        </w:tc>
        <w:tc>
          <w:tcPr>
            <w:tcW w:w="630" w:type="dxa"/>
          </w:tcPr>
          <w:p w14:paraId="77C932E6" w14:textId="77777777" w:rsidR="00633285" w:rsidRPr="001D5FCE" w:rsidRDefault="00633285">
            <w:pPr>
              <w:rPr>
                <w:rFonts w:ascii="Garamond" w:hAnsi="Garamond"/>
                <w:sz w:val="22"/>
                <w:szCs w:val="22"/>
              </w:rPr>
            </w:pPr>
          </w:p>
        </w:tc>
        <w:tc>
          <w:tcPr>
            <w:tcW w:w="540" w:type="dxa"/>
          </w:tcPr>
          <w:p w14:paraId="7CB287E7" w14:textId="77777777" w:rsidR="00633285" w:rsidRPr="001D5FCE" w:rsidRDefault="009A390B">
            <w:pPr>
              <w:rPr>
                <w:rFonts w:ascii="Garamond" w:hAnsi="Garamond"/>
                <w:sz w:val="22"/>
                <w:szCs w:val="22"/>
              </w:rPr>
            </w:pPr>
            <w:r w:rsidRPr="001D5FCE">
              <w:rPr>
                <w:rFonts w:ascii="Garamond" w:hAnsi="Garamond"/>
                <w:sz w:val="22"/>
                <w:szCs w:val="22"/>
              </w:rPr>
              <w:t>X</w:t>
            </w:r>
          </w:p>
        </w:tc>
        <w:tc>
          <w:tcPr>
            <w:tcW w:w="1620" w:type="dxa"/>
            <w:tcBorders>
              <w:right w:val="double" w:sz="4" w:space="0" w:color="auto"/>
            </w:tcBorders>
          </w:tcPr>
          <w:p w14:paraId="6814ADEA" w14:textId="77777777" w:rsidR="00633285" w:rsidRPr="001D5FCE" w:rsidRDefault="00633285">
            <w:pPr>
              <w:rPr>
                <w:rFonts w:ascii="Garamond" w:hAnsi="Garamond"/>
                <w:sz w:val="22"/>
                <w:szCs w:val="22"/>
              </w:rPr>
            </w:pPr>
          </w:p>
        </w:tc>
      </w:tr>
      <w:tr w:rsidR="00633285" w:rsidRPr="001D5FCE" w14:paraId="448AA978" w14:textId="77777777">
        <w:trPr>
          <w:trHeight w:val="400"/>
        </w:trPr>
        <w:tc>
          <w:tcPr>
            <w:tcW w:w="6570" w:type="dxa"/>
            <w:tcBorders>
              <w:left w:val="double" w:sz="4" w:space="0" w:color="auto"/>
            </w:tcBorders>
          </w:tcPr>
          <w:p w14:paraId="29A79217" w14:textId="77777777" w:rsidR="00633285" w:rsidRPr="001D5FCE" w:rsidRDefault="00633285">
            <w:pPr>
              <w:rPr>
                <w:rFonts w:ascii="Garamond" w:hAnsi="Garamond"/>
                <w:sz w:val="22"/>
                <w:szCs w:val="22"/>
              </w:rPr>
            </w:pPr>
            <w:r w:rsidRPr="001D5FCE">
              <w:rPr>
                <w:rFonts w:ascii="Garamond" w:hAnsi="Garamond"/>
                <w:sz w:val="22"/>
                <w:szCs w:val="22"/>
              </w:rPr>
              <w:t>Schedule of Compliance Required</w:t>
            </w:r>
          </w:p>
        </w:tc>
        <w:tc>
          <w:tcPr>
            <w:tcW w:w="630" w:type="dxa"/>
          </w:tcPr>
          <w:p w14:paraId="1C9C383A" w14:textId="77777777" w:rsidR="00633285" w:rsidRPr="001D5FCE" w:rsidRDefault="00633285">
            <w:pPr>
              <w:rPr>
                <w:rFonts w:ascii="Garamond" w:hAnsi="Garamond"/>
                <w:sz w:val="22"/>
                <w:szCs w:val="22"/>
              </w:rPr>
            </w:pPr>
          </w:p>
        </w:tc>
        <w:tc>
          <w:tcPr>
            <w:tcW w:w="540" w:type="dxa"/>
          </w:tcPr>
          <w:p w14:paraId="3025C191" w14:textId="77777777" w:rsidR="00633285" w:rsidRPr="001D5FCE" w:rsidRDefault="004E7A76">
            <w:pPr>
              <w:rPr>
                <w:rFonts w:ascii="Garamond" w:hAnsi="Garamond"/>
                <w:sz w:val="22"/>
                <w:szCs w:val="22"/>
              </w:rPr>
            </w:pPr>
            <w:r w:rsidRPr="001D5FCE">
              <w:rPr>
                <w:rFonts w:ascii="Garamond" w:hAnsi="Garamond"/>
                <w:sz w:val="22"/>
                <w:szCs w:val="22"/>
              </w:rPr>
              <w:t>X</w:t>
            </w:r>
          </w:p>
        </w:tc>
        <w:tc>
          <w:tcPr>
            <w:tcW w:w="1620" w:type="dxa"/>
            <w:tcBorders>
              <w:right w:val="double" w:sz="4" w:space="0" w:color="auto"/>
            </w:tcBorders>
          </w:tcPr>
          <w:p w14:paraId="337FAFDE" w14:textId="77777777" w:rsidR="00633285" w:rsidRPr="001D5FCE" w:rsidRDefault="00633285">
            <w:pPr>
              <w:rPr>
                <w:rFonts w:ascii="Garamond" w:hAnsi="Garamond"/>
                <w:sz w:val="22"/>
                <w:szCs w:val="22"/>
              </w:rPr>
            </w:pPr>
          </w:p>
        </w:tc>
      </w:tr>
      <w:tr w:rsidR="00633285" w:rsidRPr="001D5FCE" w14:paraId="49521ABD" w14:textId="77777777">
        <w:trPr>
          <w:trHeight w:val="400"/>
        </w:trPr>
        <w:tc>
          <w:tcPr>
            <w:tcW w:w="6570" w:type="dxa"/>
            <w:tcBorders>
              <w:left w:val="double" w:sz="4" w:space="0" w:color="auto"/>
            </w:tcBorders>
          </w:tcPr>
          <w:p w14:paraId="169447EC" w14:textId="77777777" w:rsidR="00633285" w:rsidRPr="001D5FCE" w:rsidRDefault="00633285">
            <w:pPr>
              <w:rPr>
                <w:rFonts w:ascii="Garamond" w:hAnsi="Garamond"/>
                <w:sz w:val="22"/>
                <w:szCs w:val="22"/>
              </w:rPr>
            </w:pPr>
            <w:r w:rsidRPr="001D5FCE">
              <w:rPr>
                <w:rFonts w:ascii="Garamond" w:hAnsi="Garamond"/>
                <w:sz w:val="22"/>
                <w:szCs w:val="22"/>
              </w:rPr>
              <w:t>Annual Compliance Certification and Semiannual Reporting Required</w:t>
            </w:r>
          </w:p>
        </w:tc>
        <w:tc>
          <w:tcPr>
            <w:tcW w:w="630" w:type="dxa"/>
          </w:tcPr>
          <w:p w14:paraId="5197EEB7" w14:textId="77777777" w:rsidR="00633285" w:rsidRPr="001D5FCE" w:rsidRDefault="009A390B">
            <w:pPr>
              <w:rPr>
                <w:rFonts w:ascii="Garamond" w:hAnsi="Garamond"/>
                <w:sz w:val="22"/>
                <w:szCs w:val="22"/>
              </w:rPr>
            </w:pPr>
            <w:r w:rsidRPr="001D5FCE">
              <w:rPr>
                <w:rFonts w:ascii="Garamond" w:hAnsi="Garamond"/>
                <w:sz w:val="22"/>
                <w:szCs w:val="22"/>
              </w:rPr>
              <w:t>X</w:t>
            </w:r>
          </w:p>
        </w:tc>
        <w:tc>
          <w:tcPr>
            <w:tcW w:w="540" w:type="dxa"/>
          </w:tcPr>
          <w:p w14:paraId="4CADD558" w14:textId="77777777" w:rsidR="00633285" w:rsidRPr="001D5FCE" w:rsidRDefault="00633285">
            <w:pPr>
              <w:rPr>
                <w:rFonts w:ascii="Garamond" w:hAnsi="Garamond"/>
                <w:sz w:val="22"/>
                <w:szCs w:val="22"/>
              </w:rPr>
            </w:pPr>
          </w:p>
        </w:tc>
        <w:tc>
          <w:tcPr>
            <w:tcW w:w="1620" w:type="dxa"/>
            <w:tcBorders>
              <w:right w:val="double" w:sz="4" w:space="0" w:color="auto"/>
            </w:tcBorders>
          </w:tcPr>
          <w:p w14:paraId="43DE7C44" w14:textId="77777777" w:rsidR="00633285" w:rsidRPr="001D5FCE" w:rsidRDefault="00633285">
            <w:pPr>
              <w:rPr>
                <w:rFonts w:ascii="Garamond" w:hAnsi="Garamond"/>
                <w:sz w:val="22"/>
                <w:szCs w:val="22"/>
              </w:rPr>
            </w:pPr>
          </w:p>
        </w:tc>
      </w:tr>
      <w:tr w:rsidR="00633285" w:rsidRPr="001D5FCE" w14:paraId="6907F456" w14:textId="77777777">
        <w:trPr>
          <w:trHeight w:val="400"/>
        </w:trPr>
        <w:tc>
          <w:tcPr>
            <w:tcW w:w="6570" w:type="dxa"/>
            <w:tcBorders>
              <w:left w:val="double" w:sz="4" w:space="0" w:color="auto"/>
            </w:tcBorders>
          </w:tcPr>
          <w:p w14:paraId="6DD89CEC" w14:textId="77777777" w:rsidR="00633285" w:rsidRPr="001D5FCE" w:rsidRDefault="00633285">
            <w:pPr>
              <w:rPr>
                <w:rFonts w:ascii="Garamond" w:hAnsi="Garamond"/>
                <w:sz w:val="22"/>
                <w:szCs w:val="22"/>
              </w:rPr>
            </w:pPr>
            <w:r w:rsidRPr="001D5FCE">
              <w:rPr>
                <w:rFonts w:ascii="Garamond" w:hAnsi="Garamond"/>
                <w:sz w:val="22"/>
                <w:szCs w:val="22"/>
              </w:rPr>
              <w:t>Monthly Reporting Required</w:t>
            </w:r>
          </w:p>
        </w:tc>
        <w:tc>
          <w:tcPr>
            <w:tcW w:w="630" w:type="dxa"/>
          </w:tcPr>
          <w:p w14:paraId="2A0908E4" w14:textId="77777777" w:rsidR="00633285" w:rsidRPr="001D5FCE" w:rsidRDefault="00633285">
            <w:pPr>
              <w:rPr>
                <w:rFonts w:ascii="Garamond" w:hAnsi="Garamond"/>
                <w:sz w:val="22"/>
                <w:szCs w:val="22"/>
              </w:rPr>
            </w:pPr>
          </w:p>
        </w:tc>
        <w:tc>
          <w:tcPr>
            <w:tcW w:w="540" w:type="dxa"/>
          </w:tcPr>
          <w:p w14:paraId="37A6CFBF" w14:textId="77777777" w:rsidR="00633285" w:rsidRPr="001D5FCE" w:rsidRDefault="00163EA5">
            <w:pPr>
              <w:rPr>
                <w:rFonts w:ascii="Garamond" w:hAnsi="Garamond"/>
                <w:sz w:val="22"/>
                <w:szCs w:val="22"/>
              </w:rPr>
            </w:pPr>
            <w:r w:rsidRPr="001D5FCE">
              <w:rPr>
                <w:rFonts w:ascii="Garamond" w:hAnsi="Garamond"/>
                <w:sz w:val="22"/>
                <w:szCs w:val="22"/>
              </w:rPr>
              <w:t>X</w:t>
            </w:r>
          </w:p>
        </w:tc>
        <w:tc>
          <w:tcPr>
            <w:tcW w:w="1620" w:type="dxa"/>
            <w:tcBorders>
              <w:right w:val="double" w:sz="4" w:space="0" w:color="auto"/>
            </w:tcBorders>
          </w:tcPr>
          <w:p w14:paraId="157C9FB7" w14:textId="77777777" w:rsidR="00633285" w:rsidRPr="001D5FCE" w:rsidRDefault="00633285">
            <w:pPr>
              <w:rPr>
                <w:rFonts w:ascii="Garamond" w:hAnsi="Garamond"/>
                <w:sz w:val="22"/>
                <w:szCs w:val="22"/>
              </w:rPr>
            </w:pPr>
          </w:p>
        </w:tc>
      </w:tr>
      <w:tr w:rsidR="00633285" w:rsidRPr="001D5FCE" w14:paraId="66CE0A01" w14:textId="77777777">
        <w:trPr>
          <w:trHeight w:val="400"/>
        </w:trPr>
        <w:tc>
          <w:tcPr>
            <w:tcW w:w="6570" w:type="dxa"/>
            <w:tcBorders>
              <w:left w:val="double" w:sz="4" w:space="0" w:color="auto"/>
              <w:bottom w:val="double" w:sz="4" w:space="0" w:color="auto"/>
            </w:tcBorders>
          </w:tcPr>
          <w:p w14:paraId="713584AB" w14:textId="77777777" w:rsidR="00633285" w:rsidRPr="001D5FCE" w:rsidRDefault="00633285">
            <w:pPr>
              <w:rPr>
                <w:rFonts w:ascii="Garamond" w:hAnsi="Garamond"/>
                <w:sz w:val="22"/>
                <w:szCs w:val="22"/>
              </w:rPr>
            </w:pPr>
            <w:r w:rsidRPr="001D5FCE">
              <w:rPr>
                <w:rFonts w:ascii="Garamond" w:hAnsi="Garamond"/>
                <w:sz w:val="22"/>
                <w:szCs w:val="22"/>
              </w:rPr>
              <w:t>Quarterly Reporting Required</w:t>
            </w:r>
          </w:p>
        </w:tc>
        <w:tc>
          <w:tcPr>
            <w:tcW w:w="630" w:type="dxa"/>
            <w:tcBorders>
              <w:bottom w:val="double" w:sz="4" w:space="0" w:color="auto"/>
            </w:tcBorders>
          </w:tcPr>
          <w:p w14:paraId="2D2F96DF" w14:textId="77777777" w:rsidR="00633285" w:rsidRPr="001D5FCE" w:rsidRDefault="00633285">
            <w:pPr>
              <w:rPr>
                <w:rFonts w:ascii="Garamond" w:hAnsi="Garamond"/>
                <w:sz w:val="22"/>
                <w:szCs w:val="22"/>
              </w:rPr>
            </w:pPr>
          </w:p>
        </w:tc>
        <w:tc>
          <w:tcPr>
            <w:tcW w:w="540" w:type="dxa"/>
            <w:tcBorders>
              <w:bottom w:val="double" w:sz="4" w:space="0" w:color="auto"/>
            </w:tcBorders>
          </w:tcPr>
          <w:p w14:paraId="15BBC181" w14:textId="77777777" w:rsidR="00633285" w:rsidRPr="001D5FCE" w:rsidRDefault="00163EA5">
            <w:pPr>
              <w:rPr>
                <w:rFonts w:ascii="Garamond" w:hAnsi="Garamond"/>
                <w:sz w:val="22"/>
                <w:szCs w:val="22"/>
              </w:rPr>
            </w:pPr>
            <w:r w:rsidRPr="001D5FCE">
              <w:rPr>
                <w:rFonts w:ascii="Garamond" w:hAnsi="Garamond"/>
                <w:sz w:val="22"/>
                <w:szCs w:val="22"/>
              </w:rPr>
              <w:t>X</w:t>
            </w:r>
          </w:p>
        </w:tc>
        <w:tc>
          <w:tcPr>
            <w:tcW w:w="1620" w:type="dxa"/>
            <w:tcBorders>
              <w:bottom w:val="double" w:sz="4" w:space="0" w:color="auto"/>
              <w:right w:val="double" w:sz="4" w:space="0" w:color="auto"/>
            </w:tcBorders>
          </w:tcPr>
          <w:p w14:paraId="5EFB3932" w14:textId="77777777" w:rsidR="00633285" w:rsidRPr="001D5FCE" w:rsidRDefault="00633285">
            <w:pPr>
              <w:rPr>
                <w:rFonts w:ascii="Garamond" w:hAnsi="Garamond"/>
                <w:sz w:val="22"/>
                <w:szCs w:val="22"/>
              </w:rPr>
            </w:pPr>
          </w:p>
        </w:tc>
      </w:tr>
      <w:tr w:rsidR="00633285" w:rsidRPr="001D5FCE" w14:paraId="235E46AD" w14:textId="77777777">
        <w:trPr>
          <w:trHeight w:val="400"/>
        </w:trPr>
        <w:tc>
          <w:tcPr>
            <w:tcW w:w="6570" w:type="dxa"/>
            <w:tcBorders>
              <w:top w:val="double" w:sz="4" w:space="0" w:color="auto"/>
              <w:left w:val="double" w:sz="4" w:space="0" w:color="auto"/>
              <w:bottom w:val="double" w:sz="4" w:space="0" w:color="auto"/>
            </w:tcBorders>
          </w:tcPr>
          <w:p w14:paraId="0962B636" w14:textId="77777777" w:rsidR="00633285" w:rsidRPr="001D5FCE" w:rsidRDefault="00633285">
            <w:pPr>
              <w:pStyle w:val="Title"/>
              <w:rPr>
                <w:rFonts w:ascii="Garamond" w:hAnsi="Garamond"/>
                <w:sz w:val="22"/>
                <w:szCs w:val="22"/>
              </w:rPr>
            </w:pPr>
            <w:r w:rsidRPr="001D5FCE">
              <w:rPr>
                <w:rFonts w:ascii="Garamond" w:hAnsi="Garamond"/>
                <w:sz w:val="22"/>
                <w:szCs w:val="22"/>
              </w:rPr>
              <w:t>Applicable Air Quality Programs</w:t>
            </w:r>
          </w:p>
        </w:tc>
        <w:tc>
          <w:tcPr>
            <w:tcW w:w="630" w:type="dxa"/>
            <w:tcBorders>
              <w:top w:val="double" w:sz="4" w:space="0" w:color="auto"/>
              <w:bottom w:val="double" w:sz="4" w:space="0" w:color="auto"/>
            </w:tcBorders>
          </w:tcPr>
          <w:p w14:paraId="2AF4F409" w14:textId="77777777" w:rsidR="00633285" w:rsidRPr="001D5FCE" w:rsidRDefault="00633285">
            <w:pPr>
              <w:rPr>
                <w:rFonts w:ascii="Garamond" w:hAnsi="Garamond"/>
                <w:sz w:val="22"/>
                <w:szCs w:val="22"/>
              </w:rPr>
            </w:pPr>
          </w:p>
        </w:tc>
        <w:tc>
          <w:tcPr>
            <w:tcW w:w="540" w:type="dxa"/>
            <w:tcBorders>
              <w:top w:val="double" w:sz="4" w:space="0" w:color="auto"/>
              <w:bottom w:val="double" w:sz="4" w:space="0" w:color="auto"/>
            </w:tcBorders>
          </w:tcPr>
          <w:p w14:paraId="1242BC83" w14:textId="77777777" w:rsidR="00633285" w:rsidRPr="001D5FCE" w:rsidRDefault="00633285">
            <w:pPr>
              <w:rPr>
                <w:rFonts w:ascii="Garamond" w:hAnsi="Garamond"/>
                <w:sz w:val="22"/>
                <w:szCs w:val="22"/>
              </w:rPr>
            </w:pPr>
          </w:p>
        </w:tc>
        <w:tc>
          <w:tcPr>
            <w:tcW w:w="1620" w:type="dxa"/>
            <w:tcBorders>
              <w:top w:val="double" w:sz="4" w:space="0" w:color="auto"/>
              <w:bottom w:val="double" w:sz="4" w:space="0" w:color="auto"/>
              <w:right w:val="double" w:sz="4" w:space="0" w:color="auto"/>
            </w:tcBorders>
          </w:tcPr>
          <w:p w14:paraId="2546ACC2" w14:textId="77777777" w:rsidR="00633285" w:rsidRPr="001D5FCE" w:rsidRDefault="00633285">
            <w:pPr>
              <w:rPr>
                <w:rFonts w:ascii="Garamond" w:hAnsi="Garamond"/>
                <w:sz w:val="22"/>
                <w:szCs w:val="22"/>
              </w:rPr>
            </w:pPr>
          </w:p>
        </w:tc>
      </w:tr>
      <w:tr w:rsidR="00633285" w:rsidRPr="001D5FCE" w14:paraId="6D10AB00" w14:textId="77777777">
        <w:trPr>
          <w:trHeight w:val="400"/>
        </w:trPr>
        <w:tc>
          <w:tcPr>
            <w:tcW w:w="6570" w:type="dxa"/>
            <w:tcBorders>
              <w:top w:val="double" w:sz="4" w:space="0" w:color="auto"/>
              <w:left w:val="double" w:sz="4" w:space="0" w:color="auto"/>
            </w:tcBorders>
          </w:tcPr>
          <w:p w14:paraId="72CA172A" w14:textId="77777777" w:rsidR="00633285" w:rsidRPr="001D5FCE" w:rsidRDefault="00633285">
            <w:pPr>
              <w:rPr>
                <w:rFonts w:ascii="Garamond" w:hAnsi="Garamond"/>
                <w:sz w:val="22"/>
                <w:szCs w:val="22"/>
              </w:rPr>
            </w:pPr>
            <w:r w:rsidRPr="001D5FCE">
              <w:rPr>
                <w:rFonts w:ascii="Garamond" w:hAnsi="Garamond"/>
                <w:sz w:val="22"/>
                <w:szCs w:val="22"/>
              </w:rPr>
              <w:t xml:space="preserve">ARM Subchapter 7 </w:t>
            </w:r>
            <w:r w:rsidR="00467333" w:rsidRPr="001D5FCE">
              <w:rPr>
                <w:rFonts w:ascii="Garamond" w:hAnsi="Garamond"/>
                <w:sz w:val="22"/>
                <w:szCs w:val="22"/>
              </w:rPr>
              <w:t>– Montana Air Quality Permit</w:t>
            </w:r>
            <w:r w:rsidR="00CF049B" w:rsidRPr="001D5FCE">
              <w:rPr>
                <w:rFonts w:ascii="Garamond" w:hAnsi="Garamond"/>
                <w:sz w:val="22"/>
                <w:szCs w:val="22"/>
              </w:rPr>
              <w:t xml:space="preserve"> (MAQP)</w:t>
            </w:r>
          </w:p>
        </w:tc>
        <w:tc>
          <w:tcPr>
            <w:tcW w:w="630" w:type="dxa"/>
            <w:tcBorders>
              <w:top w:val="double" w:sz="4" w:space="0" w:color="auto"/>
            </w:tcBorders>
          </w:tcPr>
          <w:p w14:paraId="4DE78890" w14:textId="77777777" w:rsidR="00633285" w:rsidRPr="001D5FCE" w:rsidRDefault="003637D2">
            <w:pPr>
              <w:rPr>
                <w:rFonts w:ascii="Garamond" w:hAnsi="Garamond"/>
                <w:sz w:val="22"/>
                <w:szCs w:val="22"/>
              </w:rPr>
            </w:pPr>
            <w:r w:rsidRPr="001D5FCE">
              <w:rPr>
                <w:rFonts w:ascii="Garamond" w:hAnsi="Garamond"/>
                <w:sz w:val="22"/>
                <w:szCs w:val="22"/>
              </w:rPr>
              <w:t>X</w:t>
            </w:r>
          </w:p>
        </w:tc>
        <w:tc>
          <w:tcPr>
            <w:tcW w:w="540" w:type="dxa"/>
            <w:tcBorders>
              <w:top w:val="double" w:sz="4" w:space="0" w:color="auto"/>
            </w:tcBorders>
          </w:tcPr>
          <w:p w14:paraId="466EE224" w14:textId="77777777" w:rsidR="00633285" w:rsidRPr="001D5FCE" w:rsidRDefault="00633285">
            <w:pPr>
              <w:rPr>
                <w:rFonts w:ascii="Garamond" w:hAnsi="Garamond"/>
                <w:sz w:val="22"/>
                <w:szCs w:val="22"/>
              </w:rPr>
            </w:pPr>
          </w:p>
        </w:tc>
        <w:tc>
          <w:tcPr>
            <w:tcW w:w="1620" w:type="dxa"/>
            <w:tcBorders>
              <w:top w:val="double" w:sz="4" w:space="0" w:color="auto"/>
              <w:right w:val="double" w:sz="4" w:space="0" w:color="auto"/>
            </w:tcBorders>
          </w:tcPr>
          <w:p w14:paraId="26E65326" w14:textId="593BCB3D" w:rsidR="00633285" w:rsidRPr="001D5FCE" w:rsidRDefault="003637D2">
            <w:pPr>
              <w:rPr>
                <w:rFonts w:ascii="Garamond" w:hAnsi="Garamond"/>
                <w:sz w:val="22"/>
                <w:szCs w:val="22"/>
              </w:rPr>
            </w:pPr>
            <w:r w:rsidRPr="001D5FCE">
              <w:rPr>
                <w:rFonts w:ascii="Garamond" w:hAnsi="Garamond"/>
                <w:sz w:val="22"/>
                <w:szCs w:val="22"/>
              </w:rPr>
              <w:t>MAQP #1689-</w:t>
            </w:r>
            <w:r w:rsidR="00073B42">
              <w:rPr>
                <w:rFonts w:ascii="Garamond" w:hAnsi="Garamond"/>
                <w:sz w:val="22"/>
                <w:szCs w:val="22"/>
              </w:rPr>
              <w:t>10</w:t>
            </w:r>
          </w:p>
        </w:tc>
      </w:tr>
      <w:tr w:rsidR="00633285" w:rsidRPr="001D5FCE" w14:paraId="1169DB4E" w14:textId="77777777">
        <w:trPr>
          <w:trHeight w:val="400"/>
        </w:trPr>
        <w:tc>
          <w:tcPr>
            <w:tcW w:w="6570" w:type="dxa"/>
            <w:tcBorders>
              <w:left w:val="double" w:sz="4" w:space="0" w:color="auto"/>
            </w:tcBorders>
          </w:tcPr>
          <w:p w14:paraId="337D02CE" w14:textId="77777777" w:rsidR="00633285" w:rsidRPr="001D5FCE" w:rsidRDefault="00633285">
            <w:pPr>
              <w:rPr>
                <w:rFonts w:ascii="Garamond" w:hAnsi="Garamond"/>
                <w:sz w:val="22"/>
                <w:szCs w:val="22"/>
              </w:rPr>
            </w:pPr>
            <w:r w:rsidRPr="001D5FCE">
              <w:rPr>
                <w:rFonts w:ascii="Garamond" w:hAnsi="Garamond"/>
                <w:sz w:val="22"/>
                <w:szCs w:val="22"/>
              </w:rPr>
              <w:t>New Source Performance Standards (NSPS)</w:t>
            </w:r>
            <w:r w:rsidR="001519B0" w:rsidRPr="001D5FCE">
              <w:rPr>
                <w:rFonts w:ascii="Garamond" w:hAnsi="Garamond"/>
                <w:sz w:val="22"/>
                <w:szCs w:val="22"/>
              </w:rPr>
              <w:t xml:space="preserve"> </w:t>
            </w:r>
          </w:p>
        </w:tc>
        <w:tc>
          <w:tcPr>
            <w:tcW w:w="630" w:type="dxa"/>
          </w:tcPr>
          <w:p w14:paraId="5DE17093" w14:textId="77777777" w:rsidR="00633285" w:rsidRPr="001D5FCE" w:rsidRDefault="001519B0">
            <w:pPr>
              <w:rPr>
                <w:rFonts w:ascii="Garamond" w:hAnsi="Garamond"/>
                <w:sz w:val="22"/>
                <w:szCs w:val="22"/>
              </w:rPr>
            </w:pPr>
            <w:r w:rsidRPr="001D5FCE">
              <w:rPr>
                <w:rFonts w:ascii="Garamond" w:hAnsi="Garamond"/>
                <w:sz w:val="22"/>
                <w:szCs w:val="22"/>
              </w:rPr>
              <w:t>X</w:t>
            </w:r>
          </w:p>
        </w:tc>
        <w:tc>
          <w:tcPr>
            <w:tcW w:w="540" w:type="dxa"/>
          </w:tcPr>
          <w:p w14:paraId="2CA8AC24" w14:textId="77777777" w:rsidR="00633285" w:rsidRPr="001D5FCE" w:rsidRDefault="00633285">
            <w:pPr>
              <w:rPr>
                <w:rFonts w:ascii="Garamond" w:hAnsi="Garamond"/>
                <w:sz w:val="22"/>
                <w:szCs w:val="22"/>
              </w:rPr>
            </w:pPr>
          </w:p>
        </w:tc>
        <w:tc>
          <w:tcPr>
            <w:tcW w:w="1620" w:type="dxa"/>
            <w:tcBorders>
              <w:right w:val="double" w:sz="4" w:space="0" w:color="auto"/>
            </w:tcBorders>
          </w:tcPr>
          <w:p w14:paraId="5DE0BAC4" w14:textId="08F6DBEC" w:rsidR="00633285" w:rsidRPr="001D5FCE" w:rsidRDefault="003637D2">
            <w:pPr>
              <w:rPr>
                <w:rFonts w:ascii="Garamond" w:hAnsi="Garamond"/>
                <w:sz w:val="22"/>
                <w:szCs w:val="22"/>
              </w:rPr>
            </w:pPr>
            <w:r w:rsidRPr="001D5FCE">
              <w:rPr>
                <w:rFonts w:ascii="Garamond" w:hAnsi="Garamond"/>
                <w:sz w:val="22"/>
                <w:szCs w:val="22"/>
              </w:rPr>
              <w:t>40 CFR 60, Subpart A</w:t>
            </w:r>
            <w:r w:rsidR="00D37AF6">
              <w:rPr>
                <w:rFonts w:ascii="Garamond" w:hAnsi="Garamond"/>
                <w:sz w:val="22"/>
                <w:szCs w:val="22"/>
              </w:rPr>
              <w:t>, Subpart LL</w:t>
            </w:r>
            <w:r w:rsidRPr="001D5FCE">
              <w:rPr>
                <w:rFonts w:ascii="Garamond" w:hAnsi="Garamond"/>
                <w:sz w:val="22"/>
                <w:szCs w:val="22"/>
              </w:rPr>
              <w:t xml:space="preserve"> and Subpart </w:t>
            </w:r>
            <w:r w:rsidR="00D37AF6">
              <w:rPr>
                <w:rFonts w:ascii="Garamond" w:hAnsi="Garamond"/>
                <w:sz w:val="22"/>
                <w:szCs w:val="22"/>
              </w:rPr>
              <w:t>IIII</w:t>
            </w:r>
          </w:p>
        </w:tc>
      </w:tr>
      <w:tr w:rsidR="00633285" w:rsidRPr="001D5FCE" w14:paraId="5891B8E2" w14:textId="77777777">
        <w:trPr>
          <w:trHeight w:val="400"/>
        </w:trPr>
        <w:tc>
          <w:tcPr>
            <w:tcW w:w="6570" w:type="dxa"/>
            <w:tcBorders>
              <w:left w:val="double" w:sz="4" w:space="0" w:color="auto"/>
            </w:tcBorders>
          </w:tcPr>
          <w:p w14:paraId="250EFA9B" w14:textId="77777777" w:rsidR="00633285" w:rsidRPr="001D5FCE" w:rsidRDefault="00633285">
            <w:pPr>
              <w:rPr>
                <w:rFonts w:ascii="Garamond" w:hAnsi="Garamond"/>
                <w:sz w:val="22"/>
                <w:szCs w:val="22"/>
              </w:rPr>
            </w:pPr>
            <w:r w:rsidRPr="001D5FCE">
              <w:rPr>
                <w:rFonts w:ascii="Garamond" w:hAnsi="Garamond"/>
                <w:sz w:val="22"/>
                <w:szCs w:val="22"/>
              </w:rPr>
              <w:t>National Emission Standards for Hazardous Air Pollutants (NESHAPS)</w:t>
            </w:r>
          </w:p>
        </w:tc>
        <w:tc>
          <w:tcPr>
            <w:tcW w:w="630" w:type="dxa"/>
          </w:tcPr>
          <w:p w14:paraId="4AB0D9C9" w14:textId="77777777" w:rsidR="00633285" w:rsidRPr="001D5FCE" w:rsidRDefault="00633285">
            <w:pPr>
              <w:pStyle w:val="Header"/>
              <w:tabs>
                <w:tab w:val="clear" w:pos="4320"/>
                <w:tab w:val="clear" w:pos="8640"/>
              </w:tabs>
              <w:rPr>
                <w:rFonts w:ascii="Garamond" w:hAnsi="Garamond"/>
                <w:sz w:val="22"/>
                <w:szCs w:val="22"/>
                <w:highlight w:val="yellow"/>
              </w:rPr>
            </w:pPr>
          </w:p>
        </w:tc>
        <w:tc>
          <w:tcPr>
            <w:tcW w:w="540" w:type="dxa"/>
          </w:tcPr>
          <w:p w14:paraId="7D9FC6D0" w14:textId="77777777" w:rsidR="00633285" w:rsidRPr="001D5FCE" w:rsidRDefault="004E7A76">
            <w:pPr>
              <w:rPr>
                <w:rFonts w:ascii="Garamond" w:hAnsi="Garamond"/>
                <w:sz w:val="22"/>
                <w:szCs w:val="22"/>
                <w:highlight w:val="yellow"/>
              </w:rPr>
            </w:pPr>
            <w:r w:rsidRPr="001D5FCE">
              <w:rPr>
                <w:rFonts w:ascii="Garamond" w:hAnsi="Garamond"/>
                <w:sz w:val="22"/>
                <w:szCs w:val="22"/>
              </w:rPr>
              <w:t>X</w:t>
            </w:r>
          </w:p>
        </w:tc>
        <w:tc>
          <w:tcPr>
            <w:tcW w:w="1620" w:type="dxa"/>
            <w:tcBorders>
              <w:right w:val="double" w:sz="4" w:space="0" w:color="auto"/>
            </w:tcBorders>
          </w:tcPr>
          <w:p w14:paraId="759B0EBF" w14:textId="77777777" w:rsidR="00633285" w:rsidRPr="001D5FCE" w:rsidRDefault="00633285">
            <w:pPr>
              <w:rPr>
                <w:rFonts w:ascii="Garamond" w:hAnsi="Garamond"/>
                <w:sz w:val="22"/>
                <w:szCs w:val="22"/>
                <w:highlight w:val="yellow"/>
              </w:rPr>
            </w:pPr>
          </w:p>
        </w:tc>
      </w:tr>
      <w:tr w:rsidR="00633285" w:rsidRPr="001D5FCE" w14:paraId="19724D0D" w14:textId="77777777">
        <w:trPr>
          <w:trHeight w:val="400"/>
        </w:trPr>
        <w:tc>
          <w:tcPr>
            <w:tcW w:w="6570" w:type="dxa"/>
            <w:tcBorders>
              <w:left w:val="double" w:sz="4" w:space="0" w:color="auto"/>
            </w:tcBorders>
          </w:tcPr>
          <w:p w14:paraId="696EADE9" w14:textId="77777777" w:rsidR="00633285" w:rsidRPr="001D5FCE" w:rsidRDefault="00633285">
            <w:pPr>
              <w:rPr>
                <w:rFonts w:ascii="Garamond" w:hAnsi="Garamond"/>
                <w:sz w:val="22"/>
                <w:szCs w:val="22"/>
              </w:rPr>
            </w:pPr>
            <w:r w:rsidRPr="001D5FCE">
              <w:rPr>
                <w:rFonts w:ascii="Garamond" w:hAnsi="Garamond"/>
                <w:sz w:val="22"/>
                <w:szCs w:val="22"/>
              </w:rPr>
              <w:t>Maximum Achievable Control Technology (MACT)</w:t>
            </w:r>
          </w:p>
        </w:tc>
        <w:tc>
          <w:tcPr>
            <w:tcW w:w="630" w:type="dxa"/>
          </w:tcPr>
          <w:p w14:paraId="5612AE7E" w14:textId="77777777" w:rsidR="00633285" w:rsidRPr="001D5FCE" w:rsidRDefault="009A390B">
            <w:pPr>
              <w:rPr>
                <w:rFonts w:ascii="Garamond" w:hAnsi="Garamond"/>
                <w:sz w:val="22"/>
                <w:szCs w:val="22"/>
              </w:rPr>
            </w:pPr>
            <w:r w:rsidRPr="001D5FCE">
              <w:rPr>
                <w:rFonts w:ascii="Garamond" w:hAnsi="Garamond"/>
                <w:sz w:val="22"/>
                <w:szCs w:val="22"/>
              </w:rPr>
              <w:t>X</w:t>
            </w:r>
          </w:p>
        </w:tc>
        <w:tc>
          <w:tcPr>
            <w:tcW w:w="540" w:type="dxa"/>
          </w:tcPr>
          <w:p w14:paraId="25BCF25D" w14:textId="77777777" w:rsidR="00633285" w:rsidRPr="001D5FCE" w:rsidRDefault="00633285">
            <w:pPr>
              <w:rPr>
                <w:rFonts w:ascii="Garamond" w:hAnsi="Garamond"/>
                <w:sz w:val="22"/>
                <w:szCs w:val="22"/>
              </w:rPr>
            </w:pPr>
          </w:p>
        </w:tc>
        <w:tc>
          <w:tcPr>
            <w:tcW w:w="1620" w:type="dxa"/>
            <w:tcBorders>
              <w:right w:val="double" w:sz="4" w:space="0" w:color="auto"/>
            </w:tcBorders>
          </w:tcPr>
          <w:p w14:paraId="5CAAA46A" w14:textId="1D4E571F" w:rsidR="00633285" w:rsidRPr="001D5FCE" w:rsidRDefault="003637D2">
            <w:pPr>
              <w:rPr>
                <w:rFonts w:ascii="Garamond" w:hAnsi="Garamond"/>
                <w:sz w:val="22"/>
                <w:szCs w:val="22"/>
              </w:rPr>
            </w:pPr>
            <w:r w:rsidRPr="001D5FCE">
              <w:rPr>
                <w:rFonts w:ascii="Garamond" w:hAnsi="Garamond"/>
                <w:sz w:val="22"/>
                <w:szCs w:val="22"/>
              </w:rPr>
              <w:t xml:space="preserve">40 CFR 63, </w:t>
            </w:r>
            <w:r w:rsidR="00613F73">
              <w:rPr>
                <w:rFonts w:ascii="Garamond" w:hAnsi="Garamond"/>
                <w:sz w:val="22"/>
                <w:szCs w:val="22"/>
              </w:rPr>
              <w:t xml:space="preserve"> Subpart A, </w:t>
            </w:r>
            <w:r w:rsidR="000B5D43">
              <w:rPr>
                <w:rFonts w:ascii="Garamond" w:hAnsi="Garamond"/>
                <w:sz w:val="22"/>
                <w:szCs w:val="22"/>
              </w:rPr>
              <w:t xml:space="preserve">Subpart </w:t>
            </w:r>
            <w:r w:rsidR="00613F73">
              <w:rPr>
                <w:rFonts w:ascii="Garamond" w:hAnsi="Garamond"/>
                <w:sz w:val="22"/>
                <w:szCs w:val="22"/>
              </w:rPr>
              <w:t>ZZZ</w:t>
            </w:r>
            <w:r w:rsidR="00095B2F">
              <w:rPr>
                <w:rFonts w:ascii="Garamond" w:hAnsi="Garamond"/>
                <w:sz w:val="22"/>
                <w:szCs w:val="22"/>
              </w:rPr>
              <w:t>Z</w:t>
            </w:r>
            <w:r w:rsidR="00613F73">
              <w:rPr>
                <w:rFonts w:ascii="Garamond" w:hAnsi="Garamond"/>
                <w:sz w:val="22"/>
                <w:szCs w:val="22"/>
              </w:rPr>
              <w:t xml:space="preserve"> and </w:t>
            </w:r>
            <w:r w:rsidRPr="001D5FCE">
              <w:rPr>
                <w:rFonts w:ascii="Garamond" w:hAnsi="Garamond"/>
                <w:sz w:val="22"/>
                <w:szCs w:val="22"/>
              </w:rPr>
              <w:t>Subpart EEEEEEE</w:t>
            </w:r>
          </w:p>
        </w:tc>
      </w:tr>
      <w:tr w:rsidR="00633285" w:rsidRPr="001D5FCE" w14:paraId="231C3398" w14:textId="77777777">
        <w:trPr>
          <w:trHeight w:val="400"/>
        </w:trPr>
        <w:tc>
          <w:tcPr>
            <w:tcW w:w="6570" w:type="dxa"/>
            <w:tcBorders>
              <w:left w:val="double" w:sz="4" w:space="0" w:color="auto"/>
            </w:tcBorders>
          </w:tcPr>
          <w:p w14:paraId="5102BDB2" w14:textId="77777777" w:rsidR="00633285" w:rsidRPr="001D5FCE" w:rsidRDefault="00633285">
            <w:pPr>
              <w:rPr>
                <w:rFonts w:ascii="Garamond" w:hAnsi="Garamond"/>
                <w:sz w:val="22"/>
                <w:szCs w:val="22"/>
              </w:rPr>
            </w:pPr>
            <w:r w:rsidRPr="001D5FCE">
              <w:rPr>
                <w:rFonts w:ascii="Garamond" w:hAnsi="Garamond"/>
                <w:sz w:val="22"/>
                <w:szCs w:val="22"/>
              </w:rPr>
              <w:t>Major New Source Review (NSR) – includes Prevention of Significant Deterioration (PSD) and/or Non-attainment Area (NAA) NSR</w:t>
            </w:r>
          </w:p>
        </w:tc>
        <w:tc>
          <w:tcPr>
            <w:tcW w:w="630" w:type="dxa"/>
          </w:tcPr>
          <w:p w14:paraId="71342490" w14:textId="77777777" w:rsidR="00633285" w:rsidRPr="001D5FCE" w:rsidRDefault="00633285">
            <w:pPr>
              <w:rPr>
                <w:rFonts w:ascii="Garamond" w:hAnsi="Garamond"/>
                <w:sz w:val="22"/>
                <w:szCs w:val="22"/>
              </w:rPr>
            </w:pPr>
          </w:p>
        </w:tc>
        <w:tc>
          <w:tcPr>
            <w:tcW w:w="540" w:type="dxa"/>
          </w:tcPr>
          <w:p w14:paraId="786B8C6A" w14:textId="77777777" w:rsidR="00633285" w:rsidRPr="001D5FCE" w:rsidRDefault="009A390B">
            <w:pPr>
              <w:rPr>
                <w:rFonts w:ascii="Garamond" w:hAnsi="Garamond"/>
                <w:sz w:val="22"/>
                <w:szCs w:val="22"/>
              </w:rPr>
            </w:pPr>
            <w:r w:rsidRPr="001D5FCE">
              <w:rPr>
                <w:rFonts w:ascii="Garamond" w:hAnsi="Garamond"/>
                <w:sz w:val="22"/>
                <w:szCs w:val="22"/>
              </w:rPr>
              <w:t>X</w:t>
            </w:r>
          </w:p>
        </w:tc>
        <w:tc>
          <w:tcPr>
            <w:tcW w:w="1620" w:type="dxa"/>
            <w:tcBorders>
              <w:right w:val="double" w:sz="4" w:space="0" w:color="auto"/>
            </w:tcBorders>
          </w:tcPr>
          <w:p w14:paraId="50F6B21F" w14:textId="77777777" w:rsidR="00633285" w:rsidRPr="001D5FCE" w:rsidRDefault="00633285">
            <w:pPr>
              <w:rPr>
                <w:rFonts w:ascii="Garamond" w:hAnsi="Garamond"/>
                <w:sz w:val="22"/>
                <w:szCs w:val="22"/>
              </w:rPr>
            </w:pPr>
          </w:p>
        </w:tc>
      </w:tr>
      <w:tr w:rsidR="00633285" w:rsidRPr="001D5FCE" w14:paraId="2E35B10E" w14:textId="77777777">
        <w:trPr>
          <w:trHeight w:val="400"/>
        </w:trPr>
        <w:tc>
          <w:tcPr>
            <w:tcW w:w="6570" w:type="dxa"/>
            <w:tcBorders>
              <w:left w:val="double" w:sz="4" w:space="0" w:color="auto"/>
            </w:tcBorders>
          </w:tcPr>
          <w:p w14:paraId="0BF40A04" w14:textId="77777777" w:rsidR="00633285" w:rsidRPr="001D5FCE" w:rsidRDefault="00633285">
            <w:pPr>
              <w:rPr>
                <w:rFonts w:ascii="Garamond" w:hAnsi="Garamond"/>
                <w:sz w:val="22"/>
                <w:szCs w:val="22"/>
              </w:rPr>
            </w:pPr>
            <w:r w:rsidRPr="001D5FCE">
              <w:rPr>
                <w:rFonts w:ascii="Garamond" w:hAnsi="Garamond"/>
                <w:sz w:val="22"/>
                <w:szCs w:val="22"/>
              </w:rPr>
              <w:t>Risk Management Plan Required (RMP)</w:t>
            </w:r>
          </w:p>
        </w:tc>
        <w:tc>
          <w:tcPr>
            <w:tcW w:w="630" w:type="dxa"/>
          </w:tcPr>
          <w:p w14:paraId="2C30ECFB" w14:textId="77777777" w:rsidR="00633285" w:rsidRPr="001D5FCE" w:rsidRDefault="00633285">
            <w:pPr>
              <w:rPr>
                <w:rFonts w:ascii="Garamond" w:hAnsi="Garamond"/>
                <w:sz w:val="22"/>
                <w:szCs w:val="22"/>
              </w:rPr>
            </w:pPr>
          </w:p>
        </w:tc>
        <w:tc>
          <w:tcPr>
            <w:tcW w:w="540" w:type="dxa"/>
          </w:tcPr>
          <w:p w14:paraId="6C00357E" w14:textId="77777777" w:rsidR="00633285" w:rsidRPr="001D5FCE" w:rsidRDefault="009A390B">
            <w:pPr>
              <w:rPr>
                <w:rFonts w:ascii="Garamond" w:hAnsi="Garamond"/>
                <w:sz w:val="22"/>
                <w:szCs w:val="22"/>
              </w:rPr>
            </w:pPr>
            <w:r w:rsidRPr="001D5FCE">
              <w:rPr>
                <w:rFonts w:ascii="Garamond" w:hAnsi="Garamond"/>
                <w:sz w:val="22"/>
                <w:szCs w:val="22"/>
              </w:rPr>
              <w:t>X</w:t>
            </w:r>
          </w:p>
        </w:tc>
        <w:tc>
          <w:tcPr>
            <w:tcW w:w="1620" w:type="dxa"/>
            <w:tcBorders>
              <w:right w:val="double" w:sz="4" w:space="0" w:color="auto"/>
            </w:tcBorders>
          </w:tcPr>
          <w:p w14:paraId="5F111A95" w14:textId="77777777" w:rsidR="00633285" w:rsidRPr="001D5FCE" w:rsidRDefault="00633285">
            <w:pPr>
              <w:rPr>
                <w:rFonts w:ascii="Garamond" w:hAnsi="Garamond"/>
                <w:sz w:val="22"/>
                <w:szCs w:val="22"/>
              </w:rPr>
            </w:pPr>
          </w:p>
        </w:tc>
      </w:tr>
      <w:tr w:rsidR="00633285" w:rsidRPr="001D5FCE" w14:paraId="341EC445" w14:textId="77777777">
        <w:trPr>
          <w:trHeight w:val="400"/>
        </w:trPr>
        <w:tc>
          <w:tcPr>
            <w:tcW w:w="6570" w:type="dxa"/>
            <w:tcBorders>
              <w:left w:val="double" w:sz="4" w:space="0" w:color="auto"/>
            </w:tcBorders>
          </w:tcPr>
          <w:p w14:paraId="5CD62147" w14:textId="77777777" w:rsidR="00633285" w:rsidRPr="001D5FCE" w:rsidRDefault="00633285">
            <w:pPr>
              <w:rPr>
                <w:rFonts w:ascii="Garamond" w:hAnsi="Garamond"/>
                <w:sz w:val="22"/>
                <w:szCs w:val="22"/>
              </w:rPr>
            </w:pPr>
            <w:r w:rsidRPr="001D5FCE">
              <w:rPr>
                <w:rFonts w:ascii="Garamond" w:hAnsi="Garamond"/>
                <w:sz w:val="22"/>
                <w:szCs w:val="22"/>
              </w:rPr>
              <w:t>Acid Rain Title IV</w:t>
            </w:r>
          </w:p>
        </w:tc>
        <w:tc>
          <w:tcPr>
            <w:tcW w:w="630" w:type="dxa"/>
          </w:tcPr>
          <w:p w14:paraId="1DC78DAB" w14:textId="77777777" w:rsidR="00633285" w:rsidRPr="001D5FCE" w:rsidRDefault="00633285">
            <w:pPr>
              <w:rPr>
                <w:rFonts w:ascii="Garamond" w:hAnsi="Garamond"/>
                <w:sz w:val="22"/>
                <w:szCs w:val="22"/>
              </w:rPr>
            </w:pPr>
          </w:p>
        </w:tc>
        <w:tc>
          <w:tcPr>
            <w:tcW w:w="540" w:type="dxa"/>
          </w:tcPr>
          <w:p w14:paraId="0B9289AE" w14:textId="77777777" w:rsidR="00633285" w:rsidRPr="001D5FCE" w:rsidRDefault="009A390B">
            <w:pPr>
              <w:rPr>
                <w:rFonts w:ascii="Garamond" w:hAnsi="Garamond"/>
                <w:sz w:val="22"/>
                <w:szCs w:val="22"/>
              </w:rPr>
            </w:pPr>
            <w:r w:rsidRPr="001D5FCE">
              <w:rPr>
                <w:rFonts w:ascii="Garamond" w:hAnsi="Garamond"/>
                <w:sz w:val="22"/>
                <w:szCs w:val="22"/>
              </w:rPr>
              <w:t>X</w:t>
            </w:r>
          </w:p>
        </w:tc>
        <w:tc>
          <w:tcPr>
            <w:tcW w:w="1620" w:type="dxa"/>
            <w:tcBorders>
              <w:right w:val="double" w:sz="4" w:space="0" w:color="auto"/>
            </w:tcBorders>
          </w:tcPr>
          <w:p w14:paraId="0FB8804D" w14:textId="77777777" w:rsidR="00633285" w:rsidRPr="001D5FCE" w:rsidRDefault="00633285">
            <w:pPr>
              <w:rPr>
                <w:rFonts w:ascii="Garamond" w:hAnsi="Garamond"/>
                <w:sz w:val="22"/>
                <w:szCs w:val="22"/>
              </w:rPr>
            </w:pPr>
          </w:p>
        </w:tc>
      </w:tr>
      <w:tr w:rsidR="00633285" w:rsidRPr="001D5FCE" w14:paraId="647594F4" w14:textId="77777777">
        <w:trPr>
          <w:trHeight w:val="400"/>
        </w:trPr>
        <w:tc>
          <w:tcPr>
            <w:tcW w:w="6570" w:type="dxa"/>
            <w:tcBorders>
              <w:left w:val="double" w:sz="4" w:space="0" w:color="auto"/>
            </w:tcBorders>
          </w:tcPr>
          <w:p w14:paraId="1B5C4AAF" w14:textId="77777777" w:rsidR="00633285" w:rsidRPr="001D5FCE" w:rsidRDefault="00633285">
            <w:pPr>
              <w:rPr>
                <w:rFonts w:ascii="Garamond" w:hAnsi="Garamond"/>
                <w:sz w:val="22"/>
                <w:szCs w:val="22"/>
              </w:rPr>
            </w:pPr>
            <w:r w:rsidRPr="001D5FCE">
              <w:rPr>
                <w:rFonts w:ascii="Garamond" w:hAnsi="Garamond"/>
                <w:sz w:val="22"/>
                <w:szCs w:val="22"/>
              </w:rPr>
              <w:t>Compliance Assurance Monitoring (CAM)</w:t>
            </w:r>
          </w:p>
        </w:tc>
        <w:tc>
          <w:tcPr>
            <w:tcW w:w="630" w:type="dxa"/>
          </w:tcPr>
          <w:p w14:paraId="3EA9D738" w14:textId="77777777" w:rsidR="00633285" w:rsidRPr="001D5FCE" w:rsidRDefault="00633285">
            <w:pPr>
              <w:rPr>
                <w:rFonts w:ascii="Garamond" w:hAnsi="Garamond"/>
                <w:sz w:val="22"/>
                <w:szCs w:val="22"/>
              </w:rPr>
            </w:pPr>
          </w:p>
        </w:tc>
        <w:tc>
          <w:tcPr>
            <w:tcW w:w="540" w:type="dxa"/>
          </w:tcPr>
          <w:p w14:paraId="14B2494D" w14:textId="77777777" w:rsidR="00633285" w:rsidRPr="001D5FCE" w:rsidRDefault="009A390B">
            <w:pPr>
              <w:rPr>
                <w:rFonts w:ascii="Garamond" w:hAnsi="Garamond"/>
                <w:sz w:val="22"/>
                <w:szCs w:val="22"/>
              </w:rPr>
            </w:pPr>
            <w:r w:rsidRPr="001D5FCE">
              <w:rPr>
                <w:rFonts w:ascii="Garamond" w:hAnsi="Garamond"/>
                <w:sz w:val="22"/>
                <w:szCs w:val="22"/>
              </w:rPr>
              <w:t>X</w:t>
            </w:r>
          </w:p>
        </w:tc>
        <w:tc>
          <w:tcPr>
            <w:tcW w:w="1620" w:type="dxa"/>
            <w:tcBorders>
              <w:right w:val="double" w:sz="4" w:space="0" w:color="auto"/>
            </w:tcBorders>
          </w:tcPr>
          <w:p w14:paraId="16B2CD2A" w14:textId="77777777" w:rsidR="00633285" w:rsidRPr="001D5FCE" w:rsidRDefault="00633285">
            <w:pPr>
              <w:rPr>
                <w:rFonts w:ascii="Garamond" w:hAnsi="Garamond"/>
                <w:sz w:val="22"/>
                <w:szCs w:val="22"/>
              </w:rPr>
            </w:pPr>
          </w:p>
        </w:tc>
      </w:tr>
      <w:tr w:rsidR="00633285" w:rsidRPr="001D5FCE" w14:paraId="0BA18B4F" w14:textId="77777777">
        <w:trPr>
          <w:trHeight w:val="400"/>
        </w:trPr>
        <w:tc>
          <w:tcPr>
            <w:tcW w:w="6570" w:type="dxa"/>
            <w:tcBorders>
              <w:left w:val="double" w:sz="4" w:space="0" w:color="auto"/>
              <w:bottom w:val="double" w:sz="4" w:space="0" w:color="auto"/>
            </w:tcBorders>
          </w:tcPr>
          <w:p w14:paraId="0DE04689" w14:textId="77777777" w:rsidR="00633285" w:rsidRPr="001D5FCE" w:rsidRDefault="00633285">
            <w:pPr>
              <w:rPr>
                <w:rFonts w:ascii="Garamond" w:hAnsi="Garamond"/>
                <w:sz w:val="22"/>
                <w:szCs w:val="22"/>
              </w:rPr>
            </w:pPr>
            <w:r w:rsidRPr="001D5FCE">
              <w:rPr>
                <w:rFonts w:ascii="Garamond" w:hAnsi="Garamond"/>
                <w:sz w:val="22"/>
                <w:szCs w:val="22"/>
              </w:rPr>
              <w:t>State Implementation Plan (SIP)</w:t>
            </w:r>
          </w:p>
        </w:tc>
        <w:tc>
          <w:tcPr>
            <w:tcW w:w="630" w:type="dxa"/>
            <w:tcBorders>
              <w:bottom w:val="double" w:sz="4" w:space="0" w:color="auto"/>
            </w:tcBorders>
          </w:tcPr>
          <w:p w14:paraId="6FFEACD7" w14:textId="77777777" w:rsidR="00633285" w:rsidRPr="001D5FCE" w:rsidRDefault="009A390B">
            <w:pPr>
              <w:rPr>
                <w:rFonts w:ascii="Garamond" w:hAnsi="Garamond"/>
                <w:sz w:val="22"/>
                <w:szCs w:val="22"/>
              </w:rPr>
            </w:pPr>
            <w:r w:rsidRPr="001D5FCE">
              <w:rPr>
                <w:rFonts w:ascii="Garamond" w:hAnsi="Garamond"/>
                <w:sz w:val="22"/>
                <w:szCs w:val="22"/>
              </w:rPr>
              <w:t>X</w:t>
            </w:r>
          </w:p>
        </w:tc>
        <w:tc>
          <w:tcPr>
            <w:tcW w:w="540" w:type="dxa"/>
            <w:tcBorders>
              <w:bottom w:val="double" w:sz="4" w:space="0" w:color="auto"/>
            </w:tcBorders>
          </w:tcPr>
          <w:p w14:paraId="1839A15B" w14:textId="77777777" w:rsidR="00633285" w:rsidRPr="001D5FCE" w:rsidRDefault="00633285">
            <w:pPr>
              <w:rPr>
                <w:rFonts w:ascii="Garamond" w:hAnsi="Garamond"/>
                <w:sz w:val="22"/>
                <w:szCs w:val="22"/>
              </w:rPr>
            </w:pPr>
          </w:p>
        </w:tc>
        <w:tc>
          <w:tcPr>
            <w:tcW w:w="1620" w:type="dxa"/>
            <w:tcBorders>
              <w:bottom w:val="double" w:sz="4" w:space="0" w:color="auto"/>
              <w:right w:val="double" w:sz="4" w:space="0" w:color="auto"/>
            </w:tcBorders>
          </w:tcPr>
          <w:p w14:paraId="75EFCD3D" w14:textId="77777777" w:rsidR="00633285" w:rsidRPr="001D5FCE" w:rsidRDefault="009A390B">
            <w:pPr>
              <w:rPr>
                <w:rFonts w:ascii="Garamond" w:hAnsi="Garamond"/>
                <w:sz w:val="22"/>
                <w:szCs w:val="22"/>
              </w:rPr>
            </w:pPr>
            <w:r w:rsidRPr="001D5FCE">
              <w:rPr>
                <w:rFonts w:ascii="Garamond" w:hAnsi="Garamond"/>
                <w:sz w:val="22"/>
                <w:szCs w:val="22"/>
              </w:rPr>
              <w:t>General SIP</w:t>
            </w:r>
          </w:p>
        </w:tc>
      </w:tr>
    </w:tbl>
    <w:sdt>
      <w:sdtPr>
        <w:rPr>
          <w:rFonts w:ascii="Times New Roman" w:eastAsia="Times New Roman" w:hAnsi="Times New Roman" w:cs="Times New Roman"/>
          <w:color w:val="auto"/>
          <w:sz w:val="20"/>
          <w:szCs w:val="20"/>
        </w:rPr>
        <w:id w:val="-1531406109"/>
        <w:docPartObj>
          <w:docPartGallery w:val="Table of Contents"/>
          <w:docPartUnique/>
        </w:docPartObj>
      </w:sdtPr>
      <w:sdtEndPr>
        <w:rPr>
          <w:b/>
          <w:bCs/>
          <w:noProof/>
        </w:rPr>
      </w:sdtEndPr>
      <w:sdtContent>
        <w:p w14:paraId="56643299" w14:textId="18DC3152" w:rsidR="002772C0" w:rsidRPr="002772C0" w:rsidRDefault="002772C0" w:rsidP="002772C0">
          <w:pPr>
            <w:pStyle w:val="TOCHeading"/>
            <w:jc w:val="center"/>
            <w:rPr>
              <w:rFonts w:ascii="Garamond" w:hAnsi="Garamond"/>
              <w:color w:val="auto"/>
              <w:u w:val="single"/>
            </w:rPr>
          </w:pPr>
          <w:r w:rsidRPr="002772C0">
            <w:rPr>
              <w:rFonts w:ascii="Garamond" w:hAnsi="Garamond"/>
              <w:color w:val="auto"/>
              <w:u w:val="single"/>
            </w:rPr>
            <w:t>Table of Contents</w:t>
          </w:r>
        </w:p>
        <w:p w14:paraId="3A413AB1" w14:textId="1A884B6C" w:rsidR="00195CB7" w:rsidRPr="002E7550" w:rsidRDefault="002772C0" w:rsidP="002E7550">
          <w:pPr>
            <w:pStyle w:val="TOC1"/>
            <w:rPr>
              <w:rFonts w:eastAsiaTheme="minorEastAsia" w:cstheme="minorBidi"/>
              <w:kern w:val="2"/>
              <w:sz w:val="28"/>
              <w:szCs w:val="28"/>
              <w14:ligatures w14:val="standardContextual"/>
            </w:rPr>
          </w:pPr>
          <w:r>
            <w:rPr>
              <w:noProof w:val="0"/>
            </w:rPr>
            <w:fldChar w:fldCharType="begin"/>
          </w:r>
          <w:r>
            <w:instrText xml:space="preserve"> TOC \o "1-3" \h \z \u </w:instrText>
          </w:r>
          <w:r>
            <w:rPr>
              <w:noProof w:val="0"/>
            </w:rPr>
            <w:fldChar w:fldCharType="separate"/>
          </w:r>
          <w:hyperlink w:anchor="_Toc221798825" w:history="1">
            <w:r w:rsidR="00195CB7" w:rsidRPr="002E7550">
              <w:rPr>
                <w:rStyle w:val="Hyperlink"/>
              </w:rPr>
              <w:t>SECTION I. GENERAL INFORMATION</w:t>
            </w:r>
            <w:r w:rsidR="00195CB7" w:rsidRPr="002E7550">
              <w:rPr>
                <w:webHidden/>
              </w:rPr>
              <w:tab/>
            </w:r>
            <w:r w:rsidR="00195CB7" w:rsidRPr="002E7550">
              <w:rPr>
                <w:webHidden/>
              </w:rPr>
              <w:fldChar w:fldCharType="begin"/>
            </w:r>
            <w:r w:rsidR="00195CB7" w:rsidRPr="002E7550">
              <w:rPr>
                <w:webHidden/>
              </w:rPr>
              <w:instrText xml:space="preserve"> PAGEREF _Toc221798825 \h </w:instrText>
            </w:r>
            <w:r w:rsidR="00195CB7" w:rsidRPr="002E7550">
              <w:rPr>
                <w:webHidden/>
              </w:rPr>
            </w:r>
            <w:r w:rsidR="00195CB7" w:rsidRPr="002E7550">
              <w:rPr>
                <w:webHidden/>
              </w:rPr>
              <w:fldChar w:fldCharType="separate"/>
            </w:r>
            <w:r w:rsidR="00195CB7" w:rsidRPr="002E7550">
              <w:rPr>
                <w:webHidden/>
              </w:rPr>
              <w:t>1</w:t>
            </w:r>
            <w:r w:rsidR="00195CB7" w:rsidRPr="002E7550">
              <w:rPr>
                <w:webHidden/>
              </w:rPr>
              <w:fldChar w:fldCharType="end"/>
            </w:r>
          </w:hyperlink>
        </w:p>
        <w:p w14:paraId="7375774F" w14:textId="608D38EF"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26" w:history="1">
            <w:r w:rsidRPr="002E7550">
              <w:rPr>
                <w:rStyle w:val="Hyperlink"/>
                <w:rFonts w:ascii="Garamond" w:hAnsi="Garamond"/>
                <w:sz w:val="22"/>
                <w:szCs w:val="22"/>
              </w:rPr>
              <w:t>A.</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Purpose</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_Toc221798826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1</w:t>
            </w:r>
            <w:r w:rsidRPr="002E7550">
              <w:rPr>
                <w:rFonts w:ascii="Garamond" w:hAnsi="Garamond"/>
                <w:webHidden/>
                <w:sz w:val="22"/>
                <w:szCs w:val="22"/>
              </w:rPr>
              <w:fldChar w:fldCharType="end"/>
            </w:r>
          </w:hyperlink>
        </w:p>
        <w:p w14:paraId="7C6EF7D3" w14:textId="6687CEF9"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27" w:history="1">
            <w:r w:rsidRPr="002E7550">
              <w:rPr>
                <w:rStyle w:val="Hyperlink"/>
                <w:rFonts w:ascii="Garamond" w:hAnsi="Garamond"/>
                <w:sz w:val="22"/>
                <w:szCs w:val="22"/>
              </w:rPr>
              <w:t>B.</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Facility Location</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_Toc221798827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1</w:t>
            </w:r>
            <w:r w:rsidRPr="002E7550">
              <w:rPr>
                <w:rFonts w:ascii="Garamond" w:hAnsi="Garamond"/>
                <w:webHidden/>
                <w:sz w:val="22"/>
                <w:szCs w:val="22"/>
              </w:rPr>
              <w:fldChar w:fldCharType="end"/>
            </w:r>
          </w:hyperlink>
        </w:p>
        <w:p w14:paraId="482649AC" w14:textId="115BBA91"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28" w:history="1">
            <w:r w:rsidRPr="002E7550">
              <w:rPr>
                <w:rStyle w:val="Hyperlink"/>
                <w:rFonts w:ascii="Garamond" w:hAnsi="Garamond"/>
                <w:sz w:val="22"/>
                <w:szCs w:val="22"/>
              </w:rPr>
              <w:t>C.</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Facility Background Information</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_Toc221798828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1</w:t>
            </w:r>
            <w:r w:rsidRPr="002E7550">
              <w:rPr>
                <w:rFonts w:ascii="Garamond" w:hAnsi="Garamond"/>
                <w:webHidden/>
                <w:sz w:val="22"/>
                <w:szCs w:val="22"/>
              </w:rPr>
              <w:fldChar w:fldCharType="end"/>
            </w:r>
          </w:hyperlink>
        </w:p>
        <w:p w14:paraId="7FE5143C" w14:textId="25FD63DF"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29" w:history="1">
            <w:r w:rsidRPr="002E7550">
              <w:rPr>
                <w:rStyle w:val="Hyperlink"/>
                <w:rFonts w:ascii="Garamond" w:hAnsi="Garamond"/>
                <w:sz w:val="22"/>
                <w:szCs w:val="22"/>
              </w:rPr>
              <w:t>D.</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Current Permit Action</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_Toc221798829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5</w:t>
            </w:r>
            <w:r w:rsidRPr="002E7550">
              <w:rPr>
                <w:rFonts w:ascii="Garamond" w:hAnsi="Garamond"/>
                <w:webHidden/>
                <w:sz w:val="22"/>
                <w:szCs w:val="22"/>
              </w:rPr>
              <w:fldChar w:fldCharType="end"/>
            </w:r>
          </w:hyperlink>
        </w:p>
        <w:p w14:paraId="12465050" w14:textId="2F4E02DE"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30" w:history="1">
            <w:r w:rsidRPr="002E7550">
              <w:rPr>
                <w:rStyle w:val="Hyperlink"/>
                <w:rFonts w:ascii="Garamond" w:hAnsi="Garamond"/>
                <w:sz w:val="22"/>
                <w:szCs w:val="22"/>
              </w:rPr>
              <w:t>E.</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Taking and Damaging Analysis</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_Toc221798830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5</w:t>
            </w:r>
            <w:r w:rsidRPr="002E7550">
              <w:rPr>
                <w:rFonts w:ascii="Garamond" w:hAnsi="Garamond"/>
                <w:webHidden/>
                <w:sz w:val="22"/>
                <w:szCs w:val="22"/>
              </w:rPr>
              <w:fldChar w:fldCharType="end"/>
            </w:r>
          </w:hyperlink>
        </w:p>
        <w:p w14:paraId="2E83D31F" w14:textId="47215019"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31" w:history="1">
            <w:r w:rsidRPr="002E7550">
              <w:rPr>
                <w:rStyle w:val="Hyperlink"/>
                <w:rFonts w:ascii="Garamond" w:hAnsi="Garamond"/>
                <w:sz w:val="22"/>
                <w:szCs w:val="22"/>
              </w:rPr>
              <w:t>F.</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Compliance Designation</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_Toc221798831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6</w:t>
            </w:r>
            <w:r w:rsidRPr="002E7550">
              <w:rPr>
                <w:rFonts w:ascii="Garamond" w:hAnsi="Garamond"/>
                <w:webHidden/>
                <w:sz w:val="22"/>
                <w:szCs w:val="22"/>
              </w:rPr>
              <w:fldChar w:fldCharType="end"/>
            </w:r>
          </w:hyperlink>
        </w:p>
        <w:p w14:paraId="12471FBC" w14:textId="11D3ED9B" w:rsidR="00195CB7" w:rsidRPr="002E7550" w:rsidRDefault="00195CB7" w:rsidP="002E7550">
          <w:pPr>
            <w:pStyle w:val="TOC1"/>
            <w:rPr>
              <w:rFonts w:eastAsiaTheme="minorEastAsia" w:cstheme="minorBidi"/>
              <w:kern w:val="2"/>
              <w:sz w:val="28"/>
              <w:szCs w:val="28"/>
              <w14:ligatures w14:val="standardContextual"/>
            </w:rPr>
          </w:pPr>
          <w:hyperlink w:anchor="_Toc221798832" w:history="1">
            <w:r w:rsidRPr="002E7550">
              <w:rPr>
                <w:rStyle w:val="Hyperlink"/>
              </w:rPr>
              <w:t>SECTION II. SUMMARY OF EMISSIONS UNITS</w:t>
            </w:r>
            <w:r w:rsidRPr="002E7550">
              <w:rPr>
                <w:webHidden/>
              </w:rPr>
              <w:tab/>
            </w:r>
            <w:r w:rsidRPr="002E7550">
              <w:rPr>
                <w:webHidden/>
              </w:rPr>
              <w:fldChar w:fldCharType="begin"/>
            </w:r>
            <w:r w:rsidRPr="002E7550">
              <w:rPr>
                <w:webHidden/>
              </w:rPr>
              <w:instrText xml:space="preserve"> PAGEREF _Toc221798832 \h </w:instrText>
            </w:r>
            <w:r w:rsidRPr="002E7550">
              <w:rPr>
                <w:webHidden/>
              </w:rPr>
            </w:r>
            <w:r w:rsidRPr="002E7550">
              <w:rPr>
                <w:webHidden/>
              </w:rPr>
              <w:fldChar w:fldCharType="separate"/>
            </w:r>
            <w:r w:rsidRPr="002E7550">
              <w:rPr>
                <w:webHidden/>
              </w:rPr>
              <w:t>7</w:t>
            </w:r>
            <w:r w:rsidRPr="002E7550">
              <w:rPr>
                <w:webHidden/>
              </w:rPr>
              <w:fldChar w:fldCharType="end"/>
            </w:r>
          </w:hyperlink>
        </w:p>
        <w:p w14:paraId="4D99301C" w14:textId="44C129C1"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33" w:history="1">
            <w:r w:rsidRPr="002E7550">
              <w:rPr>
                <w:rStyle w:val="Hyperlink"/>
                <w:rFonts w:ascii="Garamond" w:hAnsi="Garamond"/>
                <w:sz w:val="22"/>
                <w:szCs w:val="22"/>
              </w:rPr>
              <w:t>A.</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Facility Process Description</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_Toc221798833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7</w:t>
            </w:r>
            <w:r w:rsidRPr="002E7550">
              <w:rPr>
                <w:rFonts w:ascii="Garamond" w:hAnsi="Garamond"/>
                <w:webHidden/>
                <w:sz w:val="22"/>
                <w:szCs w:val="22"/>
              </w:rPr>
              <w:fldChar w:fldCharType="end"/>
            </w:r>
          </w:hyperlink>
        </w:p>
        <w:p w14:paraId="08D78096" w14:textId="458041B8"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34" w:history="1">
            <w:r w:rsidRPr="002E7550">
              <w:rPr>
                <w:rStyle w:val="Hyperlink"/>
                <w:rFonts w:ascii="Garamond" w:hAnsi="Garamond"/>
                <w:sz w:val="22"/>
                <w:szCs w:val="22"/>
              </w:rPr>
              <w:t>B.</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Emissions Units and Pollution Control Device Identification</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_Toc221798834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7</w:t>
            </w:r>
            <w:r w:rsidRPr="002E7550">
              <w:rPr>
                <w:rFonts w:ascii="Garamond" w:hAnsi="Garamond"/>
                <w:webHidden/>
                <w:sz w:val="22"/>
                <w:szCs w:val="22"/>
              </w:rPr>
              <w:fldChar w:fldCharType="end"/>
            </w:r>
          </w:hyperlink>
        </w:p>
        <w:p w14:paraId="4E6CA8DF" w14:textId="3768F18F"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35" w:history="1">
            <w:r w:rsidRPr="002E7550">
              <w:rPr>
                <w:rStyle w:val="Hyperlink"/>
                <w:rFonts w:ascii="Garamond" w:hAnsi="Garamond"/>
                <w:sz w:val="22"/>
                <w:szCs w:val="22"/>
              </w:rPr>
              <w:t>C.</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Categorically Insignificant Sources/Activities</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_Toc221798835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7</w:t>
            </w:r>
            <w:r w:rsidRPr="002E7550">
              <w:rPr>
                <w:rFonts w:ascii="Garamond" w:hAnsi="Garamond"/>
                <w:webHidden/>
                <w:sz w:val="22"/>
                <w:szCs w:val="22"/>
              </w:rPr>
              <w:fldChar w:fldCharType="end"/>
            </w:r>
          </w:hyperlink>
        </w:p>
        <w:p w14:paraId="39975D8F" w14:textId="46E598D3" w:rsidR="00195CB7" w:rsidRPr="002E7550" w:rsidRDefault="00195CB7" w:rsidP="002E7550">
          <w:pPr>
            <w:pStyle w:val="TOC1"/>
            <w:rPr>
              <w:rFonts w:eastAsiaTheme="minorEastAsia" w:cstheme="minorBidi"/>
              <w:kern w:val="2"/>
              <w:sz w:val="28"/>
              <w:szCs w:val="28"/>
              <w14:ligatures w14:val="standardContextual"/>
            </w:rPr>
          </w:pPr>
          <w:hyperlink w:anchor="_Toc221798836" w:history="1">
            <w:r w:rsidRPr="002E7550">
              <w:rPr>
                <w:rStyle w:val="Hyperlink"/>
              </w:rPr>
              <w:t>SECTION III. PERMIT CONDITIONS</w:t>
            </w:r>
            <w:r w:rsidRPr="002E7550">
              <w:rPr>
                <w:webHidden/>
              </w:rPr>
              <w:tab/>
            </w:r>
            <w:r w:rsidRPr="002E7550">
              <w:rPr>
                <w:webHidden/>
              </w:rPr>
              <w:fldChar w:fldCharType="begin"/>
            </w:r>
            <w:r w:rsidRPr="002E7550">
              <w:rPr>
                <w:webHidden/>
              </w:rPr>
              <w:instrText xml:space="preserve"> PAGEREF _Toc221798836 \h </w:instrText>
            </w:r>
            <w:r w:rsidRPr="002E7550">
              <w:rPr>
                <w:webHidden/>
              </w:rPr>
            </w:r>
            <w:r w:rsidRPr="002E7550">
              <w:rPr>
                <w:webHidden/>
              </w:rPr>
              <w:fldChar w:fldCharType="separate"/>
            </w:r>
            <w:r w:rsidRPr="002E7550">
              <w:rPr>
                <w:webHidden/>
              </w:rPr>
              <w:t>8</w:t>
            </w:r>
            <w:r w:rsidRPr="002E7550">
              <w:rPr>
                <w:webHidden/>
              </w:rPr>
              <w:fldChar w:fldCharType="end"/>
            </w:r>
          </w:hyperlink>
        </w:p>
        <w:p w14:paraId="7EED1C06" w14:textId="5E5695B2"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37" w:history="1">
            <w:r w:rsidRPr="002E7550">
              <w:rPr>
                <w:rStyle w:val="Hyperlink"/>
                <w:rFonts w:ascii="Garamond" w:hAnsi="Garamond"/>
                <w:sz w:val="22"/>
                <w:szCs w:val="22"/>
              </w:rPr>
              <w:t>A.</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Emission Limits and Standards</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_Toc221798837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8</w:t>
            </w:r>
            <w:r w:rsidRPr="002E7550">
              <w:rPr>
                <w:rFonts w:ascii="Garamond" w:hAnsi="Garamond"/>
                <w:webHidden/>
                <w:sz w:val="22"/>
                <w:szCs w:val="22"/>
              </w:rPr>
              <w:fldChar w:fldCharType="end"/>
            </w:r>
          </w:hyperlink>
        </w:p>
        <w:p w14:paraId="695913A7" w14:textId="4EA6DF88"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38" w:history="1">
            <w:r w:rsidRPr="002E7550">
              <w:rPr>
                <w:rStyle w:val="Hyperlink"/>
                <w:rFonts w:ascii="Garamond" w:hAnsi="Garamond"/>
                <w:sz w:val="22"/>
                <w:szCs w:val="22"/>
              </w:rPr>
              <w:t>B.</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Monitoring Requirements</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_Toc221798838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8</w:t>
            </w:r>
            <w:r w:rsidRPr="002E7550">
              <w:rPr>
                <w:rFonts w:ascii="Garamond" w:hAnsi="Garamond"/>
                <w:webHidden/>
                <w:sz w:val="22"/>
                <w:szCs w:val="22"/>
              </w:rPr>
              <w:fldChar w:fldCharType="end"/>
            </w:r>
          </w:hyperlink>
        </w:p>
        <w:p w14:paraId="1953E914" w14:textId="6E30C975"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39" w:history="1">
            <w:r w:rsidRPr="002E7550">
              <w:rPr>
                <w:rStyle w:val="Hyperlink"/>
                <w:rFonts w:ascii="Garamond" w:hAnsi="Garamond"/>
                <w:sz w:val="22"/>
                <w:szCs w:val="22"/>
              </w:rPr>
              <w:t>C.</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Test Methods and Procedures</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_Toc221798839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9</w:t>
            </w:r>
            <w:r w:rsidRPr="002E7550">
              <w:rPr>
                <w:rFonts w:ascii="Garamond" w:hAnsi="Garamond"/>
                <w:webHidden/>
                <w:sz w:val="22"/>
                <w:szCs w:val="22"/>
              </w:rPr>
              <w:fldChar w:fldCharType="end"/>
            </w:r>
          </w:hyperlink>
        </w:p>
        <w:p w14:paraId="43215DF6" w14:textId="34BA4150"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40" w:history="1">
            <w:r w:rsidRPr="002E7550">
              <w:rPr>
                <w:rStyle w:val="Hyperlink"/>
                <w:rFonts w:ascii="Garamond" w:hAnsi="Garamond"/>
                <w:sz w:val="22"/>
                <w:szCs w:val="22"/>
              </w:rPr>
              <w:t>D.</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Recordkeeping Requirements</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_Toc221798840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9</w:t>
            </w:r>
            <w:r w:rsidRPr="002E7550">
              <w:rPr>
                <w:rFonts w:ascii="Garamond" w:hAnsi="Garamond"/>
                <w:webHidden/>
                <w:sz w:val="22"/>
                <w:szCs w:val="22"/>
              </w:rPr>
              <w:fldChar w:fldCharType="end"/>
            </w:r>
          </w:hyperlink>
        </w:p>
        <w:p w14:paraId="721E7AF5" w14:textId="6857A89B"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41" w:history="1">
            <w:r w:rsidRPr="002E7550">
              <w:rPr>
                <w:rStyle w:val="Hyperlink"/>
                <w:rFonts w:ascii="Garamond" w:hAnsi="Garamond"/>
                <w:sz w:val="22"/>
                <w:szCs w:val="22"/>
              </w:rPr>
              <w:t>E.</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Reporting Requirements</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_Toc221798841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9</w:t>
            </w:r>
            <w:r w:rsidRPr="002E7550">
              <w:rPr>
                <w:rFonts w:ascii="Garamond" w:hAnsi="Garamond"/>
                <w:webHidden/>
                <w:sz w:val="22"/>
                <w:szCs w:val="22"/>
              </w:rPr>
              <w:fldChar w:fldCharType="end"/>
            </w:r>
          </w:hyperlink>
        </w:p>
        <w:p w14:paraId="16600BFB" w14:textId="72F1898D" w:rsidR="00195CB7" w:rsidRPr="002E7550" w:rsidRDefault="00195CB7" w:rsidP="002E7550">
          <w:pPr>
            <w:pStyle w:val="TOC1"/>
            <w:rPr>
              <w:rFonts w:eastAsiaTheme="minorEastAsia" w:cstheme="minorBidi"/>
              <w:kern w:val="2"/>
              <w:sz w:val="28"/>
              <w:szCs w:val="28"/>
              <w14:ligatures w14:val="standardContextual"/>
            </w:rPr>
          </w:pPr>
          <w:hyperlink w:anchor="_Toc221798842" w:history="1">
            <w:r w:rsidRPr="002E7550">
              <w:rPr>
                <w:rStyle w:val="Hyperlink"/>
              </w:rPr>
              <w:t>SECTION IV. NON-APPLICABLE REQUIREMENT ANALYSIS</w:t>
            </w:r>
            <w:r w:rsidRPr="002E7550">
              <w:rPr>
                <w:webHidden/>
              </w:rPr>
              <w:tab/>
            </w:r>
            <w:r w:rsidRPr="002E7550">
              <w:rPr>
                <w:webHidden/>
              </w:rPr>
              <w:fldChar w:fldCharType="begin"/>
            </w:r>
            <w:r w:rsidRPr="002E7550">
              <w:rPr>
                <w:webHidden/>
              </w:rPr>
              <w:instrText xml:space="preserve"> PAGEREF _Toc221798842 \h </w:instrText>
            </w:r>
            <w:r w:rsidRPr="002E7550">
              <w:rPr>
                <w:webHidden/>
              </w:rPr>
            </w:r>
            <w:r w:rsidRPr="002E7550">
              <w:rPr>
                <w:webHidden/>
              </w:rPr>
              <w:fldChar w:fldCharType="separate"/>
            </w:r>
            <w:r w:rsidRPr="002E7550">
              <w:rPr>
                <w:webHidden/>
              </w:rPr>
              <w:t>10</w:t>
            </w:r>
            <w:r w:rsidRPr="002E7550">
              <w:rPr>
                <w:webHidden/>
              </w:rPr>
              <w:fldChar w:fldCharType="end"/>
            </w:r>
          </w:hyperlink>
        </w:p>
        <w:p w14:paraId="7DB86323" w14:textId="526EBC6A" w:rsidR="00195CB7" w:rsidRPr="002E7550" w:rsidRDefault="00195CB7" w:rsidP="002E7550">
          <w:pPr>
            <w:pStyle w:val="TOC1"/>
            <w:rPr>
              <w:rFonts w:eastAsiaTheme="minorEastAsia" w:cstheme="minorBidi"/>
              <w:kern w:val="2"/>
              <w:sz w:val="28"/>
              <w:szCs w:val="28"/>
              <w14:ligatures w14:val="standardContextual"/>
            </w:rPr>
          </w:pPr>
          <w:hyperlink w:anchor="_Toc221798843" w:history="1">
            <w:r w:rsidRPr="002E7550">
              <w:rPr>
                <w:rStyle w:val="Hyperlink"/>
              </w:rPr>
              <w:t>SECTION V. FUTURE PERMIT CONSIDERATIONS</w:t>
            </w:r>
            <w:r w:rsidRPr="002E7550">
              <w:rPr>
                <w:webHidden/>
              </w:rPr>
              <w:tab/>
            </w:r>
            <w:r w:rsidRPr="002E7550">
              <w:rPr>
                <w:webHidden/>
              </w:rPr>
              <w:fldChar w:fldCharType="begin"/>
            </w:r>
            <w:r w:rsidRPr="002E7550">
              <w:rPr>
                <w:webHidden/>
              </w:rPr>
              <w:instrText xml:space="preserve"> PAGEREF _Toc221798843 \h </w:instrText>
            </w:r>
            <w:r w:rsidRPr="002E7550">
              <w:rPr>
                <w:webHidden/>
              </w:rPr>
            </w:r>
            <w:r w:rsidRPr="002E7550">
              <w:rPr>
                <w:webHidden/>
              </w:rPr>
              <w:fldChar w:fldCharType="separate"/>
            </w:r>
            <w:r w:rsidRPr="002E7550">
              <w:rPr>
                <w:webHidden/>
              </w:rPr>
              <w:t>12</w:t>
            </w:r>
            <w:r w:rsidRPr="002E7550">
              <w:rPr>
                <w:webHidden/>
              </w:rPr>
              <w:fldChar w:fldCharType="end"/>
            </w:r>
          </w:hyperlink>
        </w:p>
        <w:p w14:paraId="25C03672" w14:textId="16FE1A59"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44" w:history="1">
            <w:r w:rsidRPr="002E7550">
              <w:rPr>
                <w:rStyle w:val="Hyperlink"/>
                <w:rFonts w:ascii="Garamond" w:hAnsi="Garamond"/>
                <w:sz w:val="22"/>
                <w:szCs w:val="22"/>
              </w:rPr>
              <w:t>A.</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MACT Standards (Part 63)</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_Toc221798844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12</w:t>
            </w:r>
            <w:r w:rsidRPr="002E7550">
              <w:rPr>
                <w:rFonts w:ascii="Garamond" w:hAnsi="Garamond"/>
                <w:webHidden/>
                <w:sz w:val="22"/>
                <w:szCs w:val="22"/>
              </w:rPr>
              <w:fldChar w:fldCharType="end"/>
            </w:r>
          </w:hyperlink>
        </w:p>
        <w:p w14:paraId="59F56949" w14:textId="66BD7E18"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45" w:history="1">
            <w:r w:rsidRPr="002E7550">
              <w:rPr>
                <w:rStyle w:val="Hyperlink"/>
                <w:rFonts w:ascii="Garamond" w:hAnsi="Garamond"/>
                <w:sz w:val="22"/>
                <w:szCs w:val="22"/>
              </w:rPr>
              <w:t>B.</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NESHAP Standards (Part 61)</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_Toc221798845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12</w:t>
            </w:r>
            <w:r w:rsidRPr="002E7550">
              <w:rPr>
                <w:rFonts w:ascii="Garamond" w:hAnsi="Garamond"/>
                <w:webHidden/>
                <w:sz w:val="22"/>
                <w:szCs w:val="22"/>
              </w:rPr>
              <w:fldChar w:fldCharType="end"/>
            </w:r>
          </w:hyperlink>
        </w:p>
        <w:p w14:paraId="36D5065D" w14:textId="1B3A2E8C"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46" w:history="1">
            <w:r w:rsidRPr="002E7550">
              <w:rPr>
                <w:rStyle w:val="Hyperlink"/>
                <w:rFonts w:ascii="Garamond" w:hAnsi="Garamond"/>
                <w:sz w:val="22"/>
                <w:szCs w:val="22"/>
              </w:rPr>
              <w:t>C.</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NSPS Standards</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_Toc221798846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12</w:t>
            </w:r>
            <w:r w:rsidRPr="002E7550">
              <w:rPr>
                <w:rFonts w:ascii="Garamond" w:hAnsi="Garamond"/>
                <w:webHidden/>
                <w:sz w:val="22"/>
                <w:szCs w:val="22"/>
              </w:rPr>
              <w:fldChar w:fldCharType="end"/>
            </w:r>
          </w:hyperlink>
        </w:p>
        <w:p w14:paraId="2561E665" w14:textId="5285C916"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47" w:history="1">
            <w:r w:rsidRPr="002E7550">
              <w:rPr>
                <w:rStyle w:val="Hyperlink"/>
                <w:rFonts w:ascii="Garamond" w:hAnsi="Garamond"/>
                <w:sz w:val="22"/>
                <w:szCs w:val="22"/>
              </w:rPr>
              <w:t>D.</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Risk Management Plan</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_Toc221798847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12</w:t>
            </w:r>
            <w:r w:rsidRPr="002E7550">
              <w:rPr>
                <w:rFonts w:ascii="Garamond" w:hAnsi="Garamond"/>
                <w:webHidden/>
                <w:sz w:val="22"/>
                <w:szCs w:val="22"/>
              </w:rPr>
              <w:fldChar w:fldCharType="end"/>
            </w:r>
          </w:hyperlink>
        </w:p>
        <w:p w14:paraId="37D0648B" w14:textId="44DF2393"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48" w:history="1">
            <w:r w:rsidRPr="002E7550">
              <w:rPr>
                <w:rStyle w:val="Hyperlink"/>
                <w:rFonts w:ascii="Garamond" w:hAnsi="Garamond"/>
                <w:sz w:val="22"/>
                <w:szCs w:val="22"/>
              </w:rPr>
              <w:t>E.</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CAM Applicability</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_Toc221798848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12</w:t>
            </w:r>
            <w:r w:rsidRPr="002E7550">
              <w:rPr>
                <w:rFonts w:ascii="Garamond" w:hAnsi="Garamond"/>
                <w:webHidden/>
                <w:sz w:val="22"/>
                <w:szCs w:val="22"/>
              </w:rPr>
              <w:fldChar w:fldCharType="end"/>
            </w:r>
          </w:hyperlink>
        </w:p>
        <w:p w14:paraId="50ADF6A5" w14:textId="67978449" w:rsidR="00195CB7" w:rsidRPr="002E7550" w:rsidRDefault="00195CB7">
          <w:pPr>
            <w:pStyle w:val="TOC2"/>
            <w:rPr>
              <w:rFonts w:ascii="Garamond" w:eastAsiaTheme="minorEastAsia" w:hAnsi="Garamond" w:cstheme="minorBidi"/>
              <w:smallCaps w:val="0"/>
              <w:kern w:val="2"/>
              <w:sz w:val="28"/>
              <w:szCs w:val="28"/>
              <w14:ligatures w14:val="standardContextual"/>
            </w:rPr>
          </w:pPr>
          <w:hyperlink w:anchor="_Toc221798849" w:history="1">
            <w:r w:rsidRPr="002E7550">
              <w:rPr>
                <w:rStyle w:val="Hyperlink"/>
                <w:rFonts w:ascii="Garamond" w:hAnsi="Garamond"/>
                <w:sz w:val="22"/>
                <w:szCs w:val="22"/>
              </w:rPr>
              <w:t>F.</w:t>
            </w:r>
            <w:r w:rsidRPr="002E7550">
              <w:rPr>
                <w:rFonts w:ascii="Garamond" w:eastAsiaTheme="minorEastAsia" w:hAnsi="Garamond" w:cstheme="minorBidi"/>
                <w:smallCaps w:val="0"/>
                <w:kern w:val="2"/>
                <w:sz w:val="28"/>
                <w:szCs w:val="28"/>
                <w14:ligatures w14:val="standardContextual"/>
              </w:rPr>
              <w:tab/>
            </w:r>
            <w:r w:rsidRPr="002E7550">
              <w:rPr>
                <w:rStyle w:val="Hyperlink"/>
                <w:rFonts w:ascii="Garamond" w:hAnsi="Garamond"/>
                <w:sz w:val="22"/>
                <w:szCs w:val="22"/>
              </w:rPr>
              <w:t>PSD and Title V Greenhouse Gas Tailoring Rule</w:t>
            </w:r>
            <w:r w:rsidRPr="002E7550">
              <w:rPr>
                <w:rFonts w:ascii="Garamond" w:hAnsi="Garamond"/>
                <w:webHidden/>
                <w:sz w:val="22"/>
                <w:szCs w:val="22"/>
              </w:rPr>
              <w:tab/>
            </w:r>
            <w:r w:rsidRPr="002E7550">
              <w:rPr>
                <w:rFonts w:ascii="Garamond" w:hAnsi="Garamond"/>
                <w:webHidden/>
                <w:sz w:val="22"/>
                <w:szCs w:val="22"/>
              </w:rPr>
              <w:fldChar w:fldCharType="begin"/>
            </w:r>
            <w:r w:rsidRPr="002E7550">
              <w:rPr>
                <w:rFonts w:ascii="Garamond" w:hAnsi="Garamond"/>
                <w:webHidden/>
                <w:sz w:val="22"/>
                <w:szCs w:val="22"/>
              </w:rPr>
              <w:instrText xml:space="preserve"> PAGEREF _Toc221798849 \h </w:instrText>
            </w:r>
            <w:r w:rsidRPr="002E7550">
              <w:rPr>
                <w:rFonts w:ascii="Garamond" w:hAnsi="Garamond"/>
                <w:webHidden/>
                <w:sz w:val="22"/>
                <w:szCs w:val="22"/>
              </w:rPr>
            </w:r>
            <w:r w:rsidRPr="002E7550">
              <w:rPr>
                <w:rFonts w:ascii="Garamond" w:hAnsi="Garamond"/>
                <w:webHidden/>
                <w:sz w:val="22"/>
                <w:szCs w:val="22"/>
              </w:rPr>
              <w:fldChar w:fldCharType="separate"/>
            </w:r>
            <w:r w:rsidRPr="002E7550">
              <w:rPr>
                <w:rFonts w:ascii="Garamond" w:hAnsi="Garamond"/>
                <w:webHidden/>
                <w:sz w:val="22"/>
                <w:szCs w:val="22"/>
              </w:rPr>
              <w:t>13</w:t>
            </w:r>
            <w:r w:rsidRPr="002E7550">
              <w:rPr>
                <w:rFonts w:ascii="Garamond" w:hAnsi="Garamond"/>
                <w:webHidden/>
                <w:sz w:val="22"/>
                <w:szCs w:val="22"/>
              </w:rPr>
              <w:fldChar w:fldCharType="end"/>
            </w:r>
          </w:hyperlink>
        </w:p>
        <w:p w14:paraId="5CF5FA1D" w14:textId="301E6382" w:rsidR="002772C0" w:rsidRDefault="002772C0">
          <w:r>
            <w:rPr>
              <w:b/>
              <w:bCs/>
              <w:noProof/>
            </w:rPr>
            <w:fldChar w:fldCharType="end"/>
          </w:r>
        </w:p>
      </w:sdtContent>
    </w:sdt>
    <w:p w14:paraId="5AD6FAE6" w14:textId="77777777" w:rsidR="00633285" w:rsidRPr="00C84BDB" w:rsidRDefault="00633285">
      <w:pPr>
        <w:rPr>
          <w:rFonts w:ascii="Garamond" w:hAnsi="Garamond"/>
        </w:rPr>
      </w:pPr>
    </w:p>
    <w:p w14:paraId="04643395" w14:textId="77777777" w:rsidR="00633285" w:rsidRPr="00C84BDB" w:rsidRDefault="00633285">
      <w:pPr>
        <w:rPr>
          <w:rFonts w:ascii="Garamond" w:hAnsi="Garamond"/>
        </w:rPr>
      </w:pPr>
    </w:p>
    <w:p w14:paraId="728B187B" w14:textId="77777777" w:rsidR="002772C0" w:rsidRDefault="002772C0">
      <w:pPr>
        <w:rPr>
          <w:rFonts w:ascii="Garamond" w:hAnsi="Garamond"/>
        </w:rPr>
        <w:sectPr w:rsidR="002772C0" w:rsidSect="001D6CA4">
          <w:footerReference w:type="even" r:id="rId7"/>
          <w:footerReference w:type="default" r:id="rId8"/>
          <w:pgSz w:w="12240" w:h="15840" w:code="1"/>
          <w:pgMar w:top="1152" w:right="1440" w:bottom="1008" w:left="1440" w:header="576" w:footer="432" w:gutter="0"/>
          <w:pgNumType w:fmt="lowerRoman" w:start="1"/>
          <w:cols w:space="720"/>
          <w:docGrid w:linePitch="272"/>
        </w:sectPr>
      </w:pPr>
    </w:p>
    <w:p w14:paraId="131B8F6F" w14:textId="77777777" w:rsidR="00633285" w:rsidRPr="00C84BDB" w:rsidRDefault="00633285">
      <w:pPr>
        <w:rPr>
          <w:rFonts w:ascii="Garamond" w:hAnsi="Garamond"/>
        </w:rPr>
      </w:pPr>
    </w:p>
    <w:p w14:paraId="235A408F" w14:textId="1F0DADA3" w:rsidR="00633285" w:rsidRPr="00606C6A" w:rsidRDefault="0078114B">
      <w:pPr>
        <w:pStyle w:val="Heading1"/>
        <w:rPr>
          <w:sz w:val="24"/>
          <w:szCs w:val="24"/>
        </w:rPr>
      </w:pPr>
      <w:r>
        <w:t xml:space="preserve">  </w:t>
      </w:r>
      <w:bookmarkStart w:id="0" w:name="_Toc63146261"/>
      <w:bookmarkStart w:id="1" w:name="_Toc221798825"/>
      <w:r w:rsidR="00633285" w:rsidRPr="00606C6A">
        <w:rPr>
          <w:sz w:val="24"/>
          <w:szCs w:val="24"/>
        </w:rPr>
        <w:t>GENERAL INFORMATION</w:t>
      </w:r>
      <w:bookmarkEnd w:id="0"/>
      <w:bookmarkEnd w:id="1"/>
    </w:p>
    <w:p w14:paraId="586B805F" w14:textId="77777777" w:rsidR="00633285" w:rsidRPr="00606C6A" w:rsidRDefault="00633285">
      <w:pPr>
        <w:rPr>
          <w:rFonts w:ascii="Garamond" w:hAnsi="Garamond"/>
          <w:sz w:val="24"/>
          <w:szCs w:val="24"/>
        </w:rPr>
      </w:pPr>
    </w:p>
    <w:p w14:paraId="2F288EDC" w14:textId="77777777" w:rsidR="00633285" w:rsidRPr="00606C6A" w:rsidRDefault="00633285" w:rsidP="00E86689">
      <w:pPr>
        <w:pStyle w:val="Heading2"/>
        <w:spacing w:before="0" w:beforeAutospacing="0" w:after="0" w:afterAutospacing="0"/>
        <w:rPr>
          <w:rFonts w:ascii="Garamond" w:hAnsi="Garamond"/>
          <w:sz w:val="24"/>
          <w:szCs w:val="24"/>
        </w:rPr>
      </w:pPr>
      <w:bookmarkStart w:id="2" w:name="_Toc63146262"/>
      <w:bookmarkStart w:id="3" w:name="_Toc221798826"/>
      <w:r w:rsidRPr="00606C6A">
        <w:rPr>
          <w:rFonts w:ascii="Garamond" w:hAnsi="Garamond"/>
          <w:sz w:val="24"/>
          <w:szCs w:val="24"/>
        </w:rPr>
        <w:t>Purpose</w:t>
      </w:r>
      <w:bookmarkEnd w:id="2"/>
      <w:bookmarkEnd w:id="3"/>
    </w:p>
    <w:p w14:paraId="41FD594D" w14:textId="77777777" w:rsidR="00633285" w:rsidRPr="00606C6A" w:rsidRDefault="00633285" w:rsidP="00E86689">
      <w:pPr>
        <w:rPr>
          <w:rFonts w:ascii="Garamond" w:hAnsi="Garamond"/>
          <w:sz w:val="24"/>
          <w:szCs w:val="24"/>
        </w:rPr>
      </w:pPr>
    </w:p>
    <w:p w14:paraId="26680B9B" w14:textId="1C81976B" w:rsidR="001F2FA3" w:rsidRPr="001F2FA3" w:rsidRDefault="00633285" w:rsidP="001F2FA3">
      <w:pPr>
        <w:ind w:left="360"/>
        <w:rPr>
          <w:rFonts w:ascii="Garamond" w:hAnsi="Garamond"/>
          <w:sz w:val="24"/>
          <w:szCs w:val="24"/>
        </w:rPr>
      </w:pPr>
      <w:r w:rsidRPr="00606C6A">
        <w:rPr>
          <w:rFonts w:ascii="Garamond" w:hAnsi="Garamond"/>
          <w:sz w:val="24"/>
          <w:szCs w:val="24"/>
        </w:rPr>
        <w:t>This document establishes the basis for the decisions made regarding the applicable requirements, monitoring plan, and compliance status of emissions units affected by the operating permit proposed for this facility.  The document is intended for reference during review of the proposed permit by the Environmental Protection Agency (EPA) and the public.  It is also intended to provide background information not included in the operating permit and to document issues that may become important during modifications or renewals of the permit.  Conclusions in this document are based on information provided in the or</w:t>
      </w:r>
      <w:r w:rsidR="00340D88" w:rsidRPr="00606C6A">
        <w:rPr>
          <w:rFonts w:ascii="Garamond" w:hAnsi="Garamond"/>
          <w:sz w:val="24"/>
          <w:szCs w:val="24"/>
        </w:rPr>
        <w:t>iginal application submitted by</w:t>
      </w:r>
      <w:r w:rsidR="0068705C" w:rsidRPr="00606C6A">
        <w:rPr>
          <w:rFonts w:ascii="Garamond" w:hAnsi="Garamond"/>
          <w:sz w:val="24"/>
          <w:szCs w:val="24"/>
        </w:rPr>
        <w:t xml:space="preserve"> Barrick Golden Sunlight (GSM) on April 3, 2014</w:t>
      </w:r>
      <w:r w:rsidR="002F0430" w:rsidRPr="00606C6A">
        <w:rPr>
          <w:rFonts w:ascii="Garamond" w:hAnsi="Garamond"/>
          <w:sz w:val="24"/>
          <w:szCs w:val="24"/>
        </w:rPr>
        <w:t>,</w:t>
      </w:r>
      <w:r w:rsidRPr="00606C6A">
        <w:rPr>
          <w:rFonts w:ascii="Garamond" w:hAnsi="Garamond"/>
          <w:sz w:val="24"/>
          <w:szCs w:val="24"/>
        </w:rPr>
        <w:t xml:space="preserve"> and </w:t>
      </w:r>
      <w:r w:rsidR="002F0430" w:rsidRPr="00606C6A">
        <w:rPr>
          <w:rFonts w:ascii="Garamond" w:hAnsi="Garamond"/>
          <w:sz w:val="24"/>
          <w:szCs w:val="24"/>
        </w:rPr>
        <w:t>on information contained in the Mon</w:t>
      </w:r>
      <w:r w:rsidR="00340D88" w:rsidRPr="00606C6A">
        <w:rPr>
          <w:rFonts w:ascii="Garamond" w:hAnsi="Garamond"/>
          <w:sz w:val="24"/>
          <w:szCs w:val="24"/>
        </w:rPr>
        <w:t>tana Air Quality Permit</w:t>
      </w:r>
      <w:r w:rsidR="00AE69E0">
        <w:rPr>
          <w:rFonts w:ascii="Garamond" w:hAnsi="Garamond"/>
          <w:sz w:val="24"/>
          <w:szCs w:val="24"/>
        </w:rPr>
        <w:t xml:space="preserve"> (MAQP)</w:t>
      </w:r>
      <w:r w:rsidR="00340D88" w:rsidRPr="00606C6A">
        <w:rPr>
          <w:rFonts w:ascii="Garamond" w:hAnsi="Garamond"/>
          <w:sz w:val="24"/>
          <w:szCs w:val="24"/>
        </w:rPr>
        <w:t xml:space="preserve"> #1689-08</w:t>
      </w:r>
      <w:r w:rsidR="002F0430" w:rsidRPr="00606C6A">
        <w:rPr>
          <w:rFonts w:ascii="Garamond" w:hAnsi="Garamond"/>
          <w:sz w:val="24"/>
          <w:szCs w:val="24"/>
        </w:rPr>
        <w:t xml:space="preserve">. </w:t>
      </w:r>
      <w:r w:rsidR="007754B5">
        <w:rPr>
          <w:rFonts w:ascii="Garamond" w:hAnsi="Garamond"/>
          <w:sz w:val="24"/>
          <w:szCs w:val="24"/>
        </w:rPr>
        <w:t>Updated information was also made available in the Title V Operating Permit application received on February 14, 2020.</w:t>
      </w:r>
      <w:r w:rsidR="00B26345" w:rsidRPr="00B26345">
        <w:t xml:space="preserve"> </w:t>
      </w:r>
      <w:r w:rsidR="00B26345" w:rsidRPr="00B26345">
        <w:rPr>
          <w:rFonts w:ascii="Garamond" w:hAnsi="Garamond"/>
          <w:sz w:val="24"/>
          <w:szCs w:val="24"/>
        </w:rPr>
        <w:t>GSM suspended mining and milling operations in the second quarter of 2019</w:t>
      </w:r>
      <w:r w:rsidR="00DC15B5">
        <w:rPr>
          <w:rFonts w:ascii="Garamond" w:hAnsi="Garamond"/>
          <w:sz w:val="24"/>
          <w:szCs w:val="24"/>
        </w:rPr>
        <w:t>.</w:t>
      </w:r>
      <w:r w:rsidR="00A40E69">
        <w:rPr>
          <w:rFonts w:ascii="Garamond" w:hAnsi="Garamond"/>
          <w:sz w:val="24"/>
          <w:szCs w:val="24"/>
        </w:rPr>
        <w:t xml:space="preserve"> </w:t>
      </w:r>
      <w:r w:rsidR="001F2FA3">
        <w:rPr>
          <w:rFonts w:ascii="Garamond" w:hAnsi="Garamond"/>
          <w:sz w:val="24"/>
          <w:szCs w:val="24"/>
        </w:rPr>
        <w:t xml:space="preserve">On June 19, 2023, </w:t>
      </w:r>
      <w:r w:rsidR="001F2FA3" w:rsidRPr="001F2FA3">
        <w:rPr>
          <w:rFonts w:ascii="Garamond" w:hAnsi="Garamond"/>
          <w:sz w:val="24"/>
          <w:szCs w:val="24"/>
        </w:rPr>
        <w:t xml:space="preserve">DEQ received an application from GSM to include the mine tailings reprocessing equipment and requirements, </w:t>
      </w:r>
      <w:r w:rsidR="001F2FA3">
        <w:rPr>
          <w:rFonts w:ascii="Garamond" w:hAnsi="Garamond"/>
          <w:sz w:val="24"/>
          <w:szCs w:val="24"/>
        </w:rPr>
        <w:t>t</w:t>
      </w:r>
      <w:r w:rsidR="001F2FA3" w:rsidRPr="001F2FA3">
        <w:rPr>
          <w:rFonts w:ascii="Garamond" w:hAnsi="Garamond"/>
          <w:sz w:val="24"/>
          <w:szCs w:val="24"/>
        </w:rPr>
        <w:t>o update the Fine Ore Processing (FOP) requirements,</w:t>
      </w:r>
      <w:r w:rsidR="001F2FA3">
        <w:rPr>
          <w:rFonts w:ascii="Garamond" w:hAnsi="Garamond"/>
          <w:sz w:val="24"/>
          <w:szCs w:val="24"/>
        </w:rPr>
        <w:t xml:space="preserve"> t</w:t>
      </w:r>
      <w:r w:rsidR="001F2FA3" w:rsidRPr="001F2FA3">
        <w:rPr>
          <w:rFonts w:ascii="Garamond" w:hAnsi="Garamond"/>
          <w:sz w:val="24"/>
          <w:szCs w:val="24"/>
        </w:rPr>
        <w:t xml:space="preserve">o update the Best Available Control Technology (BACT) requirements associated with the high moisture ore for the FOP unit and the fine ore reclaim and conveyor area, </w:t>
      </w:r>
      <w:r w:rsidR="001F2FA3">
        <w:rPr>
          <w:rFonts w:ascii="Garamond" w:hAnsi="Garamond"/>
          <w:sz w:val="24"/>
          <w:szCs w:val="24"/>
        </w:rPr>
        <w:t>t</w:t>
      </w:r>
      <w:r w:rsidR="001F2FA3" w:rsidRPr="001F2FA3">
        <w:rPr>
          <w:rFonts w:ascii="Garamond" w:hAnsi="Garamond"/>
          <w:sz w:val="24"/>
          <w:szCs w:val="24"/>
        </w:rPr>
        <w:t xml:space="preserve">o add equipment associated with a portable screening plant, with a throughput capacity of up to 300 tons per hour (TPH), for </w:t>
      </w:r>
      <w:r w:rsidR="001F2FA3">
        <w:rPr>
          <w:rFonts w:ascii="Garamond" w:hAnsi="Garamond"/>
          <w:sz w:val="24"/>
          <w:szCs w:val="24"/>
        </w:rPr>
        <w:t>t</w:t>
      </w:r>
      <w:r w:rsidR="001F2FA3" w:rsidRPr="001F2FA3">
        <w:rPr>
          <w:rFonts w:ascii="Garamond" w:hAnsi="Garamond"/>
          <w:sz w:val="24"/>
          <w:szCs w:val="24"/>
        </w:rPr>
        <w:t>he removal of the primary, secondary, and tertiary crushers and their associated requirements from the permit (EU04, EU05, EU06), and update the responsible official and contact information</w:t>
      </w:r>
      <w:r w:rsidR="001F2FA3">
        <w:rPr>
          <w:rFonts w:ascii="Garamond" w:hAnsi="Garamond"/>
          <w:sz w:val="24"/>
          <w:szCs w:val="24"/>
        </w:rPr>
        <w:t>.</w:t>
      </w:r>
    </w:p>
    <w:p w14:paraId="4CDFDD26" w14:textId="77777777" w:rsidR="001F2FA3" w:rsidRPr="00606C6A" w:rsidRDefault="001F2FA3" w:rsidP="00E86689">
      <w:pPr>
        <w:ind w:left="360"/>
        <w:rPr>
          <w:rFonts w:ascii="Garamond" w:hAnsi="Garamond"/>
          <w:sz w:val="24"/>
          <w:szCs w:val="24"/>
        </w:rPr>
      </w:pPr>
    </w:p>
    <w:p w14:paraId="46612346" w14:textId="77777777" w:rsidR="00633285" w:rsidRDefault="00633285" w:rsidP="00E86689">
      <w:pPr>
        <w:pStyle w:val="Heading2"/>
        <w:spacing w:before="0" w:beforeAutospacing="0" w:after="0" w:afterAutospacing="0"/>
        <w:rPr>
          <w:rFonts w:ascii="Garamond" w:hAnsi="Garamond"/>
          <w:sz w:val="24"/>
          <w:szCs w:val="24"/>
        </w:rPr>
      </w:pPr>
      <w:bookmarkStart w:id="4" w:name="_Toc63146263"/>
      <w:bookmarkStart w:id="5" w:name="_Toc221798827"/>
      <w:r w:rsidRPr="00606C6A">
        <w:rPr>
          <w:rFonts w:ascii="Garamond" w:hAnsi="Garamond"/>
          <w:sz w:val="24"/>
          <w:szCs w:val="24"/>
        </w:rPr>
        <w:t>Facility Location</w:t>
      </w:r>
      <w:bookmarkEnd w:id="4"/>
      <w:bookmarkEnd w:id="5"/>
    </w:p>
    <w:p w14:paraId="17931BAF" w14:textId="77777777" w:rsidR="00DA3542" w:rsidRPr="00DA3542" w:rsidRDefault="00DA3542" w:rsidP="00DA3542">
      <w:pPr>
        <w:rPr>
          <w:rFonts w:ascii="Garamond" w:hAnsi="Garamond"/>
          <w:sz w:val="24"/>
          <w:szCs w:val="24"/>
        </w:rPr>
      </w:pPr>
    </w:p>
    <w:p w14:paraId="0199C798" w14:textId="77777777" w:rsidR="00633285" w:rsidRPr="00606C6A" w:rsidRDefault="002414F5" w:rsidP="00E86689">
      <w:pPr>
        <w:ind w:left="360"/>
        <w:rPr>
          <w:rFonts w:ascii="Garamond" w:hAnsi="Garamond"/>
          <w:sz w:val="24"/>
          <w:szCs w:val="24"/>
        </w:rPr>
      </w:pPr>
      <w:r w:rsidRPr="00606C6A">
        <w:rPr>
          <w:rFonts w:ascii="Garamond" w:hAnsi="Garamond"/>
          <w:sz w:val="24"/>
          <w:szCs w:val="24"/>
        </w:rPr>
        <w:t xml:space="preserve">GSM operates an open pit gold mine including ore processing operations, located at Township 2 North, Range 3 West, Jefferson County, Montana, near the southern end of the Bull Mountains, approximately 5 air miles northeast of Whitehall, Montana, at an elevation of 5,200 feet mean sea level </w:t>
      </w:r>
      <w:r w:rsidR="00AE69E0">
        <w:rPr>
          <w:rFonts w:ascii="Garamond" w:hAnsi="Garamond"/>
          <w:sz w:val="24"/>
          <w:szCs w:val="24"/>
        </w:rPr>
        <w:t>(</w:t>
      </w:r>
      <w:r w:rsidRPr="00606C6A">
        <w:rPr>
          <w:rFonts w:ascii="Garamond" w:hAnsi="Garamond"/>
          <w:sz w:val="24"/>
          <w:szCs w:val="24"/>
        </w:rPr>
        <w:t>MSL</w:t>
      </w:r>
      <w:r w:rsidR="00AE69E0">
        <w:rPr>
          <w:rFonts w:ascii="Garamond" w:hAnsi="Garamond"/>
          <w:sz w:val="24"/>
          <w:szCs w:val="24"/>
        </w:rPr>
        <w:t>)</w:t>
      </w:r>
      <w:r w:rsidRPr="00606C6A">
        <w:rPr>
          <w:rFonts w:ascii="Garamond" w:hAnsi="Garamond"/>
          <w:sz w:val="24"/>
          <w:szCs w:val="24"/>
        </w:rPr>
        <w:t xml:space="preserve">. The physical address is 453 </w:t>
      </w:r>
      <w:r w:rsidR="00414826" w:rsidRPr="00606C6A">
        <w:rPr>
          <w:rFonts w:ascii="Garamond" w:hAnsi="Garamond"/>
          <w:sz w:val="24"/>
          <w:szCs w:val="24"/>
        </w:rPr>
        <w:t>Montana</w:t>
      </w:r>
      <w:r w:rsidRPr="00606C6A">
        <w:rPr>
          <w:rFonts w:ascii="Garamond" w:hAnsi="Garamond"/>
          <w:sz w:val="24"/>
          <w:szCs w:val="24"/>
        </w:rPr>
        <w:t xml:space="preserve"> Highway 2 East, Whitehall, MT.</w:t>
      </w:r>
    </w:p>
    <w:p w14:paraId="038ABC7B" w14:textId="77777777" w:rsidR="00933A97" w:rsidRPr="00606C6A" w:rsidRDefault="00933A97" w:rsidP="00E86689">
      <w:pPr>
        <w:rPr>
          <w:rFonts w:ascii="Garamond" w:hAnsi="Garamond"/>
          <w:sz w:val="24"/>
          <w:szCs w:val="24"/>
        </w:rPr>
      </w:pPr>
    </w:p>
    <w:p w14:paraId="7C6D7F3E" w14:textId="77777777" w:rsidR="00633285" w:rsidRPr="00606C6A" w:rsidRDefault="00633285" w:rsidP="00E86689">
      <w:pPr>
        <w:pStyle w:val="Heading2"/>
        <w:spacing w:before="0" w:beforeAutospacing="0" w:after="0" w:afterAutospacing="0"/>
        <w:ind w:left="720" w:hanging="720"/>
        <w:rPr>
          <w:rFonts w:ascii="Garamond" w:hAnsi="Garamond"/>
          <w:b w:val="0"/>
          <w:sz w:val="24"/>
          <w:szCs w:val="24"/>
        </w:rPr>
      </w:pPr>
      <w:bookmarkStart w:id="6" w:name="_Toc63146264"/>
      <w:bookmarkStart w:id="7" w:name="_Toc221798828"/>
      <w:r w:rsidRPr="00606C6A">
        <w:rPr>
          <w:rFonts w:ascii="Garamond" w:hAnsi="Garamond"/>
          <w:sz w:val="24"/>
          <w:szCs w:val="24"/>
        </w:rPr>
        <w:t>Facility Background Information</w:t>
      </w:r>
      <w:bookmarkEnd w:id="6"/>
      <w:bookmarkEnd w:id="7"/>
      <w:r w:rsidRPr="00606C6A">
        <w:rPr>
          <w:rFonts w:ascii="Garamond" w:hAnsi="Garamond"/>
          <w:sz w:val="24"/>
          <w:szCs w:val="24"/>
        </w:rPr>
        <w:t xml:space="preserve"> </w:t>
      </w:r>
    </w:p>
    <w:p w14:paraId="0FB75A95" w14:textId="77777777" w:rsidR="00DA3542" w:rsidRPr="00DA3542" w:rsidRDefault="00DA3542" w:rsidP="00DA3542">
      <w:pPr>
        <w:rPr>
          <w:rFonts w:ascii="Garamond" w:hAnsi="Garamond"/>
          <w:sz w:val="24"/>
          <w:szCs w:val="24"/>
        </w:rPr>
      </w:pPr>
    </w:p>
    <w:p w14:paraId="081AAD52" w14:textId="77777777" w:rsidR="0028617B" w:rsidRPr="00606C6A" w:rsidRDefault="0028617B" w:rsidP="004E5659">
      <w:pPr>
        <w:ind w:left="360"/>
        <w:rPr>
          <w:rFonts w:ascii="Garamond" w:hAnsi="Garamond"/>
          <w:sz w:val="24"/>
          <w:szCs w:val="24"/>
        </w:rPr>
      </w:pPr>
      <w:r w:rsidRPr="00606C6A">
        <w:rPr>
          <w:rFonts w:ascii="Garamond" w:hAnsi="Garamond"/>
          <w:b/>
          <w:sz w:val="24"/>
          <w:szCs w:val="24"/>
        </w:rPr>
        <w:t xml:space="preserve">MAQP </w:t>
      </w:r>
      <w:r w:rsidR="004E5659" w:rsidRPr="00606C6A">
        <w:rPr>
          <w:rFonts w:ascii="Garamond" w:hAnsi="Garamond"/>
          <w:b/>
          <w:sz w:val="24"/>
          <w:szCs w:val="24"/>
        </w:rPr>
        <w:t>History</w:t>
      </w:r>
    </w:p>
    <w:p w14:paraId="0277D632" w14:textId="77777777" w:rsidR="0028617B" w:rsidRPr="00606C6A" w:rsidRDefault="0028617B" w:rsidP="0028617B">
      <w:pPr>
        <w:rPr>
          <w:rFonts w:ascii="Garamond" w:hAnsi="Garamond"/>
          <w:sz w:val="24"/>
          <w:szCs w:val="24"/>
        </w:rPr>
      </w:pPr>
    </w:p>
    <w:p w14:paraId="4A60E081" w14:textId="77777777" w:rsidR="0028617B" w:rsidRPr="00606C6A" w:rsidRDefault="0028617B" w:rsidP="004E5659">
      <w:pPr>
        <w:ind w:left="360"/>
        <w:rPr>
          <w:rFonts w:ascii="Garamond" w:hAnsi="Garamond"/>
          <w:sz w:val="24"/>
          <w:szCs w:val="24"/>
        </w:rPr>
      </w:pPr>
      <w:r w:rsidRPr="00606C6A">
        <w:rPr>
          <w:rFonts w:ascii="Garamond" w:hAnsi="Garamond"/>
          <w:b/>
          <w:bCs/>
          <w:sz w:val="24"/>
          <w:szCs w:val="24"/>
        </w:rPr>
        <w:t xml:space="preserve">MAQP </w:t>
      </w:r>
      <w:r w:rsidRPr="00606C6A">
        <w:rPr>
          <w:rFonts w:ascii="Garamond" w:hAnsi="Garamond"/>
          <w:sz w:val="24"/>
          <w:szCs w:val="24"/>
        </w:rPr>
        <w:t>#</w:t>
      </w:r>
      <w:r w:rsidRPr="00606C6A">
        <w:rPr>
          <w:rFonts w:ascii="Garamond" w:hAnsi="Garamond"/>
          <w:b/>
          <w:bCs/>
          <w:sz w:val="24"/>
          <w:szCs w:val="24"/>
        </w:rPr>
        <w:t xml:space="preserve">1499 </w:t>
      </w:r>
      <w:r w:rsidRPr="00606C6A">
        <w:rPr>
          <w:rFonts w:ascii="Garamond" w:hAnsi="Garamond"/>
          <w:sz w:val="24"/>
          <w:szCs w:val="24"/>
        </w:rPr>
        <w:t xml:space="preserve">was originally issued to Placer Amex for the Golden Sunlight Mine by the Montana Department of Health and Environmental Sciences, Air Quality Bureau on November 13, 1980. Placer Dome US, successor in interest to Placer Amex, transferred the permit to Golden Sunlight Inc. (Golden Sunlight) in early 1982. </w:t>
      </w:r>
    </w:p>
    <w:p w14:paraId="01919261" w14:textId="77777777" w:rsidR="00A708BC" w:rsidRPr="00DA3542" w:rsidRDefault="00A708BC" w:rsidP="00A708BC">
      <w:pPr>
        <w:ind w:left="360"/>
        <w:rPr>
          <w:rFonts w:ascii="Garamond" w:hAnsi="Garamond"/>
          <w:bCs/>
          <w:sz w:val="24"/>
          <w:szCs w:val="24"/>
        </w:rPr>
      </w:pPr>
    </w:p>
    <w:p w14:paraId="48A951BA" w14:textId="77777777" w:rsidR="0028617B" w:rsidRPr="00606C6A" w:rsidRDefault="0028617B" w:rsidP="00A708BC">
      <w:pPr>
        <w:ind w:left="360"/>
        <w:rPr>
          <w:rFonts w:ascii="Garamond" w:hAnsi="Garamond"/>
          <w:sz w:val="24"/>
          <w:szCs w:val="24"/>
        </w:rPr>
      </w:pPr>
      <w:r w:rsidRPr="00606C6A">
        <w:rPr>
          <w:rFonts w:ascii="Garamond" w:hAnsi="Garamond"/>
          <w:b/>
          <w:bCs/>
          <w:sz w:val="24"/>
          <w:szCs w:val="24"/>
        </w:rPr>
        <w:t xml:space="preserve">MAQP #1689 </w:t>
      </w:r>
      <w:r w:rsidRPr="00606C6A">
        <w:rPr>
          <w:rFonts w:ascii="Garamond" w:hAnsi="Garamond"/>
          <w:sz w:val="24"/>
          <w:szCs w:val="24"/>
        </w:rPr>
        <w:t xml:space="preserve">was issued on July 1, 1982, as an alteration to Golden Sunlight’s existing permit. MAQP #1689 replaced MAQP #1499. </w:t>
      </w:r>
      <w:r w:rsidR="00987588">
        <w:rPr>
          <w:rFonts w:ascii="Garamond" w:hAnsi="Garamond"/>
          <w:sz w:val="24"/>
          <w:szCs w:val="24"/>
        </w:rPr>
        <w:t xml:space="preserve"> </w:t>
      </w:r>
      <w:r w:rsidRPr="00606C6A">
        <w:rPr>
          <w:rFonts w:ascii="Garamond" w:hAnsi="Garamond"/>
          <w:sz w:val="24"/>
          <w:szCs w:val="24"/>
        </w:rPr>
        <w:t xml:space="preserve">The permit alteration consisted of the following: </w:t>
      </w:r>
    </w:p>
    <w:p w14:paraId="22B13925" w14:textId="77777777" w:rsidR="00933A97" w:rsidRPr="00606C6A" w:rsidRDefault="00933A97" w:rsidP="00A708BC">
      <w:pPr>
        <w:ind w:left="360"/>
        <w:rPr>
          <w:rFonts w:ascii="Garamond" w:hAnsi="Garamond"/>
          <w:sz w:val="24"/>
          <w:szCs w:val="24"/>
        </w:rPr>
      </w:pPr>
    </w:p>
    <w:p w14:paraId="03EA06F4" w14:textId="77777777" w:rsidR="0028617B" w:rsidRPr="00606C6A" w:rsidRDefault="0028617B" w:rsidP="00A708BC">
      <w:pPr>
        <w:ind w:left="360"/>
        <w:rPr>
          <w:rFonts w:ascii="Garamond" w:hAnsi="Garamond"/>
          <w:sz w:val="24"/>
          <w:szCs w:val="24"/>
        </w:rPr>
      </w:pPr>
      <w:r w:rsidRPr="00606C6A">
        <w:rPr>
          <w:rFonts w:ascii="Garamond" w:hAnsi="Garamond"/>
          <w:sz w:val="24"/>
          <w:szCs w:val="24"/>
        </w:rPr>
        <w:t xml:space="preserve">The primary crusher changed from a jaw to a gyratory. </w:t>
      </w:r>
      <w:r w:rsidR="00987588">
        <w:rPr>
          <w:rFonts w:ascii="Garamond" w:hAnsi="Garamond"/>
          <w:sz w:val="24"/>
          <w:szCs w:val="24"/>
        </w:rPr>
        <w:t xml:space="preserve"> </w:t>
      </w:r>
      <w:r w:rsidRPr="00606C6A">
        <w:rPr>
          <w:rFonts w:ascii="Garamond" w:hAnsi="Garamond"/>
          <w:sz w:val="24"/>
          <w:szCs w:val="24"/>
        </w:rPr>
        <w:t xml:space="preserve">The gyratory crusher had a higher ore feed rate; however, Golden Sunlight did not propose to increase production. </w:t>
      </w:r>
      <w:r w:rsidR="00987588">
        <w:rPr>
          <w:rFonts w:ascii="Garamond" w:hAnsi="Garamond"/>
          <w:sz w:val="24"/>
          <w:szCs w:val="24"/>
        </w:rPr>
        <w:t xml:space="preserve"> </w:t>
      </w:r>
      <w:r w:rsidRPr="00606C6A">
        <w:rPr>
          <w:rFonts w:ascii="Garamond" w:hAnsi="Garamond"/>
          <w:sz w:val="24"/>
          <w:szCs w:val="24"/>
        </w:rPr>
        <w:t xml:space="preserve">Therefore, potential uncontrolled emissions for this replacement were unchanged. </w:t>
      </w:r>
      <w:r w:rsidR="00987588">
        <w:rPr>
          <w:rFonts w:ascii="Garamond" w:hAnsi="Garamond"/>
          <w:sz w:val="24"/>
          <w:szCs w:val="24"/>
        </w:rPr>
        <w:t xml:space="preserve"> </w:t>
      </w:r>
      <w:r w:rsidRPr="00606C6A">
        <w:rPr>
          <w:rFonts w:ascii="Garamond" w:hAnsi="Garamond"/>
          <w:sz w:val="24"/>
          <w:szCs w:val="24"/>
        </w:rPr>
        <w:t xml:space="preserve">The gyratory crusher operated fewer hours per day to crush the same </w:t>
      </w:r>
      <w:proofErr w:type="gramStart"/>
      <w:r w:rsidRPr="00606C6A">
        <w:rPr>
          <w:rFonts w:ascii="Garamond" w:hAnsi="Garamond"/>
          <w:sz w:val="24"/>
          <w:szCs w:val="24"/>
        </w:rPr>
        <w:t>amount</w:t>
      </w:r>
      <w:proofErr w:type="gramEnd"/>
      <w:r w:rsidRPr="00606C6A">
        <w:rPr>
          <w:rFonts w:ascii="Garamond" w:hAnsi="Garamond"/>
          <w:sz w:val="24"/>
          <w:szCs w:val="24"/>
        </w:rPr>
        <w:t xml:space="preserve"> of ore. </w:t>
      </w:r>
      <w:r w:rsidR="00987588">
        <w:rPr>
          <w:rFonts w:ascii="Garamond" w:hAnsi="Garamond"/>
          <w:sz w:val="24"/>
          <w:szCs w:val="24"/>
        </w:rPr>
        <w:t xml:space="preserve"> </w:t>
      </w:r>
      <w:r w:rsidRPr="00606C6A">
        <w:rPr>
          <w:rFonts w:ascii="Garamond" w:hAnsi="Garamond"/>
          <w:sz w:val="24"/>
          <w:szCs w:val="24"/>
        </w:rPr>
        <w:t xml:space="preserve">This allowed for less handling of stockpiled ore that reduced emissions. </w:t>
      </w:r>
    </w:p>
    <w:p w14:paraId="44196F32" w14:textId="77777777" w:rsidR="0028617B" w:rsidRPr="00DA3542" w:rsidRDefault="0028617B" w:rsidP="00A708BC">
      <w:pPr>
        <w:ind w:left="360"/>
        <w:rPr>
          <w:rFonts w:ascii="Garamond" w:hAnsi="Garamond"/>
          <w:bCs/>
          <w:sz w:val="24"/>
          <w:szCs w:val="24"/>
        </w:rPr>
      </w:pPr>
    </w:p>
    <w:p w14:paraId="1ECB9F9E" w14:textId="2492458B" w:rsidR="00A708BC" w:rsidRDefault="0028617B" w:rsidP="00A708BC">
      <w:pPr>
        <w:ind w:left="360"/>
        <w:rPr>
          <w:rFonts w:ascii="Garamond" w:hAnsi="Garamond"/>
          <w:sz w:val="24"/>
          <w:szCs w:val="24"/>
        </w:rPr>
      </w:pPr>
      <w:r w:rsidRPr="00606C6A">
        <w:rPr>
          <w:rFonts w:ascii="Garamond" w:hAnsi="Garamond"/>
          <w:sz w:val="24"/>
          <w:szCs w:val="24"/>
        </w:rPr>
        <w:lastRenderedPageBreak/>
        <w:t xml:space="preserve">The coarse screen location was moved within the enclosed secondary crushing building that added another conveyor discharge point to the circuit. </w:t>
      </w:r>
      <w:r w:rsidR="00987588">
        <w:rPr>
          <w:rFonts w:ascii="Garamond" w:hAnsi="Garamond"/>
          <w:sz w:val="24"/>
          <w:szCs w:val="24"/>
        </w:rPr>
        <w:t xml:space="preserve"> </w:t>
      </w:r>
      <w:r w:rsidRPr="00606C6A">
        <w:rPr>
          <w:rFonts w:ascii="Garamond" w:hAnsi="Garamond"/>
          <w:sz w:val="24"/>
          <w:szCs w:val="24"/>
        </w:rPr>
        <w:t>A coarse ore stockpile was included in the circuit.</w:t>
      </w:r>
      <w:r w:rsidR="00987588">
        <w:rPr>
          <w:rFonts w:ascii="Garamond" w:hAnsi="Garamond"/>
          <w:sz w:val="24"/>
          <w:szCs w:val="24"/>
        </w:rPr>
        <w:t xml:space="preserve"> </w:t>
      </w:r>
      <w:r w:rsidRPr="00606C6A">
        <w:rPr>
          <w:rFonts w:ascii="Garamond" w:hAnsi="Garamond"/>
          <w:sz w:val="24"/>
          <w:szCs w:val="24"/>
        </w:rPr>
        <w:t xml:space="preserve"> The material was pre-screened to remove fines. </w:t>
      </w:r>
      <w:r w:rsidR="00987588">
        <w:rPr>
          <w:rFonts w:ascii="Garamond" w:hAnsi="Garamond"/>
          <w:sz w:val="24"/>
          <w:szCs w:val="24"/>
        </w:rPr>
        <w:t xml:space="preserve"> </w:t>
      </w:r>
      <w:proofErr w:type="spellStart"/>
      <w:r w:rsidRPr="00606C6A">
        <w:rPr>
          <w:rFonts w:ascii="Garamond" w:hAnsi="Garamond"/>
          <w:sz w:val="24"/>
          <w:szCs w:val="24"/>
        </w:rPr>
        <w:t>Ducon-Mikropul</w:t>
      </w:r>
      <w:proofErr w:type="spellEnd"/>
      <w:r w:rsidRPr="00606C6A">
        <w:rPr>
          <w:rFonts w:ascii="Garamond" w:hAnsi="Garamond"/>
          <w:sz w:val="24"/>
          <w:szCs w:val="24"/>
        </w:rPr>
        <w:t xml:space="preserve"> dust collectors were used instead of Jay Turbulaire. </w:t>
      </w:r>
      <w:r w:rsidR="00987588">
        <w:rPr>
          <w:rFonts w:ascii="Garamond" w:hAnsi="Garamond"/>
          <w:sz w:val="24"/>
          <w:szCs w:val="24"/>
        </w:rPr>
        <w:t xml:space="preserve"> </w:t>
      </w:r>
      <w:r w:rsidRPr="00606C6A">
        <w:rPr>
          <w:rFonts w:ascii="Garamond" w:hAnsi="Garamond"/>
          <w:sz w:val="24"/>
          <w:szCs w:val="24"/>
        </w:rPr>
        <w:t xml:space="preserve">Configuration of some of the dust collection was changed. Manufacturer's literature indicated that the dust collection efficiency was improved. </w:t>
      </w:r>
      <w:r w:rsidR="00987588">
        <w:rPr>
          <w:rFonts w:ascii="Garamond" w:hAnsi="Garamond"/>
          <w:sz w:val="24"/>
          <w:szCs w:val="24"/>
        </w:rPr>
        <w:t xml:space="preserve"> </w:t>
      </w:r>
      <w:r w:rsidRPr="00606C6A">
        <w:rPr>
          <w:rFonts w:ascii="Garamond" w:hAnsi="Garamond"/>
          <w:sz w:val="24"/>
          <w:szCs w:val="24"/>
        </w:rPr>
        <w:t>Natural gas was used rather than propane in the process boiler, carbon reactivation furnace</w:t>
      </w:r>
      <w:r w:rsidR="00AE69E0">
        <w:rPr>
          <w:rFonts w:ascii="Garamond" w:hAnsi="Garamond"/>
          <w:sz w:val="24"/>
          <w:szCs w:val="24"/>
        </w:rPr>
        <w:t>,</w:t>
      </w:r>
      <w:r w:rsidRPr="00606C6A">
        <w:rPr>
          <w:rFonts w:ascii="Garamond" w:hAnsi="Garamond"/>
          <w:sz w:val="24"/>
          <w:szCs w:val="24"/>
        </w:rPr>
        <w:t xml:space="preserve"> and the bullion furnace. </w:t>
      </w:r>
      <w:r w:rsidR="00987588">
        <w:rPr>
          <w:rFonts w:ascii="Garamond" w:hAnsi="Garamond"/>
          <w:sz w:val="24"/>
          <w:szCs w:val="24"/>
        </w:rPr>
        <w:t xml:space="preserve"> </w:t>
      </w:r>
      <w:r w:rsidRPr="00606C6A">
        <w:rPr>
          <w:rFonts w:ascii="Garamond" w:hAnsi="Garamond"/>
          <w:sz w:val="24"/>
          <w:szCs w:val="24"/>
        </w:rPr>
        <w:t xml:space="preserve">This fuel change had a negligible effect on the emission estimates. </w:t>
      </w:r>
      <w:r w:rsidR="00987588">
        <w:rPr>
          <w:rFonts w:ascii="Garamond" w:hAnsi="Garamond"/>
          <w:sz w:val="24"/>
          <w:szCs w:val="24"/>
        </w:rPr>
        <w:t xml:space="preserve"> </w:t>
      </w:r>
      <w:r w:rsidRPr="00606C6A">
        <w:rPr>
          <w:rFonts w:ascii="Garamond" w:hAnsi="Garamond"/>
          <w:sz w:val="24"/>
          <w:szCs w:val="24"/>
        </w:rPr>
        <w:t xml:space="preserve">Estimates of potential, uncontrolled particulate matter (PM) emissions increased by 3.7 tons per year (tpy), while estimates of actual, controlled PM emissions decreased by 25.7 tpy, </w:t>
      </w:r>
      <w:r w:rsidR="00A47B64" w:rsidRPr="00606C6A">
        <w:rPr>
          <w:rFonts w:ascii="Garamond" w:hAnsi="Garamond"/>
          <w:sz w:val="24"/>
          <w:szCs w:val="24"/>
        </w:rPr>
        <w:t>because of</w:t>
      </w:r>
      <w:r w:rsidRPr="00606C6A">
        <w:rPr>
          <w:rFonts w:ascii="Garamond" w:hAnsi="Garamond"/>
          <w:sz w:val="24"/>
          <w:szCs w:val="24"/>
        </w:rPr>
        <w:t xml:space="preserve"> these alterations.</w:t>
      </w:r>
    </w:p>
    <w:p w14:paraId="04B72AB2" w14:textId="77777777" w:rsidR="00DB0867" w:rsidRPr="00606C6A" w:rsidRDefault="00DB0867" w:rsidP="00A708BC">
      <w:pPr>
        <w:ind w:left="360"/>
        <w:rPr>
          <w:rFonts w:ascii="Garamond" w:hAnsi="Garamond"/>
          <w:sz w:val="24"/>
          <w:szCs w:val="24"/>
        </w:rPr>
      </w:pPr>
    </w:p>
    <w:p w14:paraId="01EDAE48" w14:textId="667A723C" w:rsidR="0028617B" w:rsidRPr="00DB0867" w:rsidRDefault="0028617B" w:rsidP="00DB0867">
      <w:pPr>
        <w:ind w:left="360"/>
        <w:rPr>
          <w:rFonts w:ascii="Garamond" w:hAnsi="Garamond"/>
        </w:rPr>
      </w:pPr>
      <w:r w:rsidRPr="00606C6A">
        <w:rPr>
          <w:rFonts w:ascii="Garamond" w:hAnsi="Garamond"/>
          <w:b/>
          <w:sz w:val="24"/>
          <w:szCs w:val="24"/>
        </w:rPr>
        <w:t>MAQP #1689A</w:t>
      </w:r>
      <w:r w:rsidRPr="00606C6A">
        <w:rPr>
          <w:rFonts w:ascii="Garamond" w:hAnsi="Garamond"/>
          <w:sz w:val="24"/>
          <w:szCs w:val="24"/>
        </w:rPr>
        <w:t xml:space="preserve"> was issued on May 26, 1987. </w:t>
      </w:r>
      <w:r w:rsidR="00E86689">
        <w:rPr>
          <w:rFonts w:ascii="Garamond" w:hAnsi="Garamond"/>
          <w:sz w:val="24"/>
          <w:szCs w:val="24"/>
        </w:rPr>
        <w:t xml:space="preserve"> </w:t>
      </w:r>
      <w:r w:rsidRPr="00606C6A">
        <w:rPr>
          <w:rFonts w:ascii="Garamond" w:hAnsi="Garamond"/>
          <w:sz w:val="24"/>
          <w:szCs w:val="24"/>
        </w:rPr>
        <w:t xml:space="preserve">Golden Sunlight applied for a permit alteration to increase ore and waste production above the previous permit limit. </w:t>
      </w:r>
      <w:r w:rsidR="00E86689">
        <w:rPr>
          <w:rFonts w:ascii="Garamond" w:hAnsi="Garamond"/>
          <w:sz w:val="24"/>
          <w:szCs w:val="24"/>
        </w:rPr>
        <w:t xml:space="preserve"> </w:t>
      </w:r>
      <w:r w:rsidRPr="00606C6A">
        <w:rPr>
          <w:rFonts w:ascii="Garamond" w:hAnsi="Garamond"/>
          <w:sz w:val="24"/>
          <w:szCs w:val="24"/>
        </w:rPr>
        <w:t xml:space="preserve">This alteration was based on a projected ore production and mill throughput of 2,600,000 tpy and a waste production level of 14,900,000 tpy. </w:t>
      </w:r>
      <w:r w:rsidR="00E86689">
        <w:rPr>
          <w:rFonts w:ascii="Garamond" w:hAnsi="Garamond"/>
          <w:sz w:val="24"/>
          <w:szCs w:val="24"/>
        </w:rPr>
        <w:t xml:space="preserve"> </w:t>
      </w:r>
      <w:r w:rsidRPr="00606C6A">
        <w:rPr>
          <w:rFonts w:ascii="Garamond" w:hAnsi="Garamond"/>
          <w:sz w:val="24"/>
          <w:szCs w:val="24"/>
        </w:rPr>
        <w:t xml:space="preserve">The previous totals were 1,750,000 tpy of ore and 2,275,000 tpy of waste. </w:t>
      </w:r>
      <w:r w:rsidR="00E86689">
        <w:rPr>
          <w:rFonts w:ascii="Garamond" w:hAnsi="Garamond"/>
          <w:sz w:val="24"/>
          <w:szCs w:val="24"/>
        </w:rPr>
        <w:t xml:space="preserve"> </w:t>
      </w:r>
      <w:r w:rsidRPr="00606C6A">
        <w:rPr>
          <w:rFonts w:ascii="Garamond" w:hAnsi="Garamond"/>
          <w:sz w:val="24"/>
          <w:szCs w:val="24"/>
        </w:rPr>
        <w:t xml:space="preserve">The ore production increase was primarily due to a gradual decrease in ore hardness that in turn allowed for an increase in mill throughput using the existing equipment. </w:t>
      </w:r>
      <w:r w:rsidR="00E86689">
        <w:rPr>
          <w:rFonts w:ascii="Garamond" w:hAnsi="Garamond"/>
          <w:sz w:val="24"/>
          <w:szCs w:val="24"/>
        </w:rPr>
        <w:t xml:space="preserve"> </w:t>
      </w:r>
      <w:r w:rsidRPr="00606C6A">
        <w:rPr>
          <w:rFonts w:ascii="Garamond" w:hAnsi="Garamond"/>
          <w:sz w:val="24"/>
          <w:szCs w:val="24"/>
        </w:rPr>
        <w:t xml:space="preserve">Waste production also increased due to increases in the overburden stripping ratio. The PM emission inventory was updated using new emission factors. </w:t>
      </w:r>
      <w:r w:rsidR="00E86689">
        <w:rPr>
          <w:rFonts w:ascii="Garamond" w:hAnsi="Garamond"/>
          <w:sz w:val="24"/>
          <w:szCs w:val="24"/>
        </w:rPr>
        <w:t xml:space="preserve"> </w:t>
      </w:r>
      <w:r w:rsidRPr="00606C6A">
        <w:rPr>
          <w:rFonts w:ascii="Garamond" w:hAnsi="Garamond"/>
          <w:sz w:val="24"/>
          <w:szCs w:val="24"/>
        </w:rPr>
        <w:t>The increase in production and mill throughput resulted in an increase</w:t>
      </w:r>
      <w:r w:rsidRPr="00606C6A">
        <w:rPr>
          <w:rFonts w:ascii="Garamond" w:hAnsi="Garamond"/>
          <w:bCs/>
          <w:sz w:val="24"/>
          <w:szCs w:val="24"/>
        </w:rPr>
        <w:t xml:space="preserve"> in uncontrolled PM emissions of 378 tpy. </w:t>
      </w:r>
      <w:r w:rsidR="00E86689">
        <w:rPr>
          <w:rFonts w:ascii="Garamond" w:hAnsi="Garamond"/>
          <w:bCs/>
          <w:sz w:val="24"/>
          <w:szCs w:val="24"/>
        </w:rPr>
        <w:t xml:space="preserve"> </w:t>
      </w:r>
      <w:r w:rsidR="005E2B8F" w:rsidRPr="00606C6A">
        <w:rPr>
          <w:rFonts w:ascii="Garamond" w:hAnsi="Garamond"/>
          <w:bCs/>
          <w:sz w:val="24"/>
          <w:szCs w:val="24"/>
        </w:rPr>
        <w:t>Most of</w:t>
      </w:r>
      <w:r w:rsidRPr="00606C6A">
        <w:rPr>
          <w:rFonts w:ascii="Garamond" w:hAnsi="Garamond"/>
          <w:bCs/>
          <w:sz w:val="24"/>
          <w:szCs w:val="24"/>
        </w:rPr>
        <w:t xml:space="preserve"> these PM emissions were fugitives, with stack emissions only increasing from 1.6 to 2.3 tpy</w:t>
      </w:r>
      <w:r w:rsidRPr="00606C6A">
        <w:rPr>
          <w:rFonts w:ascii="Garamond" w:hAnsi="Garamond"/>
          <w:b/>
          <w:bCs/>
          <w:sz w:val="24"/>
          <w:szCs w:val="24"/>
        </w:rPr>
        <w:t xml:space="preserve">. </w:t>
      </w:r>
    </w:p>
    <w:p w14:paraId="1643BBCD" w14:textId="77777777" w:rsidR="00F65AF9" w:rsidRPr="00DA3542" w:rsidRDefault="00F65AF9" w:rsidP="00DA3542">
      <w:pPr>
        <w:rPr>
          <w:rFonts w:ascii="Garamond" w:hAnsi="Garamond"/>
          <w:b/>
          <w:bCs/>
          <w:sz w:val="24"/>
          <w:szCs w:val="24"/>
        </w:rPr>
      </w:pPr>
    </w:p>
    <w:p w14:paraId="3F88716E" w14:textId="77777777" w:rsidR="0028617B" w:rsidRPr="00606C6A" w:rsidRDefault="0028617B" w:rsidP="00A708BC">
      <w:pPr>
        <w:ind w:left="360"/>
        <w:rPr>
          <w:rFonts w:ascii="Garamond" w:hAnsi="Garamond"/>
          <w:bCs/>
          <w:sz w:val="24"/>
          <w:szCs w:val="24"/>
        </w:rPr>
      </w:pPr>
      <w:r w:rsidRPr="00606C6A">
        <w:rPr>
          <w:rFonts w:ascii="Garamond" w:hAnsi="Garamond"/>
          <w:b/>
          <w:bCs/>
          <w:sz w:val="24"/>
          <w:szCs w:val="24"/>
        </w:rPr>
        <w:t>MAQP #1689A-3</w:t>
      </w:r>
      <w:r w:rsidRPr="00606C6A">
        <w:rPr>
          <w:rFonts w:ascii="Garamond" w:hAnsi="Garamond"/>
          <w:bCs/>
          <w:sz w:val="24"/>
          <w:szCs w:val="24"/>
        </w:rPr>
        <w:t xml:space="preserve"> was issued on July 20, 1990, for an increase in the o</w:t>
      </w:r>
      <w:r w:rsidR="00DA3542">
        <w:rPr>
          <w:rFonts w:ascii="Garamond" w:hAnsi="Garamond"/>
          <w:bCs/>
          <w:sz w:val="24"/>
          <w:szCs w:val="24"/>
        </w:rPr>
        <w:t>re and waste production limits.</w:t>
      </w:r>
    </w:p>
    <w:p w14:paraId="70745E27" w14:textId="77777777" w:rsidR="00F65AF9" w:rsidRPr="00DA3542" w:rsidRDefault="00F65AF9" w:rsidP="00DA3542">
      <w:pPr>
        <w:rPr>
          <w:rFonts w:ascii="Garamond" w:hAnsi="Garamond"/>
          <w:b/>
          <w:bCs/>
          <w:sz w:val="24"/>
          <w:szCs w:val="24"/>
        </w:rPr>
      </w:pPr>
    </w:p>
    <w:p w14:paraId="3B4CEC2A" w14:textId="77777777" w:rsidR="0028617B" w:rsidRPr="00606C6A" w:rsidRDefault="0028617B" w:rsidP="00A708BC">
      <w:pPr>
        <w:ind w:left="360"/>
        <w:rPr>
          <w:rFonts w:ascii="Garamond" w:hAnsi="Garamond"/>
          <w:bCs/>
          <w:sz w:val="24"/>
          <w:szCs w:val="24"/>
        </w:rPr>
      </w:pPr>
      <w:r w:rsidRPr="00606C6A">
        <w:rPr>
          <w:rFonts w:ascii="Garamond" w:hAnsi="Garamond"/>
          <w:b/>
          <w:bCs/>
          <w:sz w:val="24"/>
          <w:szCs w:val="24"/>
        </w:rPr>
        <w:t>MAQP #1689-04</w:t>
      </w:r>
      <w:r w:rsidRPr="00606C6A">
        <w:rPr>
          <w:rFonts w:ascii="Garamond" w:hAnsi="Garamond"/>
          <w:bCs/>
          <w:sz w:val="24"/>
          <w:szCs w:val="24"/>
        </w:rPr>
        <w:t xml:space="preserve"> was issued on June 11, 1993, to increase production limits from 17.5 million tons per year (waste - 14.9 million, ore - 2.6 million) to 39.2 million tons per year (waste - 36.7 million, ore - 2.5 million). </w:t>
      </w:r>
      <w:r w:rsidR="00E86689">
        <w:rPr>
          <w:rFonts w:ascii="Garamond" w:hAnsi="Garamond"/>
          <w:bCs/>
          <w:sz w:val="24"/>
          <w:szCs w:val="24"/>
        </w:rPr>
        <w:t xml:space="preserve"> </w:t>
      </w:r>
      <w:r w:rsidRPr="00606C6A">
        <w:rPr>
          <w:rFonts w:ascii="Garamond" w:hAnsi="Garamond"/>
          <w:bCs/>
          <w:sz w:val="24"/>
          <w:szCs w:val="24"/>
        </w:rPr>
        <w:t xml:space="preserve">The acreage of the disturbed areas also increased. </w:t>
      </w:r>
      <w:r w:rsidR="00E86689">
        <w:rPr>
          <w:rFonts w:ascii="Garamond" w:hAnsi="Garamond"/>
          <w:bCs/>
          <w:sz w:val="24"/>
          <w:szCs w:val="24"/>
        </w:rPr>
        <w:t xml:space="preserve"> </w:t>
      </w:r>
      <w:r w:rsidRPr="00606C6A">
        <w:rPr>
          <w:rFonts w:ascii="Garamond" w:hAnsi="Garamond"/>
          <w:bCs/>
          <w:sz w:val="24"/>
          <w:szCs w:val="24"/>
        </w:rPr>
        <w:t xml:space="preserve">The additional disturbed acres were used as sites for tailings, ore storage, and mine waste rock disposal. All other existing equipment, facilities and procedures remained the same. </w:t>
      </w:r>
      <w:r w:rsidR="00E86689">
        <w:rPr>
          <w:rFonts w:ascii="Garamond" w:hAnsi="Garamond"/>
          <w:bCs/>
          <w:sz w:val="24"/>
          <w:szCs w:val="24"/>
        </w:rPr>
        <w:t xml:space="preserve"> </w:t>
      </w:r>
      <w:r w:rsidRPr="00606C6A">
        <w:rPr>
          <w:rFonts w:ascii="Garamond" w:hAnsi="Garamond"/>
          <w:bCs/>
          <w:sz w:val="24"/>
          <w:szCs w:val="24"/>
        </w:rPr>
        <w:t xml:space="preserve">Also, the ambient monitoring requirement for analysis of trace metals was deleted. </w:t>
      </w:r>
    </w:p>
    <w:p w14:paraId="110CD39D" w14:textId="77777777" w:rsidR="00F65AF9" w:rsidRPr="00DA3542" w:rsidRDefault="00F65AF9" w:rsidP="00DA3542">
      <w:pPr>
        <w:rPr>
          <w:rFonts w:ascii="Garamond" w:hAnsi="Garamond"/>
          <w:bCs/>
          <w:sz w:val="24"/>
          <w:szCs w:val="24"/>
        </w:rPr>
      </w:pPr>
    </w:p>
    <w:p w14:paraId="341EE509" w14:textId="77777777" w:rsidR="0028617B" w:rsidRPr="00606C6A" w:rsidRDefault="0028617B" w:rsidP="00A708BC">
      <w:pPr>
        <w:ind w:left="360"/>
        <w:rPr>
          <w:rFonts w:ascii="Garamond" w:hAnsi="Garamond"/>
          <w:bCs/>
          <w:sz w:val="24"/>
          <w:szCs w:val="24"/>
        </w:rPr>
      </w:pPr>
      <w:r w:rsidRPr="00606C6A">
        <w:rPr>
          <w:rFonts w:ascii="Garamond" w:hAnsi="Garamond"/>
          <w:b/>
          <w:bCs/>
          <w:sz w:val="24"/>
          <w:szCs w:val="24"/>
        </w:rPr>
        <w:t>MAQP #1689-05</w:t>
      </w:r>
      <w:r w:rsidRPr="00606C6A">
        <w:rPr>
          <w:rFonts w:ascii="Garamond" w:hAnsi="Garamond"/>
          <w:bCs/>
          <w:sz w:val="24"/>
          <w:szCs w:val="24"/>
        </w:rPr>
        <w:t xml:space="preserve"> was issued on June 21, 1998. </w:t>
      </w:r>
      <w:r w:rsidR="00E86689">
        <w:rPr>
          <w:rFonts w:ascii="Garamond" w:hAnsi="Garamond"/>
          <w:bCs/>
          <w:sz w:val="24"/>
          <w:szCs w:val="24"/>
        </w:rPr>
        <w:t xml:space="preserve"> </w:t>
      </w:r>
      <w:r w:rsidRPr="00606C6A">
        <w:rPr>
          <w:rFonts w:ascii="Garamond" w:hAnsi="Garamond"/>
          <w:bCs/>
          <w:sz w:val="24"/>
          <w:szCs w:val="24"/>
        </w:rPr>
        <w:t>Golden Sunlight, in a letter dated April 27, 1998, requested a determination on the need for a permit alteration for the installation and operation of an INCO SO</w:t>
      </w:r>
      <w:r w:rsidRPr="00606C6A">
        <w:rPr>
          <w:rFonts w:ascii="Garamond" w:hAnsi="Garamond"/>
          <w:bCs/>
          <w:sz w:val="24"/>
          <w:szCs w:val="24"/>
          <w:vertAlign w:val="subscript"/>
        </w:rPr>
        <w:t>2</w:t>
      </w:r>
      <w:r w:rsidRPr="00606C6A">
        <w:rPr>
          <w:rFonts w:ascii="Garamond" w:hAnsi="Garamond"/>
          <w:bCs/>
          <w:sz w:val="24"/>
          <w:szCs w:val="24"/>
        </w:rPr>
        <w:t xml:space="preserve">/AIR Cyanide Destruction System. </w:t>
      </w:r>
      <w:r w:rsidR="00E86689">
        <w:rPr>
          <w:rFonts w:ascii="Garamond" w:hAnsi="Garamond"/>
          <w:bCs/>
          <w:sz w:val="24"/>
          <w:szCs w:val="24"/>
        </w:rPr>
        <w:t xml:space="preserve"> </w:t>
      </w:r>
      <w:r w:rsidRPr="00606C6A">
        <w:rPr>
          <w:rFonts w:ascii="Garamond" w:hAnsi="Garamond"/>
          <w:bCs/>
          <w:sz w:val="24"/>
          <w:szCs w:val="24"/>
        </w:rPr>
        <w:t xml:space="preserve">Golden Sunlight identified minimal emissions from the INCO system. </w:t>
      </w:r>
      <w:r w:rsidR="00E86689">
        <w:rPr>
          <w:rFonts w:ascii="Garamond" w:hAnsi="Garamond"/>
          <w:bCs/>
          <w:sz w:val="24"/>
          <w:szCs w:val="24"/>
        </w:rPr>
        <w:t xml:space="preserve"> </w:t>
      </w:r>
      <w:r w:rsidRPr="00606C6A">
        <w:rPr>
          <w:rFonts w:ascii="Garamond" w:hAnsi="Garamond"/>
          <w:bCs/>
          <w:sz w:val="24"/>
          <w:szCs w:val="24"/>
        </w:rPr>
        <w:t>The INCO system is a single stage, slurry treatment that uses ammonium bisulfide (NH</w:t>
      </w:r>
      <w:r w:rsidRPr="00606C6A">
        <w:rPr>
          <w:rFonts w:ascii="Garamond" w:hAnsi="Garamond"/>
          <w:bCs/>
          <w:sz w:val="24"/>
          <w:szCs w:val="24"/>
          <w:vertAlign w:val="subscript"/>
        </w:rPr>
        <w:t>4</w:t>
      </w:r>
      <w:r w:rsidRPr="00606C6A">
        <w:rPr>
          <w:rFonts w:ascii="Garamond" w:hAnsi="Garamond"/>
          <w:bCs/>
          <w:sz w:val="24"/>
          <w:szCs w:val="24"/>
        </w:rPr>
        <w:t>HSO</w:t>
      </w:r>
      <w:r w:rsidRPr="00606C6A">
        <w:rPr>
          <w:rFonts w:ascii="Garamond" w:hAnsi="Garamond"/>
          <w:bCs/>
          <w:sz w:val="24"/>
          <w:szCs w:val="24"/>
          <w:vertAlign w:val="subscript"/>
        </w:rPr>
        <w:t>3</w:t>
      </w:r>
      <w:r w:rsidRPr="00606C6A">
        <w:rPr>
          <w:rFonts w:ascii="Garamond" w:hAnsi="Garamond"/>
          <w:bCs/>
          <w:sz w:val="24"/>
          <w:szCs w:val="24"/>
        </w:rPr>
        <w:t xml:space="preserve">) to destroy cyanide during a retention cycle of approximately 3 hours. The INCO system emits approximately 2.6 ton/day of ammonium (NH3). </w:t>
      </w:r>
      <w:r w:rsidR="00AE69E0">
        <w:rPr>
          <w:rFonts w:ascii="Garamond" w:hAnsi="Garamond"/>
          <w:bCs/>
          <w:sz w:val="24"/>
          <w:szCs w:val="24"/>
        </w:rPr>
        <w:t xml:space="preserve"> </w:t>
      </w:r>
      <w:r w:rsidRPr="00606C6A">
        <w:rPr>
          <w:rFonts w:ascii="Garamond" w:hAnsi="Garamond"/>
          <w:bCs/>
          <w:sz w:val="24"/>
          <w:szCs w:val="24"/>
        </w:rPr>
        <w:t>However, NH</w:t>
      </w:r>
      <w:r w:rsidRPr="00606C6A">
        <w:rPr>
          <w:rFonts w:ascii="Garamond" w:hAnsi="Garamond"/>
          <w:bCs/>
          <w:sz w:val="24"/>
          <w:szCs w:val="24"/>
          <w:vertAlign w:val="subscript"/>
        </w:rPr>
        <w:t>3</w:t>
      </w:r>
      <w:r w:rsidRPr="00606C6A">
        <w:rPr>
          <w:rFonts w:ascii="Garamond" w:hAnsi="Garamond"/>
          <w:bCs/>
          <w:sz w:val="24"/>
          <w:szCs w:val="24"/>
        </w:rPr>
        <w:t xml:space="preserve"> is not a regulated air pollutant. </w:t>
      </w:r>
      <w:r w:rsidR="00E86689">
        <w:rPr>
          <w:rFonts w:ascii="Garamond" w:hAnsi="Garamond"/>
          <w:bCs/>
          <w:sz w:val="24"/>
          <w:szCs w:val="24"/>
        </w:rPr>
        <w:t xml:space="preserve"> </w:t>
      </w:r>
      <w:r w:rsidRPr="00606C6A">
        <w:rPr>
          <w:rFonts w:ascii="Garamond" w:hAnsi="Garamond"/>
          <w:bCs/>
          <w:sz w:val="24"/>
          <w:szCs w:val="24"/>
        </w:rPr>
        <w:t xml:space="preserve">The INCO system was designed to destroy 223 lb/hour of weak-acid, dissociable cyanide in the mine’s tailings slurry stream (at a discharge rate of 1,897 gallons/minute with 50% solids by weight). </w:t>
      </w:r>
      <w:r w:rsidR="00E86689">
        <w:rPr>
          <w:rFonts w:ascii="Garamond" w:hAnsi="Garamond"/>
          <w:bCs/>
          <w:sz w:val="24"/>
          <w:szCs w:val="24"/>
        </w:rPr>
        <w:t xml:space="preserve"> </w:t>
      </w:r>
      <w:r w:rsidRPr="00606C6A">
        <w:rPr>
          <w:rFonts w:ascii="Garamond" w:hAnsi="Garamond"/>
          <w:bCs/>
          <w:sz w:val="24"/>
          <w:szCs w:val="24"/>
        </w:rPr>
        <w:t xml:space="preserve">The INCO system removes over 99% of the cyanide from the gold plant’s tailings slurry leaving a final cyanide concentration in the treated effluent of about 2 ppm. </w:t>
      </w:r>
    </w:p>
    <w:p w14:paraId="20454A30" w14:textId="77777777" w:rsidR="00E60F07" w:rsidRPr="00DA3542" w:rsidRDefault="00E60F07" w:rsidP="00DA3542">
      <w:pPr>
        <w:rPr>
          <w:rFonts w:ascii="Garamond" w:hAnsi="Garamond"/>
          <w:bCs/>
          <w:sz w:val="24"/>
          <w:szCs w:val="24"/>
        </w:rPr>
      </w:pPr>
    </w:p>
    <w:p w14:paraId="1D3BC498" w14:textId="4863482C" w:rsidR="0028617B" w:rsidRPr="00606C6A" w:rsidRDefault="0028617B" w:rsidP="00AA7370">
      <w:pPr>
        <w:ind w:left="360"/>
        <w:rPr>
          <w:rFonts w:ascii="Garamond" w:hAnsi="Garamond"/>
          <w:bCs/>
          <w:sz w:val="24"/>
          <w:szCs w:val="24"/>
        </w:rPr>
      </w:pPr>
      <w:r w:rsidRPr="00606C6A">
        <w:rPr>
          <w:rFonts w:ascii="Garamond" w:hAnsi="Garamond"/>
          <w:bCs/>
          <w:sz w:val="24"/>
          <w:szCs w:val="24"/>
        </w:rPr>
        <w:t xml:space="preserve">On May 6, 1998, the Department </w:t>
      </w:r>
      <w:r w:rsidR="00AE69E0">
        <w:rPr>
          <w:rFonts w:ascii="Garamond" w:hAnsi="Garamond"/>
          <w:bCs/>
          <w:sz w:val="24"/>
          <w:szCs w:val="24"/>
        </w:rPr>
        <w:t>of Environmental Quality (</w:t>
      </w:r>
      <w:r w:rsidR="00C07B57">
        <w:rPr>
          <w:rFonts w:ascii="Garamond" w:hAnsi="Garamond"/>
          <w:bCs/>
          <w:sz w:val="24"/>
          <w:szCs w:val="24"/>
        </w:rPr>
        <w:t>DEQ</w:t>
      </w:r>
      <w:r w:rsidR="00AE69E0">
        <w:rPr>
          <w:rFonts w:ascii="Garamond" w:hAnsi="Garamond"/>
          <w:bCs/>
          <w:sz w:val="24"/>
          <w:szCs w:val="24"/>
        </w:rPr>
        <w:t xml:space="preserve">) </w:t>
      </w:r>
      <w:r w:rsidRPr="00606C6A">
        <w:rPr>
          <w:rFonts w:ascii="Garamond" w:hAnsi="Garamond"/>
          <w:bCs/>
          <w:sz w:val="24"/>
          <w:szCs w:val="24"/>
        </w:rPr>
        <w:t>determined that the INCO Cyanide Destruction System would not require an alteration to MAQP #1689-04 because the proposed changes would not cause any increase in regulated air pollutants.</w:t>
      </w:r>
      <w:r w:rsidR="00E86689">
        <w:rPr>
          <w:rFonts w:ascii="Garamond" w:hAnsi="Garamond"/>
          <w:bCs/>
          <w:sz w:val="24"/>
          <w:szCs w:val="24"/>
        </w:rPr>
        <w:t xml:space="preserve"> </w:t>
      </w:r>
      <w:r w:rsidRPr="00606C6A">
        <w:rPr>
          <w:rFonts w:ascii="Garamond" w:hAnsi="Garamond"/>
          <w:bCs/>
          <w:sz w:val="24"/>
          <w:szCs w:val="24"/>
        </w:rPr>
        <w:t xml:space="preserve"> However, </w:t>
      </w:r>
      <w:r w:rsidR="00C07B57">
        <w:rPr>
          <w:rFonts w:ascii="Garamond" w:hAnsi="Garamond"/>
          <w:bCs/>
          <w:sz w:val="24"/>
          <w:szCs w:val="24"/>
        </w:rPr>
        <w:t xml:space="preserve">DEQ </w:t>
      </w:r>
      <w:r w:rsidRPr="00606C6A">
        <w:rPr>
          <w:rFonts w:ascii="Garamond" w:hAnsi="Garamond"/>
          <w:bCs/>
          <w:sz w:val="24"/>
          <w:szCs w:val="24"/>
        </w:rPr>
        <w:t>modified MAQP #1689-04 and included a description of the INCO system so that the permit would include a complete and accurate account of the mine operations.</w:t>
      </w:r>
      <w:r w:rsidR="00E86689">
        <w:rPr>
          <w:rFonts w:ascii="Garamond" w:hAnsi="Garamond"/>
          <w:bCs/>
          <w:sz w:val="24"/>
          <w:szCs w:val="24"/>
        </w:rPr>
        <w:t xml:space="preserve"> </w:t>
      </w:r>
      <w:r w:rsidRPr="00606C6A">
        <w:rPr>
          <w:rFonts w:ascii="Garamond" w:hAnsi="Garamond"/>
          <w:bCs/>
          <w:sz w:val="24"/>
          <w:szCs w:val="24"/>
        </w:rPr>
        <w:t xml:space="preserve"> Also, </w:t>
      </w:r>
      <w:r w:rsidR="00C07B57">
        <w:rPr>
          <w:rFonts w:ascii="Garamond" w:hAnsi="Garamond"/>
          <w:bCs/>
          <w:sz w:val="24"/>
          <w:szCs w:val="24"/>
        </w:rPr>
        <w:t>DEQ</w:t>
      </w:r>
      <w:r w:rsidRPr="00606C6A">
        <w:rPr>
          <w:rFonts w:ascii="Garamond" w:hAnsi="Garamond"/>
          <w:bCs/>
          <w:sz w:val="24"/>
          <w:szCs w:val="24"/>
        </w:rPr>
        <w:t xml:space="preserve"> updated the rule references in the permit. MAQP #1689-05 replaced MAQP #1689-04. </w:t>
      </w:r>
    </w:p>
    <w:p w14:paraId="18F1B4B1" w14:textId="77777777" w:rsidR="00E60F07" w:rsidRPr="00DA3542" w:rsidRDefault="00E60F07" w:rsidP="00DA3542">
      <w:pPr>
        <w:rPr>
          <w:rFonts w:ascii="Garamond" w:hAnsi="Garamond"/>
          <w:bCs/>
          <w:sz w:val="24"/>
          <w:szCs w:val="24"/>
        </w:rPr>
      </w:pPr>
    </w:p>
    <w:p w14:paraId="0BADA9FE" w14:textId="5DBBDCED" w:rsidR="0028617B" w:rsidRDefault="00E60F07" w:rsidP="00E86689">
      <w:pPr>
        <w:ind w:left="360"/>
        <w:rPr>
          <w:rFonts w:ascii="Garamond" w:hAnsi="Garamond"/>
          <w:bCs/>
          <w:sz w:val="24"/>
          <w:szCs w:val="24"/>
        </w:rPr>
      </w:pPr>
      <w:r w:rsidRPr="00606C6A">
        <w:rPr>
          <w:rFonts w:ascii="Garamond" w:hAnsi="Garamond"/>
          <w:b/>
          <w:bCs/>
          <w:sz w:val="24"/>
          <w:szCs w:val="24"/>
        </w:rPr>
        <w:t>MAQP #1689-06</w:t>
      </w:r>
      <w:r w:rsidRPr="00606C6A">
        <w:rPr>
          <w:rFonts w:ascii="Garamond" w:hAnsi="Garamond"/>
          <w:bCs/>
          <w:sz w:val="24"/>
          <w:szCs w:val="24"/>
        </w:rPr>
        <w:t xml:space="preserve"> was issued on June </w:t>
      </w:r>
      <w:r w:rsidR="00C2228F" w:rsidRPr="00606C6A">
        <w:rPr>
          <w:rFonts w:ascii="Garamond" w:hAnsi="Garamond"/>
          <w:bCs/>
          <w:sz w:val="24"/>
          <w:szCs w:val="24"/>
        </w:rPr>
        <w:t>30</w:t>
      </w:r>
      <w:r w:rsidRPr="00606C6A">
        <w:rPr>
          <w:rFonts w:ascii="Garamond" w:hAnsi="Garamond"/>
          <w:bCs/>
          <w:sz w:val="24"/>
          <w:szCs w:val="24"/>
        </w:rPr>
        <w:t xml:space="preserve">, </w:t>
      </w:r>
      <w:r w:rsidR="00C2228F" w:rsidRPr="00606C6A">
        <w:rPr>
          <w:rFonts w:ascii="Garamond" w:hAnsi="Garamond"/>
          <w:bCs/>
          <w:sz w:val="24"/>
          <w:szCs w:val="24"/>
        </w:rPr>
        <w:t>2001.</w:t>
      </w:r>
      <w:r w:rsidR="00E86689">
        <w:rPr>
          <w:rFonts w:ascii="Garamond" w:hAnsi="Garamond"/>
          <w:bCs/>
          <w:sz w:val="24"/>
          <w:szCs w:val="24"/>
        </w:rPr>
        <w:t xml:space="preserve">  </w:t>
      </w:r>
      <w:r w:rsidR="00C07B57">
        <w:rPr>
          <w:rFonts w:ascii="Garamond" w:hAnsi="Garamond"/>
          <w:bCs/>
          <w:sz w:val="24"/>
          <w:szCs w:val="24"/>
        </w:rPr>
        <w:t>DEQ</w:t>
      </w:r>
      <w:r w:rsidR="0028617B" w:rsidRPr="00606C6A">
        <w:rPr>
          <w:rFonts w:ascii="Garamond" w:hAnsi="Garamond"/>
          <w:bCs/>
          <w:sz w:val="24"/>
          <w:szCs w:val="24"/>
        </w:rPr>
        <w:t xml:space="preserve"> received a letter, dated December 28, 2000, from Golden Sunlight requesting termination of the ambient air monitoring network.</w:t>
      </w:r>
      <w:r w:rsidR="00E86689">
        <w:rPr>
          <w:rFonts w:ascii="Garamond" w:hAnsi="Garamond"/>
          <w:bCs/>
          <w:sz w:val="24"/>
          <w:szCs w:val="24"/>
        </w:rPr>
        <w:t xml:space="preserve"> </w:t>
      </w:r>
      <w:r w:rsidR="0028617B" w:rsidRPr="00606C6A">
        <w:rPr>
          <w:rFonts w:ascii="Garamond" w:hAnsi="Garamond"/>
          <w:bCs/>
          <w:sz w:val="24"/>
          <w:szCs w:val="24"/>
        </w:rPr>
        <w:t xml:space="preserve"> </w:t>
      </w:r>
      <w:r w:rsidR="00C07B57">
        <w:rPr>
          <w:rFonts w:ascii="Garamond" w:hAnsi="Garamond"/>
          <w:bCs/>
          <w:sz w:val="24"/>
          <w:szCs w:val="24"/>
        </w:rPr>
        <w:t>DEQ</w:t>
      </w:r>
      <w:r w:rsidR="0028617B" w:rsidRPr="00606C6A">
        <w:rPr>
          <w:rFonts w:ascii="Garamond" w:hAnsi="Garamond"/>
          <w:bCs/>
          <w:sz w:val="24"/>
          <w:szCs w:val="24"/>
        </w:rPr>
        <w:t xml:space="preserve"> reviewed the ambient air monitoring data following the October 9, 1998, permitting guidance statement. In a letter dated February 28, 2001, </w:t>
      </w:r>
      <w:r w:rsidR="00C07B57">
        <w:rPr>
          <w:rFonts w:ascii="Garamond" w:hAnsi="Garamond"/>
          <w:bCs/>
          <w:sz w:val="24"/>
          <w:szCs w:val="24"/>
        </w:rPr>
        <w:t>DEQ</w:t>
      </w:r>
      <w:r w:rsidR="0028617B" w:rsidRPr="00606C6A">
        <w:rPr>
          <w:rFonts w:ascii="Garamond" w:hAnsi="Garamond"/>
          <w:bCs/>
          <w:sz w:val="24"/>
          <w:szCs w:val="24"/>
        </w:rPr>
        <w:t xml:space="preserve"> agreed to Golden Sunlight’s request to terminate the ambient monitoring program, effective April 1, 2001. </w:t>
      </w:r>
      <w:r w:rsidR="00E86689">
        <w:rPr>
          <w:rFonts w:ascii="Garamond" w:hAnsi="Garamond"/>
          <w:bCs/>
          <w:sz w:val="24"/>
          <w:szCs w:val="24"/>
        </w:rPr>
        <w:t xml:space="preserve"> </w:t>
      </w:r>
      <w:r w:rsidR="0028617B" w:rsidRPr="00606C6A">
        <w:rPr>
          <w:rFonts w:ascii="Garamond" w:hAnsi="Garamond"/>
          <w:bCs/>
          <w:sz w:val="24"/>
          <w:szCs w:val="24"/>
        </w:rPr>
        <w:t xml:space="preserve">The permit action updated the monitoring requirements to reflect the termination of the ambient air monitoring network. </w:t>
      </w:r>
      <w:r w:rsidR="00E86689">
        <w:rPr>
          <w:rFonts w:ascii="Garamond" w:hAnsi="Garamond"/>
          <w:bCs/>
          <w:sz w:val="24"/>
          <w:szCs w:val="24"/>
        </w:rPr>
        <w:t xml:space="preserve"> </w:t>
      </w:r>
      <w:r w:rsidR="0028617B" w:rsidRPr="00606C6A">
        <w:rPr>
          <w:rFonts w:ascii="Garamond" w:hAnsi="Garamond"/>
          <w:bCs/>
          <w:sz w:val="24"/>
          <w:szCs w:val="24"/>
        </w:rPr>
        <w:t>Also, the permit was updated to reflect the latest organizational format. MAQP #1689-06 replaced MAQP #1689-05.</w:t>
      </w:r>
    </w:p>
    <w:p w14:paraId="205F37E3" w14:textId="77777777" w:rsidR="00DB0867" w:rsidRPr="00606C6A" w:rsidRDefault="00DB0867" w:rsidP="00E86689">
      <w:pPr>
        <w:ind w:left="360"/>
        <w:rPr>
          <w:rFonts w:ascii="Garamond" w:hAnsi="Garamond"/>
          <w:bCs/>
          <w:sz w:val="24"/>
          <w:szCs w:val="24"/>
        </w:rPr>
      </w:pPr>
    </w:p>
    <w:p w14:paraId="7FEFC54B" w14:textId="165B671B" w:rsidR="00391854" w:rsidRPr="00606C6A" w:rsidRDefault="00C2228F" w:rsidP="00DB0867">
      <w:pPr>
        <w:ind w:left="360"/>
        <w:rPr>
          <w:rFonts w:ascii="Garamond" w:hAnsi="Garamond"/>
          <w:bCs/>
          <w:sz w:val="24"/>
          <w:szCs w:val="24"/>
        </w:rPr>
      </w:pPr>
      <w:r w:rsidRPr="00606C6A">
        <w:rPr>
          <w:rFonts w:ascii="Garamond" w:hAnsi="Garamond"/>
          <w:b/>
          <w:bCs/>
          <w:sz w:val="24"/>
          <w:szCs w:val="24"/>
        </w:rPr>
        <w:t>MAQP #1689-07</w:t>
      </w:r>
      <w:r w:rsidRPr="00606C6A">
        <w:rPr>
          <w:rFonts w:ascii="Garamond" w:hAnsi="Garamond"/>
          <w:bCs/>
          <w:sz w:val="24"/>
          <w:szCs w:val="24"/>
        </w:rPr>
        <w:t xml:space="preserve"> was issued on June 30, 2010</w:t>
      </w:r>
      <w:r w:rsidR="00E86689">
        <w:rPr>
          <w:rFonts w:ascii="Garamond" w:hAnsi="Garamond"/>
          <w:bCs/>
          <w:sz w:val="24"/>
          <w:szCs w:val="24"/>
        </w:rPr>
        <w:t xml:space="preserve">.  </w:t>
      </w:r>
      <w:r w:rsidR="00C07B57">
        <w:rPr>
          <w:rFonts w:ascii="Garamond" w:hAnsi="Garamond"/>
          <w:bCs/>
          <w:sz w:val="24"/>
          <w:szCs w:val="24"/>
        </w:rPr>
        <w:t>DEQ</w:t>
      </w:r>
      <w:r w:rsidR="00391854" w:rsidRPr="00606C6A">
        <w:rPr>
          <w:rFonts w:ascii="Garamond" w:hAnsi="Garamond"/>
          <w:bCs/>
          <w:sz w:val="24"/>
          <w:szCs w:val="24"/>
        </w:rPr>
        <w:t xml:space="preserve"> received a letter, dated February 25, 2010, from GSM requesting that MAQP #1689-06 be modified to include the construction and operation of a Fine Ore Processing (FOP) unit. </w:t>
      </w:r>
      <w:r w:rsidR="00E86689">
        <w:rPr>
          <w:rFonts w:ascii="Garamond" w:hAnsi="Garamond"/>
          <w:bCs/>
          <w:sz w:val="24"/>
          <w:szCs w:val="24"/>
        </w:rPr>
        <w:t xml:space="preserve"> </w:t>
      </w:r>
      <w:r w:rsidR="00391854" w:rsidRPr="00606C6A">
        <w:rPr>
          <w:rFonts w:ascii="Garamond" w:hAnsi="Garamond"/>
          <w:bCs/>
          <w:sz w:val="24"/>
          <w:szCs w:val="24"/>
        </w:rPr>
        <w:t xml:space="preserve">The addition of the FOP unit resulted in the generation of particulate emissions of less than 15 tons per year. </w:t>
      </w:r>
      <w:r w:rsidR="00E86689">
        <w:rPr>
          <w:rFonts w:ascii="Garamond" w:hAnsi="Garamond"/>
          <w:bCs/>
          <w:sz w:val="24"/>
          <w:szCs w:val="24"/>
        </w:rPr>
        <w:t xml:space="preserve"> </w:t>
      </w:r>
      <w:r w:rsidR="00391854" w:rsidRPr="00606C6A">
        <w:rPr>
          <w:rFonts w:ascii="Garamond" w:hAnsi="Garamond"/>
          <w:bCs/>
          <w:sz w:val="24"/>
          <w:szCs w:val="24"/>
        </w:rPr>
        <w:t xml:space="preserve">Therefore, the FOP unit was added in accordance with ARM 17.8.745. In addition, </w:t>
      </w:r>
      <w:r w:rsidR="00C07B57">
        <w:rPr>
          <w:rFonts w:ascii="Garamond" w:hAnsi="Garamond"/>
          <w:bCs/>
          <w:sz w:val="24"/>
          <w:szCs w:val="24"/>
        </w:rPr>
        <w:t>DEQ</w:t>
      </w:r>
      <w:r w:rsidR="00391854" w:rsidRPr="00606C6A">
        <w:rPr>
          <w:rFonts w:ascii="Garamond" w:hAnsi="Garamond"/>
          <w:bCs/>
          <w:sz w:val="24"/>
          <w:szCs w:val="24"/>
        </w:rPr>
        <w:t xml:space="preserve"> received a letter dated April 2, 2010, from GSM requesting that MAQP #1689-06 be modified to include changes to the crushing circuit that would eliminate or minimize emissions from the coarse ore stockpile. </w:t>
      </w:r>
      <w:r w:rsidR="00E86689">
        <w:rPr>
          <w:rFonts w:ascii="Garamond" w:hAnsi="Garamond"/>
          <w:bCs/>
          <w:sz w:val="24"/>
          <w:szCs w:val="24"/>
        </w:rPr>
        <w:t xml:space="preserve"> </w:t>
      </w:r>
      <w:r w:rsidR="00391854" w:rsidRPr="00606C6A">
        <w:rPr>
          <w:rFonts w:ascii="Garamond" w:hAnsi="Garamond"/>
          <w:bCs/>
          <w:sz w:val="24"/>
          <w:szCs w:val="24"/>
        </w:rPr>
        <w:t>The permit action added the FOP equipment to the list of permitted equipment, modified the description of the crushing circuit, and updat</w:t>
      </w:r>
      <w:r w:rsidR="001E1264" w:rsidRPr="00606C6A">
        <w:rPr>
          <w:rFonts w:ascii="Garamond" w:hAnsi="Garamond"/>
          <w:bCs/>
          <w:sz w:val="24"/>
          <w:szCs w:val="24"/>
        </w:rPr>
        <w:t>ed</w:t>
      </w:r>
      <w:r w:rsidR="00391854" w:rsidRPr="00606C6A">
        <w:rPr>
          <w:rFonts w:ascii="Garamond" w:hAnsi="Garamond"/>
          <w:bCs/>
          <w:sz w:val="24"/>
          <w:szCs w:val="24"/>
        </w:rPr>
        <w:t xml:space="preserve"> the permit to reflect the current permit language and rule references used by </w:t>
      </w:r>
      <w:r w:rsidR="00C07B57">
        <w:rPr>
          <w:rFonts w:ascii="Garamond" w:hAnsi="Garamond"/>
          <w:bCs/>
          <w:sz w:val="24"/>
          <w:szCs w:val="24"/>
        </w:rPr>
        <w:t>DEQ</w:t>
      </w:r>
      <w:r w:rsidR="0028617B" w:rsidRPr="00606C6A">
        <w:rPr>
          <w:rFonts w:ascii="Garamond" w:hAnsi="Garamond"/>
          <w:bCs/>
          <w:sz w:val="24"/>
          <w:szCs w:val="24"/>
        </w:rPr>
        <w:t>.</w:t>
      </w:r>
      <w:r w:rsidR="00E86689">
        <w:rPr>
          <w:rFonts w:ascii="Garamond" w:hAnsi="Garamond"/>
          <w:bCs/>
          <w:sz w:val="24"/>
          <w:szCs w:val="24"/>
        </w:rPr>
        <w:t xml:space="preserve">  </w:t>
      </w:r>
      <w:r w:rsidR="00391854" w:rsidRPr="00606C6A">
        <w:rPr>
          <w:rFonts w:ascii="Garamond" w:hAnsi="Garamond"/>
          <w:bCs/>
          <w:sz w:val="24"/>
          <w:szCs w:val="24"/>
        </w:rPr>
        <w:t>MAQP #1689-07 replaced MAQP #1689-06.</w:t>
      </w:r>
    </w:p>
    <w:p w14:paraId="2C70D98A" w14:textId="77777777" w:rsidR="000526D0" w:rsidRPr="008A36FD" w:rsidRDefault="000526D0" w:rsidP="00DA3542">
      <w:pPr>
        <w:rPr>
          <w:rFonts w:ascii="Garamond" w:hAnsi="Garamond"/>
          <w:bCs/>
          <w:sz w:val="24"/>
          <w:szCs w:val="24"/>
        </w:rPr>
      </w:pPr>
    </w:p>
    <w:p w14:paraId="00565063" w14:textId="1EC52259" w:rsidR="00407518" w:rsidRDefault="00150D0A" w:rsidP="00E86689">
      <w:pPr>
        <w:ind w:left="360"/>
        <w:rPr>
          <w:rFonts w:ascii="Garamond" w:hAnsi="Garamond"/>
          <w:bCs/>
          <w:sz w:val="24"/>
          <w:szCs w:val="24"/>
        </w:rPr>
      </w:pPr>
      <w:r w:rsidRPr="00606C6A">
        <w:rPr>
          <w:rFonts w:ascii="Garamond" w:hAnsi="Garamond"/>
          <w:b/>
          <w:bCs/>
          <w:sz w:val="24"/>
          <w:szCs w:val="24"/>
        </w:rPr>
        <w:t>MAQP #1689-08</w:t>
      </w:r>
      <w:r w:rsidRPr="00606C6A">
        <w:rPr>
          <w:rFonts w:ascii="Garamond" w:hAnsi="Garamond"/>
          <w:bCs/>
          <w:sz w:val="24"/>
          <w:szCs w:val="24"/>
        </w:rPr>
        <w:t xml:space="preserve"> was issued on August 9, 2014.</w:t>
      </w:r>
      <w:r w:rsidR="00E86689">
        <w:rPr>
          <w:rFonts w:ascii="Garamond" w:hAnsi="Garamond"/>
          <w:bCs/>
          <w:sz w:val="24"/>
          <w:szCs w:val="24"/>
        </w:rPr>
        <w:t xml:space="preserve">  </w:t>
      </w:r>
      <w:r w:rsidR="00C07B57">
        <w:rPr>
          <w:rFonts w:ascii="Garamond" w:hAnsi="Garamond"/>
          <w:bCs/>
          <w:sz w:val="24"/>
          <w:szCs w:val="24"/>
        </w:rPr>
        <w:t>DEQ</w:t>
      </w:r>
      <w:r w:rsidR="00AE69E0">
        <w:rPr>
          <w:rFonts w:ascii="Garamond" w:hAnsi="Garamond"/>
          <w:bCs/>
          <w:sz w:val="24"/>
          <w:szCs w:val="24"/>
        </w:rPr>
        <w:t xml:space="preserve"> </w:t>
      </w:r>
      <w:r w:rsidR="000526D0" w:rsidRPr="00606C6A">
        <w:rPr>
          <w:rFonts w:ascii="Garamond" w:hAnsi="Garamond"/>
          <w:bCs/>
          <w:sz w:val="24"/>
          <w:szCs w:val="24"/>
        </w:rPr>
        <w:t xml:space="preserve">received an application on June 9, 2014, from GSM requesting that MAQP #1689-07 be modified to include the addition of a diesel-powered stacker to handle periods whenever the tertiary crusher would be bypassed. </w:t>
      </w:r>
      <w:r w:rsidR="00987588">
        <w:rPr>
          <w:rFonts w:ascii="Garamond" w:hAnsi="Garamond"/>
          <w:bCs/>
          <w:sz w:val="24"/>
          <w:szCs w:val="24"/>
        </w:rPr>
        <w:t xml:space="preserve"> </w:t>
      </w:r>
      <w:r w:rsidR="000526D0" w:rsidRPr="00606C6A">
        <w:rPr>
          <w:rFonts w:ascii="Garamond" w:hAnsi="Garamond"/>
          <w:bCs/>
          <w:sz w:val="24"/>
          <w:szCs w:val="24"/>
        </w:rPr>
        <w:t>In 2007</w:t>
      </w:r>
      <w:r w:rsidR="009C0557" w:rsidRPr="00606C6A">
        <w:rPr>
          <w:rFonts w:ascii="Garamond" w:hAnsi="Garamond"/>
          <w:bCs/>
          <w:sz w:val="24"/>
          <w:szCs w:val="24"/>
        </w:rPr>
        <w:t>,</w:t>
      </w:r>
      <w:r w:rsidR="000526D0" w:rsidRPr="00606C6A">
        <w:rPr>
          <w:rFonts w:ascii="Garamond" w:hAnsi="Garamond"/>
          <w:bCs/>
          <w:sz w:val="24"/>
          <w:szCs w:val="24"/>
        </w:rPr>
        <w:t xml:space="preserve"> a tertiary crusher de minimis bypass request was approved; however, this request for modification also include</w:t>
      </w:r>
      <w:r w:rsidR="008C467E" w:rsidRPr="00606C6A">
        <w:rPr>
          <w:rFonts w:ascii="Garamond" w:hAnsi="Garamond"/>
          <w:bCs/>
          <w:sz w:val="24"/>
          <w:szCs w:val="24"/>
        </w:rPr>
        <w:t>d</w:t>
      </w:r>
      <w:r w:rsidR="000526D0" w:rsidRPr="00606C6A">
        <w:rPr>
          <w:rFonts w:ascii="Garamond" w:hAnsi="Garamond"/>
          <w:bCs/>
          <w:sz w:val="24"/>
          <w:szCs w:val="24"/>
        </w:rPr>
        <w:t xml:space="preserve"> a capacity increase greater than the earlier de minimis request. </w:t>
      </w:r>
      <w:r w:rsidR="00E86689">
        <w:rPr>
          <w:rFonts w:ascii="Garamond" w:hAnsi="Garamond"/>
          <w:bCs/>
          <w:sz w:val="24"/>
          <w:szCs w:val="24"/>
        </w:rPr>
        <w:t xml:space="preserve"> </w:t>
      </w:r>
      <w:r w:rsidR="000526D0" w:rsidRPr="00606C6A">
        <w:rPr>
          <w:rFonts w:ascii="Garamond" w:hAnsi="Garamond"/>
          <w:bCs/>
          <w:sz w:val="24"/>
          <w:szCs w:val="24"/>
        </w:rPr>
        <w:t xml:space="preserve">The permit action </w:t>
      </w:r>
      <w:r w:rsidR="008C467E" w:rsidRPr="00606C6A">
        <w:rPr>
          <w:rFonts w:ascii="Garamond" w:hAnsi="Garamond"/>
          <w:bCs/>
          <w:sz w:val="24"/>
          <w:szCs w:val="24"/>
        </w:rPr>
        <w:t>added</w:t>
      </w:r>
      <w:r w:rsidR="000526D0" w:rsidRPr="00606C6A">
        <w:rPr>
          <w:rFonts w:ascii="Garamond" w:hAnsi="Garamond"/>
          <w:bCs/>
          <w:sz w:val="24"/>
          <w:szCs w:val="24"/>
        </w:rPr>
        <w:t xml:space="preserve"> the additional stacker, modif</w:t>
      </w:r>
      <w:r w:rsidR="008C467E" w:rsidRPr="00606C6A">
        <w:rPr>
          <w:rFonts w:ascii="Garamond" w:hAnsi="Garamond"/>
          <w:bCs/>
          <w:sz w:val="24"/>
          <w:szCs w:val="24"/>
        </w:rPr>
        <w:t>ied</w:t>
      </w:r>
      <w:r w:rsidR="000526D0" w:rsidRPr="00606C6A">
        <w:rPr>
          <w:rFonts w:ascii="Garamond" w:hAnsi="Garamond"/>
          <w:bCs/>
          <w:sz w:val="24"/>
          <w:szCs w:val="24"/>
        </w:rPr>
        <w:t xml:space="preserve"> the description of the crushing circuit, provide</w:t>
      </w:r>
      <w:r w:rsidR="008C467E" w:rsidRPr="00606C6A">
        <w:rPr>
          <w:rFonts w:ascii="Garamond" w:hAnsi="Garamond"/>
          <w:bCs/>
          <w:sz w:val="24"/>
          <w:szCs w:val="24"/>
        </w:rPr>
        <w:t>d</w:t>
      </w:r>
      <w:r w:rsidR="000526D0" w:rsidRPr="00606C6A">
        <w:rPr>
          <w:rFonts w:ascii="Garamond" w:hAnsi="Garamond"/>
          <w:bCs/>
          <w:sz w:val="24"/>
          <w:szCs w:val="24"/>
        </w:rPr>
        <w:t xml:space="preserve"> a minor administrative correction to Section II.A.14, and update</w:t>
      </w:r>
      <w:r w:rsidR="008C467E" w:rsidRPr="00606C6A">
        <w:rPr>
          <w:rFonts w:ascii="Garamond" w:hAnsi="Garamond"/>
          <w:bCs/>
          <w:sz w:val="24"/>
          <w:szCs w:val="24"/>
        </w:rPr>
        <w:t>d</w:t>
      </w:r>
      <w:r w:rsidR="000526D0" w:rsidRPr="00606C6A">
        <w:rPr>
          <w:rFonts w:ascii="Garamond" w:hAnsi="Garamond"/>
          <w:bCs/>
          <w:sz w:val="24"/>
          <w:szCs w:val="24"/>
        </w:rPr>
        <w:t xml:space="preserve"> the permit to reflect the current permit language and rule references used by </w:t>
      </w:r>
      <w:r w:rsidR="00C07B57">
        <w:rPr>
          <w:rFonts w:ascii="Garamond" w:hAnsi="Garamond"/>
          <w:bCs/>
          <w:sz w:val="24"/>
          <w:szCs w:val="24"/>
        </w:rPr>
        <w:t>DEQ</w:t>
      </w:r>
      <w:r w:rsidR="000526D0" w:rsidRPr="00606C6A">
        <w:rPr>
          <w:rFonts w:ascii="Garamond" w:hAnsi="Garamond"/>
          <w:bCs/>
          <w:sz w:val="24"/>
          <w:szCs w:val="24"/>
        </w:rPr>
        <w:t xml:space="preserve">. </w:t>
      </w:r>
      <w:r w:rsidR="00E86689">
        <w:rPr>
          <w:rFonts w:ascii="Garamond" w:hAnsi="Garamond"/>
          <w:bCs/>
          <w:sz w:val="24"/>
          <w:szCs w:val="24"/>
        </w:rPr>
        <w:t xml:space="preserve"> </w:t>
      </w:r>
      <w:r w:rsidR="000526D0" w:rsidRPr="00606C6A">
        <w:rPr>
          <w:rFonts w:ascii="Garamond" w:hAnsi="Garamond"/>
          <w:bCs/>
          <w:sz w:val="24"/>
          <w:szCs w:val="24"/>
        </w:rPr>
        <w:t xml:space="preserve">Language </w:t>
      </w:r>
      <w:r w:rsidR="008C467E" w:rsidRPr="00606C6A">
        <w:rPr>
          <w:rFonts w:ascii="Garamond" w:hAnsi="Garamond"/>
          <w:bCs/>
          <w:sz w:val="24"/>
          <w:szCs w:val="24"/>
        </w:rPr>
        <w:t>was</w:t>
      </w:r>
      <w:r w:rsidR="000526D0" w:rsidRPr="00606C6A">
        <w:rPr>
          <w:rFonts w:ascii="Garamond" w:hAnsi="Garamond"/>
          <w:bCs/>
          <w:sz w:val="24"/>
          <w:szCs w:val="24"/>
        </w:rPr>
        <w:t xml:space="preserve"> also added to address the possible future construction of a fine ore processing unit (FOP) which would trigger 40 CFR Part 60, Subpart LL.</w:t>
      </w:r>
      <w:r w:rsidR="0067193F" w:rsidRPr="00606C6A">
        <w:rPr>
          <w:rFonts w:ascii="Garamond" w:hAnsi="Garamond"/>
          <w:bCs/>
          <w:sz w:val="24"/>
          <w:szCs w:val="24"/>
        </w:rPr>
        <w:t xml:space="preserve">  MAQP #1689-08 replaced MAQP #1689-0</w:t>
      </w:r>
      <w:r w:rsidR="00F711F2" w:rsidRPr="00606C6A">
        <w:rPr>
          <w:rFonts w:ascii="Garamond" w:hAnsi="Garamond"/>
          <w:bCs/>
          <w:sz w:val="24"/>
          <w:szCs w:val="24"/>
        </w:rPr>
        <w:t>7</w:t>
      </w:r>
      <w:r w:rsidR="0067193F" w:rsidRPr="00606C6A">
        <w:rPr>
          <w:rFonts w:ascii="Garamond" w:hAnsi="Garamond"/>
          <w:bCs/>
          <w:sz w:val="24"/>
          <w:szCs w:val="24"/>
        </w:rPr>
        <w:t>.</w:t>
      </w:r>
    </w:p>
    <w:p w14:paraId="17F43E31" w14:textId="77777777" w:rsidR="00F53757" w:rsidRDefault="00F53757" w:rsidP="00E86689">
      <w:pPr>
        <w:ind w:left="360"/>
        <w:rPr>
          <w:rFonts w:ascii="Garamond" w:hAnsi="Garamond"/>
          <w:bCs/>
          <w:sz w:val="24"/>
          <w:szCs w:val="24"/>
        </w:rPr>
      </w:pPr>
    </w:p>
    <w:p w14:paraId="2949418B" w14:textId="638DFAE5" w:rsidR="00110D9F" w:rsidRDefault="00F53757" w:rsidP="00E86689">
      <w:pPr>
        <w:ind w:left="360"/>
        <w:rPr>
          <w:rFonts w:ascii="Garamond" w:hAnsi="Garamond"/>
          <w:bCs/>
          <w:sz w:val="24"/>
          <w:szCs w:val="24"/>
        </w:rPr>
      </w:pPr>
      <w:r w:rsidRPr="001F2FA3">
        <w:rPr>
          <w:rFonts w:ascii="Garamond" w:hAnsi="Garamond"/>
          <w:b/>
          <w:sz w:val="24"/>
          <w:szCs w:val="24"/>
        </w:rPr>
        <w:t>MAQP#1689-09</w:t>
      </w:r>
      <w:r>
        <w:rPr>
          <w:rFonts w:ascii="Garamond" w:hAnsi="Garamond"/>
          <w:bCs/>
          <w:sz w:val="24"/>
          <w:szCs w:val="24"/>
        </w:rPr>
        <w:t xml:space="preserve"> was issued </w:t>
      </w:r>
      <w:r w:rsidR="00A50D25">
        <w:rPr>
          <w:rFonts w:ascii="Garamond" w:hAnsi="Garamond"/>
          <w:bCs/>
          <w:sz w:val="24"/>
          <w:szCs w:val="24"/>
        </w:rPr>
        <w:t>on October 13, 2021. DEQ</w:t>
      </w:r>
      <w:r w:rsidR="0002357C">
        <w:rPr>
          <w:rFonts w:ascii="Garamond" w:hAnsi="Garamond"/>
          <w:bCs/>
          <w:sz w:val="24"/>
          <w:szCs w:val="24"/>
        </w:rPr>
        <w:t xml:space="preserve"> received an application on </w:t>
      </w:r>
      <w:r w:rsidR="00507A58">
        <w:rPr>
          <w:rFonts w:ascii="Garamond" w:hAnsi="Garamond"/>
          <w:bCs/>
          <w:sz w:val="24"/>
          <w:szCs w:val="24"/>
        </w:rPr>
        <w:t xml:space="preserve">March 1, </w:t>
      </w:r>
      <w:r w:rsidR="00C07B57">
        <w:rPr>
          <w:rFonts w:ascii="Garamond" w:hAnsi="Garamond"/>
          <w:bCs/>
          <w:sz w:val="24"/>
          <w:szCs w:val="24"/>
        </w:rPr>
        <w:t>2021,</w:t>
      </w:r>
      <w:r w:rsidR="00507A58">
        <w:rPr>
          <w:rFonts w:ascii="Garamond" w:hAnsi="Garamond"/>
          <w:bCs/>
          <w:sz w:val="24"/>
          <w:szCs w:val="24"/>
        </w:rPr>
        <w:t xml:space="preserve"> from GSM requesting </w:t>
      </w:r>
      <w:r w:rsidR="000D7B14">
        <w:rPr>
          <w:rFonts w:ascii="Garamond" w:hAnsi="Garamond"/>
          <w:bCs/>
          <w:sz w:val="24"/>
          <w:szCs w:val="24"/>
        </w:rPr>
        <w:t>that MAQP</w:t>
      </w:r>
      <w:r w:rsidR="00507A58">
        <w:rPr>
          <w:rFonts w:ascii="Garamond" w:hAnsi="Garamond"/>
          <w:bCs/>
          <w:sz w:val="24"/>
          <w:szCs w:val="24"/>
        </w:rPr>
        <w:t xml:space="preserve">#1689-08 be modified to allow the installation and operation of a new reprocessing plant at the Tailings Storage Facility (TSF1) within the existing Golden Sunlight Mine boundary. The proposed tailings reprocessing project </w:t>
      </w:r>
      <w:r w:rsidR="000D7B14">
        <w:rPr>
          <w:rFonts w:ascii="Garamond" w:hAnsi="Garamond"/>
          <w:bCs/>
          <w:sz w:val="24"/>
          <w:szCs w:val="24"/>
        </w:rPr>
        <w:t>involved</w:t>
      </w:r>
      <w:r w:rsidR="00507A58">
        <w:rPr>
          <w:rFonts w:ascii="Garamond" w:hAnsi="Garamond"/>
          <w:bCs/>
          <w:sz w:val="24"/>
          <w:szCs w:val="24"/>
        </w:rPr>
        <w:t xml:space="preserve"> mining about 26 million tons of tailings solids previously deposited in TSF1 at the Golden Sunlight site. The tailings solids are repulped and pumped to the repurposed plant where the pyrite/acid-generating fraction of the tailings are separated from the bulk tailings. The sulfur-rich pyrite fraction is concentrated, dewatered, and shipped off-site for further processing. The de-sulfured bulk </w:t>
      </w:r>
      <w:r w:rsidR="000D7B14">
        <w:rPr>
          <w:rFonts w:ascii="Garamond" w:hAnsi="Garamond"/>
          <w:bCs/>
          <w:sz w:val="24"/>
          <w:szCs w:val="24"/>
        </w:rPr>
        <w:t>tailings</w:t>
      </w:r>
      <w:r w:rsidR="00507A58">
        <w:rPr>
          <w:rFonts w:ascii="Garamond" w:hAnsi="Garamond"/>
          <w:bCs/>
          <w:sz w:val="24"/>
          <w:szCs w:val="24"/>
        </w:rPr>
        <w:t xml:space="preserve"> are thickened and pumped into the existing open pit as backfill as well as assist with stabilization and acid mine drainage </w:t>
      </w:r>
      <w:r w:rsidR="000D7B14">
        <w:rPr>
          <w:rFonts w:ascii="Garamond" w:hAnsi="Garamond"/>
          <w:bCs/>
          <w:sz w:val="24"/>
          <w:szCs w:val="24"/>
        </w:rPr>
        <w:t>neutralization</w:t>
      </w:r>
      <w:r w:rsidR="00507A58">
        <w:rPr>
          <w:rFonts w:ascii="Garamond" w:hAnsi="Garamond"/>
          <w:bCs/>
          <w:sz w:val="24"/>
          <w:szCs w:val="24"/>
        </w:rPr>
        <w:t>.</w:t>
      </w:r>
      <w:r w:rsidR="000D7B14">
        <w:rPr>
          <w:rFonts w:ascii="Garamond" w:hAnsi="Garamond"/>
          <w:bCs/>
          <w:sz w:val="24"/>
          <w:szCs w:val="24"/>
        </w:rPr>
        <w:t xml:space="preserve"> MAQP#1689-09 replaced MAQP#1689</w:t>
      </w:r>
      <w:r w:rsidR="00110D9F">
        <w:rPr>
          <w:rFonts w:ascii="Garamond" w:hAnsi="Garamond"/>
          <w:bCs/>
          <w:sz w:val="24"/>
          <w:szCs w:val="24"/>
        </w:rPr>
        <w:t>-08.</w:t>
      </w:r>
    </w:p>
    <w:p w14:paraId="07704901" w14:textId="77777777" w:rsidR="00110D9F" w:rsidRDefault="00110D9F" w:rsidP="00E86689">
      <w:pPr>
        <w:ind w:left="360"/>
        <w:rPr>
          <w:rFonts w:ascii="Garamond" w:hAnsi="Garamond"/>
          <w:bCs/>
          <w:sz w:val="24"/>
          <w:szCs w:val="24"/>
        </w:rPr>
      </w:pPr>
    </w:p>
    <w:p w14:paraId="4B4BF930" w14:textId="054A0D89" w:rsidR="00D5763C" w:rsidRDefault="00110D9F" w:rsidP="00E86689">
      <w:pPr>
        <w:ind w:left="360"/>
        <w:rPr>
          <w:rFonts w:ascii="Garamond" w:hAnsi="Garamond"/>
          <w:bCs/>
          <w:sz w:val="24"/>
          <w:szCs w:val="24"/>
        </w:rPr>
      </w:pPr>
      <w:r w:rsidRPr="001F2FA3">
        <w:rPr>
          <w:rFonts w:ascii="Garamond" w:hAnsi="Garamond"/>
          <w:b/>
          <w:sz w:val="24"/>
          <w:szCs w:val="24"/>
        </w:rPr>
        <w:t>MAQP#1689-10</w:t>
      </w:r>
      <w:r>
        <w:rPr>
          <w:rFonts w:ascii="Garamond" w:hAnsi="Garamond"/>
          <w:bCs/>
          <w:sz w:val="24"/>
          <w:szCs w:val="24"/>
        </w:rPr>
        <w:t xml:space="preserve"> was issued on </w:t>
      </w:r>
      <w:r w:rsidR="00D12A50">
        <w:rPr>
          <w:rFonts w:ascii="Garamond" w:hAnsi="Garamond"/>
          <w:bCs/>
          <w:sz w:val="24"/>
          <w:szCs w:val="24"/>
        </w:rPr>
        <w:t xml:space="preserve">July 7, 2023. DEQ received an application on March 22, </w:t>
      </w:r>
      <w:r w:rsidR="00C07B57">
        <w:rPr>
          <w:rFonts w:ascii="Garamond" w:hAnsi="Garamond"/>
          <w:bCs/>
          <w:sz w:val="24"/>
          <w:szCs w:val="24"/>
        </w:rPr>
        <w:t>2023,</w:t>
      </w:r>
      <w:r w:rsidR="00D12A50">
        <w:rPr>
          <w:rFonts w:ascii="Garamond" w:hAnsi="Garamond"/>
          <w:bCs/>
          <w:sz w:val="24"/>
          <w:szCs w:val="24"/>
        </w:rPr>
        <w:t xml:space="preserve"> from GSM requesting th</w:t>
      </w:r>
      <w:r w:rsidR="00D5763C">
        <w:rPr>
          <w:rFonts w:ascii="Garamond" w:hAnsi="Garamond"/>
          <w:bCs/>
          <w:sz w:val="24"/>
          <w:szCs w:val="24"/>
        </w:rPr>
        <w:t>e following modifications:</w:t>
      </w:r>
    </w:p>
    <w:p w14:paraId="6BD03543" w14:textId="77777777" w:rsidR="002C271E" w:rsidRPr="001F2FA3" w:rsidRDefault="002C271E" w:rsidP="002C271E">
      <w:pPr>
        <w:pStyle w:val="ListParagraph"/>
        <w:numPr>
          <w:ilvl w:val="0"/>
          <w:numId w:val="37"/>
        </w:numPr>
        <w:tabs>
          <w:tab w:val="left" w:pos="720"/>
          <w:tab w:val="left" w:pos="1080"/>
          <w:tab w:val="left" w:pos="1440"/>
          <w:tab w:val="left" w:pos="1800"/>
          <w:tab w:val="left" w:pos="2160"/>
          <w:tab w:val="left" w:pos="2520"/>
          <w:tab w:val="left" w:pos="2880"/>
          <w:tab w:val="left" w:pos="3600"/>
          <w:tab w:val="left" w:pos="4320"/>
          <w:tab w:val="left" w:pos="5760"/>
          <w:tab w:val="left" w:pos="7200"/>
          <w:tab w:val="left" w:pos="8640"/>
        </w:tabs>
        <w:rPr>
          <w:rFonts w:ascii="Garamond" w:hAnsi="Garamond"/>
          <w:szCs w:val="24"/>
        </w:rPr>
      </w:pPr>
      <w:r w:rsidRPr="001F2FA3">
        <w:rPr>
          <w:rFonts w:ascii="Garamond" w:hAnsi="Garamond"/>
          <w:szCs w:val="24"/>
        </w:rPr>
        <w:t>Removing the primary, secondary, and tertiary crushers</w:t>
      </w:r>
    </w:p>
    <w:p w14:paraId="2D983F11" w14:textId="77777777" w:rsidR="002C271E" w:rsidRPr="001F2FA3" w:rsidRDefault="002C271E" w:rsidP="002C271E">
      <w:pPr>
        <w:pStyle w:val="ListParagraph"/>
        <w:numPr>
          <w:ilvl w:val="0"/>
          <w:numId w:val="37"/>
        </w:numPr>
        <w:tabs>
          <w:tab w:val="left" w:pos="720"/>
          <w:tab w:val="left" w:pos="1080"/>
          <w:tab w:val="left" w:pos="1440"/>
          <w:tab w:val="left" w:pos="1800"/>
          <w:tab w:val="left" w:pos="2160"/>
          <w:tab w:val="left" w:pos="2520"/>
          <w:tab w:val="left" w:pos="2880"/>
          <w:tab w:val="left" w:pos="3600"/>
          <w:tab w:val="left" w:pos="4320"/>
          <w:tab w:val="left" w:pos="5760"/>
          <w:tab w:val="left" w:pos="7200"/>
          <w:tab w:val="left" w:pos="8640"/>
        </w:tabs>
        <w:rPr>
          <w:rFonts w:ascii="Garamond" w:hAnsi="Garamond"/>
          <w:szCs w:val="24"/>
        </w:rPr>
      </w:pPr>
      <w:r w:rsidRPr="001F2FA3">
        <w:rPr>
          <w:rFonts w:ascii="Garamond" w:hAnsi="Garamond"/>
          <w:szCs w:val="24"/>
        </w:rPr>
        <w:t>Providing an updated Best Available Control Technology Analysis (BACT) for the repulped ore which has an inherently high moisture content and allowing for moisture content sampling and testing in place of mandatory scrubber operation</w:t>
      </w:r>
    </w:p>
    <w:p w14:paraId="44B84AD0" w14:textId="77777777" w:rsidR="002C271E" w:rsidRPr="001F2FA3" w:rsidRDefault="002C271E" w:rsidP="002C271E">
      <w:pPr>
        <w:pStyle w:val="ListParagraph"/>
        <w:numPr>
          <w:ilvl w:val="0"/>
          <w:numId w:val="37"/>
        </w:numPr>
        <w:tabs>
          <w:tab w:val="left" w:pos="720"/>
          <w:tab w:val="left" w:pos="1080"/>
          <w:tab w:val="left" w:pos="1440"/>
          <w:tab w:val="left" w:pos="1800"/>
          <w:tab w:val="left" w:pos="2160"/>
          <w:tab w:val="left" w:pos="2520"/>
          <w:tab w:val="left" w:pos="2880"/>
          <w:tab w:val="left" w:pos="3600"/>
          <w:tab w:val="left" w:pos="4320"/>
          <w:tab w:val="left" w:pos="5760"/>
          <w:tab w:val="left" w:pos="7200"/>
          <w:tab w:val="left" w:pos="8640"/>
        </w:tabs>
        <w:rPr>
          <w:rFonts w:ascii="Garamond" w:hAnsi="Garamond"/>
          <w:szCs w:val="24"/>
        </w:rPr>
      </w:pPr>
      <w:r w:rsidRPr="001F2FA3">
        <w:rPr>
          <w:rFonts w:ascii="Garamond" w:hAnsi="Garamond"/>
          <w:szCs w:val="24"/>
        </w:rPr>
        <w:t xml:space="preserve">Moisture content would be increased by either water spray bars or filter press </w:t>
      </w:r>
      <w:r w:rsidRPr="001F2FA3">
        <w:rPr>
          <w:rFonts w:ascii="Garamond" w:hAnsi="Garamond"/>
          <w:szCs w:val="24"/>
        </w:rPr>
        <w:lastRenderedPageBreak/>
        <w:t>controls, and scrubber operation only as a final response</w:t>
      </w:r>
    </w:p>
    <w:p w14:paraId="6E6F1BAA" w14:textId="7F8249CB" w:rsidR="00F53757" w:rsidRPr="004B3904" w:rsidRDefault="002C271E" w:rsidP="004B3904">
      <w:pPr>
        <w:pStyle w:val="ListParagraph"/>
        <w:numPr>
          <w:ilvl w:val="0"/>
          <w:numId w:val="37"/>
        </w:numPr>
        <w:tabs>
          <w:tab w:val="left" w:pos="720"/>
          <w:tab w:val="left" w:pos="1080"/>
          <w:tab w:val="left" w:pos="1440"/>
          <w:tab w:val="left" w:pos="1800"/>
          <w:tab w:val="left" w:pos="2160"/>
          <w:tab w:val="left" w:pos="2520"/>
          <w:tab w:val="left" w:pos="2880"/>
          <w:tab w:val="left" w:pos="3600"/>
          <w:tab w:val="left" w:pos="4320"/>
          <w:tab w:val="left" w:pos="5760"/>
          <w:tab w:val="left" w:pos="7200"/>
          <w:tab w:val="left" w:pos="8640"/>
        </w:tabs>
        <w:rPr>
          <w:szCs w:val="24"/>
        </w:rPr>
      </w:pPr>
      <w:r w:rsidRPr="001F2FA3">
        <w:rPr>
          <w:rFonts w:ascii="Garamond" w:hAnsi="Garamond"/>
          <w:szCs w:val="24"/>
        </w:rPr>
        <w:t>The addition of equipment associated with a portable screening plant, with a throughput capacity up to 300 tons per hour (TPH)</w:t>
      </w:r>
      <w:r w:rsidR="004B3904">
        <w:rPr>
          <w:rFonts w:ascii="Garamond" w:hAnsi="Garamond"/>
          <w:szCs w:val="24"/>
        </w:rPr>
        <w:t xml:space="preserve">. </w:t>
      </w:r>
      <w:r w:rsidRPr="004B3904">
        <w:rPr>
          <w:rFonts w:ascii="Garamond" w:hAnsi="Garamond"/>
          <w:bCs/>
          <w:szCs w:val="24"/>
        </w:rPr>
        <w:t xml:space="preserve">MAQP#1689-10 replaced MAQP#1689-09. </w:t>
      </w:r>
    </w:p>
    <w:p w14:paraId="54EFC69A" w14:textId="77777777" w:rsidR="008065B8" w:rsidRDefault="008065B8" w:rsidP="00E86689">
      <w:pPr>
        <w:ind w:firstLine="360"/>
        <w:rPr>
          <w:rFonts w:ascii="Garamond" w:hAnsi="Garamond"/>
          <w:b/>
          <w:bCs/>
          <w:color w:val="000000"/>
          <w:sz w:val="24"/>
          <w:szCs w:val="24"/>
        </w:rPr>
      </w:pPr>
    </w:p>
    <w:p w14:paraId="38D8E3C0" w14:textId="7C228FB3" w:rsidR="0028617B" w:rsidRPr="00606C6A" w:rsidRDefault="005E0B29" w:rsidP="00E86689">
      <w:pPr>
        <w:ind w:firstLine="360"/>
        <w:rPr>
          <w:rFonts w:ascii="Garamond" w:hAnsi="Garamond"/>
          <w:b/>
          <w:bCs/>
          <w:color w:val="000000"/>
          <w:sz w:val="24"/>
          <w:szCs w:val="24"/>
        </w:rPr>
      </w:pPr>
      <w:r>
        <w:rPr>
          <w:rFonts w:ascii="Garamond" w:hAnsi="Garamond"/>
          <w:b/>
          <w:bCs/>
          <w:color w:val="000000"/>
          <w:sz w:val="24"/>
          <w:szCs w:val="24"/>
        </w:rPr>
        <w:t>Title V Operating Permit History</w:t>
      </w:r>
    </w:p>
    <w:p w14:paraId="73A600C6" w14:textId="77777777" w:rsidR="0028617B" w:rsidRPr="00DA3542" w:rsidRDefault="0028617B" w:rsidP="00E86689">
      <w:pPr>
        <w:rPr>
          <w:rFonts w:ascii="Garamond" w:hAnsi="Garamond"/>
          <w:bCs/>
          <w:sz w:val="24"/>
          <w:szCs w:val="24"/>
        </w:rPr>
      </w:pPr>
    </w:p>
    <w:p w14:paraId="42789A26" w14:textId="77777777" w:rsidR="0028617B" w:rsidRDefault="00632C6F" w:rsidP="00E86689">
      <w:pPr>
        <w:ind w:left="360"/>
        <w:rPr>
          <w:rFonts w:ascii="Garamond" w:hAnsi="Garamond"/>
          <w:sz w:val="24"/>
          <w:szCs w:val="24"/>
        </w:rPr>
      </w:pPr>
      <w:r w:rsidRPr="00606C6A">
        <w:rPr>
          <w:rFonts w:ascii="Garamond" w:hAnsi="Garamond"/>
          <w:sz w:val="24"/>
          <w:szCs w:val="24"/>
        </w:rPr>
        <w:t xml:space="preserve">GSM was required to submit a Title V </w:t>
      </w:r>
      <w:r w:rsidR="00C1168E" w:rsidRPr="00606C6A">
        <w:rPr>
          <w:rFonts w:ascii="Garamond" w:hAnsi="Garamond"/>
          <w:sz w:val="24"/>
          <w:szCs w:val="24"/>
        </w:rPr>
        <w:t xml:space="preserve">Operating Permit </w:t>
      </w:r>
      <w:r w:rsidRPr="00606C6A">
        <w:rPr>
          <w:rFonts w:ascii="Garamond" w:hAnsi="Garamond"/>
          <w:sz w:val="24"/>
          <w:szCs w:val="24"/>
        </w:rPr>
        <w:t xml:space="preserve">Application as required </w:t>
      </w:r>
      <w:r w:rsidR="00101134" w:rsidRPr="00606C6A">
        <w:rPr>
          <w:rFonts w:ascii="Garamond" w:hAnsi="Garamond"/>
          <w:sz w:val="24"/>
          <w:szCs w:val="24"/>
        </w:rPr>
        <w:t xml:space="preserve">by </w:t>
      </w:r>
      <w:r w:rsidRPr="00606C6A">
        <w:rPr>
          <w:rFonts w:ascii="Garamond" w:hAnsi="Garamond"/>
          <w:sz w:val="24"/>
          <w:szCs w:val="24"/>
        </w:rPr>
        <w:t>40 CFR 63, Subpart EEEEEEE</w:t>
      </w:r>
      <w:r w:rsidR="00721D73">
        <w:rPr>
          <w:rFonts w:ascii="Garamond" w:hAnsi="Garamond"/>
          <w:sz w:val="24"/>
          <w:szCs w:val="24"/>
        </w:rPr>
        <w:t xml:space="preserve"> - </w:t>
      </w:r>
      <w:r w:rsidR="00721D73" w:rsidRPr="006C23CF">
        <w:rPr>
          <w:rFonts w:ascii="Garamond" w:hAnsi="Garamond"/>
          <w:sz w:val="24"/>
          <w:szCs w:val="24"/>
        </w:rPr>
        <w:t>National Emission Standards for Hazardous Air Pollutants: Gold Mine Ore Processing and Production Area Source Category</w:t>
      </w:r>
      <w:r w:rsidR="00721D73">
        <w:rPr>
          <w:rFonts w:ascii="Garamond" w:hAnsi="Garamond"/>
          <w:sz w:val="24"/>
          <w:szCs w:val="24"/>
        </w:rPr>
        <w:t xml:space="preserve"> (Subpart EEEEEEE)</w:t>
      </w:r>
      <w:r w:rsidR="00130C88" w:rsidRPr="00606C6A">
        <w:rPr>
          <w:rFonts w:ascii="Garamond" w:hAnsi="Garamond"/>
          <w:sz w:val="24"/>
          <w:szCs w:val="24"/>
        </w:rPr>
        <w:t>.</w:t>
      </w:r>
      <w:r w:rsidR="004F7CEB" w:rsidRPr="00606C6A">
        <w:rPr>
          <w:rFonts w:ascii="Garamond" w:hAnsi="Garamond"/>
          <w:sz w:val="24"/>
          <w:szCs w:val="24"/>
        </w:rPr>
        <w:t xml:space="preserve">  GSM has three emitting units which are addressed in Subpart EEEEEEE where specific requirements are identified.  </w:t>
      </w:r>
      <w:r w:rsidR="000819AA" w:rsidRPr="00606C6A">
        <w:rPr>
          <w:rFonts w:ascii="Garamond" w:hAnsi="Garamond"/>
          <w:sz w:val="24"/>
          <w:szCs w:val="24"/>
        </w:rPr>
        <w:t>The application was determined to be administratively and technically complete on April 17</w:t>
      </w:r>
      <w:r w:rsidR="00520020" w:rsidRPr="00606C6A">
        <w:rPr>
          <w:rFonts w:ascii="Garamond" w:hAnsi="Garamond"/>
          <w:sz w:val="24"/>
          <w:szCs w:val="24"/>
        </w:rPr>
        <w:t>,</w:t>
      </w:r>
      <w:r w:rsidR="000819AA" w:rsidRPr="00606C6A">
        <w:rPr>
          <w:rFonts w:ascii="Garamond" w:hAnsi="Garamond"/>
          <w:sz w:val="24"/>
          <w:szCs w:val="24"/>
        </w:rPr>
        <w:t xml:space="preserve"> 2014.</w:t>
      </w:r>
      <w:r w:rsidRPr="00606C6A">
        <w:rPr>
          <w:rFonts w:ascii="Garamond" w:hAnsi="Garamond"/>
          <w:sz w:val="24"/>
          <w:szCs w:val="24"/>
        </w:rPr>
        <w:t xml:space="preserve"> </w:t>
      </w:r>
      <w:r w:rsidR="00C1168E" w:rsidRPr="00606C6A">
        <w:rPr>
          <w:rFonts w:ascii="Garamond" w:hAnsi="Garamond"/>
          <w:sz w:val="24"/>
          <w:szCs w:val="24"/>
        </w:rPr>
        <w:t xml:space="preserve">The Title V Operating Permit was issued as permit </w:t>
      </w:r>
      <w:r w:rsidR="00C1168E" w:rsidRPr="00606C6A">
        <w:rPr>
          <w:rFonts w:ascii="Garamond" w:hAnsi="Garamond"/>
          <w:b/>
          <w:sz w:val="24"/>
          <w:szCs w:val="24"/>
        </w:rPr>
        <w:t>#OP1689-00</w:t>
      </w:r>
      <w:r w:rsidR="00C96768">
        <w:rPr>
          <w:rFonts w:ascii="Garamond" w:hAnsi="Garamond"/>
          <w:sz w:val="24"/>
          <w:szCs w:val="24"/>
        </w:rPr>
        <w:t xml:space="preserve"> on August 28, 2015.</w:t>
      </w:r>
    </w:p>
    <w:p w14:paraId="08981B74" w14:textId="77777777" w:rsidR="0080737F" w:rsidRDefault="0080737F" w:rsidP="00E86689">
      <w:pPr>
        <w:ind w:left="360"/>
        <w:rPr>
          <w:rFonts w:ascii="Garamond" w:hAnsi="Garamond"/>
          <w:sz w:val="24"/>
          <w:szCs w:val="24"/>
        </w:rPr>
      </w:pPr>
    </w:p>
    <w:p w14:paraId="697D1CCD" w14:textId="1CAB2554" w:rsidR="0080737F" w:rsidRPr="00B41586" w:rsidRDefault="0080737F" w:rsidP="0080737F">
      <w:pPr>
        <w:ind w:left="360"/>
        <w:rPr>
          <w:rFonts w:ascii="Garamond" w:hAnsi="Garamond"/>
          <w:sz w:val="24"/>
          <w:szCs w:val="24"/>
        </w:rPr>
      </w:pPr>
      <w:r w:rsidRPr="00B41586">
        <w:rPr>
          <w:rFonts w:ascii="Garamond" w:hAnsi="Garamond"/>
          <w:sz w:val="24"/>
          <w:szCs w:val="24"/>
        </w:rPr>
        <w:t xml:space="preserve">On February 14, 2020, the </w:t>
      </w:r>
      <w:bookmarkStart w:id="8" w:name="_Hlk221795326"/>
      <w:r w:rsidR="00FD5B23">
        <w:rPr>
          <w:rFonts w:ascii="Garamond" w:hAnsi="Garamond"/>
          <w:sz w:val="24"/>
          <w:szCs w:val="24"/>
        </w:rPr>
        <w:t>DEQ</w:t>
      </w:r>
      <w:r w:rsidRPr="00B41586">
        <w:rPr>
          <w:rFonts w:ascii="Garamond" w:hAnsi="Garamond"/>
          <w:sz w:val="24"/>
          <w:szCs w:val="24"/>
        </w:rPr>
        <w:t xml:space="preserve"> received an application from GSM for a renewal to Operating Permit #OP1689-0</w:t>
      </w:r>
      <w:r>
        <w:rPr>
          <w:rFonts w:ascii="Garamond" w:hAnsi="Garamond"/>
          <w:sz w:val="24"/>
          <w:szCs w:val="24"/>
        </w:rPr>
        <w:t>0</w:t>
      </w:r>
      <w:r w:rsidRPr="00B41586">
        <w:rPr>
          <w:rFonts w:ascii="Garamond" w:hAnsi="Garamond"/>
          <w:sz w:val="24"/>
          <w:szCs w:val="24"/>
        </w:rPr>
        <w:t>.  The application was deemed both administratively and substantively complete on February 14, 2020</w:t>
      </w:r>
      <w:r>
        <w:rPr>
          <w:rFonts w:ascii="Garamond" w:hAnsi="Garamond"/>
          <w:sz w:val="24"/>
          <w:szCs w:val="24"/>
        </w:rPr>
        <w:t>.</w:t>
      </w:r>
      <w:r w:rsidRPr="00B41586">
        <w:rPr>
          <w:rFonts w:ascii="Garamond" w:hAnsi="Garamond"/>
          <w:sz w:val="24"/>
          <w:szCs w:val="24"/>
        </w:rPr>
        <w:t xml:space="preserve"> Operating Permit #</w:t>
      </w:r>
      <w:r w:rsidRPr="00B41586">
        <w:rPr>
          <w:rFonts w:ascii="Garamond" w:hAnsi="Garamond"/>
          <w:b/>
          <w:bCs/>
          <w:sz w:val="24"/>
          <w:szCs w:val="24"/>
        </w:rPr>
        <w:t>OP1689-01</w:t>
      </w:r>
      <w:r w:rsidRPr="00B41586">
        <w:rPr>
          <w:rFonts w:ascii="Garamond" w:hAnsi="Garamond"/>
          <w:sz w:val="24"/>
          <w:szCs w:val="24"/>
        </w:rPr>
        <w:t xml:space="preserve"> replace</w:t>
      </w:r>
      <w:r>
        <w:rPr>
          <w:rFonts w:ascii="Garamond" w:hAnsi="Garamond"/>
          <w:sz w:val="24"/>
          <w:szCs w:val="24"/>
        </w:rPr>
        <w:t>d</w:t>
      </w:r>
      <w:r w:rsidRPr="00B41586">
        <w:rPr>
          <w:rFonts w:ascii="Garamond" w:hAnsi="Garamond"/>
          <w:sz w:val="24"/>
          <w:szCs w:val="24"/>
        </w:rPr>
        <w:t xml:space="preserve"> Operating Permit #OP1689-00.</w:t>
      </w:r>
      <w:bookmarkEnd w:id="8"/>
    </w:p>
    <w:p w14:paraId="6B72AFCC" w14:textId="77777777" w:rsidR="0080737F" w:rsidRDefault="0080737F" w:rsidP="00E86689">
      <w:pPr>
        <w:ind w:left="360"/>
        <w:rPr>
          <w:rFonts w:ascii="Garamond" w:hAnsi="Garamond"/>
          <w:sz w:val="24"/>
          <w:szCs w:val="24"/>
        </w:rPr>
      </w:pPr>
    </w:p>
    <w:p w14:paraId="7B81C9A5" w14:textId="77777777" w:rsidR="00115591" w:rsidRDefault="00115591" w:rsidP="00115591">
      <w:pPr>
        <w:ind w:left="360"/>
        <w:rPr>
          <w:rFonts w:ascii="Garamond" w:hAnsi="Garamond"/>
          <w:sz w:val="24"/>
          <w:szCs w:val="24"/>
        </w:rPr>
      </w:pPr>
      <w:r w:rsidRPr="00B41586">
        <w:rPr>
          <w:rFonts w:ascii="Garamond" w:hAnsi="Garamond"/>
          <w:sz w:val="24"/>
          <w:szCs w:val="24"/>
        </w:rPr>
        <w:t xml:space="preserve">On </w:t>
      </w:r>
      <w:r>
        <w:rPr>
          <w:rFonts w:ascii="Garamond" w:hAnsi="Garamond"/>
          <w:sz w:val="24"/>
          <w:szCs w:val="24"/>
        </w:rPr>
        <w:t>June 19, 2023, DEQ received an application from GSM for a significant modification to Operating Permit #OP1689-01 for the following actions:</w:t>
      </w:r>
    </w:p>
    <w:p w14:paraId="3D21C0DE" w14:textId="77777777" w:rsidR="00115591" w:rsidRDefault="00115591" w:rsidP="00115591">
      <w:pPr>
        <w:pStyle w:val="ListParagraph"/>
        <w:numPr>
          <w:ilvl w:val="0"/>
          <w:numId w:val="38"/>
        </w:numPr>
        <w:rPr>
          <w:rFonts w:ascii="Garamond" w:hAnsi="Garamond"/>
          <w:szCs w:val="24"/>
        </w:rPr>
      </w:pPr>
      <w:r>
        <w:rPr>
          <w:rFonts w:ascii="Garamond" w:hAnsi="Garamond"/>
          <w:szCs w:val="24"/>
        </w:rPr>
        <w:t>To include the mine tailings reprocessing equipment and requirements</w:t>
      </w:r>
    </w:p>
    <w:p w14:paraId="52F0DD4A" w14:textId="77777777" w:rsidR="00115591" w:rsidRDefault="00115591" w:rsidP="00115591">
      <w:pPr>
        <w:pStyle w:val="ListParagraph"/>
        <w:numPr>
          <w:ilvl w:val="0"/>
          <w:numId w:val="38"/>
        </w:numPr>
        <w:rPr>
          <w:rFonts w:ascii="Garamond" w:hAnsi="Garamond"/>
          <w:szCs w:val="24"/>
        </w:rPr>
      </w:pPr>
      <w:r>
        <w:rPr>
          <w:rFonts w:ascii="Garamond" w:hAnsi="Garamond"/>
          <w:szCs w:val="24"/>
        </w:rPr>
        <w:t>To update the Fine Ore Processing (FOP) requirements</w:t>
      </w:r>
    </w:p>
    <w:p w14:paraId="7D663526" w14:textId="77777777" w:rsidR="00115591" w:rsidRDefault="00115591" w:rsidP="00115591">
      <w:pPr>
        <w:pStyle w:val="ListParagraph"/>
        <w:numPr>
          <w:ilvl w:val="0"/>
          <w:numId w:val="38"/>
        </w:numPr>
        <w:rPr>
          <w:rFonts w:ascii="Garamond" w:hAnsi="Garamond"/>
          <w:szCs w:val="24"/>
        </w:rPr>
      </w:pPr>
      <w:r>
        <w:rPr>
          <w:rFonts w:ascii="Garamond" w:hAnsi="Garamond"/>
          <w:szCs w:val="24"/>
        </w:rPr>
        <w:t>To update the Best Available Control Technology (BACT) requirements associated with the high moisture ore for the FOP unit and the fine ore reclaim and conveyor area</w:t>
      </w:r>
    </w:p>
    <w:p w14:paraId="5511E7C4" w14:textId="77777777" w:rsidR="00115591" w:rsidRDefault="00115591" w:rsidP="00115591">
      <w:pPr>
        <w:pStyle w:val="ListParagraph"/>
        <w:numPr>
          <w:ilvl w:val="0"/>
          <w:numId w:val="38"/>
        </w:numPr>
        <w:rPr>
          <w:rFonts w:ascii="Garamond" w:hAnsi="Garamond"/>
          <w:szCs w:val="24"/>
        </w:rPr>
      </w:pPr>
      <w:r>
        <w:rPr>
          <w:rFonts w:ascii="Garamond" w:hAnsi="Garamond"/>
          <w:szCs w:val="24"/>
        </w:rPr>
        <w:t>To add equipment associated with a portable screening plant, with a throughput capacity of up to 300 tons per hour (TPH)</w:t>
      </w:r>
    </w:p>
    <w:p w14:paraId="2AF538E0" w14:textId="77777777" w:rsidR="00115591" w:rsidRDefault="00115591" w:rsidP="00115591">
      <w:pPr>
        <w:pStyle w:val="ListParagraph"/>
        <w:numPr>
          <w:ilvl w:val="0"/>
          <w:numId w:val="38"/>
        </w:numPr>
        <w:rPr>
          <w:rFonts w:ascii="Garamond" w:hAnsi="Garamond"/>
          <w:szCs w:val="24"/>
        </w:rPr>
      </w:pPr>
      <w:r>
        <w:rPr>
          <w:rFonts w:ascii="Garamond" w:hAnsi="Garamond"/>
          <w:szCs w:val="24"/>
        </w:rPr>
        <w:t xml:space="preserve">The removal of the primary, secondary, and tertiary crushers and their associated requirements from the permit (EU04, EU05, EU06) </w:t>
      </w:r>
    </w:p>
    <w:p w14:paraId="1C93A7B8" w14:textId="77777777" w:rsidR="00115591" w:rsidRDefault="00115591" w:rsidP="00115591">
      <w:pPr>
        <w:pStyle w:val="ListParagraph"/>
        <w:numPr>
          <w:ilvl w:val="0"/>
          <w:numId w:val="38"/>
        </w:numPr>
        <w:rPr>
          <w:rFonts w:ascii="Garamond" w:hAnsi="Garamond"/>
          <w:szCs w:val="24"/>
        </w:rPr>
      </w:pPr>
      <w:r>
        <w:rPr>
          <w:rFonts w:ascii="Garamond" w:hAnsi="Garamond"/>
          <w:szCs w:val="24"/>
        </w:rPr>
        <w:t>An update of the responsible official and contact information</w:t>
      </w:r>
    </w:p>
    <w:p w14:paraId="6795F61D" w14:textId="77777777" w:rsidR="00115591" w:rsidRDefault="00115591" w:rsidP="00115591">
      <w:pPr>
        <w:rPr>
          <w:rFonts w:ascii="Garamond" w:hAnsi="Garamond"/>
          <w:snapToGrid w:val="0"/>
          <w:szCs w:val="24"/>
        </w:rPr>
      </w:pPr>
    </w:p>
    <w:p w14:paraId="6FA6E278" w14:textId="730F57B7" w:rsidR="001D6CA4" w:rsidRDefault="00115591" w:rsidP="00115591">
      <w:pPr>
        <w:ind w:left="360"/>
        <w:rPr>
          <w:rFonts w:ascii="Garamond" w:hAnsi="Garamond"/>
          <w:sz w:val="24"/>
          <w:szCs w:val="24"/>
        </w:rPr>
      </w:pPr>
      <w:r>
        <w:rPr>
          <w:rFonts w:ascii="Garamond" w:hAnsi="Garamond"/>
          <w:snapToGrid w:val="0"/>
          <w:sz w:val="24"/>
          <w:szCs w:val="32"/>
        </w:rPr>
        <w:t xml:space="preserve">DEQ removed the language for Emergency Provisions from the Operating Permit as the Environmental Protection Agency (EPA) has removed the “emergency” affirmative defense provisions from the EPA’s Title V operating permit program regulations. These provisions established an affirmative defense that sources could have asserted in enforcement cases brought for noncompliance with technology-based emission limitations in operating permit, provided that the exceedances occurred due to qualifying emergency circumstances. </w:t>
      </w:r>
      <w:r w:rsidRPr="001F2FA3">
        <w:rPr>
          <w:rFonts w:ascii="Garamond" w:hAnsi="Garamond"/>
          <w:sz w:val="24"/>
          <w:szCs w:val="24"/>
        </w:rPr>
        <w:t>These provisions, which have never been required elements of state operating permit programs, are being removed because they are inconsistent with the EPA's interpretation of the enforcement structure of the Clean Air Act (CAA or the Act).  Each state which has emergency provisions within their Title V operating permit programs will need to remove the language and will need to remove the provisions in Title V operating permits at their next renewal or during normal permit revisions.  The emergency provisions formerly located in this section are no longer applicable to this Title V operating permit.</w:t>
      </w:r>
      <w:r w:rsidR="00195CB7">
        <w:rPr>
          <w:rFonts w:ascii="Garamond" w:hAnsi="Garamond"/>
          <w:sz w:val="24"/>
          <w:szCs w:val="24"/>
        </w:rPr>
        <w:t xml:space="preserve"> </w:t>
      </w:r>
      <w:r w:rsidR="001D6CA4" w:rsidRPr="001F2FA3">
        <w:rPr>
          <w:rFonts w:ascii="Garamond" w:hAnsi="Garamond"/>
          <w:sz w:val="24"/>
          <w:szCs w:val="24"/>
        </w:rPr>
        <w:t>Operating Permit #</w:t>
      </w:r>
      <w:r w:rsidR="001D6CA4" w:rsidRPr="001F2FA3">
        <w:rPr>
          <w:rFonts w:ascii="Garamond" w:hAnsi="Garamond"/>
          <w:b/>
          <w:bCs/>
          <w:sz w:val="24"/>
          <w:szCs w:val="24"/>
        </w:rPr>
        <w:t>OP1689-02</w:t>
      </w:r>
      <w:r w:rsidR="001D6CA4" w:rsidRPr="001F2FA3">
        <w:rPr>
          <w:rFonts w:ascii="Garamond" w:hAnsi="Garamond"/>
          <w:sz w:val="24"/>
          <w:szCs w:val="24"/>
        </w:rPr>
        <w:t xml:space="preserve"> replace</w:t>
      </w:r>
      <w:r w:rsidR="00195CB7">
        <w:rPr>
          <w:rFonts w:ascii="Garamond" w:hAnsi="Garamond"/>
          <w:sz w:val="24"/>
          <w:szCs w:val="24"/>
        </w:rPr>
        <w:t>d</w:t>
      </w:r>
      <w:r w:rsidR="001D6CA4" w:rsidRPr="001F2FA3">
        <w:rPr>
          <w:rFonts w:ascii="Garamond" w:hAnsi="Garamond"/>
          <w:sz w:val="24"/>
          <w:szCs w:val="24"/>
        </w:rPr>
        <w:t xml:space="preserve"> Operating Permit OP#1689-01.</w:t>
      </w:r>
    </w:p>
    <w:p w14:paraId="32762D00" w14:textId="77777777" w:rsidR="00010B1C" w:rsidRPr="00B506F1" w:rsidRDefault="00010B1C" w:rsidP="00010B1C">
      <w:pPr>
        <w:ind w:left="360"/>
        <w:rPr>
          <w:rFonts w:ascii="Garamond" w:hAnsi="Garamond"/>
          <w:sz w:val="24"/>
          <w:szCs w:val="24"/>
        </w:rPr>
      </w:pPr>
      <w:r w:rsidRPr="00747314">
        <w:rPr>
          <w:rFonts w:ascii="Garamond" w:hAnsi="Garamond"/>
          <w:sz w:val="24"/>
          <w:szCs w:val="24"/>
        </w:rPr>
        <w:t xml:space="preserve">On </w:t>
      </w:r>
      <w:r>
        <w:rPr>
          <w:rFonts w:ascii="Garamond" w:hAnsi="Garamond"/>
          <w:sz w:val="24"/>
          <w:szCs w:val="24"/>
        </w:rPr>
        <w:t>August 12</w:t>
      </w:r>
      <w:r w:rsidRPr="00747314">
        <w:rPr>
          <w:rFonts w:ascii="Garamond" w:hAnsi="Garamond"/>
          <w:sz w:val="24"/>
          <w:szCs w:val="24"/>
        </w:rPr>
        <w:t xml:space="preserve">, 2025, DEQ received an application from GSM for an administrative amendment to Operating Permit #OP1689-01 to </w:t>
      </w:r>
      <w:r w:rsidRPr="00747314">
        <w:rPr>
          <w:rFonts w:ascii="Garamond" w:hAnsi="Garamond"/>
          <w:sz w:val="24"/>
          <w:szCs w:val="32"/>
        </w:rPr>
        <w:t xml:space="preserve">update the responsible official and contact information </w:t>
      </w:r>
      <w:r w:rsidRPr="00747314">
        <w:rPr>
          <w:rFonts w:ascii="Garamond" w:hAnsi="Garamond"/>
          <w:sz w:val="24"/>
          <w:szCs w:val="32"/>
        </w:rPr>
        <w:lastRenderedPageBreak/>
        <w:t>from Kristine Murphy, Chief Operating Officer</w:t>
      </w:r>
      <w:r>
        <w:rPr>
          <w:rFonts w:ascii="Garamond" w:hAnsi="Garamond"/>
          <w:sz w:val="24"/>
          <w:szCs w:val="32"/>
        </w:rPr>
        <w:t>,</w:t>
      </w:r>
      <w:r w:rsidRPr="00747314">
        <w:rPr>
          <w:rFonts w:ascii="Garamond" w:hAnsi="Garamond"/>
          <w:sz w:val="24"/>
          <w:szCs w:val="32"/>
        </w:rPr>
        <w:t xml:space="preserve"> Barrick North America, to Jason Quigley, Operations Manager</w:t>
      </w:r>
      <w:r>
        <w:rPr>
          <w:rFonts w:ascii="Garamond" w:hAnsi="Garamond"/>
          <w:sz w:val="24"/>
          <w:szCs w:val="32"/>
        </w:rPr>
        <w:t xml:space="preserve">, </w:t>
      </w:r>
      <w:r w:rsidRPr="00747314">
        <w:rPr>
          <w:rFonts w:ascii="Garamond" w:hAnsi="Garamond"/>
          <w:sz w:val="24"/>
          <w:szCs w:val="32"/>
        </w:rPr>
        <w:t>GSM.</w:t>
      </w:r>
    </w:p>
    <w:p w14:paraId="7AA92127" w14:textId="77777777" w:rsidR="00010B1C" w:rsidRDefault="00010B1C" w:rsidP="00010B1C">
      <w:pPr>
        <w:ind w:left="360"/>
      </w:pPr>
    </w:p>
    <w:p w14:paraId="4569D24C" w14:textId="5C1401B0" w:rsidR="00010B1C" w:rsidRPr="001F2FA3" w:rsidRDefault="00010B1C" w:rsidP="00010B1C">
      <w:pPr>
        <w:ind w:left="360"/>
        <w:rPr>
          <w:rFonts w:ascii="Garamond" w:hAnsi="Garamond"/>
          <w:sz w:val="24"/>
          <w:szCs w:val="24"/>
        </w:rPr>
      </w:pPr>
      <w:r w:rsidRPr="001F2FA3">
        <w:rPr>
          <w:rFonts w:ascii="Garamond" w:hAnsi="Garamond"/>
          <w:sz w:val="24"/>
          <w:szCs w:val="24"/>
        </w:rPr>
        <w:t>Operating Permit #</w:t>
      </w:r>
      <w:r w:rsidRPr="001F2FA3">
        <w:rPr>
          <w:rFonts w:ascii="Garamond" w:hAnsi="Garamond"/>
          <w:b/>
          <w:bCs/>
          <w:sz w:val="24"/>
          <w:szCs w:val="24"/>
        </w:rPr>
        <w:t>OP1689-0</w:t>
      </w:r>
      <w:r>
        <w:rPr>
          <w:rFonts w:ascii="Garamond" w:hAnsi="Garamond"/>
          <w:b/>
          <w:bCs/>
          <w:sz w:val="24"/>
          <w:szCs w:val="24"/>
        </w:rPr>
        <w:t>3</w:t>
      </w:r>
      <w:r w:rsidRPr="001F2FA3">
        <w:rPr>
          <w:rFonts w:ascii="Garamond" w:hAnsi="Garamond"/>
          <w:sz w:val="24"/>
          <w:szCs w:val="24"/>
        </w:rPr>
        <w:t xml:space="preserve"> replace</w:t>
      </w:r>
      <w:r>
        <w:rPr>
          <w:rFonts w:ascii="Garamond" w:hAnsi="Garamond"/>
          <w:sz w:val="24"/>
          <w:szCs w:val="24"/>
        </w:rPr>
        <w:t>d</w:t>
      </w:r>
      <w:r w:rsidRPr="001F2FA3">
        <w:rPr>
          <w:rFonts w:ascii="Garamond" w:hAnsi="Garamond"/>
          <w:sz w:val="24"/>
          <w:szCs w:val="24"/>
        </w:rPr>
        <w:t xml:space="preserve"> Operating Permit OP#1689-0</w:t>
      </w:r>
      <w:r>
        <w:rPr>
          <w:rFonts w:ascii="Garamond" w:hAnsi="Garamond"/>
          <w:sz w:val="24"/>
          <w:szCs w:val="24"/>
        </w:rPr>
        <w:t>2</w:t>
      </w:r>
      <w:r w:rsidRPr="001F2FA3">
        <w:rPr>
          <w:rFonts w:ascii="Garamond" w:hAnsi="Garamond"/>
          <w:sz w:val="24"/>
          <w:szCs w:val="24"/>
        </w:rPr>
        <w:t xml:space="preserve">. </w:t>
      </w:r>
    </w:p>
    <w:p w14:paraId="27BE8523" w14:textId="77777777" w:rsidR="005E0B29" w:rsidRPr="00B41586" w:rsidRDefault="005E0B29" w:rsidP="00E86689">
      <w:pPr>
        <w:ind w:left="360"/>
        <w:rPr>
          <w:rFonts w:ascii="Garamond" w:hAnsi="Garamond"/>
          <w:sz w:val="24"/>
          <w:szCs w:val="24"/>
        </w:rPr>
      </w:pPr>
    </w:p>
    <w:p w14:paraId="530667AE" w14:textId="77777777" w:rsidR="00E86689" w:rsidRPr="00B41586" w:rsidRDefault="005E0B29" w:rsidP="005E0B29">
      <w:pPr>
        <w:pStyle w:val="Heading2"/>
        <w:spacing w:before="0" w:beforeAutospacing="0" w:after="0" w:afterAutospacing="0"/>
        <w:ind w:left="720" w:hanging="720"/>
        <w:rPr>
          <w:rFonts w:ascii="Garamond" w:hAnsi="Garamond"/>
          <w:sz w:val="24"/>
          <w:szCs w:val="24"/>
        </w:rPr>
      </w:pPr>
      <w:bookmarkStart w:id="9" w:name="_Toc63146265"/>
      <w:bookmarkStart w:id="10" w:name="_Toc221798829"/>
      <w:r w:rsidRPr="00B41586">
        <w:rPr>
          <w:rFonts w:ascii="Garamond" w:hAnsi="Garamond"/>
          <w:sz w:val="24"/>
          <w:szCs w:val="24"/>
        </w:rPr>
        <w:t>Current Permit Action</w:t>
      </w:r>
      <w:bookmarkEnd w:id="9"/>
      <w:bookmarkEnd w:id="10"/>
    </w:p>
    <w:p w14:paraId="37C4617E" w14:textId="77777777" w:rsidR="005E0B29" w:rsidRPr="00B41586" w:rsidRDefault="005E0B29" w:rsidP="005E0B29">
      <w:pPr>
        <w:ind w:left="360"/>
        <w:rPr>
          <w:rFonts w:ascii="Garamond" w:hAnsi="Garamond"/>
          <w:sz w:val="24"/>
          <w:szCs w:val="24"/>
        </w:rPr>
      </w:pPr>
    </w:p>
    <w:p w14:paraId="41DA8F5D" w14:textId="77777777" w:rsidR="00A774CA" w:rsidRDefault="00B41586" w:rsidP="00B506F1">
      <w:pPr>
        <w:ind w:left="360"/>
        <w:rPr>
          <w:rFonts w:ascii="Garamond" w:hAnsi="Garamond"/>
          <w:sz w:val="24"/>
          <w:szCs w:val="24"/>
        </w:rPr>
      </w:pPr>
      <w:bookmarkStart w:id="11" w:name="_Hlk221795287"/>
      <w:r w:rsidRPr="00747314">
        <w:rPr>
          <w:rFonts w:ascii="Garamond" w:hAnsi="Garamond"/>
          <w:sz w:val="24"/>
          <w:szCs w:val="24"/>
        </w:rPr>
        <w:t xml:space="preserve">On </w:t>
      </w:r>
      <w:r w:rsidR="00010B1C">
        <w:rPr>
          <w:rFonts w:ascii="Garamond" w:hAnsi="Garamond"/>
          <w:sz w:val="24"/>
          <w:szCs w:val="24"/>
        </w:rPr>
        <w:t>December 9</w:t>
      </w:r>
      <w:r w:rsidR="00AB74EF" w:rsidRPr="00747314">
        <w:rPr>
          <w:rFonts w:ascii="Garamond" w:hAnsi="Garamond"/>
          <w:sz w:val="24"/>
          <w:szCs w:val="24"/>
        </w:rPr>
        <w:t>, 202</w:t>
      </w:r>
      <w:r w:rsidR="001D6CA4" w:rsidRPr="00747314">
        <w:rPr>
          <w:rFonts w:ascii="Garamond" w:hAnsi="Garamond"/>
          <w:sz w:val="24"/>
          <w:szCs w:val="24"/>
        </w:rPr>
        <w:t>5</w:t>
      </w:r>
      <w:r w:rsidR="00AB74EF" w:rsidRPr="00747314">
        <w:rPr>
          <w:rFonts w:ascii="Garamond" w:hAnsi="Garamond"/>
          <w:sz w:val="24"/>
          <w:szCs w:val="24"/>
        </w:rPr>
        <w:t xml:space="preserve">, </w:t>
      </w:r>
      <w:r w:rsidR="00010B1C">
        <w:rPr>
          <w:rFonts w:ascii="Garamond" w:hAnsi="Garamond"/>
          <w:sz w:val="24"/>
          <w:szCs w:val="24"/>
        </w:rPr>
        <w:t>DEQ</w:t>
      </w:r>
      <w:r w:rsidR="00010B1C" w:rsidRPr="00B41586">
        <w:rPr>
          <w:rFonts w:ascii="Garamond" w:hAnsi="Garamond"/>
          <w:sz w:val="24"/>
          <w:szCs w:val="24"/>
        </w:rPr>
        <w:t xml:space="preserve"> received an application from GSM for </w:t>
      </w:r>
      <w:r w:rsidR="00A774CA">
        <w:rPr>
          <w:rFonts w:ascii="Garamond" w:hAnsi="Garamond"/>
          <w:sz w:val="24"/>
          <w:szCs w:val="24"/>
        </w:rPr>
        <w:t>r</w:t>
      </w:r>
      <w:r w:rsidR="00010B1C" w:rsidRPr="00B41586">
        <w:rPr>
          <w:rFonts w:ascii="Garamond" w:hAnsi="Garamond"/>
          <w:sz w:val="24"/>
          <w:szCs w:val="24"/>
        </w:rPr>
        <w:t xml:space="preserve">enewal </w:t>
      </w:r>
      <w:r w:rsidR="00A774CA">
        <w:rPr>
          <w:rFonts w:ascii="Garamond" w:hAnsi="Garamond"/>
          <w:sz w:val="24"/>
          <w:szCs w:val="24"/>
        </w:rPr>
        <w:t>of Title V</w:t>
      </w:r>
      <w:r w:rsidR="00010B1C" w:rsidRPr="00B41586">
        <w:rPr>
          <w:rFonts w:ascii="Garamond" w:hAnsi="Garamond"/>
          <w:sz w:val="24"/>
          <w:szCs w:val="24"/>
        </w:rPr>
        <w:t xml:space="preserve"> Operating Permit #OP1689-0</w:t>
      </w:r>
      <w:r w:rsidR="00A774CA">
        <w:rPr>
          <w:rFonts w:ascii="Garamond" w:hAnsi="Garamond"/>
          <w:sz w:val="24"/>
          <w:szCs w:val="24"/>
        </w:rPr>
        <w:t>3</w:t>
      </w:r>
      <w:r w:rsidR="00010B1C" w:rsidRPr="00B41586">
        <w:rPr>
          <w:rFonts w:ascii="Garamond" w:hAnsi="Garamond"/>
          <w:sz w:val="24"/>
          <w:szCs w:val="24"/>
        </w:rPr>
        <w:t xml:space="preserve">.  The application was deemed administratively and substantively complete on </w:t>
      </w:r>
      <w:r w:rsidR="008B36D4">
        <w:rPr>
          <w:rFonts w:ascii="Garamond" w:hAnsi="Garamond"/>
          <w:sz w:val="24"/>
          <w:szCs w:val="24"/>
        </w:rPr>
        <w:t>December 9, 2025</w:t>
      </w:r>
      <w:r w:rsidR="00010B1C">
        <w:rPr>
          <w:rFonts w:ascii="Garamond" w:hAnsi="Garamond"/>
          <w:sz w:val="24"/>
          <w:szCs w:val="24"/>
        </w:rPr>
        <w:t>.</w:t>
      </w:r>
      <w:r w:rsidR="00010B1C" w:rsidRPr="00B41586">
        <w:rPr>
          <w:rFonts w:ascii="Garamond" w:hAnsi="Garamond"/>
          <w:sz w:val="24"/>
          <w:szCs w:val="24"/>
        </w:rPr>
        <w:t xml:space="preserve"> </w:t>
      </w:r>
    </w:p>
    <w:p w14:paraId="2DCC4458" w14:textId="77777777" w:rsidR="00A774CA" w:rsidRDefault="00A774CA" w:rsidP="00B506F1">
      <w:pPr>
        <w:ind w:left="360"/>
        <w:rPr>
          <w:rFonts w:ascii="Garamond" w:hAnsi="Garamond"/>
          <w:sz w:val="24"/>
          <w:szCs w:val="24"/>
        </w:rPr>
      </w:pPr>
    </w:p>
    <w:p w14:paraId="5E48E6B2" w14:textId="68541105" w:rsidR="00A774CA" w:rsidRPr="00A774CA" w:rsidRDefault="00A774CA" w:rsidP="00A774CA">
      <w:pPr>
        <w:ind w:left="360"/>
        <w:rPr>
          <w:rFonts w:ascii="Garamond" w:hAnsi="Garamond"/>
          <w:sz w:val="24"/>
          <w:szCs w:val="24"/>
        </w:rPr>
      </w:pPr>
      <w:bookmarkStart w:id="12" w:name="_Hlk233282826"/>
      <w:bookmarkStart w:id="13" w:name="_Hlk233282644"/>
      <w:r w:rsidRPr="00A774CA">
        <w:rPr>
          <w:rFonts w:ascii="Garamond" w:eastAsia="Aptos" w:hAnsi="Garamond"/>
          <w:kern w:val="2"/>
          <w:sz w:val="24"/>
          <w:szCs w:val="24"/>
          <w14:ligatures w14:val="standardContextual"/>
        </w:rPr>
        <w:t>On July 21, 2023, EPA rescinded the emergency affirmative defense provisions from its Title V regulations. In response, each state which had</w:t>
      </w:r>
      <w:r w:rsidR="00FC1B6A">
        <w:rPr>
          <w:rFonts w:ascii="Garamond" w:eastAsia="Aptos" w:hAnsi="Garamond"/>
          <w:kern w:val="2"/>
          <w:sz w:val="24"/>
          <w:szCs w:val="24"/>
          <w14:ligatures w14:val="standardContextual"/>
        </w:rPr>
        <w:t xml:space="preserve"> the affected</w:t>
      </w:r>
      <w:r w:rsidRPr="00A774CA">
        <w:rPr>
          <w:rFonts w:ascii="Garamond" w:eastAsia="Aptos" w:hAnsi="Garamond"/>
          <w:kern w:val="2"/>
          <w:sz w:val="24"/>
          <w:szCs w:val="24"/>
          <w14:ligatures w14:val="standardContextual"/>
        </w:rPr>
        <w:t xml:space="preserve"> emergency provisions within their </w:t>
      </w:r>
      <w:r>
        <w:rPr>
          <w:rFonts w:ascii="Garamond" w:eastAsia="Aptos" w:hAnsi="Garamond"/>
          <w:kern w:val="2"/>
          <w:sz w:val="24"/>
          <w:szCs w:val="24"/>
          <w14:ligatures w14:val="standardContextual"/>
        </w:rPr>
        <w:t xml:space="preserve">delegated </w:t>
      </w:r>
      <w:r w:rsidRPr="00A774CA">
        <w:rPr>
          <w:rFonts w:ascii="Garamond" w:eastAsia="Aptos" w:hAnsi="Garamond"/>
          <w:kern w:val="2"/>
          <w:sz w:val="24"/>
          <w:szCs w:val="24"/>
          <w14:ligatures w14:val="standardContextual"/>
        </w:rPr>
        <w:t>Title V operating permit program, including Montana, was required to remove the provisions from their regulations. On September 5, 2025, the D.C. Circuit Court of Appeals reinstated the federal emergency affirmative defense. In response, o</w:t>
      </w:r>
      <w:r w:rsidRPr="00A774CA">
        <w:rPr>
          <w:rFonts w:ascii="Garamond" w:eastAsia="Aptos" w:hAnsi="Garamond"/>
          <w:color w:val="1B1B1B"/>
          <w:kern w:val="2"/>
          <w:sz w:val="24"/>
          <w:szCs w:val="24"/>
          <w:shd w:val="clear" w:color="auto" w:fill="FFFFFF"/>
          <w14:ligatures w14:val="standardContextual"/>
        </w:rPr>
        <w:t xml:space="preserve">n May 28, 2026, EPA withdrew their July 2023 final rule that removed the provisions, and </w:t>
      </w:r>
      <w:r w:rsidRPr="00A774CA">
        <w:rPr>
          <w:rFonts w:ascii="Garamond" w:eastAsia="Aptos" w:hAnsi="Garamond"/>
          <w:kern w:val="2"/>
          <w:sz w:val="24"/>
          <w:szCs w:val="24"/>
          <w14:ligatures w14:val="standardContextual"/>
        </w:rPr>
        <w:t xml:space="preserve">Montana is in the process of </w:t>
      </w:r>
      <w:r>
        <w:rPr>
          <w:rFonts w:ascii="Garamond" w:eastAsia="Aptos" w:hAnsi="Garamond"/>
          <w:kern w:val="2"/>
          <w:sz w:val="24"/>
          <w:szCs w:val="24"/>
          <w14:ligatures w14:val="standardContextual"/>
        </w:rPr>
        <w:t>re</w:t>
      </w:r>
      <w:r w:rsidRPr="00A774CA">
        <w:rPr>
          <w:rFonts w:ascii="Garamond" w:eastAsia="Aptos" w:hAnsi="Garamond"/>
          <w:kern w:val="2"/>
          <w:sz w:val="24"/>
          <w:szCs w:val="24"/>
          <w14:ligatures w14:val="standardContextual"/>
        </w:rPr>
        <w:t>codifying the provisions in its Title V operating permit program regulations.</w:t>
      </w:r>
      <w:r>
        <w:rPr>
          <w:rFonts w:ascii="Garamond" w:eastAsia="Aptos" w:hAnsi="Garamond"/>
          <w:kern w:val="2"/>
          <w:sz w:val="24"/>
          <w:szCs w:val="24"/>
          <w14:ligatures w14:val="standardContextual"/>
        </w:rPr>
        <w:t xml:space="preserve"> With the current permit action,</w:t>
      </w:r>
      <w:r w:rsidR="00065E7E" w:rsidRPr="00065E7E">
        <w:rPr>
          <w:rFonts w:ascii="Garamond" w:hAnsi="Garamond"/>
          <w:sz w:val="24"/>
          <w:szCs w:val="24"/>
        </w:rPr>
        <w:t xml:space="preserve"> DEQ revised Section V – Subsection F</w:t>
      </w:r>
      <w:r>
        <w:rPr>
          <w:rFonts w:ascii="Garamond" w:hAnsi="Garamond"/>
          <w:sz w:val="24"/>
          <w:szCs w:val="24"/>
        </w:rPr>
        <w:t>,</w:t>
      </w:r>
      <w:r w:rsidR="00065E7E" w:rsidRPr="00065E7E">
        <w:rPr>
          <w:rFonts w:ascii="Garamond" w:hAnsi="Garamond"/>
          <w:sz w:val="24"/>
          <w:szCs w:val="24"/>
        </w:rPr>
        <w:t xml:space="preserve"> Emergency Provisions</w:t>
      </w:r>
      <w:r>
        <w:rPr>
          <w:rFonts w:ascii="Garamond" w:hAnsi="Garamond"/>
          <w:sz w:val="24"/>
          <w:szCs w:val="24"/>
        </w:rPr>
        <w:t>,</w:t>
      </w:r>
      <w:r w:rsidR="00065E7E" w:rsidRPr="00065E7E">
        <w:rPr>
          <w:rFonts w:ascii="Garamond" w:hAnsi="Garamond"/>
          <w:sz w:val="24"/>
          <w:szCs w:val="24"/>
        </w:rPr>
        <w:t xml:space="preserve"> to include </w:t>
      </w:r>
      <w:r w:rsidR="00FC1B6A">
        <w:rPr>
          <w:rFonts w:ascii="Garamond" w:hAnsi="Garamond"/>
          <w:sz w:val="24"/>
          <w:szCs w:val="24"/>
        </w:rPr>
        <w:t xml:space="preserve">the </w:t>
      </w:r>
      <w:r w:rsidR="00065E7E" w:rsidRPr="00065E7E">
        <w:rPr>
          <w:rFonts w:ascii="Garamond" w:hAnsi="Garamond"/>
          <w:sz w:val="24"/>
          <w:szCs w:val="24"/>
        </w:rPr>
        <w:t xml:space="preserve">reinstated federal </w:t>
      </w:r>
      <w:r w:rsidR="00FC1B6A">
        <w:rPr>
          <w:rFonts w:ascii="Garamond" w:hAnsi="Garamond"/>
          <w:sz w:val="24"/>
          <w:szCs w:val="24"/>
        </w:rPr>
        <w:t>regulations</w:t>
      </w:r>
      <w:r w:rsidR="00065E7E" w:rsidRPr="00065E7E">
        <w:rPr>
          <w:rFonts w:ascii="Garamond" w:hAnsi="Garamond"/>
          <w:sz w:val="24"/>
          <w:szCs w:val="24"/>
        </w:rPr>
        <w:t>.</w:t>
      </w:r>
      <w:r w:rsidR="00065E7E">
        <w:rPr>
          <w:rFonts w:ascii="Garamond" w:hAnsi="Garamond"/>
          <w:sz w:val="24"/>
          <w:szCs w:val="24"/>
        </w:rPr>
        <w:t xml:space="preserve"> </w:t>
      </w:r>
      <w:r w:rsidR="00FC1B6A">
        <w:rPr>
          <w:rFonts w:ascii="Garamond" w:hAnsi="Garamond"/>
          <w:sz w:val="24"/>
          <w:szCs w:val="24"/>
        </w:rPr>
        <w:t>Title V operating permit</w:t>
      </w:r>
      <w:r w:rsidR="00010B1C" w:rsidRPr="00B41586">
        <w:rPr>
          <w:rFonts w:ascii="Garamond" w:hAnsi="Garamond"/>
          <w:sz w:val="24"/>
          <w:szCs w:val="24"/>
        </w:rPr>
        <w:t xml:space="preserve"> #</w:t>
      </w:r>
      <w:r w:rsidR="00010B1C" w:rsidRPr="00B41586">
        <w:rPr>
          <w:rFonts w:ascii="Garamond" w:hAnsi="Garamond"/>
          <w:b/>
          <w:bCs/>
          <w:sz w:val="24"/>
          <w:szCs w:val="24"/>
        </w:rPr>
        <w:t>OP1689-0</w:t>
      </w:r>
      <w:r w:rsidR="00010B1C">
        <w:rPr>
          <w:rFonts w:ascii="Garamond" w:hAnsi="Garamond"/>
          <w:b/>
          <w:bCs/>
          <w:sz w:val="24"/>
          <w:szCs w:val="24"/>
        </w:rPr>
        <w:t>4</w:t>
      </w:r>
      <w:r w:rsidR="00010B1C" w:rsidRPr="00B41586">
        <w:rPr>
          <w:rFonts w:ascii="Garamond" w:hAnsi="Garamond"/>
          <w:sz w:val="24"/>
          <w:szCs w:val="24"/>
        </w:rPr>
        <w:t xml:space="preserve"> replace</w:t>
      </w:r>
      <w:r w:rsidR="00010B1C">
        <w:rPr>
          <w:rFonts w:ascii="Garamond" w:hAnsi="Garamond"/>
          <w:sz w:val="24"/>
          <w:szCs w:val="24"/>
        </w:rPr>
        <w:t xml:space="preserve">s </w:t>
      </w:r>
      <w:r w:rsidR="00FC1B6A">
        <w:rPr>
          <w:rFonts w:ascii="Garamond" w:hAnsi="Garamond"/>
          <w:sz w:val="24"/>
          <w:szCs w:val="24"/>
        </w:rPr>
        <w:t>Title V operating p</w:t>
      </w:r>
      <w:r w:rsidR="00010B1C" w:rsidRPr="00B41586">
        <w:rPr>
          <w:rFonts w:ascii="Garamond" w:hAnsi="Garamond"/>
          <w:sz w:val="24"/>
          <w:szCs w:val="24"/>
        </w:rPr>
        <w:t>ermit #OP1689-0</w:t>
      </w:r>
      <w:r w:rsidR="00010B1C">
        <w:rPr>
          <w:rFonts w:ascii="Garamond" w:hAnsi="Garamond"/>
          <w:sz w:val="24"/>
          <w:szCs w:val="24"/>
        </w:rPr>
        <w:t>3</w:t>
      </w:r>
      <w:r w:rsidR="00010B1C" w:rsidRPr="00B41586">
        <w:rPr>
          <w:rFonts w:ascii="Garamond" w:hAnsi="Garamond"/>
          <w:sz w:val="24"/>
          <w:szCs w:val="24"/>
        </w:rPr>
        <w:t>.</w:t>
      </w:r>
      <w:bookmarkEnd w:id="12"/>
      <w:r>
        <w:rPr>
          <w:rFonts w:ascii="Garamond" w:eastAsia="Aptos" w:hAnsi="Garamond"/>
          <w:kern w:val="2"/>
          <w:sz w:val="24"/>
          <w:szCs w:val="24"/>
          <w14:ligatures w14:val="standardContextual"/>
        </w:rPr>
        <w:t xml:space="preserve"> </w:t>
      </w:r>
    </w:p>
    <w:bookmarkEnd w:id="11"/>
    <w:bookmarkEnd w:id="13"/>
    <w:p w14:paraId="20139568" w14:textId="77777777" w:rsidR="005E0B29" w:rsidRPr="005E0B29" w:rsidRDefault="005E0B29" w:rsidP="005E0B29"/>
    <w:p w14:paraId="2A576CCE" w14:textId="77777777" w:rsidR="00633285" w:rsidRPr="00606C6A" w:rsidRDefault="00633285" w:rsidP="00E86689">
      <w:pPr>
        <w:pStyle w:val="Heading2"/>
        <w:spacing w:before="0" w:beforeAutospacing="0" w:after="0" w:afterAutospacing="0"/>
        <w:ind w:left="720" w:hanging="720"/>
        <w:rPr>
          <w:rFonts w:ascii="Garamond" w:hAnsi="Garamond"/>
          <w:sz w:val="24"/>
          <w:szCs w:val="24"/>
        </w:rPr>
      </w:pPr>
      <w:bookmarkStart w:id="14" w:name="_Toc63146266"/>
      <w:bookmarkStart w:id="15" w:name="_Toc221798830"/>
      <w:r w:rsidRPr="00606C6A">
        <w:rPr>
          <w:rFonts w:ascii="Garamond" w:hAnsi="Garamond"/>
          <w:sz w:val="24"/>
          <w:szCs w:val="24"/>
        </w:rPr>
        <w:t>Taking and Damaging Analysis</w:t>
      </w:r>
      <w:bookmarkEnd w:id="14"/>
      <w:bookmarkEnd w:id="15"/>
      <w:r w:rsidRPr="00606C6A">
        <w:rPr>
          <w:rFonts w:ascii="Garamond" w:hAnsi="Garamond"/>
          <w:sz w:val="24"/>
          <w:szCs w:val="24"/>
        </w:rPr>
        <w:t xml:space="preserve"> </w:t>
      </w:r>
    </w:p>
    <w:p w14:paraId="76F5F340" w14:textId="77777777" w:rsidR="00633285" w:rsidRPr="008A36FD" w:rsidRDefault="00633285">
      <w:pPr>
        <w:rPr>
          <w:rFonts w:ascii="Garamond" w:hAnsi="Garamond"/>
          <w:sz w:val="24"/>
          <w:szCs w:val="24"/>
        </w:rPr>
      </w:pPr>
    </w:p>
    <w:p w14:paraId="10DEAEE4" w14:textId="77777777" w:rsidR="00B506F1" w:rsidRPr="00D72EE1" w:rsidRDefault="00B506F1" w:rsidP="00B506F1">
      <w:pPr>
        <w:ind w:left="360"/>
        <w:rPr>
          <w:rFonts w:ascii="Garamond" w:hAnsi="Garamond"/>
          <w:sz w:val="24"/>
          <w:szCs w:val="24"/>
        </w:rPr>
      </w:pPr>
      <w:r w:rsidRPr="00D72EE1">
        <w:rPr>
          <w:rFonts w:ascii="Garamond" w:hAnsi="Garamond"/>
          <w:sz w:val="24"/>
          <w:szCs w:val="24"/>
        </w:rPr>
        <w:t>As required by 2-10-105, MCA, DEQ conducted the following private property taking and damaging assessment.</w:t>
      </w:r>
    </w:p>
    <w:p w14:paraId="116E85DD" w14:textId="77777777" w:rsidR="00774F33" w:rsidRPr="008A36FD" w:rsidRDefault="00774F33" w:rsidP="00E86689">
      <w:pPr>
        <w:rPr>
          <w:rFonts w:ascii="Garamond" w:hAnsi="Garamond"/>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720"/>
        <w:gridCol w:w="7897"/>
      </w:tblGrid>
      <w:tr w:rsidR="00467333" w:rsidRPr="00606C6A" w14:paraId="7E9C1192" w14:textId="77777777" w:rsidTr="00EE400E">
        <w:tc>
          <w:tcPr>
            <w:tcW w:w="738" w:type="dxa"/>
            <w:tcBorders>
              <w:bottom w:val="nil"/>
            </w:tcBorders>
            <w:shd w:val="clear" w:color="auto" w:fill="FFFFFF"/>
          </w:tcPr>
          <w:p w14:paraId="581216FF" w14:textId="77777777" w:rsidR="00467333" w:rsidRPr="00606C6A" w:rsidRDefault="00467333" w:rsidP="00C507C8">
            <w:pPr>
              <w:rPr>
                <w:rFonts w:ascii="Garamond" w:hAnsi="Garamond"/>
                <w:b/>
                <w:sz w:val="22"/>
                <w:szCs w:val="22"/>
              </w:rPr>
            </w:pPr>
            <w:r w:rsidRPr="00606C6A">
              <w:rPr>
                <w:rFonts w:ascii="Garamond" w:hAnsi="Garamond"/>
                <w:b/>
                <w:sz w:val="22"/>
                <w:szCs w:val="22"/>
              </w:rPr>
              <w:t>YES</w:t>
            </w:r>
          </w:p>
        </w:tc>
        <w:tc>
          <w:tcPr>
            <w:tcW w:w="720" w:type="dxa"/>
            <w:shd w:val="clear" w:color="auto" w:fill="CCCCCC"/>
          </w:tcPr>
          <w:p w14:paraId="490918D1" w14:textId="77777777" w:rsidR="00467333" w:rsidRPr="00606C6A" w:rsidRDefault="00467333" w:rsidP="00C507C8">
            <w:pPr>
              <w:rPr>
                <w:rFonts w:ascii="Garamond" w:hAnsi="Garamond"/>
                <w:b/>
                <w:sz w:val="22"/>
                <w:szCs w:val="22"/>
              </w:rPr>
            </w:pPr>
            <w:r w:rsidRPr="00606C6A">
              <w:rPr>
                <w:rFonts w:ascii="Garamond" w:hAnsi="Garamond"/>
                <w:b/>
                <w:sz w:val="22"/>
                <w:szCs w:val="22"/>
              </w:rPr>
              <w:t>NO</w:t>
            </w:r>
          </w:p>
        </w:tc>
        <w:tc>
          <w:tcPr>
            <w:tcW w:w="7897" w:type="dxa"/>
          </w:tcPr>
          <w:p w14:paraId="7D09DE24" w14:textId="77777777" w:rsidR="00467333" w:rsidRPr="00606C6A" w:rsidRDefault="00467333" w:rsidP="00C507C8">
            <w:pPr>
              <w:rPr>
                <w:rFonts w:ascii="Garamond" w:hAnsi="Garamond"/>
                <w:sz w:val="22"/>
                <w:szCs w:val="22"/>
              </w:rPr>
            </w:pPr>
          </w:p>
        </w:tc>
      </w:tr>
      <w:tr w:rsidR="00467333" w:rsidRPr="00606C6A" w14:paraId="319CE1B8" w14:textId="77777777" w:rsidTr="00EE400E">
        <w:tc>
          <w:tcPr>
            <w:tcW w:w="738" w:type="dxa"/>
            <w:tcBorders>
              <w:bottom w:val="nil"/>
            </w:tcBorders>
            <w:shd w:val="clear" w:color="auto" w:fill="FFFFFF"/>
          </w:tcPr>
          <w:p w14:paraId="445B100A" w14:textId="77777777" w:rsidR="00467333" w:rsidRPr="00606C6A" w:rsidRDefault="00933A97" w:rsidP="005570B4">
            <w:pPr>
              <w:jc w:val="center"/>
              <w:rPr>
                <w:rFonts w:ascii="Garamond" w:hAnsi="Garamond"/>
                <w:sz w:val="22"/>
                <w:szCs w:val="22"/>
              </w:rPr>
            </w:pPr>
            <w:r w:rsidRPr="00606C6A">
              <w:rPr>
                <w:rFonts w:ascii="Garamond" w:hAnsi="Garamond"/>
                <w:sz w:val="22"/>
                <w:szCs w:val="22"/>
              </w:rPr>
              <w:t>X</w:t>
            </w:r>
          </w:p>
        </w:tc>
        <w:tc>
          <w:tcPr>
            <w:tcW w:w="720" w:type="dxa"/>
            <w:shd w:val="clear" w:color="auto" w:fill="CCCCCC"/>
          </w:tcPr>
          <w:p w14:paraId="74832F2A" w14:textId="77777777" w:rsidR="00467333" w:rsidRPr="00606C6A" w:rsidRDefault="00467333" w:rsidP="005570B4">
            <w:pPr>
              <w:jc w:val="center"/>
              <w:rPr>
                <w:rFonts w:ascii="Garamond" w:hAnsi="Garamond"/>
                <w:sz w:val="22"/>
                <w:szCs w:val="22"/>
              </w:rPr>
            </w:pPr>
          </w:p>
        </w:tc>
        <w:tc>
          <w:tcPr>
            <w:tcW w:w="7897" w:type="dxa"/>
          </w:tcPr>
          <w:p w14:paraId="67B54ECC" w14:textId="77777777" w:rsidR="00467333" w:rsidRPr="00606C6A" w:rsidRDefault="00467333" w:rsidP="00C507C8">
            <w:pPr>
              <w:rPr>
                <w:rFonts w:ascii="Garamond" w:hAnsi="Garamond"/>
                <w:sz w:val="22"/>
                <w:szCs w:val="22"/>
              </w:rPr>
            </w:pPr>
            <w:r w:rsidRPr="00606C6A">
              <w:rPr>
                <w:rFonts w:ascii="Garamond" w:hAnsi="Garamond"/>
                <w:sz w:val="22"/>
                <w:szCs w:val="22"/>
              </w:rPr>
              <w:t>1. Does the action pertain to land or water management or environmental regulation affecting private real property or water rights?</w:t>
            </w:r>
          </w:p>
        </w:tc>
      </w:tr>
      <w:tr w:rsidR="00467333" w:rsidRPr="00606C6A" w14:paraId="2D9C1F8A" w14:textId="77777777" w:rsidTr="00EE400E">
        <w:tc>
          <w:tcPr>
            <w:tcW w:w="738" w:type="dxa"/>
            <w:shd w:val="pct15" w:color="auto" w:fill="FFFFFF"/>
          </w:tcPr>
          <w:p w14:paraId="6A8C221D" w14:textId="77777777" w:rsidR="00467333" w:rsidRPr="00606C6A" w:rsidRDefault="00467333" w:rsidP="005570B4">
            <w:pPr>
              <w:jc w:val="center"/>
              <w:rPr>
                <w:rFonts w:ascii="Garamond" w:hAnsi="Garamond"/>
                <w:sz w:val="22"/>
                <w:szCs w:val="22"/>
              </w:rPr>
            </w:pPr>
          </w:p>
        </w:tc>
        <w:tc>
          <w:tcPr>
            <w:tcW w:w="720" w:type="dxa"/>
          </w:tcPr>
          <w:p w14:paraId="1D059D4F" w14:textId="77777777" w:rsidR="00467333" w:rsidRPr="00606C6A" w:rsidRDefault="00933A97" w:rsidP="005570B4">
            <w:pPr>
              <w:jc w:val="center"/>
              <w:rPr>
                <w:rFonts w:ascii="Garamond" w:hAnsi="Garamond"/>
                <w:sz w:val="22"/>
                <w:szCs w:val="22"/>
              </w:rPr>
            </w:pPr>
            <w:r w:rsidRPr="00606C6A">
              <w:rPr>
                <w:rFonts w:ascii="Garamond" w:hAnsi="Garamond"/>
                <w:sz w:val="22"/>
                <w:szCs w:val="22"/>
              </w:rPr>
              <w:t>X</w:t>
            </w:r>
          </w:p>
        </w:tc>
        <w:tc>
          <w:tcPr>
            <w:tcW w:w="7897" w:type="dxa"/>
          </w:tcPr>
          <w:p w14:paraId="7B70B351" w14:textId="77777777" w:rsidR="00467333" w:rsidRPr="00606C6A" w:rsidRDefault="00467333" w:rsidP="00C507C8">
            <w:pPr>
              <w:rPr>
                <w:rFonts w:ascii="Garamond" w:hAnsi="Garamond"/>
                <w:sz w:val="22"/>
                <w:szCs w:val="22"/>
              </w:rPr>
            </w:pPr>
            <w:r w:rsidRPr="00606C6A">
              <w:rPr>
                <w:rFonts w:ascii="Garamond" w:hAnsi="Garamond"/>
                <w:sz w:val="22"/>
                <w:szCs w:val="22"/>
              </w:rPr>
              <w:t>2.  Does the action result in either a permanent or indefinite physical occupation of private property?</w:t>
            </w:r>
          </w:p>
        </w:tc>
      </w:tr>
      <w:tr w:rsidR="00467333" w:rsidRPr="00606C6A" w14:paraId="1CE9B0BC" w14:textId="77777777" w:rsidTr="00EE400E">
        <w:tc>
          <w:tcPr>
            <w:tcW w:w="738" w:type="dxa"/>
            <w:shd w:val="pct15" w:color="auto" w:fill="FFFFFF"/>
          </w:tcPr>
          <w:p w14:paraId="5972C760" w14:textId="77777777" w:rsidR="00467333" w:rsidRPr="00606C6A" w:rsidRDefault="00467333" w:rsidP="005570B4">
            <w:pPr>
              <w:jc w:val="center"/>
              <w:rPr>
                <w:rFonts w:ascii="Garamond" w:hAnsi="Garamond"/>
                <w:sz w:val="22"/>
                <w:szCs w:val="22"/>
              </w:rPr>
            </w:pPr>
          </w:p>
        </w:tc>
        <w:tc>
          <w:tcPr>
            <w:tcW w:w="720" w:type="dxa"/>
          </w:tcPr>
          <w:p w14:paraId="23578A57" w14:textId="77777777" w:rsidR="00467333" w:rsidRPr="00606C6A" w:rsidRDefault="00933A97" w:rsidP="005570B4">
            <w:pPr>
              <w:jc w:val="center"/>
              <w:rPr>
                <w:rFonts w:ascii="Garamond" w:hAnsi="Garamond"/>
                <w:sz w:val="22"/>
                <w:szCs w:val="22"/>
              </w:rPr>
            </w:pPr>
            <w:r w:rsidRPr="00606C6A">
              <w:rPr>
                <w:rFonts w:ascii="Garamond" w:hAnsi="Garamond"/>
                <w:sz w:val="22"/>
                <w:szCs w:val="22"/>
              </w:rPr>
              <w:t>X</w:t>
            </w:r>
          </w:p>
        </w:tc>
        <w:tc>
          <w:tcPr>
            <w:tcW w:w="7897" w:type="dxa"/>
          </w:tcPr>
          <w:p w14:paraId="7062E4A0" w14:textId="77777777" w:rsidR="00467333" w:rsidRPr="00606C6A" w:rsidRDefault="00467333" w:rsidP="00C507C8">
            <w:pPr>
              <w:rPr>
                <w:rFonts w:ascii="Garamond" w:hAnsi="Garamond"/>
                <w:sz w:val="22"/>
                <w:szCs w:val="22"/>
              </w:rPr>
            </w:pPr>
            <w:r w:rsidRPr="00606C6A">
              <w:rPr>
                <w:rFonts w:ascii="Garamond" w:hAnsi="Garamond"/>
                <w:sz w:val="22"/>
                <w:szCs w:val="22"/>
              </w:rPr>
              <w:t>3.  Does the action deny a fundamental attribute of ownership? (ex.:  right to exclude others, disposal of property)</w:t>
            </w:r>
          </w:p>
        </w:tc>
      </w:tr>
      <w:tr w:rsidR="00467333" w:rsidRPr="00606C6A" w14:paraId="678D3E85" w14:textId="77777777" w:rsidTr="00EE400E">
        <w:tc>
          <w:tcPr>
            <w:tcW w:w="738" w:type="dxa"/>
            <w:shd w:val="pct15" w:color="auto" w:fill="FFFFFF"/>
          </w:tcPr>
          <w:p w14:paraId="4C2DD145" w14:textId="77777777" w:rsidR="00467333" w:rsidRPr="00606C6A" w:rsidRDefault="00467333" w:rsidP="005570B4">
            <w:pPr>
              <w:jc w:val="center"/>
              <w:rPr>
                <w:rFonts w:ascii="Garamond" w:hAnsi="Garamond"/>
                <w:sz w:val="22"/>
                <w:szCs w:val="22"/>
              </w:rPr>
            </w:pPr>
          </w:p>
        </w:tc>
        <w:tc>
          <w:tcPr>
            <w:tcW w:w="720" w:type="dxa"/>
          </w:tcPr>
          <w:p w14:paraId="14C22E05" w14:textId="77777777" w:rsidR="00467333" w:rsidRPr="00606C6A" w:rsidRDefault="00933A97" w:rsidP="005570B4">
            <w:pPr>
              <w:jc w:val="center"/>
              <w:rPr>
                <w:rFonts w:ascii="Garamond" w:hAnsi="Garamond"/>
                <w:sz w:val="22"/>
                <w:szCs w:val="22"/>
              </w:rPr>
            </w:pPr>
            <w:r w:rsidRPr="00606C6A">
              <w:rPr>
                <w:rFonts w:ascii="Garamond" w:hAnsi="Garamond"/>
                <w:sz w:val="22"/>
                <w:szCs w:val="22"/>
              </w:rPr>
              <w:t>X</w:t>
            </w:r>
          </w:p>
        </w:tc>
        <w:tc>
          <w:tcPr>
            <w:tcW w:w="7897" w:type="dxa"/>
          </w:tcPr>
          <w:p w14:paraId="786C2325" w14:textId="77777777" w:rsidR="00467333" w:rsidRPr="00606C6A" w:rsidRDefault="00467333" w:rsidP="00C507C8">
            <w:pPr>
              <w:rPr>
                <w:rFonts w:ascii="Garamond" w:hAnsi="Garamond"/>
                <w:sz w:val="22"/>
                <w:szCs w:val="22"/>
              </w:rPr>
            </w:pPr>
            <w:r w:rsidRPr="00606C6A">
              <w:rPr>
                <w:rFonts w:ascii="Garamond" w:hAnsi="Garamond"/>
                <w:sz w:val="22"/>
                <w:szCs w:val="22"/>
              </w:rPr>
              <w:t>4.  Does the action deprive the owner of all economically viable uses of the property?</w:t>
            </w:r>
          </w:p>
        </w:tc>
      </w:tr>
      <w:tr w:rsidR="00467333" w:rsidRPr="00606C6A" w14:paraId="3309D51C" w14:textId="77777777" w:rsidTr="00EE400E">
        <w:tc>
          <w:tcPr>
            <w:tcW w:w="738" w:type="dxa"/>
          </w:tcPr>
          <w:p w14:paraId="30A46CBA" w14:textId="77777777" w:rsidR="00467333" w:rsidRPr="00606C6A" w:rsidRDefault="00467333" w:rsidP="005570B4">
            <w:pPr>
              <w:jc w:val="center"/>
              <w:rPr>
                <w:rFonts w:ascii="Garamond" w:hAnsi="Garamond"/>
                <w:sz w:val="22"/>
                <w:szCs w:val="22"/>
              </w:rPr>
            </w:pPr>
          </w:p>
        </w:tc>
        <w:tc>
          <w:tcPr>
            <w:tcW w:w="720" w:type="dxa"/>
          </w:tcPr>
          <w:p w14:paraId="2EEBF171" w14:textId="77777777" w:rsidR="00467333" w:rsidRPr="00606C6A" w:rsidRDefault="00933A97" w:rsidP="005570B4">
            <w:pPr>
              <w:jc w:val="center"/>
              <w:rPr>
                <w:rFonts w:ascii="Garamond" w:hAnsi="Garamond"/>
                <w:sz w:val="22"/>
                <w:szCs w:val="22"/>
              </w:rPr>
            </w:pPr>
            <w:r w:rsidRPr="00606C6A">
              <w:rPr>
                <w:rFonts w:ascii="Garamond" w:hAnsi="Garamond"/>
                <w:sz w:val="22"/>
                <w:szCs w:val="22"/>
              </w:rPr>
              <w:t>X</w:t>
            </w:r>
          </w:p>
        </w:tc>
        <w:tc>
          <w:tcPr>
            <w:tcW w:w="7897" w:type="dxa"/>
          </w:tcPr>
          <w:p w14:paraId="2C9A35AC" w14:textId="77777777" w:rsidR="00467333" w:rsidRPr="00606C6A" w:rsidRDefault="00467333" w:rsidP="00C507C8">
            <w:pPr>
              <w:rPr>
                <w:rFonts w:ascii="Garamond" w:hAnsi="Garamond"/>
                <w:sz w:val="22"/>
                <w:szCs w:val="22"/>
              </w:rPr>
            </w:pPr>
            <w:r w:rsidRPr="00606C6A">
              <w:rPr>
                <w:rFonts w:ascii="Garamond" w:hAnsi="Garamond"/>
                <w:sz w:val="22"/>
                <w:szCs w:val="22"/>
              </w:rPr>
              <w:t>5.  Does the action require a property owner to dedicate a portion of property or to grant an easement? [If no, go to (6)].</w:t>
            </w:r>
          </w:p>
        </w:tc>
      </w:tr>
      <w:tr w:rsidR="00467333" w:rsidRPr="00606C6A" w14:paraId="28848751" w14:textId="77777777" w:rsidTr="00EE400E">
        <w:tc>
          <w:tcPr>
            <w:tcW w:w="738" w:type="dxa"/>
          </w:tcPr>
          <w:p w14:paraId="1B4173E8" w14:textId="77777777" w:rsidR="00467333" w:rsidRPr="00606C6A" w:rsidRDefault="00467333" w:rsidP="005570B4">
            <w:pPr>
              <w:jc w:val="center"/>
              <w:rPr>
                <w:rFonts w:ascii="Garamond" w:hAnsi="Garamond"/>
                <w:sz w:val="22"/>
                <w:szCs w:val="22"/>
              </w:rPr>
            </w:pPr>
          </w:p>
        </w:tc>
        <w:tc>
          <w:tcPr>
            <w:tcW w:w="720" w:type="dxa"/>
            <w:shd w:val="pct15" w:color="auto" w:fill="FFFFFF"/>
          </w:tcPr>
          <w:p w14:paraId="390851DD" w14:textId="77777777" w:rsidR="00467333" w:rsidRPr="00606C6A" w:rsidRDefault="00467333" w:rsidP="005570B4">
            <w:pPr>
              <w:jc w:val="center"/>
              <w:rPr>
                <w:rFonts w:ascii="Garamond" w:hAnsi="Garamond"/>
                <w:sz w:val="22"/>
                <w:szCs w:val="22"/>
              </w:rPr>
            </w:pPr>
          </w:p>
        </w:tc>
        <w:tc>
          <w:tcPr>
            <w:tcW w:w="7897" w:type="dxa"/>
          </w:tcPr>
          <w:p w14:paraId="0F39692C" w14:textId="77777777" w:rsidR="00467333" w:rsidRPr="00606C6A" w:rsidRDefault="00467333" w:rsidP="00C507C8">
            <w:pPr>
              <w:rPr>
                <w:rFonts w:ascii="Garamond" w:hAnsi="Garamond"/>
                <w:sz w:val="22"/>
                <w:szCs w:val="22"/>
              </w:rPr>
            </w:pPr>
            <w:r w:rsidRPr="00606C6A">
              <w:rPr>
                <w:rFonts w:ascii="Garamond" w:hAnsi="Garamond"/>
                <w:sz w:val="22"/>
                <w:szCs w:val="22"/>
              </w:rPr>
              <w:t>5a.  Is there a reasonable, specific connection between the government requirement and legitimate state interests?</w:t>
            </w:r>
          </w:p>
        </w:tc>
      </w:tr>
      <w:tr w:rsidR="00467333" w:rsidRPr="00606C6A" w14:paraId="3D19F052" w14:textId="77777777" w:rsidTr="00EE400E">
        <w:tc>
          <w:tcPr>
            <w:tcW w:w="738" w:type="dxa"/>
          </w:tcPr>
          <w:p w14:paraId="7F47E917" w14:textId="77777777" w:rsidR="00467333" w:rsidRPr="00606C6A" w:rsidRDefault="00467333" w:rsidP="005570B4">
            <w:pPr>
              <w:jc w:val="center"/>
              <w:rPr>
                <w:rFonts w:ascii="Garamond" w:hAnsi="Garamond"/>
                <w:sz w:val="22"/>
                <w:szCs w:val="22"/>
              </w:rPr>
            </w:pPr>
          </w:p>
        </w:tc>
        <w:tc>
          <w:tcPr>
            <w:tcW w:w="720" w:type="dxa"/>
            <w:shd w:val="pct15" w:color="auto" w:fill="FFFFFF"/>
          </w:tcPr>
          <w:p w14:paraId="04C6202E" w14:textId="77777777" w:rsidR="00467333" w:rsidRPr="00606C6A" w:rsidRDefault="00467333" w:rsidP="005570B4">
            <w:pPr>
              <w:jc w:val="center"/>
              <w:rPr>
                <w:rFonts w:ascii="Garamond" w:hAnsi="Garamond"/>
                <w:sz w:val="22"/>
                <w:szCs w:val="22"/>
              </w:rPr>
            </w:pPr>
          </w:p>
        </w:tc>
        <w:tc>
          <w:tcPr>
            <w:tcW w:w="7897" w:type="dxa"/>
          </w:tcPr>
          <w:p w14:paraId="3FCD2BE6" w14:textId="77777777" w:rsidR="00467333" w:rsidRPr="00606C6A" w:rsidRDefault="00467333" w:rsidP="00C507C8">
            <w:pPr>
              <w:rPr>
                <w:rFonts w:ascii="Garamond" w:hAnsi="Garamond"/>
                <w:sz w:val="22"/>
                <w:szCs w:val="22"/>
              </w:rPr>
            </w:pPr>
            <w:r w:rsidRPr="00606C6A">
              <w:rPr>
                <w:rFonts w:ascii="Garamond" w:hAnsi="Garamond"/>
                <w:sz w:val="22"/>
                <w:szCs w:val="22"/>
              </w:rPr>
              <w:t>5b.  Is the government requirement roughly proportional to the impact of the proposed use of the property?</w:t>
            </w:r>
          </w:p>
        </w:tc>
      </w:tr>
      <w:tr w:rsidR="00467333" w:rsidRPr="00606C6A" w14:paraId="22B95CCA" w14:textId="77777777" w:rsidTr="00EE400E">
        <w:tc>
          <w:tcPr>
            <w:tcW w:w="738" w:type="dxa"/>
            <w:shd w:val="pct15" w:color="auto" w:fill="FFFFFF"/>
          </w:tcPr>
          <w:p w14:paraId="2725447F" w14:textId="77777777" w:rsidR="00467333" w:rsidRPr="00606C6A" w:rsidRDefault="00467333" w:rsidP="005570B4">
            <w:pPr>
              <w:jc w:val="center"/>
              <w:rPr>
                <w:rFonts w:ascii="Garamond" w:hAnsi="Garamond"/>
                <w:sz w:val="22"/>
                <w:szCs w:val="22"/>
              </w:rPr>
            </w:pPr>
          </w:p>
        </w:tc>
        <w:tc>
          <w:tcPr>
            <w:tcW w:w="720" w:type="dxa"/>
          </w:tcPr>
          <w:p w14:paraId="5BC17348" w14:textId="77777777" w:rsidR="00467333" w:rsidRPr="00606C6A" w:rsidRDefault="00933A97" w:rsidP="005570B4">
            <w:pPr>
              <w:jc w:val="center"/>
              <w:rPr>
                <w:rFonts w:ascii="Garamond" w:hAnsi="Garamond"/>
                <w:sz w:val="22"/>
                <w:szCs w:val="22"/>
              </w:rPr>
            </w:pPr>
            <w:r w:rsidRPr="00606C6A">
              <w:rPr>
                <w:rFonts w:ascii="Garamond" w:hAnsi="Garamond"/>
                <w:sz w:val="22"/>
                <w:szCs w:val="22"/>
              </w:rPr>
              <w:t>X</w:t>
            </w:r>
          </w:p>
        </w:tc>
        <w:tc>
          <w:tcPr>
            <w:tcW w:w="7897" w:type="dxa"/>
          </w:tcPr>
          <w:p w14:paraId="2770855F" w14:textId="77777777" w:rsidR="00467333" w:rsidRPr="00606C6A" w:rsidRDefault="00467333" w:rsidP="00C507C8">
            <w:pPr>
              <w:rPr>
                <w:rFonts w:ascii="Garamond" w:hAnsi="Garamond"/>
                <w:sz w:val="22"/>
                <w:szCs w:val="22"/>
              </w:rPr>
            </w:pPr>
            <w:r w:rsidRPr="00606C6A">
              <w:rPr>
                <w:rFonts w:ascii="Garamond" w:hAnsi="Garamond"/>
                <w:sz w:val="22"/>
                <w:szCs w:val="22"/>
              </w:rPr>
              <w:t>6.  Does the action have a severe impact on the value of the property?  (consider economic impact, investment-backed expectations, character of government action)</w:t>
            </w:r>
          </w:p>
        </w:tc>
      </w:tr>
      <w:tr w:rsidR="00467333" w:rsidRPr="00606C6A" w14:paraId="73F04625" w14:textId="77777777" w:rsidTr="00EE400E">
        <w:tc>
          <w:tcPr>
            <w:tcW w:w="738" w:type="dxa"/>
          </w:tcPr>
          <w:p w14:paraId="3C296B9A" w14:textId="77777777" w:rsidR="00467333" w:rsidRPr="00606C6A" w:rsidRDefault="00467333" w:rsidP="005570B4">
            <w:pPr>
              <w:jc w:val="center"/>
              <w:rPr>
                <w:rFonts w:ascii="Garamond" w:hAnsi="Garamond"/>
                <w:sz w:val="22"/>
                <w:szCs w:val="22"/>
              </w:rPr>
            </w:pPr>
          </w:p>
        </w:tc>
        <w:tc>
          <w:tcPr>
            <w:tcW w:w="720" w:type="dxa"/>
          </w:tcPr>
          <w:p w14:paraId="1C11D1F5" w14:textId="77777777" w:rsidR="00467333" w:rsidRPr="00606C6A" w:rsidRDefault="00933A97" w:rsidP="005570B4">
            <w:pPr>
              <w:jc w:val="center"/>
              <w:rPr>
                <w:rFonts w:ascii="Garamond" w:hAnsi="Garamond"/>
                <w:sz w:val="22"/>
                <w:szCs w:val="22"/>
              </w:rPr>
            </w:pPr>
            <w:r w:rsidRPr="00606C6A">
              <w:rPr>
                <w:rFonts w:ascii="Garamond" w:hAnsi="Garamond"/>
                <w:sz w:val="22"/>
                <w:szCs w:val="22"/>
              </w:rPr>
              <w:t>X</w:t>
            </w:r>
          </w:p>
        </w:tc>
        <w:tc>
          <w:tcPr>
            <w:tcW w:w="7897" w:type="dxa"/>
          </w:tcPr>
          <w:p w14:paraId="72B063C4" w14:textId="77777777" w:rsidR="00467333" w:rsidRPr="00606C6A" w:rsidRDefault="00467333" w:rsidP="00C507C8">
            <w:pPr>
              <w:rPr>
                <w:rFonts w:ascii="Garamond" w:hAnsi="Garamond"/>
                <w:sz w:val="22"/>
                <w:szCs w:val="22"/>
              </w:rPr>
            </w:pPr>
            <w:r w:rsidRPr="00606C6A">
              <w:rPr>
                <w:rFonts w:ascii="Garamond" w:hAnsi="Garamond"/>
                <w:sz w:val="22"/>
                <w:szCs w:val="22"/>
              </w:rPr>
              <w:t>7</w:t>
            </w:r>
            <w:proofErr w:type="gramStart"/>
            <w:r w:rsidRPr="00606C6A">
              <w:rPr>
                <w:rFonts w:ascii="Garamond" w:hAnsi="Garamond"/>
                <w:sz w:val="22"/>
                <w:szCs w:val="22"/>
              </w:rPr>
              <w:t>.  Does</w:t>
            </w:r>
            <w:proofErr w:type="gramEnd"/>
            <w:r w:rsidRPr="00606C6A">
              <w:rPr>
                <w:rFonts w:ascii="Garamond" w:hAnsi="Garamond"/>
                <w:sz w:val="22"/>
                <w:szCs w:val="22"/>
              </w:rPr>
              <w:t xml:space="preserve"> the action damage the property by causing some physical disturbance with respect to the property </w:t>
            </w:r>
            <w:proofErr w:type="gramStart"/>
            <w:r w:rsidRPr="00606C6A">
              <w:rPr>
                <w:rFonts w:ascii="Garamond" w:hAnsi="Garamond"/>
                <w:sz w:val="22"/>
                <w:szCs w:val="22"/>
              </w:rPr>
              <w:t>in excess of</w:t>
            </w:r>
            <w:proofErr w:type="gramEnd"/>
            <w:r w:rsidRPr="00606C6A">
              <w:rPr>
                <w:rFonts w:ascii="Garamond" w:hAnsi="Garamond"/>
                <w:sz w:val="22"/>
                <w:szCs w:val="22"/>
              </w:rPr>
              <w:t xml:space="preserve"> that sustained by the pub</w:t>
            </w:r>
            <w:r w:rsidR="00D47136" w:rsidRPr="00606C6A">
              <w:rPr>
                <w:rFonts w:ascii="Garamond" w:hAnsi="Garamond"/>
                <w:sz w:val="22"/>
                <w:szCs w:val="22"/>
              </w:rPr>
              <w:t>l</w:t>
            </w:r>
            <w:r w:rsidRPr="00606C6A">
              <w:rPr>
                <w:rFonts w:ascii="Garamond" w:hAnsi="Garamond"/>
                <w:sz w:val="22"/>
                <w:szCs w:val="22"/>
              </w:rPr>
              <w:t>ic generally?</w:t>
            </w:r>
          </w:p>
        </w:tc>
      </w:tr>
      <w:tr w:rsidR="00467333" w:rsidRPr="00606C6A" w14:paraId="11D72CD5" w14:textId="77777777" w:rsidTr="00EE400E">
        <w:tc>
          <w:tcPr>
            <w:tcW w:w="738" w:type="dxa"/>
            <w:shd w:val="pct15" w:color="auto" w:fill="FFFFFF"/>
          </w:tcPr>
          <w:p w14:paraId="63BFE1AA" w14:textId="77777777" w:rsidR="00467333" w:rsidRPr="00606C6A" w:rsidRDefault="00467333" w:rsidP="005570B4">
            <w:pPr>
              <w:jc w:val="center"/>
              <w:rPr>
                <w:rFonts w:ascii="Garamond" w:hAnsi="Garamond"/>
                <w:sz w:val="22"/>
                <w:szCs w:val="22"/>
              </w:rPr>
            </w:pPr>
          </w:p>
        </w:tc>
        <w:tc>
          <w:tcPr>
            <w:tcW w:w="720" w:type="dxa"/>
          </w:tcPr>
          <w:p w14:paraId="53412A12" w14:textId="77777777" w:rsidR="00467333" w:rsidRPr="00606C6A" w:rsidRDefault="00933A97" w:rsidP="005570B4">
            <w:pPr>
              <w:jc w:val="center"/>
              <w:rPr>
                <w:rFonts w:ascii="Garamond" w:hAnsi="Garamond"/>
                <w:sz w:val="22"/>
                <w:szCs w:val="22"/>
              </w:rPr>
            </w:pPr>
            <w:r w:rsidRPr="00606C6A">
              <w:rPr>
                <w:rFonts w:ascii="Garamond" w:hAnsi="Garamond"/>
                <w:sz w:val="22"/>
                <w:szCs w:val="22"/>
              </w:rPr>
              <w:t>X</w:t>
            </w:r>
          </w:p>
        </w:tc>
        <w:tc>
          <w:tcPr>
            <w:tcW w:w="7897" w:type="dxa"/>
          </w:tcPr>
          <w:p w14:paraId="05F7E349" w14:textId="77777777" w:rsidR="00467333" w:rsidRPr="00606C6A" w:rsidRDefault="00467333" w:rsidP="00C507C8">
            <w:pPr>
              <w:rPr>
                <w:rFonts w:ascii="Garamond" w:hAnsi="Garamond"/>
                <w:sz w:val="22"/>
                <w:szCs w:val="22"/>
              </w:rPr>
            </w:pPr>
            <w:r w:rsidRPr="00606C6A">
              <w:rPr>
                <w:rFonts w:ascii="Garamond" w:hAnsi="Garamond"/>
                <w:sz w:val="22"/>
                <w:szCs w:val="22"/>
              </w:rPr>
              <w:t xml:space="preserve">7a.  Is the impact of government action direct, peculiar, and significant?  </w:t>
            </w:r>
          </w:p>
        </w:tc>
      </w:tr>
      <w:tr w:rsidR="00467333" w:rsidRPr="00606C6A" w14:paraId="2DB62BB4" w14:textId="77777777" w:rsidTr="00EE400E">
        <w:tc>
          <w:tcPr>
            <w:tcW w:w="738" w:type="dxa"/>
            <w:shd w:val="pct15" w:color="auto" w:fill="FFFFFF"/>
          </w:tcPr>
          <w:p w14:paraId="06DF9B88" w14:textId="77777777" w:rsidR="00467333" w:rsidRPr="00606C6A" w:rsidRDefault="00467333" w:rsidP="005570B4">
            <w:pPr>
              <w:jc w:val="center"/>
              <w:rPr>
                <w:rFonts w:ascii="Garamond" w:hAnsi="Garamond"/>
                <w:sz w:val="22"/>
                <w:szCs w:val="22"/>
              </w:rPr>
            </w:pPr>
          </w:p>
        </w:tc>
        <w:tc>
          <w:tcPr>
            <w:tcW w:w="720" w:type="dxa"/>
          </w:tcPr>
          <w:p w14:paraId="4B5E7411" w14:textId="77777777" w:rsidR="00467333" w:rsidRPr="00606C6A" w:rsidRDefault="00933A97" w:rsidP="005570B4">
            <w:pPr>
              <w:jc w:val="center"/>
              <w:rPr>
                <w:rFonts w:ascii="Garamond" w:hAnsi="Garamond"/>
                <w:sz w:val="22"/>
                <w:szCs w:val="22"/>
              </w:rPr>
            </w:pPr>
            <w:r w:rsidRPr="00606C6A">
              <w:rPr>
                <w:rFonts w:ascii="Garamond" w:hAnsi="Garamond"/>
                <w:sz w:val="22"/>
                <w:szCs w:val="22"/>
              </w:rPr>
              <w:t>X</w:t>
            </w:r>
          </w:p>
        </w:tc>
        <w:tc>
          <w:tcPr>
            <w:tcW w:w="7897" w:type="dxa"/>
          </w:tcPr>
          <w:p w14:paraId="01978AD8" w14:textId="77777777" w:rsidR="00467333" w:rsidRPr="00606C6A" w:rsidRDefault="00467333" w:rsidP="00C507C8">
            <w:pPr>
              <w:rPr>
                <w:rFonts w:ascii="Garamond" w:hAnsi="Garamond"/>
                <w:sz w:val="22"/>
                <w:szCs w:val="22"/>
              </w:rPr>
            </w:pPr>
            <w:r w:rsidRPr="00606C6A">
              <w:rPr>
                <w:rFonts w:ascii="Garamond" w:hAnsi="Garamond"/>
                <w:sz w:val="22"/>
                <w:szCs w:val="22"/>
              </w:rPr>
              <w:t>7b.  Has government action resulted in the property becoming practically inaccessible, waterlogged or flooded?</w:t>
            </w:r>
          </w:p>
        </w:tc>
      </w:tr>
      <w:tr w:rsidR="00467333" w:rsidRPr="00606C6A" w14:paraId="2E5878D5" w14:textId="77777777" w:rsidTr="00EE400E">
        <w:tc>
          <w:tcPr>
            <w:tcW w:w="738" w:type="dxa"/>
            <w:shd w:val="pct15" w:color="auto" w:fill="FFFFFF"/>
          </w:tcPr>
          <w:p w14:paraId="40B76AD0" w14:textId="77777777" w:rsidR="00467333" w:rsidRPr="00606C6A" w:rsidRDefault="00467333" w:rsidP="005570B4">
            <w:pPr>
              <w:jc w:val="center"/>
              <w:rPr>
                <w:rFonts w:ascii="Garamond" w:hAnsi="Garamond"/>
                <w:sz w:val="22"/>
                <w:szCs w:val="22"/>
              </w:rPr>
            </w:pPr>
          </w:p>
        </w:tc>
        <w:tc>
          <w:tcPr>
            <w:tcW w:w="720" w:type="dxa"/>
          </w:tcPr>
          <w:p w14:paraId="57898B69" w14:textId="77777777" w:rsidR="00467333" w:rsidRPr="00606C6A" w:rsidRDefault="00933A97" w:rsidP="005570B4">
            <w:pPr>
              <w:jc w:val="center"/>
              <w:rPr>
                <w:rFonts w:ascii="Garamond" w:hAnsi="Garamond"/>
                <w:sz w:val="22"/>
                <w:szCs w:val="22"/>
              </w:rPr>
            </w:pPr>
            <w:r w:rsidRPr="00606C6A">
              <w:rPr>
                <w:rFonts w:ascii="Garamond" w:hAnsi="Garamond"/>
                <w:sz w:val="22"/>
                <w:szCs w:val="22"/>
              </w:rPr>
              <w:t>X</w:t>
            </w:r>
          </w:p>
        </w:tc>
        <w:tc>
          <w:tcPr>
            <w:tcW w:w="7897" w:type="dxa"/>
          </w:tcPr>
          <w:p w14:paraId="52B61535" w14:textId="77777777" w:rsidR="00467333" w:rsidRPr="00606C6A" w:rsidRDefault="00467333" w:rsidP="00C507C8">
            <w:pPr>
              <w:rPr>
                <w:rFonts w:ascii="Garamond" w:hAnsi="Garamond"/>
                <w:sz w:val="22"/>
                <w:szCs w:val="22"/>
              </w:rPr>
            </w:pPr>
            <w:r w:rsidRPr="00606C6A">
              <w:rPr>
                <w:rFonts w:ascii="Garamond" w:hAnsi="Garamond"/>
                <w:sz w:val="22"/>
                <w:szCs w:val="22"/>
              </w:rPr>
              <w:t>7c.  Has government action lowered property values by more than 30% and necessitated the physical taking of adjacent property or property across a public way from the property in question?</w:t>
            </w:r>
          </w:p>
        </w:tc>
      </w:tr>
      <w:tr w:rsidR="00467333" w:rsidRPr="00606C6A" w14:paraId="3FD13B05" w14:textId="77777777" w:rsidTr="00EE400E">
        <w:tc>
          <w:tcPr>
            <w:tcW w:w="738" w:type="dxa"/>
          </w:tcPr>
          <w:p w14:paraId="13205069" w14:textId="77777777" w:rsidR="00467333" w:rsidRPr="00606C6A" w:rsidRDefault="00467333" w:rsidP="005570B4">
            <w:pPr>
              <w:jc w:val="center"/>
              <w:rPr>
                <w:rFonts w:ascii="Garamond" w:hAnsi="Garamond"/>
                <w:sz w:val="22"/>
                <w:szCs w:val="22"/>
              </w:rPr>
            </w:pPr>
          </w:p>
        </w:tc>
        <w:tc>
          <w:tcPr>
            <w:tcW w:w="720" w:type="dxa"/>
          </w:tcPr>
          <w:p w14:paraId="59B97521" w14:textId="77777777" w:rsidR="00467333" w:rsidRPr="00606C6A" w:rsidRDefault="00933A97" w:rsidP="005570B4">
            <w:pPr>
              <w:jc w:val="center"/>
              <w:rPr>
                <w:rFonts w:ascii="Garamond" w:hAnsi="Garamond"/>
                <w:sz w:val="22"/>
                <w:szCs w:val="22"/>
              </w:rPr>
            </w:pPr>
            <w:r w:rsidRPr="00606C6A">
              <w:rPr>
                <w:rFonts w:ascii="Garamond" w:hAnsi="Garamond"/>
                <w:sz w:val="22"/>
                <w:szCs w:val="22"/>
              </w:rPr>
              <w:t>X</w:t>
            </w:r>
          </w:p>
        </w:tc>
        <w:tc>
          <w:tcPr>
            <w:tcW w:w="7897" w:type="dxa"/>
          </w:tcPr>
          <w:p w14:paraId="3ACF5A8A" w14:textId="77777777" w:rsidR="00467333" w:rsidRPr="00606C6A" w:rsidRDefault="00467333" w:rsidP="00C507C8">
            <w:pPr>
              <w:rPr>
                <w:rFonts w:ascii="Garamond" w:hAnsi="Garamond"/>
                <w:sz w:val="22"/>
                <w:szCs w:val="22"/>
              </w:rPr>
            </w:pPr>
            <w:r w:rsidRPr="00606C6A">
              <w:rPr>
                <w:rFonts w:ascii="Garamond" w:hAnsi="Garamond"/>
                <w:sz w:val="22"/>
                <w:szCs w:val="22"/>
              </w:rPr>
              <w:t xml:space="preserve">Takings or damaging implications?  (Taking or damaging implications exist if YES is checked in response to question 1 </w:t>
            </w:r>
            <w:proofErr w:type="gramStart"/>
            <w:r w:rsidRPr="00606C6A">
              <w:rPr>
                <w:rFonts w:ascii="Garamond" w:hAnsi="Garamond"/>
                <w:sz w:val="22"/>
                <w:szCs w:val="22"/>
              </w:rPr>
              <w:t>and also</w:t>
            </w:r>
            <w:proofErr w:type="gramEnd"/>
            <w:r w:rsidRPr="00606C6A">
              <w:rPr>
                <w:rFonts w:ascii="Garamond" w:hAnsi="Garamond"/>
                <w:sz w:val="22"/>
                <w:szCs w:val="22"/>
              </w:rPr>
              <w:t xml:space="preserve"> to any one or more of the following questions</w:t>
            </w:r>
            <w:proofErr w:type="gramStart"/>
            <w:r w:rsidRPr="00606C6A">
              <w:rPr>
                <w:rFonts w:ascii="Garamond" w:hAnsi="Garamond"/>
                <w:sz w:val="22"/>
                <w:szCs w:val="22"/>
              </w:rPr>
              <w:t>:  2</w:t>
            </w:r>
            <w:proofErr w:type="gramEnd"/>
            <w:r w:rsidRPr="00606C6A">
              <w:rPr>
                <w:rFonts w:ascii="Garamond" w:hAnsi="Garamond"/>
                <w:sz w:val="22"/>
                <w:szCs w:val="22"/>
              </w:rPr>
              <w:t>, 3, 4, 6, 7a, 7b, 7c; or if NO is checked in response to questions 5a or 5b; the shaded areas)</w:t>
            </w:r>
          </w:p>
        </w:tc>
      </w:tr>
    </w:tbl>
    <w:p w14:paraId="58D21551" w14:textId="77777777" w:rsidR="00467333" w:rsidRPr="00E86689" w:rsidRDefault="00467333" w:rsidP="00606C6A">
      <w:pPr>
        <w:pStyle w:val="BodyTextIndent2"/>
        <w:spacing w:after="0" w:line="240" w:lineRule="auto"/>
        <w:ind w:left="0"/>
        <w:rPr>
          <w:rFonts w:ascii="Garamond" w:hAnsi="Garamond"/>
          <w:sz w:val="24"/>
          <w:szCs w:val="24"/>
        </w:rPr>
      </w:pPr>
    </w:p>
    <w:p w14:paraId="0E88B0DA" w14:textId="4FB05602" w:rsidR="00467333" w:rsidRPr="00606C6A" w:rsidRDefault="00467333" w:rsidP="00467333">
      <w:pPr>
        <w:pStyle w:val="BodyTextIndent2"/>
        <w:spacing w:after="0" w:line="240" w:lineRule="auto"/>
        <w:rPr>
          <w:rFonts w:ascii="Garamond" w:hAnsi="Garamond"/>
          <w:sz w:val="24"/>
          <w:szCs w:val="24"/>
        </w:rPr>
      </w:pPr>
      <w:r w:rsidRPr="00606C6A">
        <w:rPr>
          <w:rFonts w:ascii="Garamond" w:hAnsi="Garamond"/>
          <w:sz w:val="24"/>
          <w:szCs w:val="24"/>
        </w:rPr>
        <w:t xml:space="preserve">Based on this analysis, </w:t>
      </w:r>
      <w:r w:rsidR="00615FB0">
        <w:rPr>
          <w:rFonts w:ascii="Garamond" w:hAnsi="Garamond"/>
          <w:sz w:val="24"/>
          <w:szCs w:val="24"/>
        </w:rPr>
        <w:t>DEQ</w:t>
      </w:r>
      <w:r w:rsidRPr="00606C6A">
        <w:rPr>
          <w:rFonts w:ascii="Garamond" w:hAnsi="Garamond"/>
          <w:sz w:val="24"/>
          <w:szCs w:val="24"/>
        </w:rPr>
        <w:t xml:space="preserve"> determined there are no taking or damaging implications associated with this permit action.</w:t>
      </w:r>
    </w:p>
    <w:p w14:paraId="2CF5484E" w14:textId="77777777" w:rsidR="00633285" w:rsidRPr="00606C6A" w:rsidRDefault="00633285">
      <w:pPr>
        <w:rPr>
          <w:rFonts w:ascii="Garamond" w:hAnsi="Garamond"/>
          <w:sz w:val="24"/>
          <w:szCs w:val="24"/>
        </w:rPr>
      </w:pPr>
    </w:p>
    <w:p w14:paraId="58E39926" w14:textId="77777777" w:rsidR="00633285" w:rsidRPr="00606C6A" w:rsidRDefault="00633285">
      <w:pPr>
        <w:pStyle w:val="Heading2"/>
        <w:rPr>
          <w:rFonts w:ascii="Garamond" w:hAnsi="Garamond"/>
          <w:sz w:val="24"/>
          <w:szCs w:val="24"/>
        </w:rPr>
      </w:pPr>
      <w:bookmarkStart w:id="16" w:name="_Toc63146267"/>
      <w:bookmarkStart w:id="17" w:name="_Toc221798831"/>
      <w:r w:rsidRPr="00606C6A">
        <w:rPr>
          <w:rFonts w:ascii="Garamond" w:hAnsi="Garamond"/>
          <w:sz w:val="24"/>
          <w:szCs w:val="24"/>
        </w:rPr>
        <w:t>Compliance Designation</w:t>
      </w:r>
      <w:bookmarkEnd w:id="16"/>
      <w:bookmarkEnd w:id="17"/>
    </w:p>
    <w:p w14:paraId="2E772537" w14:textId="61667ACB" w:rsidR="00633285" w:rsidRPr="00606C6A" w:rsidRDefault="005C7E95" w:rsidP="005C7E95">
      <w:pPr>
        <w:ind w:left="360"/>
        <w:rPr>
          <w:rFonts w:ascii="Garamond" w:hAnsi="Garamond"/>
          <w:sz w:val="24"/>
          <w:szCs w:val="24"/>
        </w:rPr>
      </w:pPr>
      <w:r w:rsidRPr="00B6245D">
        <w:rPr>
          <w:rFonts w:ascii="Garamond" w:hAnsi="Garamond"/>
          <w:sz w:val="24"/>
          <w:szCs w:val="24"/>
        </w:rPr>
        <w:t xml:space="preserve">GSM was reviewed for </w:t>
      </w:r>
      <w:r w:rsidR="005D7E00" w:rsidRPr="00B6245D">
        <w:rPr>
          <w:rFonts w:ascii="Garamond" w:hAnsi="Garamond"/>
          <w:sz w:val="24"/>
          <w:szCs w:val="24"/>
        </w:rPr>
        <w:t>compliance with MAQP #1689-</w:t>
      </w:r>
      <w:r w:rsidR="00B6245D" w:rsidRPr="00B6245D">
        <w:rPr>
          <w:rFonts w:ascii="Garamond" w:hAnsi="Garamond"/>
          <w:sz w:val="24"/>
          <w:szCs w:val="24"/>
        </w:rPr>
        <w:t>10</w:t>
      </w:r>
      <w:r w:rsidR="00B41586" w:rsidRPr="00B6245D">
        <w:rPr>
          <w:rFonts w:ascii="Garamond" w:hAnsi="Garamond"/>
          <w:sz w:val="24"/>
          <w:szCs w:val="24"/>
        </w:rPr>
        <w:t xml:space="preserve"> and OP #1689-0</w:t>
      </w:r>
      <w:r w:rsidR="00B6245D" w:rsidRPr="00B6245D">
        <w:rPr>
          <w:rFonts w:ascii="Garamond" w:hAnsi="Garamond"/>
          <w:sz w:val="24"/>
          <w:szCs w:val="24"/>
        </w:rPr>
        <w:t>2</w:t>
      </w:r>
      <w:r w:rsidRPr="00B6245D">
        <w:rPr>
          <w:rFonts w:ascii="Garamond" w:hAnsi="Garamond"/>
          <w:sz w:val="24"/>
          <w:szCs w:val="24"/>
        </w:rPr>
        <w:t xml:space="preserve"> on </w:t>
      </w:r>
      <w:r w:rsidR="00B6245D" w:rsidRPr="00B6245D">
        <w:rPr>
          <w:rFonts w:ascii="Garamond" w:hAnsi="Garamond"/>
          <w:sz w:val="24"/>
          <w:szCs w:val="24"/>
        </w:rPr>
        <w:t>September 24</w:t>
      </w:r>
      <w:r w:rsidR="00AC487A" w:rsidRPr="00B6245D">
        <w:rPr>
          <w:rFonts w:ascii="Garamond" w:hAnsi="Garamond"/>
          <w:sz w:val="24"/>
          <w:szCs w:val="24"/>
        </w:rPr>
        <w:t>, 202</w:t>
      </w:r>
      <w:r w:rsidR="00B6245D" w:rsidRPr="00B6245D">
        <w:rPr>
          <w:rFonts w:ascii="Garamond" w:hAnsi="Garamond"/>
          <w:sz w:val="24"/>
          <w:szCs w:val="24"/>
        </w:rPr>
        <w:t>4</w:t>
      </w:r>
      <w:r w:rsidR="00B41586" w:rsidRPr="00B6245D">
        <w:rPr>
          <w:rFonts w:ascii="Garamond" w:hAnsi="Garamond"/>
          <w:sz w:val="24"/>
          <w:szCs w:val="24"/>
        </w:rPr>
        <w:t>,</w:t>
      </w:r>
      <w:r w:rsidRPr="00B6245D">
        <w:rPr>
          <w:rFonts w:ascii="Garamond" w:hAnsi="Garamond"/>
          <w:sz w:val="24"/>
          <w:szCs w:val="24"/>
        </w:rPr>
        <w:t xml:space="preserve"> and found to </w:t>
      </w:r>
      <w:proofErr w:type="gramStart"/>
      <w:r w:rsidRPr="00B6245D">
        <w:rPr>
          <w:rFonts w:ascii="Garamond" w:hAnsi="Garamond"/>
          <w:sz w:val="24"/>
          <w:szCs w:val="24"/>
        </w:rPr>
        <w:t>be in compliance with</w:t>
      </w:r>
      <w:proofErr w:type="gramEnd"/>
      <w:r w:rsidRPr="00B6245D">
        <w:rPr>
          <w:rFonts w:ascii="Garamond" w:hAnsi="Garamond"/>
          <w:sz w:val="24"/>
          <w:szCs w:val="24"/>
        </w:rPr>
        <w:t xml:space="preserve"> all requirements of </w:t>
      </w:r>
      <w:r w:rsidR="00B41586" w:rsidRPr="00B6245D">
        <w:rPr>
          <w:rFonts w:ascii="Garamond" w:hAnsi="Garamond"/>
          <w:sz w:val="24"/>
          <w:szCs w:val="24"/>
        </w:rPr>
        <w:t xml:space="preserve">both </w:t>
      </w:r>
      <w:r w:rsidRPr="00B6245D">
        <w:rPr>
          <w:rFonts w:ascii="Garamond" w:hAnsi="Garamond"/>
          <w:sz w:val="24"/>
          <w:szCs w:val="24"/>
        </w:rPr>
        <w:t>permit</w:t>
      </w:r>
      <w:r w:rsidR="00B41586" w:rsidRPr="00B6245D">
        <w:rPr>
          <w:rFonts w:ascii="Garamond" w:hAnsi="Garamond"/>
          <w:sz w:val="24"/>
          <w:szCs w:val="24"/>
        </w:rPr>
        <w:t>s</w:t>
      </w:r>
      <w:r w:rsidRPr="00B6245D">
        <w:rPr>
          <w:rFonts w:ascii="Garamond" w:hAnsi="Garamond"/>
          <w:sz w:val="24"/>
          <w:szCs w:val="24"/>
        </w:rPr>
        <w:t xml:space="preserve">.  </w:t>
      </w:r>
      <w:r w:rsidR="00B41586" w:rsidRPr="00B6245D">
        <w:rPr>
          <w:rFonts w:ascii="Garamond" w:hAnsi="Garamond"/>
          <w:sz w:val="24"/>
          <w:szCs w:val="24"/>
        </w:rPr>
        <w:t xml:space="preserve">The compliance evaluation was for the period </w:t>
      </w:r>
      <w:r w:rsidR="00F779D5" w:rsidRPr="00B6245D">
        <w:rPr>
          <w:rFonts w:ascii="Garamond" w:hAnsi="Garamond"/>
          <w:sz w:val="24"/>
          <w:szCs w:val="24"/>
        </w:rPr>
        <w:t xml:space="preserve">from </w:t>
      </w:r>
      <w:r w:rsidR="00010B1C">
        <w:rPr>
          <w:rFonts w:ascii="Garamond" w:hAnsi="Garamond"/>
          <w:sz w:val="24"/>
          <w:szCs w:val="24"/>
        </w:rPr>
        <w:t>September 27</w:t>
      </w:r>
      <w:r w:rsidR="00B6245D" w:rsidRPr="00B6245D">
        <w:rPr>
          <w:rFonts w:ascii="Garamond" w:hAnsi="Garamond"/>
          <w:sz w:val="24"/>
          <w:szCs w:val="24"/>
        </w:rPr>
        <w:t>, 2022</w:t>
      </w:r>
      <w:r w:rsidR="00C07B57" w:rsidRPr="00B6245D">
        <w:rPr>
          <w:rFonts w:ascii="Garamond" w:hAnsi="Garamond"/>
          <w:sz w:val="24"/>
          <w:szCs w:val="24"/>
        </w:rPr>
        <w:t>,</w:t>
      </w:r>
      <w:r w:rsidR="00F779D5" w:rsidRPr="00B6245D">
        <w:rPr>
          <w:rFonts w:ascii="Garamond" w:hAnsi="Garamond"/>
          <w:sz w:val="24"/>
          <w:szCs w:val="24"/>
        </w:rPr>
        <w:t xml:space="preserve"> through</w:t>
      </w:r>
      <w:r w:rsidR="00B6245D" w:rsidRPr="00B6245D">
        <w:rPr>
          <w:rFonts w:ascii="Garamond" w:hAnsi="Garamond"/>
          <w:sz w:val="24"/>
          <w:szCs w:val="24"/>
        </w:rPr>
        <w:t xml:space="preserve"> September 24, 2024</w:t>
      </w:r>
      <w:r w:rsidR="00F779D5" w:rsidRPr="00B6245D">
        <w:rPr>
          <w:rFonts w:ascii="Garamond" w:hAnsi="Garamond"/>
          <w:sz w:val="24"/>
          <w:szCs w:val="24"/>
        </w:rPr>
        <w:t>.</w:t>
      </w:r>
    </w:p>
    <w:p w14:paraId="2BDB83BA" w14:textId="77777777" w:rsidR="00633285" w:rsidRPr="00606C6A" w:rsidRDefault="00633285">
      <w:pPr>
        <w:rPr>
          <w:rFonts w:ascii="Garamond" w:hAnsi="Garamond"/>
          <w:sz w:val="24"/>
          <w:szCs w:val="24"/>
        </w:rPr>
      </w:pPr>
    </w:p>
    <w:p w14:paraId="1F593AC2" w14:textId="77777777" w:rsidR="00633285" w:rsidRPr="00C84BDB" w:rsidRDefault="00633285">
      <w:pPr>
        <w:pStyle w:val="Heading1"/>
        <w:rPr>
          <w:sz w:val="21"/>
        </w:rPr>
        <w:sectPr w:rsidR="00633285" w:rsidRPr="00C84BDB" w:rsidSect="002772C0">
          <w:pgSz w:w="12240" w:h="15840" w:code="1"/>
          <w:pgMar w:top="1152" w:right="1440" w:bottom="1008" w:left="1440" w:header="576" w:footer="432" w:gutter="0"/>
          <w:pgNumType w:start="1"/>
          <w:cols w:space="720"/>
          <w:docGrid w:linePitch="272"/>
        </w:sectPr>
      </w:pPr>
    </w:p>
    <w:p w14:paraId="3D2FE331" w14:textId="77777777" w:rsidR="00633285" w:rsidRPr="00606C6A" w:rsidRDefault="00565079">
      <w:pPr>
        <w:pStyle w:val="Heading1"/>
        <w:rPr>
          <w:sz w:val="24"/>
          <w:szCs w:val="24"/>
        </w:rPr>
      </w:pPr>
      <w:r>
        <w:rPr>
          <w:sz w:val="24"/>
          <w:szCs w:val="24"/>
        </w:rPr>
        <w:lastRenderedPageBreak/>
        <w:t xml:space="preserve">   </w:t>
      </w:r>
      <w:bookmarkStart w:id="18" w:name="_Toc63146268"/>
      <w:bookmarkStart w:id="19" w:name="_Toc221798832"/>
      <w:r w:rsidR="00633285" w:rsidRPr="00606C6A">
        <w:rPr>
          <w:sz w:val="24"/>
          <w:szCs w:val="24"/>
        </w:rPr>
        <w:t>SUMMARY OF EMISSIONS UNITS</w:t>
      </w:r>
      <w:bookmarkEnd w:id="18"/>
      <w:bookmarkEnd w:id="19"/>
    </w:p>
    <w:p w14:paraId="712BA9E9" w14:textId="77777777" w:rsidR="00633285" w:rsidRPr="00606C6A" w:rsidRDefault="00633285" w:rsidP="00606C6A">
      <w:pPr>
        <w:rPr>
          <w:rFonts w:ascii="Garamond" w:hAnsi="Garamond"/>
          <w:sz w:val="24"/>
          <w:szCs w:val="24"/>
        </w:rPr>
      </w:pPr>
    </w:p>
    <w:p w14:paraId="33224B0D" w14:textId="77777777" w:rsidR="00633285" w:rsidRDefault="00633285" w:rsidP="007F6D0E">
      <w:pPr>
        <w:pStyle w:val="Heading2"/>
        <w:numPr>
          <w:ilvl w:val="0"/>
          <w:numId w:val="21"/>
        </w:numPr>
        <w:spacing w:before="0" w:beforeAutospacing="0" w:after="0" w:afterAutospacing="0"/>
        <w:rPr>
          <w:rFonts w:ascii="Garamond" w:hAnsi="Garamond"/>
          <w:sz w:val="24"/>
          <w:szCs w:val="24"/>
        </w:rPr>
      </w:pPr>
      <w:bookmarkStart w:id="20" w:name="_Toc63146269"/>
      <w:bookmarkStart w:id="21" w:name="_Toc221798833"/>
      <w:r w:rsidRPr="00606C6A">
        <w:rPr>
          <w:rFonts w:ascii="Garamond" w:hAnsi="Garamond"/>
          <w:sz w:val="24"/>
          <w:szCs w:val="24"/>
        </w:rPr>
        <w:t>Facility Process Description</w:t>
      </w:r>
      <w:bookmarkEnd w:id="20"/>
      <w:bookmarkEnd w:id="21"/>
    </w:p>
    <w:p w14:paraId="45A611DB" w14:textId="77777777" w:rsidR="007F6D0E" w:rsidRPr="007F6D0E" w:rsidRDefault="007F6D0E" w:rsidP="007F6D0E">
      <w:pPr>
        <w:rPr>
          <w:rFonts w:ascii="Garamond" w:hAnsi="Garamond"/>
          <w:sz w:val="24"/>
          <w:szCs w:val="24"/>
        </w:rPr>
      </w:pPr>
    </w:p>
    <w:p w14:paraId="0F07DA20" w14:textId="77777777" w:rsidR="0063761C" w:rsidRPr="00606C6A" w:rsidRDefault="00AA60C1" w:rsidP="007F6D0E">
      <w:pPr>
        <w:ind w:left="360"/>
        <w:rPr>
          <w:rFonts w:ascii="Garamond" w:hAnsi="Garamond"/>
          <w:sz w:val="24"/>
          <w:szCs w:val="24"/>
        </w:rPr>
      </w:pPr>
      <w:r w:rsidRPr="00606C6A">
        <w:rPr>
          <w:rFonts w:ascii="Garamond" w:hAnsi="Garamond"/>
          <w:sz w:val="24"/>
          <w:szCs w:val="24"/>
        </w:rPr>
        <w:t>GSM operates an open pit gold mine and ore processing facility for the beneficiation of gold bearing ore.</w:t>
      </w:r>
      <w:r w:rsidR="0066759F">
        <w:rPr>
          <w:rFonts w:ascii="Garamond" w:hAnsi="Garamond"/>
          <w:sz w:val="24"/>
          <w:szCs w:val="24"/>
        </w:rPr>
        <w:t xml:space="preserve"> </w:t>
      </w:r>
      <w:r w:rsidRPr="00606C6A">
        <w:rPr>
          <w:rFonts w:ascii="Garamond" w:hAnsi="Garamond"/>
          <w:sz w:val="24"/>
          <w:szCs w:val="24"/>
        </w:rPr>
        <w:t xml:space="preserve"> Ore is extracted from the mine using conventional open pit mining methods involving drilling, blasting, loading and hauling. </w:t>
      </w:r>
      <w:r w:rsidR="00987588">
        <w:rPr>
          <w:rFonts w:ascii="Garamond" w:hAnsi="Garamond"/>
          <w:sz w:val="24"/>
          <w:szCs w:val="24"/>
        </w:rPr>
        <w:t xml:space="preserve"> </w:t>
      </w:r>
      <w:r w:rsidRPr="00606C6A">
        <w:rPr>
          <w:rFonts w:ascii="Garamond" w:hAnsi="Garamond"/>
          <w:sz w:val="24"/>
          <w:szCs w:val="24"/>
        </w:rPr>
        <w:t xml:space="preserve">The ore is delivered to the mill crushing area where it undergoes 3 stages of crushing, using gyratory and cone crushers followed by wet grinding in rod and ball mills. </w:t>
      </w:r>
      <w:r w:rsidR="00987588">
        <w:rPr>
          <w:rFonts w:ascii="Garamond" w:hAnsi="Garamond"/>
          <w:sz w:val="24"/>
          <w:szCs w:val="24"/>
        </w:rPr>
        <w:t xml:space="preserve"> </w:t>
      </w:r>
      <w:r w:rsidRPr="00606C6A">
        <w:rPr>
          <w:rFonts w:ascii="Garamond" w:hAnsi="Garamond"/>
          <w:sz w:val="24"/>
          <w:szCs w:val="24"/>
        </w:rPr>
        <w:t xml:space="preserve">The ore passes through a leaching process where ore slurry is contacted with dilute sodium cyanide solution to obtain the optimum extraction of gold. </w:t>
      </w:r>
      <w:r w:rsidR="0066759F">
        <w:rPr>
          <w:rFonts w:ascii="Garamond" w:hAnsi="Garamond"/>
          <w:sz w:val="24"/>
          <w:szCs w:val="24"/>
        </w:rPr>
        <w:t xml:space="preserve"> </w:t>
      </w:r>
      <w:r w:rsidRPr="00606C6A">
        <w:rPr>
          <w:rFonts w:ascii="Garamond" w:hAnsi="Garamond"/>
          <w:sz w:val="24"/>
          <w:szCs w:val="24"/>
        </w:rPr>
        <w:t xml:space="preserve">The resulting gold bearing solution is sent through a washing circuit. </w:t>
      </w:r>
      <w:r w:rsidR="0066759F">
        <w:rPr>
          <w:rFonts w:ascii="Garamond" w:hAnsi="Garamond"/>
          <w:sz w:val="24"/>
          <w:szCs w:val="24"/>
        </w:rPr>
        <w:t xml:space="preserve"> </w:t>
      </w:r>
    </w:p>
    <w:p w14:paraId="3B47AFC1" w14:textId="77777777" w:rsidR="0063761C" w:rsidRPr="00606C6A" w:rsidRDefault="0063761C" w:rsidP="00DA3542">
      <w:pPr>
        <w:rPr>
          <w:rFonts w:ascii="Garamond" w:hAnsi="Garamond"/>
          <w:sz w:val="24"/>
          <w:szCs w:val="24"/>
        </w:rPr>
      </w:pPr>
    </w:p>
    <w:p w14:paraId="482E4672" w14:textId="77777777" w:rsidR="00633285" w:rsidRDefault="00633285" w:rsidP="007F6D0E">
      <w:pPr>
        <w:pStyle w:val="Heading2"/>
        <w:spacing w:before="0" w:beforeAutospacing="0" w:after="0" w:afterAutospacing="0"/>
        <w:rPr>
          <w:rFonts w:ascii="Garamond" w:hAnsi="Garamond"/>
          <w:sz w:val="24"/>
          <w:szCs w:val="24"/>
        </w:rPr>
      </w:pPr>
      <w:bookmarkStart w:id="22" w:name="_Toc63146270"/>
      <w:bookmarkStart w:id="23" w:name="_Toc221798834"/>
      <w:r w:rsidRPr="00606C6A">
        <w:rPr>
          <w:rFonts w:ascii="Garamond" w:hAnsi="Garamond"/>
          <w:sz w:val="24"/>
          <w:szCs w:val="24"/>
        </w:rPr>
        <w:t>Emissions Units and Pollution Control Device Identification</w:t>
      </w:r>
      <w:bookmarkEnd w:id="22"/>
      <w:bookmarkEnd w:id="23"/>
    </w:p>
    <w:p w14:paraId="32515A42" w14:textId="77777777" w:rsidR="00C96768" w:rsidRPr="00C96768" w:rsidRDefault="00C96768" w:rsidP="00C96768"/>
    <w:tbl>
      <w:tblPr>
        <w:tblW w:w="9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58"/>
        <w:gridCol w:w="4647"/>
        <w:gridCol w:w="3240"/>
      </w:tblGrid>
      <w:tr w:rsidR="00C230A2" w:rsidRPr="00606C6A" w14:paraId="48C7D0E0" w14:textId="77777777" w:rsidTr="00EE400E">
        <w:tc>
          <w:tcPr>
            <w:tcW w:w="1458" w:type="dxa"/>
            <w:tcBorders>
              <w:bottom w:val="single" w:sz="12" w:space="0" w:color="000000"/>
            </w:tcBorders>
          </w:tcPr>
          <w:p w14:paraId="76005D75" w14:textId="77777777" w:rsidR="00C230A2" w:rsidRPr="00606C6A" w:rsidRDefault="00C230A2" w:rsidP="00142902">
            <w:pPr>
              <w:jc w:val="center"/>
              <w:rPr>
                <w:rFonts w:ascii="Garamond" w:hAnsi="Garamond"/>
                <w:b/>
                <w:sz w:val="22"/>
                <w:szCs w:val="22"/>
              </w:rPr>
            </w:pPr>
            <w:r w:rsidRPr="00606C6A">
              <w:rPr>
                <w:rFonts w:ascii="Garamond" w:hAnsi="Garamond"/>
                <w:b/>
                <w:sz w:val="22"/>
                <w:szCs w:val="22"/>
              </w:rPr>
              <w:t>Emissions Unit ID</w:t>
            </w:r>
          </w:p>
        </w:tc>
        <w:tc>
          <w:tcPr>
            <w:tcW w:w="4647" w:type="dxa"/>
            <w:tcBorders>
              <w:bottom w:val="single" w:sz="12" w:space="0" w:color="000000"/>
            </w:tcBorders>
          </w:tcPr>
          <w:p w14:paraId="070E3649" w14:textId="77777777" w:rsidR="00C230A2" w:rsidRPr="00606C6A" w:rsidRDefault="00C230A2" w:rsidP="00142902">
            <w:pPr>
              <w:jc w:val="center"/>
              <w:rPr>
                <w:rFonts w:ascii="Garamond" w:hAnsi="Garamond"/>
                <w:b/>
                <w:sz w:val="22"/>
                <w:szCs w:val="22"/>
              </w:rPr>
            </w:pPr>
            <w:r w:rsidRPr="00606C6A">
              <w:rPr>
                <w:rFonts w:ascii="Garamond" w:hAnsi="Garamond"/>
                <w:b/>
                <w:sz w:val="22"/>
                <w:szCs w:val="22"/>
              </w:rPr>
              <w:t>Description</w:t>
            </w:r>
          </w:p>
        </w:tc>
        <w:tc>
          <w:tcPr>
            <w:tcW w:w="3240" w:type="dxa"/>
            <w:tcBorders>
              <w:bottom w:val="single" w:sz="12" w:space="0" w:color="000000"/>
            </w:tcBorders>
          </w:tcPr>
          <w:p w14:paraId="47454DD5" w14:textId="77777777" w:rsidR="00C230A2" w:rsidRPr="00606C6A" w:rsidRDefault="00C230A2" w:rsidP="00142902">
            <w:pPr>
              <w:jc w:val="center"/>
              <w:rPr>
                <w:rFonts w:ascii="Garamond" w:hAnsi="Garamond"/>
                <w:b/>
                <w:sz w:val="22"/>
                <w:szCs w:val="22"/>
              </w:rPr>
            </w:pPr>
            <w:r w:rsidRPr="00606C6A">
              <w:rPr>
                <w:rFonts w:ascii="Garamond" w:hAnsi="Garamond"/>
                <w:b/>
                <w:sz w:val="22"/>
                <w:szCs w:val="22"/>
              </w:rPr>
              <w:t>Pollution Control Device/Practice</w:t>
            </w:r>
          </w:p>
        </w:tc>
      </w:tr>
      <w:tr w:rsidR="00C230A2" w:rsidRPr="00606C6A" w14:paraId="7E609D4B" w14:textId="77777777" w:rsidTr="00EE400E">
        <w:tc>
          <w:tcPr>
            <w:tcW w:w="1458" w:type="dxa"/>
            <w:tcBorders>
              <w:top w:val="nil"/>
            </w:tcBorders>
          </w:tcPr>
          <w:p w14:paraId="34A4FBD1" w14:textId="77777777" w:rsidR="00C230A2" w:rsidRPr="00606C6A" w:rsidRDefault="00C230A2" w:rsidP="00142902">
            <w:pPr>
              <w:rPr>
                <w:rFonts w:ascii="Garamond" w:hAnsi="Garamond"/>
                <w:sz w:val="22"/>
                <w:szCs w:val="22"/>
              </w:rPr>
            </w:pPr>
            <w:r w:rsidRPr="00606C6A">
              <w:rPr>
                <w:rFonts w:ascii="Garamond" w:hAnsi="Garamond"/>
                <w:sz w:val="22"/>
                <w:szCs w:val="22"/>
              </w:rPr>
              <w:t>EU001</w:t>
            </w:r>
          </w:p>
        </w:tc>
        <w:tc>
          <w:tcPr>
            <w:tcW w:w="4647" w:type="dxa"/>
            <w:tcBorders>
              <w:top w:val="nil"/>
            </w:tcBorders>
          </w:tcPr>
          <w:p w14:paraId="385D3D9E" w14:textId="77777777" w:rsidR="00C230A2" w:rsidRPr="00606C6A" w:rsidRDefault="00C230A2" w:rsidP="00142902">
            <w:pPr>
              <w:rPr>
                <w:rFonts w:ascii="Garamond" w:hAnsi="Garamond"/>
                <w:sz w:val="22"/>
                <w:szCs w:val="22"/>
              </w:rPr>
            </w:pPr>
            <w:r w:rsidRPr="00606C6A">
              <w:rPr>
                <w:rFonts w:ascii="Garamond" w:hAnsi="Garamond"/>
                <w:sz w:val="22"/>
                <w:szCs w:val="22"/>
              </w:rPr>
              <w:t>Carbon Reactivation Kiln</w:t>
            </w:r>
          </w:p>
        </w:tc>
        <w:tc>
          <w:tcPr>
            <w:tcW w:w="3240" w:type="dxa"/>
            <w:tcBorders>
              <w:top w:val="nil"/>
            </w:tcBorders>
          </w:tcPr>
          <w:p w14:paraId="6C11B52E" w14:textId="33847892" w:rsidR="00C230A2" w:rsidRPr="00606C6A" w:rsidRDefault="00010B1C" w:rsidP="00550F32">
            <w:pPr>
              <w:rPr>
                <w:rFonts w:ascii="Garamond" w:hAnsi="Garamond"/>
                <w:sz w:val="22"/>
                <w:szCs w:val="22"/>
              </w:rPr>
            </w:pPr>
            <w:r>
              <w:rPr>
                <w:rFonts w:ascii="Garamond" w:hAnsi="Garamond"/>
                <w:sz w:val="22"/>
                <w:szCs w:val="22"/>
              </w:rPr>
              <w:t>Enclosure and high moisture ore</w:t>
            </w:r>
          </w:p>
        </w:tc>
      </w:tr>
      <w:tr w:rsidR="00C230A2" w:rsidRPr="00606C6A" w14:paraId="46429331" w14:textId="77777777" w:rsidTr="00EE400E">
        <w:tc>
          <w:tcPr>
            <w:tcW w:w="1458" w:type="dxa"/>
          </w:tcPr>
          <w:p w14:paraId="5B7F428D" w14:textId="77777777" w:rsidR="00C230A2" w:rsidRPr="00606C6A" w:rsidRDefault="00C230A2" w:rsidP="00142902">
            <w:pPr>
              <w:rPr>
                <w:rFonts w:ascii="Garamond" w:hAnsi="Garamond"/>
                <w:sz w:val="22"/>
                <w:szCs w:val="22"/>
              </w:rPr>
            </w:pPr>
            <w:r w:rsidRPr="00606C6A">
              <w:rPr>
                <w:rFonts w:ascii="Garamond" w:hAnsi="Garamond"/>
                <w:sz w:val="22"/>
                <w:szCs w:val="22"/>
              </w:rPr>
              <w:t>EU002</w:t>
            </w:r>
          </w:p>
        </w:tc>
        <w:tc>
          <w:tcPr>
            <w:tcW w:w="4647" w:type="dxa"/>
          </w:tcPr>
          <w:p w14:paraId="3C290240" w14:textId="77777777" w:rsidR="00C230A2" w:rsidRPr="00606C6A" w:rsidRDefault="00C230A2" w:rsidP="00142902">
            <w:pPr>
              <w:rPr>
                <w:rFonts w:ascii="Garamond" w:hAnsi="Garamond"/>
                <w:sz w:val="22"/>
                <w:szCs w:val="22"/>
              </w:rPr>
            </w:pPr>
            <w:r w:rsidRPr="00606C6A">
              <w:rPr>
                <w:rFonts w:ascii="Garamond" w:hAnsi="Garamond"/>
                <w:sz w:val="22"/>
                <w:szCs w:val="22"/>
              </w:rPr>
              <w:t>Electrowinning Cells</w:t>
            </w:r>
          </w:p>
        </w:tc>
        <w:tc>
          <w:tcPr>
            <w:tcW w:w="3240" w:type="dxa"/>
          </w:tcPr>
          <w:p w14:paraId="0C4821BA" w14:textId="77777777" w:rsidR="00C230A2" w:rsidRPr="00606C6A" w:rsidRDefault="00C230A2" w:rsidP="00142902">
            <w:pPr>
              <w:rPr>
                <w:rFonts w:ascii="Garamond" w:hAnsi="Garamond"/>
                <w:sz w:val="22"/>
                <w:szCs w:val="22"/>
              </w:rPr>
            </w:pPr>
            <w:r w:rsidRPr="00606C6A">
              <w:rPr>
                <w:rFonts w:ascii="Garamond" w:hAnsi="Garamond"/>
                <w:sz w:val="22"/>
                <w:szCs w:val="22"/>
              </w:rPr>
              <w:t>None</w:t>
            </w:r>
          </w:p>
        </w:tc>
      </w:tr>
      <w:tr w:rsidR="00C230A2" w:rsidRPr="00606C6A" w14:paraId="02842913" w14:textId="77777777" w:rsidTr="00EE400E">
        <w:tc>
          <w:tcPr>
            <w:tcW w:w="1458" w:type="dxa"/>
          </w:tcPr>
          <w:p w14:paraId="0315A89B" w14:textId="77777777" w:rsidR="00C230A2" w:rsidRPr="00606C6A" w:rsidRDefault="00C230A2" w:rsidP="00142902">
            <w:pPr>
              <w:rPr>
                <w:rFonts w:ascii="Garamond" w:hAnsi="Garamond"/>
                <w:sz w:val="22"/>
                <w:szCs w:val="22"/>
              </w:rPr>
            </w:pPr>
            <w:r w:rsidRPr="00606C6A">
              <w:rPr>
                <w:rFonts w:ascii="Garamond" w:hAnsi="Garamond"/>
                <w:sz w:val="22"/>
                <w:szCs w:val="22"/>
              </w:rPr>
              <w:t>EU003</w:t>
            </w:r>
          </w:p>
        </w:tc>
        <w:tc>
          <w:tcPr>
            <w:tcW w:w="4647" w:type="dxa"/>
          </w:tcPr>
          <w:p w14:paraId="70F1E1B3" w14:textId="77777777" w:rsidR="00C230A2" w:rsidRPr="00606C6A" w:rsidRDefault="00C230A2" w:rsidP="00142902">
            <w:pPr>
              <w:rPr>
                <w:rFonts w:ascii="Garamond" w:hAnsi="Garamond"/>
                <w:sz w:val="22"/>
                <w:szCs w:val="22"/>
              </w:rPr>
            </w:pPr>
            <w:r w:rsidRPr="00606C6A">
              <w:rPr>
                <w:rFonts w:ascii="Garamond" w:hAnsi="Garamond"/>
                <w:sz w:val="22"/>
                <w:szCs w:val="22"/>
              </w:rPr>
              <w:t>Refinery Furnace</w:t>
            </w:r>
          </w:p>
        </w:tc>
        <w:tc>
          <w:tcPr>
            <w:tcW w:w="3240" w:type="dxa"/>
          </w:tcPr>
          <w:p w14:paraId="0A6C945B" w14:textId="77777777" w:rsidR="00C230A2" w:rsidRPr="00606C6A" w:rsidRDefault="00C230A2" w:rsidP="00142902">
            <w:pPr>
              <w:rPr>
                <w:rFonts w:ascii="Garamond" w:hAnsi="Garamond"/>
                <w:sz w:val="22"/>
                <w:szCs w:val="22"/>
              </w:rPr>
            </w:pPr>
            <w:r w:rsidRPr="00606C6A">
              <w:rPr>
                <w:rFonts w:ascii="Garamond" w:hAnsi="Garamond"/>
                <w:sz w:val="22"/>
                <w:szCs w:val="22"/>
              </w:rPr>
              <w:t>Wet Scrubber #3</w:t>
            </w:r>
          </w:p>
        </w:tc>
      </w:tr>
      <w:tr w:rsidR="00C230A2" w:rsidRPr="00606C6A" w14:paraId="5090D036" w14:textId="77777777" w:rsidTr="00EE400E">
        <w:tc>
          <w:tcPr>
            <w:tcW w:w="1458" w:type="dxa"/>
          </w:tcPr>
          <w:p w14:paraId="184E660F" w14:textId="77777777" w:rsidR="00C230A2" w:rsidRPr="00606C6A" w:rsidRDefault="00C230A2" w:rsidP="00142902">
            <w:pPr>
              <w:rPr>
                <w:rFonts w:ascii="Garamond" w:hAnsi="Garamond"/>
                <w:sz w:val="22"/>
                <w:szCs w:val="22"/>
              </w:rPr>
            </w:pPr>
            <w:r w:rsidRPr="00606C6A">
              <w:rPr>
                <w:rFonts w:ascii="Garamond" w:hAnsi="Garamond"/>
                <w:sz w:val="22"/>
                <w:szCs w:val="22"/>
              </w:rPr>
              <w:t>EU007</w:t>
            </w:r>
          </w:p>
        </w:tc>
        <w:tc>
          <w:tcPr>
            <w:tcW w:w="4647" w:type="dxa"/>
          </w:tcPr>
          <w:p w14:paraId="12AE0BB8" w14:textId="77777777" w:rsidR="00C230A2" w:rsidRPr="00606C6A" w:rsidRDefault="00C230A2" w:rsidP="00142902">
            <w:pPr>
              <w:rPr>
                <w:rFonts w:ascii="Garamond" w:hAnsi="Garamond"/>
                <w:sz w:val="22"/>
                <w:szCs w:val="22"/>
              </w:rPr>
            </w:pPr>
            <w:r w:rsidRPr="00606C6A">
              <w:rPr>
                <w:rFonts w:ascii="Garamond" w:hAnsi="Garamond"/>
                <w:sz w:val="22"/>
                <w:szCs w:val="22"/>
              </w:rPr>
              <w:t>Fine Ore Mill Process including Belt 10</w:t>
            </w:r>
          </w:p>
        </w:tc>
        <w:tc>
          <w:tcPr>
            <w:tcW w:w="3240" w:type="dxa"/>
          </w:tcPr>
          <w:p w14:paraId="3A044326" w14:textId="16E7F642" w:rsidR="00C230A2" w:rsidRPr="00606C6A" w:rsidRDefault="00195CB7" w:rsidP="00142902">
            <w:pPr>
              <w:rPr>
                <w:rFonts w:ascii="Garamond" w:hAnsi="Garamond"/>
                <w:sz w:val="22"/>
                <w:szCs w:val="22"/>
              </w:rPr>
            </w:pPr>
            <w:r w:rsidRPr="00195CB7">
              <w:rPr>
                <w:rFonts w:ascii="Garamond" w:hAnsi="Garamond"/>
                <w:sz w:val="22"/>
                <w:szCs w:val="22"/>
              </w:rPr>
              <w:t>Enclosure and High Moisture Ore</w:t>
            </w:r>
          </w:p>
        </w:tc>
      </w:tr>
      <w:tr w:rsidR="00C230A2" w:rsidRPr="00606C6A" w14:paraId="725EC5A1" w14:textId="77777777" w:rsidTr="00EE400E">
        <w:tc>
          <w:tcPr>
            <w:tcW w:w="1458" w:type="dxa"/>
          </w:tcPr>
          <w:p w14:paraId="5E90856D" w14:textId="77777777" w:rsidR="00C230A2" w:rsidRPr="00606C6A" w:rsidRDefault="00C230A2" w:rsidP="00142902">
            <w:pPr>
              <w:rPr>
                <w:rFonts w:ascii="Garamond" w:hAnsi="Garamond"/>
                <w:sz w:val="22"/>
                <w:szCs w:val="22"/>
              </w:rPr>
            </w:pPr>
            <w:r w:rsidRPr="00606C6A">
              <w:rPr>
                <w:rFonts w:ascii="Garamond" w:hAnsi="Garamond"/>
                <w:sz w:val="22"/>
                <w:szCs w:val="22"/>
              </w:rPr>
              <w:t>EU008</w:t>
            </w:r>
          </w:p>
        </w:tc>
        <w:tc>
          <w:tcPr>
            <w:tcW w:w="4647" w:type="dxa"/>
          </w:tcPr>
          <w:p w14:paraId="695B9052" w14:textId="77777777" w:rsidR="00C230A2" w:rsidRPr="00606C6A" w:rsidRDefault="00C230A2" w:rsidP="00142902">
            <w:pPr>
              <w:rPr>
                <w:rFonts w:ascii="Garamond" w:hAnsi="Garamond"/>
                <w:sz w:val="22"/>
                <w:szCs w:val="22"/>
              </w:rPr>
            </w:pPr>
            <w:r w:rsidRPr="00606C6A">
              <w:rPr>
                <w:rFonts w:ascii="Garamond" w:hAnsi="Garamond"/>
                <w:sz w:val="22"/>
                <w:szCs w:val="22"/>
              </w:rPr>
              <w:t>Fine Ore Processing Unit (FOP)</w:t>
            </w:r>
          </w:p>
        </w:tc>
        <w:tc>
          <w:tcPr>
            <w:tcW w:w="3240" w:type="dxa"/>
          </w:tcPr>
          <w:p w14:paraId="78BC7EF0" w14:textId="70CCE0FD" w:rsidR="00C230A2" w:rsidRPr="00606C6A" w:rsidRDefault="00272E65" w:rsidP="00142902">
            <w:pPr>
              <w:rPr>
                <w:rFonts w:ascii="Garamond" w:hAnsi="Garamond"/>
                <w:sz w:val="22"/>
                <w:szCs w:val="22"/>
              </w:rPr>
            </w:pPr>
            <w:r>
              <w:rPr>
                <w:rFonts w:ascii="Garamond" w:hAnsi="Garamond"/>
                <w:sz w:val="22"/>
                <w:szCs w:val="22"/>
              </w:rPr>
              <w:t>Enclosure and High Moisture Ore</w:t>
            </w:r>
          </w:p>
        </w:tc>
      </w:tr>
      <w:tr w:rsidR="00C230A2" w:rsidRPr="00606C6A" w14:paraId="270F6E06" w14:textId="77777777" w:rsidTr="00EE400E">
        <w:tc>
          <w:tcPr>
            <w:tcW w:w="1458" w:type="dxa"/>
          </w:tcPr>
          <w:p w14:paraId="38D0A8DA" w14:textId="77777777" w:rsidR="00C230A2" w:rsidRPr="00606C6A" w:rsidRDefault="00C230A2" w:rsidP="00142902">
            <w:pPr>
              <w:rPr>
                <w:rFonts w:ascii="Garamond" w:hAnsi="Garamond"/>
                <w:sz w:val="22"/>
                <w:szCs w:val="22"/>
                <w:highlight w:val="yellow"/>
              </w:rPr>
            </w:pPr>
            <w:r w:rsidRPr="00606C6A">
              <w:rPr>
                <w:rFonts w:ascii="Garamond" w:hAnsi="Garamond"/>
                <w:sz w:val="22"/>
                <w:szCs w:val="22"/>
              </w:rPr>
              <w:t>EU009</w:t>
            </w:r>
          </w:p>
        </w:tc>
        <w:tc>
          <w:tcPr>
            <w:tcW w:w="4647" w:type="dxa"/>
          </w:tcPr>
          <w:p w14:paraId="37EA744F" w14:textId="77777777" w:rsidR="00C230A2" w:rsidRPr="00606C6A" w:rsidRDefault="00C230A2" w:rsidP="00142902">
            <w:pPr>
              <w:rPr>
                <w:rFonts w:ascii="Garamond" w:hAnsi="Garamond"/>
                <w:sz w:val="22"/>
                <w:szCs w:val="22"/>
              </w:rPr>
            </w:pPr>
            <w:r w:rsidRPr="00606C6A">
              <w:rPr>
                <w:rFonts w:ascii="Garamond" w:hAnsi="Garamond"/>
                <w:sz w:val="22"/>
                <w:szCs w:val="22"/>
              </w:rPr>
              <w:t>Conveyors and Pick-Up Points in the Secondary Crushing Building</w:t>
            </w:r>
          </w:p>
        </w:tc>
        <w:tc>
          <w:tcPr>
            <w:tcW w:w="3240" w:type="dxa"/>
          </w:tcPr>
          <w:p w14:paraId="387CCE9F" w14:textId="4A574D8A" w:rsidR="00C230A2" w:rsidRPr="00606C6A" w:rsidRDefault="00E27F98" w:rsidP="00142902">
            <w:pPr>
              <w:rPr>
                <w:rFonts w:ascii="Garamond" w:hAnsi="Garamond"/>
                <w:sz w:val="22"/>
                <w:szCs w:val="22"/>
              </w:rPr>
            </w:pPr>
            <w:r>
              <w:rPr>
                <w:rFonts w:ascii="Garamond" w:hAnsi="Garamond"/>
                <w:sz w:val="22"/>
                <w:szCs w:val="22"/>
              </w:rPr>
              <w:t>Enclosure and High Moisture Ore</w:t>
            </w:r>
          </w:p>
        </w:tc>
      </w:tr>
      <w:tr w:rsidR="00615FB0" w:rsidRPr="00606C6A" w14:paraId="2BFCC753" w14:textId="77777777" w:rsidTr="00EE400E">
        <w:tc>
          <w:tcPr>
            <w:tcW w:w="1458" w:type="dxa"/>
          </w:tcPr>
          <w:p w14:paraId="130FC38A" w14:textId="3EE5ABF4" w:rsidR="00615FB0" w:rsidRPr="00606C6A" w:rsidRDefault="006E286E" w:rsidP="00142902">
            <w:pPr>
              <w:rPr>
                <w:rFonts w:ascii="Garamond" w:hAnsi="Garamond"/>
                <w:sz w:val="22"/>
                <w:szCs w:val="22"/>
              </w:rPr>
            </w:pPr>
            <w:r>
              <w:rPr>
                <w:rFonts w:ascii="Garamond" w:hAnsi="Garamond"/>
                <w:sz w:val="22"/>
                <w:szCs w:val="22"/>
              </w:rPr>
              <w:t>EU010</w:t>
            </w:r>
          </w:p>
        </w:tc>
        <w:tc>
          <w:tcPr>
            <w:tcW w:w="4647" w:type="dxa"/>
          </w:tcPr>
          <w:p w14:paraId="5ECD2DAB" w14:textId="78D684FB" w:rsidR="00615FB0" w:rsidRPr="00606C6A" w:rsidRDefault="006E286E" w:rsidP="00142902">
            <w:pPr>
              <w:rPr>
                <w:rFonts w:ascii="Garamond" w:hAnsi="Garamond"/>
                <w:sz w:val="22"/>
                <w:szCs w:val="22"/>
              </w:rPr>
            </w:pPr>
            <w:r>
              <w:rPr>
                <w:rFonts w:ascii="Garamond" w:hAnsi="Garamond"/>
                <w:sz w:val="22"/>
                <w:szCs w:val="22"/>
              </w:rPr>
              <w:t xml:space="preserve">Tailings Reprocessing Plant/Tailings Storage Facility 1 </w:t>
            </w:r>
            <w:r w:rsidR="00195CB7">
              <w:rPr>
                <w:rFonts w:ascii="Garamond" w:hAnsi="Garamond"/>
                <w:sz w:val="22"/>
                <w:szCs w:val="22"/>
              </w:rPr>
              <w:t xml:space="preserve">with Mineral Sizer </w:t>
            </w:r>
            <w:r>
              <w:rPr>
                <w:rFonts w:ascii="Garamond" w:hAnsi="Garamond"/>
                <w:sz w:val="22"/>
                <w:szCs w:val="22"/>
              </w:rPr>
              <w:t>(TSF1)</w:t>
            </w:r>
          </w:p>
        </w:tc>
        <w:tc>
          <w:tcPr>
            <w:tcW w:w="3240" w:type="dxa"/>
          </w:tcPr>
          <w:p w14:paraId="005DDD3B" w14:textId="746ACA72" w:rsidR="00615FB0" w:rsidRPr="00606C6A" w:rsidRDefault="006E286E" w:rsidP="00142902">
            <w:pPr>
              <w:rPr>
                <w:rFonts w:ascii="Garamond" w:hAnsi="Garamond"/>
                <w:sz w:val="22"/>
                <w:szCs w:val="22"/>
              </w:rPr>
            </w:pPr>
            <w:r>
              <w:rPr>
                <w:rFonts w:ascii="Garamond" w:hAnsi="Garamond"/>
                <w:sz w:val="22"/>
                <w:szCs w:val="22"/>
              </w:rPr>
              <w:t>Water Sprays, Enclosures, and High Moisture Ore</w:t>
            </w:r>
          </w:p>
        </w:tc>
      </w:tr>
      <w:tr w:rsidR="00615FB0" w:rsidRPr="00606C6A" w14:paraId="58DBFE18" w14:textId="77777777" w:rsidTr="00EE400E">
        <w:tc>
          <w:tcPr>
            <w:tcW w:w="1458" w:type="dxa"/>
          </w:tcPr>
          <w:p w14:paraId="2ED0FC9A" w14:textId="148B4F60" w:rsidR="00615FB0" w:rsidRPr="00606C6A" w:rsidRDefault="006E286E" w:rsidP="00142902">
            <w:pPr>
              <w:rPr>
                <w:rFonts w:ascii="Garamond" w:hAnsi="Garamond"/>
                <w:sz w:val="22"/>
                <w:szCs w:val="22"/>
              </w:rPr>
            </w:pPr>
            <w:r>
              <w:rPr>
                <w:rFonts w:ascii="Garamond" w:hAnsi="Garamond"/>
                <w:sz w:val="22"/>
                <w:szCs w:val="22"/>
              </w:rPr>
              <w:t>EU011</w:t>
            </w:r>
          </w:p>
        </w:tc>
        <w:tc>
          <w:tcPr>
            <w:tcW w:w="4647" w:type="dxa"/>
          </w:tcPr>
          <w:p w14:paraId="22777358" w14:textId="69205D61" w:rsidR="00615FB0" w:rsidRPr="00606C6A" w:rsidRDefault="006E286E" w:rsidP="00142902">
            <w:pPr>
              <w:rPr>
                <w:rFonts w:ascii="Garamond" w:hAnsi="Garamond"/>
                <w:sz w:val="22"/>
                <w:szCs w:val="22"/>
              </w:rPr>
            </w:pPr>
            <w:r>
              <w:rPr>
                <w:rFonts w:ascii="Garamond" w:hAnsi="Garamond"/>
                <w:sz w:val="22"/>
                <w:szCs w:val="22"/>
              </w:rPr>
              <w:t>Emergency Engine/Generator (up to 500 horsepower, hp)</w:t>
            </w:r>
          </w:p>
        </w:tc>
        <w:tc>
          <w:tcPr>
            <w:tcW w:w="3240" w:type="dxa"/>
          </w:tcPr>
          <w:p w14:paraId="5B90B0D0" w14:textId="02293804" w:rsidR="00615FB0" w:rsidRPr="00606C6A" w:rsidRDefault="006E286E" w:rsidP="00142902">
            <w:pPr>
              <w:rPr>
                <w:rFonts w:ascii="Garamond" w:hAnsi="Garamond"/>
                <w:sz w:val="22"/>
                <w:szCs w:val="22"/>
              </w:rPr>
            </w:pPr>
            <w:r>
              <w:rPr>
                <w:rFonts w:ascii="Garamond" w:hAnsi="Garamond"/>
                <w:sz w:val="22"/>
                <w:szCs w:val="22"/>
              </w:rPr>
              <w:t xml:space="preserve">40 CFR 60, Subpart </w:t>
            </w:r>
            <w:r w:rsidR="00272E65">
              <w:rPr>
                <w:rFonts w:ascii="Garamond" w:hAnsi="Garamond"/>
                <w:sz w:val="22"/>
                <w:szCs w:val="22"/>
              </w:rPr>
              <w:t>IIII and/or 40 CFR 63, Subpart ZZZZ</w:t>
            </w:r>
          </w:p>
        </w:tc>
      </w:tr>
      <w:tr w:rsidR="00615FB0" w:rsidRPr="00606C6A" w14:paraId="5B817408" w14:textId="77777777" w:rsidTr="00EE400E">
        <w:tc>
          <w:tcPr>
            <w:tcW w:w="1458" w:type="dxa"/>
          </w:tcPr>
          <w:p w14:paraId="39C23E12" w14:textId="676A386B" w:rsidR="00615FB0" w:rsidRPr="00606C6A" w:rsidRDefault="00272E65" w:rsidP="00142902">
            <w:pPr>
              <w:rPr>
                <w:rFonts w:ascii="Garamond" w:hAnsi="Garamond"/>
                <w:sz w:val="22"/>
                <w:szCs w:val="22"/>
              </w:rPr>
            </w:pPr>
            <w:r>
              <w:rPr>
                <w:rFonts w:ascii="Garamond" w:hAnsi="Garamond"/>
                <w:sz w:val="22"/>
                <w:szCs w:val="22"/>
              </w:rPr>
              <w:t>EU012</w:t>
            </w:r>
          </w:p>
        </w:tc>
        <w:tc>
          <w:tcPr>
            <w:tcW w:w="4647" w:type="dxa"/>
          </w:tcPr>
          <w:p w14:paraId="6BD413CD" w14:textId="2BC1B3AE" w:rsidR="00615FB0" w:rsidRPr="00606C6A" w:rsidRDefault="00272E65" w:rsidP="00142902">
            <w:pPr>
              <w:rPr>
                <w:rFonts w:ascii="Garamond" w:hAnsi="Garamond"/>
                <w:sz w:val="22"/>
                <w:szCs w:val="22"/>
              </w:rPr>
            </w:pPr>
            <w:r>
              <w:rPr>
                <w:rFonts w:ascii="Garamond" w:hAnsi="Garamond"/>
                <w:sz w:val="22"/>
                <w:szCs w:val="22"/>
              </w:rPr>
              <w:t>Portable Screening Plant</w:t>
            </w:r>
          </w:p>
        </w:tc>
        <w:tc>
          <w:tcPr>
            <w:tcW w:w="3240" w:type="dxa"/>
          </w:tcPr>
          <w:p w14:paraId="42088274" w14:textId="018CA616" w:rsidR="00615FB0" w:rsidRPr="00606C6A" w:rsidRDefault="00272E65" w:rsidP="00142902">
            <w:pPr>
              <w:rPr>
                <w:rFonts w:ascii="Garamond" w:hAnsi="Garamond"/>
                <w:sz w:val="22"/>
                <w:szCs w:val="22"/>
              </w:rPr>
            </w:pPr>
            <w:r>
              <w:rPr>
                <w:rFonts w:ascii="Garamond" w:hAnsi="Garamond"/>
                <w:sz w:val="22"/>
                <w:szCs w:val="22"/>
              </w:rPr>
              <w:t>Water Sprays</w:t>
            </w:r>
          </w:p>
        </w:tc>
      </w:tr>
    </w:tbl>
    <w:p w14:paraId="15FCA1DE" w14:textId="77777777" w:rsidR="00004846" w:rsidRDefault="00004846" w:rsidP="00004846">
      <w:pPr>
        <w:ind w:left="360"/>
        <w:rPr>
          <w:rFonts w:ascii="Garamond" w:hAnsi="Garamond"/>
          <w:sz w:val="24"/>
          <w:szCs w:val="24"/>
        </w:rPr>
      </w:pPr>
    </w:p>
    <w:p w14:paraId="17DA7248" w14:textId="77777777" w:rsidR="00004846" w:rsidRPr="00606C6A" w:rsidRDefault="00004846" w:rsidP="00004846">
      <w:pPr>
        <w:ind w:left="360"/>
        <w:rPr>
          <w:rFonts w:ascii="Garamond" w:hAnsi="Garamond"/>
          <w:sz w:val="24"/>
          <w:szCs w:val="24"/>
        </w:rPr>
      </w:pPr>
      <w:r w:rsidRPr="00004846">
        <w:rPr>
          <w:rFonts w:ascii="Garamond" w:hAnsi="Garamond"/>
          <w:sz w:val="24"/>
          <w:szCs w:val="24"/>
        </w:rPr>
        <w:t>While GSM suspended mining and milling operations in the second quarter of 2019, GSM may reactivate the onsite refinery furnace, carbon reactivation kiln, and/or electrowinning cells for upcoming mine-closure related projects.</w:t>
      </w:r>
    </w:p>
    <w:p w14:paraId="325EE336" w14:textId="77777777" w:rsidR="00AA60C1" w:rsidRPr="00DA3542" w:rsidRDefault="00AA60C1" w:rsidP="007F6D0E">
      <w:pPr>
        <w:rPr>
          <w:rFonts w:ascii="Garamond" w:hAnsi="Garamond"/>
          <w:sz w:val="24"/>
          <w:szCs w:val="24"/>
        </w:rPr>
      </w:pPr>
    </w:p>
    <w:p w14:paraId="7D3F6B26" w14:textId="77777777" w:rsidR="00633285" w:rsidRPr="00606C6A" w:rsidRDefault="00633285" w:rsidP="007F6D0E">
      <w:pPr>
        <w:pStyle w:val="Heading2"/>
        <w:spacing w:before="0" w:beforeAutospacing="0" w:after="0" w:afterAutospacing="0"/>
        <w:rPr>
          <w:rFonts w:ascii="Garamond" w:hAnsi="Garamond"/>
          <w:sz w:val="24"/>
          <w:szCs w:val="24"/>
        </w:rPr>
      </w:pPr>
      <w:bookmarkStart w:id="24" w:name="_Toc63146271"/>
      <w:bookmarkStart w:id="25" w:name="_Toc221798835"/>
      <w:r w:rsidRPr="00606C6A">
        <w:rPr>
          <w:rFonts w:ascii="Garamond" w:hAnsi="Garamond"/>
          <w:sz w:val="24"/>
          <w:szCs w:val="24"/>
        </w:rPr>
        <w:t>Categorically Insignificant Sources/Activities</w:t>
      </w:r>
      <w:bookmarkEnd w:id="24"/>
      <w:bookmarkEnd w:id="25"/>
    </w:p>
    <w:p w14:paraId="04FE9D86" w14:textId="77777777" w:rsidR="00CC5DF9" w:rsidRPr="00606C6A" w:rsidRDefault="00CC5DF9" w:rsidP="007F6D0E">
      <w:pPr>
        <w:rPr>
          <w:rFonts w:ascii="Garamond" w:hAnsi="Garamond"/>
          <w:sz w:val="24"/>
          <w:szCs w:val="24"/>
        </w:rPr>
      </w:pPr>
    </w:p>
    <w:p w14:paraId="36EDD5F4" w14:textId="77777777" w:rsidR="00C96768" w:rsidRDefault="00C96768" w:rsidP="007F6D0E">
      <w:pPr>
        <w:ind w:left="360"/>
        <w:rPr>
          <w:rFonts w:ascii="Garamond" w:hAnsi="Garamond"/>
          <w:sz w:val="24"/>
          <w:szCs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4428"/>
        <w:gridCol w:w="4428"/>
      </w:tblGrid>
      <w:tr w:rsidR="00C96768" w:rsidRPr="00C96768" w14:paraId="4B459E5C" w14:textId="77777777" w:rsidTr="00F5760C">
        <w:tc>
          <w:tcPr>
            <w:tcW w:w="4428" w:type="dxa"/>
            <w:tcBorders>
              <w:bottom w:val="single" w:sz="12" w:space="0" w:color="000000"/>
            </w:tcBorders>
          </w:tcPr>
          <w:p w14:paraId="5D35B4ED" w14:textId="77777777" w:rsidR="00C96768" w:rsidRPr="00F779D5" w:rsidRDefault="00C96768" w:rsidP="00C96768">
            <w:pPr>
              <w:jc w:val="center"/>
              <w:rPr>
                <w:rFonts w:ascii="Garamond" w:hAnsi="Garamond"/>
                <w:b/>
                <w:sz w:val="22"/>
                <w:szCs w:val="22"/>
              </w:rPr>
            </w:pPr>
            <w:r w:rsidRPr="00F779D5">
              <w:rPr>
                <w:rFonts w:ascii="Garamond" w:hAnsi="Garamond"/>
                <w:b/>
                <w:sz w:val="22"/>
                <w:szCs w:val="22"/>
              </w:rPr>
              <w:t>Emissions Unit ID</w:t>
            </w:r>
          </w:p>
        </w:tc>
        <w:tc>
          <w:tcPr>
            <w:tcW w:w="4428" w:type="dxa"/>
            <w:tcBorders>
              <w:bottom w:val="single" w:sz="12" w:space="0" w:color="000000"/>
            </w:tcBorders>
          </w:tcPr>
          <w:p w14:paraId="706AC648" w14:textId="77777777" w:rsidR="00C96768" w:rsidRPr="00F779D5" w:rsidRDefault="00C96768" w:rsidP="00C96768">
            <w:pPr>
              <w:jc w:val="center"/>
              <w:rPr>
                <w:rFonts w:ascii="Garamond" w:hAnsi="Garamond"/>
                <w:b/>
                <w:sz w:val="22"/>
                <w:szCs w:val="22"/>
              </w:rPr>
            </w:pPr>
            <w:r w:rsidRPr="00F779D5">
              <w:rPr>
                <w:rFonts w:ascii="Garamond" w:hAnsi="Garamond"/>
                <w:b/>
                <w:sz w:val="22"/>
                <w:szCs w:val="22"/>
              </w:rPr>
              <w:t>Description</w:t>
            </w:r>
          </w:p>
        </w:tc>
      </w:tr>
      <w:tr w:rsidR="00C96768" w:rsidRPr="00C96768" w14:paraId="11F4FF0A" w14:textId="77777777" w:rsidTr="00F5760C">
        <w:tc>
          <w:tcPr>
            <w:tcW w:w="4428" w:type="dxa"/>
            <w:tcBorders>
              <w:top w:val="nil"/>
            </w:tcBorders>
          </w:tcPr>
          <w:p w14:paraId="48D8FFF8" w14:textId="77777777" w:rsidR="00C96768" w:rsidRPr="00F779D5" w:rsidRDefault="00C96768" w:rsidP="00C96768">
            <w:pPr>
              <w:rPr>
                <w:rFonts w:ascii="Garamond" w:hAnsi="Garamond"/>
                <w:sz w:val="22"/>
                <w:szCs w:val="22"/>
              </w:rPr>
            </w:pPr>
            <w:r w:rsidRPr="00F779D5">
              <w:rPr>
                <w:rFonts w:ascii="Garamond" w:hAnsi="Garamond"/>
                <w:sz w:val="22"/>
                <w:szCs w:val="22"/>
              </w:rPr>
              <w:t>IE01</w:t>
            </w:r>
          </w:p>
        </w:tc>
        <w:tc>
          <w:tcPr>
            <w:tcW w:w="4428" w:type="dxa"/>
            <w:tcBorders>
              <w:top w:val="nil"/>
            </w:tcBorders>
          </w:tcPr>
          <w:p w14:paraId="47E0B10C" w14:textId="77777777" w:rsidR="00C96768" w:rsidRPr="00F779D5" w:rsidRDefault="00C96768" w:rsidP="00C96768">
            <w:pPr>
              <w:rPr>
                <w:rFonts w:ascii="Garamond" w:hAnsi="Garamond"/>
                <w:sz w:val="22"/>
                <w:szCs w:val="22"/>
              </w:rPr>
            </w:pPr>
            <w:r w:rsidRPr="00F779D5">
              <w:rPr>
                <w:rFonts w:ascii="Garamond" w:hAnsi="Garamond"/>
                <w:sz w:val="22"/>
                <w:szCs w:val="22"/>
              </w:rPr>
              <w:t>Refinery Dryer Oven</w:t>
            </w:r>
          </w:p>
        </w:tc>
      </w:tr>
    </w:tbl>
    <w:p w14:paraId="7EE8E8C3" w14:textId="77777777" w:rsidR="00C96768" w:rsidRDefault="00C96768" w:rsidP="007F6D0E">
      <w:pPr>
        <w:ind w:left="360"/>
        <w:rPr>
          <w:rFonts w:ascii="Garamond" w:hAnsi="Garamond"/>
          <w:sz w:val="24"/>
          <w:szCs w:val="24"/>
        </w:rPr>
      </w:pPr>
    </w:p>
    <w:p w14:paraId="483681A4" w14:textId="77777777" w:rsidR="00633285" w:rsidRPr="00C84BDB" w:rsidRDefault="00633285" w:rsidP="007F6D0E">
      <w:pPr>
        <w:rPr>
          <w:rFonts w:ascii="Garamond" w:hAnsi="Garamond"/>
          <w:sz w:val="21"/>
        </w:rPr>
      </w:pPr>
    </w:p>
    <w:p w14:paraId="6E1853B5" w14:textId="77777777" w:rsidR="00633285" w:rsidRPr="00C84BDB" w:rsidRDefault="00633285">
      <w:pPr>
        <w:rPr>
          <w:rFonts w:ascii="Garamond" w:hAnsi="Garamond"/>
          <w:sz w:val="21"/>
        </w:rPr>
      </w:pPr>
    </w:p>
    <w:p w14:paraId="36502C82" w14:textId="77777777" w:rsidR="00633285" w:rsidRPr="00C84BDB" w:rsidRDefault="00633285">
      <w:pPr>
        <w:pStyle w:val="Heading1"/>
        <w:rPr>
          <w:sz w:val="21"/>
        </w:rPr>
        <w:sectPr w:rsidR="00633285" w:rsidRPr="00C84BDB" w:rsidSect="001D5FCE">
          <w:pgSz w:w="12240" w:h="15840" w:code="1"/>
          <w:pgMar w:top="1152" w:right="1440" w:bottom="1008" w:left="1440" w:header="720" w:footer="720" w:gutter="0"/>
          <w:cols w:space="720"/>
        </w:sectPr>
      </w:pPr>
    </w:p>
    <w:p w14:paraId="3CC8447A" w14:textId="77777777" w:rsidR="00633285" w:rsidRPr="00606C6A" w:rsidRDefault="00E277B7" w:rsidP="007F6D0E">
      <w:pPr>
        <w:pStyle w:val="Heading1"/>
        <w:rPr>
          <w:sz w:val="24"/>
          <w:szCs w:val="24"/>
        </w:rPr>
      </w:pPr>
      <w:r>
        <w:rPr>
          <w:sz w:val="24"/>
          <w:szCs w:val="24"/>
        </w:rPr>
        <w:lastRenderedPageBreak/>
        <w:t xml:space="preserve">   </w:t>
      </w:r>
      <w:bookmarkStart w:id="26" w:name="_Toc63146272"/>
      <w:bookmarkStart w:id="27" w:name="_Toc221798836"/>
      <w:r w:rsidR="00633285" w:rsidRPr="00606C6A">
        <w:rPr>
          <w:sz w:val="24"/>
          <w:szCs w:val="24"/>
        </w:rPr>
        <w:t>PERMIT CONDITIONS</w:t>
      </w:r>
      <w:bookmarkEnd w:id="26"/>
      <w:bookmarkEnd w:id="27"/>
    </w:p>
    <w:p w14:paraId="69F7E092" w14:textId="77777777" w:rsidR="00633285" w:rsidRPr="00606C6A" w:rsidRDefault="00633285" w:rsidP="007F6D0E">
      <w:pPr>
        <w:rPr>
          <w:rFonts w:ascii="Garamond" w:hAnsi="Garamond"/>
          <w:sz w:val="24"/>
          <w:szCs w:val="24"/>
        </w:rPr>
      </w:pPr>
    </w:p>
    <w:p w14:paraId="656F4297" w14:textId="77777777" w:rsidR="00633285" w:rsidRDefault="00633285" w:rsidP="007F6D0E">
      <w:pPr>
        <w:pStyle w:val="Heading2"/>
        <w:numPr>
          <w:ilvl w:val="0"/>
          <w:numId w:val="22"/>
        </w:numPr>
        <w:spacing w:before="0" w:beforeAutospacing="0" w:after="0" w:afterAutospacing="0"/>
        <w:rPr>
          <w:rFonts w:ascii="Garamond" w:hAnsi="Garamond"/>
          <w:sz w:val="24"/>
          <w:szCs w:val="24"/>
        </w:rPr>
      </w:pPr>
      <w:bookmarkStart w:id="28" w:name="_Toc63146273"/>
      <w:bookmarkStart w:id="29" w:name="_Toc221798837"/>
      <w:r w:rsidRPr="00606C6A">
        <w:rPr>
          <w:rFonts w:ascii="Garamond" w:hAnsi="Garamond"/>
          <w:sz w:val="24"/>
          <w:szCs w:val="24"/>
        </w:rPr>
        <w:t>Emission Limits and Standards</w:t>
      </w:r>
      <w:bookmarkEnd w:id="28"/>
      <w:bookmarkEnd w:id="29"/>
    </w:p>
    <w:p w14:paraId="785A76DD" w14:textId="77777777" w:rsidR="007F6D0E" w:rsidRPr="007F6D0E" w:rsidRDefault="007F6D0E" w:rsidP="007F6D0E">
      <w:pPr>
        <w:rPr>
          <w:rFonts w:ascii="Garamond" w:hAnsi="Garamond"/>
          <w:sz w:val="24"/>
          <w:szCs w:val="24"/>
        </w:rPr>
      </w:pPr>
    </w:p>
    <w:p w14:paraId="418EFE96" w14:textId="23078E08" w:rsidR="00555CBA" w:rsidRPr="00606C6A" w:rsidRDefault="009C0557" w:rsidP="007F6D0E">
      <w:pPr>
        <w:pStyle w:val="BodyText"/>
        <w:ind w:left="360"/>
        <w:rPr>
          <w:rFonts w:ascii="Garamond" w:hAnsi="Garamond"/>
          <w:sz w:val="24"/>
          <w:szCs w:val="24"/>
        </w:rPr>
      </w:pPr>
      <w:r w:rsidRPr="00606C6A">
        <w:rPr>
          <w:rFonts w:ascii="Garamond" w:hAnsi="Garamond"/>
          <w:sz w:val="24"/>
          <w:szCs w:val="24"/>
        </w:rPr>
        <w:t xml:space="preserve">GSM was required to submit a Title V Operating Permit Application as required by 40 CFR 63, Subpart EEEEEEE as it is an Area Source.  GSM has three emitting units which are addressed in Subpart EEEEEEE where specific requirements are identified.  </w:t>
      </w:r>
      <w:r w:rsidR="00F1499E" w:rsidRPr="00606C6A">
        <w:rPr>
          <w:rFonts w:ascii="Garamond" w:hAnsi="Garamond"/>
          <w:sz w:val="24"/>
          <w:szCs w:val="24"/>
        </w:rPr>
        <w:t xml:space="preserve">These include the refinery furnace, electrowinning cells and carbon reactivation kiln.  </w:t>
      </w:r>
      <w:r w:rsidR="00AC64AB" w:rsidRPr="00606C6A">
        <w:rPr>
          <w:rFonts w:ascii="Garamond" w:hAnsi="Garamond"/>
          <w:sz w:val="24"/>
          <w:szCs w:val="24"/>
        </w:rPr>
        <w:t xml:space="preserve">A mercury limit of 0.17 </w:t>
      </w:r>
      <w:proofErr w:type="spellStart"/>
      <w:r w:rsidR="00AC64AB" w:rsidRPr="00606C6A">
        <w:rPr>
          <w:rFonts w:ascii="Garamond" w:hAnsi="Garamond"/>
          <w:sz w:val="24"/>
          <w:szCs w:val="24"/>
        </w:rPr>
        <w:t>lbs</w:t>
      </w:r>
      <w:proofErr w:type="spellEnd"/>
      <w:r w:rsidR="00AC64AB" w:rsidRPr="00606C6A">
        <w:rPr>
          <w:rFonts w:ascii="Garamond" w:hAnsi="Garamond"/>
          <w:sz w:val="24"/>
          <w:szCs w:val="24"/>
        </w:rPr>
        <w:t xml:space="preserve"> per ton of concentrate is required to be demonstrate</w:t>
      </w:r>
      <w:r w:rsidR="00213EBC" w:rsidRPr="00606C6A">
        <w:rPr>
          <w:rFonts w:ascii="Garamond" w:hAnsi="Garamond"/>
          <w:sz w:val="24"/>
          <w:szCs w:val="24"/>
        </w:rPr>
        <w:t>d</w:t>
      </w:r>
      <w:r w:rsidR="00AC64AB" w:rsidRPr="00606C6A">
        <w:rPr>
          <w:rFonts w:ascii="Garamond" w:hAnsi="Garamond"/>
          <w:sz w:val="24"/>
          <w:szCs w:val="24"/>
        </w:rPr>
        <w:t xml:space="preserve"> on an annual basis.  </w:t>
      </w:r>
      <w:r w:rsidR="00A47B64" w:rsidRPr="00606C6A">
        <w:rPr>
          <w:rFonts w:ascii="Garamond" w:hAnsi="Garamond"/>
          <w:sz w:val="24"/>
          <w:szCs w:val="24"/>
        </w:rPr>
        <w:t>To</w:t>
      </w:r>
      <w:r w:rsidR="000528F1" w:rsidRPr="00606C6A">
        <w:rPr>
          <w:rFonts w:ascii="Garamond" w:hAnsi="Garamond"/>
          <w:sz w:val="24"/>
          <w:szCs w:val="24"/>
        </w:rPr>
        <w:t xml:space="preserve"> meet the mercury limit, GSM had to install a carbon filter on the carbon reactivation kiln.  40 CFR 63, Subpart EEEEEEE also has specific requirements for facilities which utilize carbon filters</w:t>
      </w:r>
      <w:r w:rsidR="007207DB" w:rsidRPr="00606C6A">
        <w:rPr>
          <w:rFonts w:ascii="Garamond" w:hAnsi="Garamond"/>
          <w:sz w:val="24"/>
          <w:szCs w:val="24"/>
        </w:rPr>
        <w:t xml:space="preserve"> for mercury control</w:t>
      </w:r>
      <w:r w:rsidR="000528F1" w:rsidRPr="00606C6A">
        <w:rPr>
          <w:rFonts w:ascii="Garamond" w:hAnsi="Garamond"/>
          <w:sz w:val="24"/>
          <w:szCs w:val="24"/>
        </w:rPr>
        <w:t xml:space="preserve">.  These include monitoring the performance of the carbon to prevent unexpected </w:t>
      </w:r>
      <w:r w:rsidR="00C07B57" w:rsidRPr="00606C6A">
        <w:rPr>
          <w:rFonts w:ascii="Garamond" w:hAnsi="Garamond"/>
          <w:sz w:val="24"/>
          <w:szCs w:val="24"/>
        </w:rPr>
        <w:t>breakthroughs</w:t>
      </w:r>
      <w:r w:rsidR="00797472" w:rsidRPr="00606C6A">
        <w:rPr>
          <w:rFonts w:ascii="Garamond" w:hAnsi="Garamond"/>
          <w:sz w:val="24"/>
          <w:szCs w:val="24"/>
        </w:rPr>
        <w:t xml:space="preserve"> achieved either through exhaust monitoring for mercury or testing the carb</w:t>
      </w:r>
      <w:r w:rsidR="00987588">
        <w:rPr>
          <w:rFonts w:ascii="Garamond" w:hAnsi="Garamond"/>
          <w:sz w:val="24"/>
          <w:szCs w:val="24"/>
        </w:rPr>
        <w:t>on for remaining useful life.</w:t>
      </w:r>
    </w:p>
    <w:p w14:paraId="25C9958A" w14:textId="77777777" w:rsidR="0027314E" w:rsidRPr="00606C6A" w:rsidRDefault="0027314E" w:rsidP="007F6D0E">
      <w:pPr>
        <w:pStyle w:val="BodyText"/>
        <w:rPr>
          <w:rFonts w:ascii="Garamond" w:hAnsi="Garamond"/>
          <w:sz w:val="24"/>
          <w:szCs w:val="24"/>
        </w:rPr>
      </w:pPr>
    </w:p>
    <w:p w14:paraId="417A88D4" w14:textId="7B4F555F" w:rsidR="002A4104" w:rsidRPr="006A2BF3" w:rsidRDefault="0027314E" w:rsidP="006A2BF3">
      <w:pPr>
        <w:pStyle w:val="BodyText"/>
        <w:ind w:left="360"/>
        <w:rPr>
          <w:rFonts w:ascii="Garamond" w:hAnsi="Garamond"/>
          <w:sz w:val="24"/>
          <w:szCs w:val="24"/>
        </w:rPr>
      </w:pPr>
      <w:r w:rsidRPr="006A2BF3">
        <w:rPr>
          <w:rFonts w:ascii="Garamond" w:hAnsi="Garamond"/>
          <w:sz w:val="24"/>
          <w:szCs w:val="24"/>
        </w:rPr>
        <w:t xml:space="preserve">Permit conditions also are in place for the crushing and ore handling activities which </w:t>
      </w:r>
      <w:r w:rsidR="00203A91" w:rsidRPr="006A2BF3">
        <w:rPr>
          <w:rFonts w:ascii="Garamond" w:hAnsi="Garamond"/>
          <w:sz w:val="24"/>
          <w:szCs w:val="24"/>
        </w:rPr>
        <w:t xml:space="preserve">require a compliance demonstration of either weekly </w:t>
      </w:r>
      <w:r w:rsidRPr="006A2BF3">
        <w:rPr>
          <w:rFonts w:ascii="Garamond" w:hAnsi="Garamond"/>
          <w:sz w:val="24"/>
          <w:szCs w:val="24"/>
        </w:rPr>
        <w:t xml:space="preserve">visual surveys or a semi-annual Method 9 test.  </w:t>
      </w:r>
      <w:r w:rsidR="00203A91" w:rsidRPr="006A2BF3">
        <w:rPr>
          <w:rFonts w:ascii="Garamond" w:hAnsi="Garamond"/>
          <w:sz w:val="24"/>
          <w:szCs w:val="24"/>
        </w:rPr>
        <w:t xml:space="preserve">Additionally, particulate emissions are controlled </w:t>
      </w:r>
      <w:r w:rsidR="00355D93" w:rsidRPr="006A2BF3">
        <w:rPr>
          <w:rFonts w:ascii="Garamond" w:hAnsi="Garamond"/>
          <w:sz w:val="24"/>
          <w:szCs w:val="24"/>
        </w:rPr>
        <w:t>using</w:t>
      </w:r>
      <w:r w:rsidR="00203A91" w:rsidRPr="006A2BF3">
        <w:rPr>
          <w:rFonts w:ascii="Garamond" w:hAnsi="Garamond"/>
          <w:sz w:val="24"/>
          <w:szCs w:val="24"/>
        </w:rPr>
        <w:t xml:space="preserve"> four wet scrubbers which must be monitored for proper operation and records kept of maintenance activities.  </w:t>
      </w:r>
      <w:r w:rsidR="00CE5FA8" w:rsidRPr="006A2BF3">
        <w:rPr>
          <w:rFonts w:ascii="Garamond" w:hAnsi="Garamond"/>
          <w:sz w:val="24"/>
          <w:szCs w:val="24"/>
        </w:rPr>
        <w:t>Scrubbers are required to be tested for particulate once every four years and must not exceed 0.05 grams per dry standard cubic meter.</w:t>
      </w:r>
      <w:r w:rsidR="00004846" w:rsidRPr="006A2BF3">
        <w:rPr>
          <w:rFonts w:ascii="Garamond" w:hAnsi="Garamond"/>
          <w:sz w:val="24"/>
          <w:szCs w:val="24"/>
        </w:rPr>
        <w:t xml:space="preserve"> </w:t>
      </w:r>
      <w:r w:rsidR="00DB0867" w:rsidRPr="006A2BF3">
        <w:rPr>
          <w:rFonts w:ascii="Garamond" w:hAnsi="Garamond"/>
          <w:sz w:val="24"/>
          <w:szCs w:val="24"/>
        </w:rPr>
        <w:t xml:space="preserve"> At the time of issuance, the compliance demonstration has been suspended since those operations are no longer occurring.</w:t>
      </w:r>
    </w:p>
    <w:p w14:paraId="14E0019D" w14:textId="77777777" w:rsidR="00DB0867" w:rsidRPr="00DB0867" w:rsidRDefault="00DB0867" w:rsidP="00DB0867"/>
    <w:p w14:paraId="70AA9A48" w14:textId="77777777" w:rsidR="00633285" w:rsidRPr="00606C6A" w:rsidRDefault="00633285" w:rsidP="007F6D0E">
      <w:pPr>
        <w:pStyle w:val="Heading2"/>
        <w:spacing w:before="0" w:beforeAutospacing="0" w:after="0" w:afterAutospacing="0"/>
        <w:rPr>
          <w:rFonts w:ascii="Garamond" w:hAnsi="Garamond"/>
          <w:sz w:val="24"/>
          <w:szCs w:val="24"/>
        </w:rPr>
      </w:pPr>
      <w:bookmarkStart w:id="30" w:name="_Toc63146274"/>
      <w:bookmarkStart w:id="31" w:name="_Toc221798838"/>
      <w:r w:rsidRPr="00606C6A">
        <w:rPr>
          <w:rFonts w:ascii="Garamond" w:hAnsi="Garamond"/>
          <w:sz w:val="24"/>
          <w:szCs w:val="24"/>
        </w:rPr>
        <w:t>Monitoring Requirements</w:t>
      </w:r>
      <w:bookmarkEnd w:id="30"/>
      <w:bookmarkEnd w:id="31"/>
    </w:p>
    <w:p w14:paraId="5BEDA97A" w14:textId="77777777" w:rsidR="00633285" w:rsidRPr="00606C6A" w:rsidRDefault="00633285" w:rsidP="007F6D0E">
      <w:pPr>
        <w:rPr>
          <w:rFonts w:ascii="Garamond" w:hAnsi="Garamond"/>
          <w:sz w:val="24"/>
          <w:szCs w:val="24"/>
        </w:rPr>
      </w:pPr>
    </w:p>
    <w:p w14:paraId="478B87C2" w14:textId="33DE4952" w:rsidR="00633285" w:rsidRPr="00606C6A" w:rsidRDefault="00633285" w:rsidP="007F6D0E">
      <w:pPr>
        <w:pStyle w:val="BodyText"/>
        <w:ind w:left="360"/>
        <w:rPr>
          <w:rFonts w:ascii="Garamond" w:hAnsi="Garamond"/>
          <w:sz w:val="24"/>
          <w:szCs w:val="24"/>
        </w:rPr>
      </w:pPr>
      <w:r w:rsidRPr="00606C6A">
        <w:rPr>
          <w:rFonts w:ascii="Garamond" w:hAnsi="Garamond"/>
          <w:sz w:val="24"/>
          <w:szCs w:val="24"/>
        </w:rPr>
        <w:t xml:space="preserve">ARM 17.8.1212(1) requires that all monitoring and analysis procedures or test methods required under applicable requirements are contained in operating permits.  In addition, when the applicable requirement does not require periodic testing or monitoring, periodic monitoring must be prescribed that is sufficient to yield reliable data from the relevant </w:t>
      </w:r>
      <w:r w:rsidR="00355D93" w:rsidRPr="00606C6A">
        <w:rPr>
          <w:rFonts w:ascii="Garamond" w:hAnsi="Garamond"/>
          <w:sz w:val="24"/>
          <w:szCs w:val="24"/>
        </w:rPr>
        <w:t>period</w:t>
      </w:r>
      <w:r w:rsidRPr="00606C6A">
        <w:rPr>
          <w:rFonts w:ascii="Garamond" w:hAnsi="Garamond"/>
          <w:sz w:val="24"/>
          <w:szCs w:val="24"/>
        </w:rPr>
        <w:t xml:space="preserve"> that is representative of the source's compliance with the permit.</w:t>
      </w:r>
    </w:p>
    <w:p w14:paraId="4EE40088" w14:textId="77777777" w:rsidR="00633285" w:rsidRPr="00606C6A" w:rsidRDefault="00633285" w:rsidP="007F6D0E">
      <w:pPr>
        <w:rPr>
          <w:rFonts w:ascii="Garamond" w:hAnsi="Garamond"/>
          <w:sz w:val="24"/>
          <w:szCs w:val="24"/>
        </w:rPr>
      </w:pPr>
    </w:p>
    <w:p w14:paraId="1BF54031" w14:textId="20AA7970" w:rsidR="00633285" w:rsidRPr="00606C6A" w:rsidRDefault="00633285" w:rsidP="007F6D0E">
      <w:pPr>
        <w:ind w:left="360"/>
        <w:rPr>
          <w:rFonts w:ascii="Garamond" w:hAnsi="Garamond"/>
          <w:sz w:val="24"/>
          <w:szCs w:val="24"/>
        </w:rPr>
      </w:pPr>
      <w:r w:rsidRPr="00606C6A">
        <w:rPr>
          <w:rFonts w:ascii="Garamond" w:hAnsi="Garamond"/>
          <w:sz w:val="24"/>
          <w:szCs w:val="24"/>
        </w:rPr>
        <w:t>The requirements for testing, monitoring, recordkeeping, reporting, and compliance certification sufficient to assure compliance do not require the permit to impose the same level of rigor for all emissions units.  Furthermore, they do not require extensive testing or monitoring to assure compliance with the applicable requirements for emissions units that do not have significant potential to violate emission limitations or other requirements under normal operating conditions.  When compliance with the underlying applicable requirement for a</w:t>
      </w:r>
      <w:r w:rsidR="008905D0">
        <w:rPr>
          <w:rFonts w:ascii="Garamond" w:hAnsi="Garamond"/>
          <w:sz w:val="24"/>
          <w:szCs w:val="24"/>
        </w:rPr>
        <w:t>n</w:t>
      </w:r>
      <w:r w:rsidRPr="00606C6A">
        <w:rPr>
          <w:rFonts w:ascii="Garamond" w:hAnsi="Garamond"/>
          <w:sz w:val="24"/>
          <w:szCs w:val="24"/>
        </w:rPr>
        <w:t xml:space="preserve"> insignificant emissions unit is not threatened by lack of regular monitoring and when periodic testing or monitoring is not otherwise required by the applicable requirement, the status quo </w:t>
      </w:r>
      <w:r w:rsidRPr="00550F32">
        <w:rPr>
          <w:rFonts w:ascii="Garamond" w:hAnsi="Garamond"/>
          <w:sz w:val="24"/>
          <w:szCs w:val="24"/>
        </w:rPr>
        <w:t xml:space="preserve">(i.e., no monitoring) </w:t>
      </w:r>
      <w:r w:rsidRPr="00606C6A">
        <w:rPr>
          <w:rFonts w:ascii="Garamond" w:hAnsi="Garamond"/>
          <w:sz w:val="24"/>
          <w:szCs w:val="24"/>
        </w:rPr>
        <w:t>will meet the requirements of ARM 17.8.1212(1).  Therefore, the permit does not include monitoring for insignificant emissions units.</w:t>
      </w:r>
    </w:p>
    <w:p w14:paraId="2AAC6906" w14:textId="77777777" w:rsidR="00633285" w:rsidRPr="00606C6A" w:rsidRDefault="00633285" w:rsidP="007F6D0E">
      <w:pPr>
        <w:rPr>
          <w:rFonts w:ascii="Garamond" w:hAnsi="Garamond"/>
          <w:sz w:val="24"/>
          <w:szCs w:val="24"/>
        </w:rPr>
      </w:pPr>
    </w:p>
    <w:p w14:paraId="3345E120" w14:textId="13769993" w:rsidR="005604CE" w:rsidRDefault="00633285">
      <w:pPr>
        <w:ind w:left="360"/>
        <w:rPr>
          <w:sz w:val="23"/>
          <w:szCs w:val="23"/>
        </w:rPr>
      </w:pPr>
      <w:r w:rsidRPr="00606C6A">
        <w:rPr>
          <w:rFonts w:ascii="Garamond" w:hAnsi="Garamond"/>
          <w:sz w:val="24"/>
          <w:szCs w:val="24"/>
        </w:rPr>
        <w:t xml:space="preserve">The permit includes periodic monitoring or recordkeeping for each applicable requirement.  The information obtained from the monitoring and recordkeeping will be used by the permittee to periodically certify compliance with the emission limits and standards.  However, </w:t>
      </w:r>
      <w:r w:rsidR="00C07B57">
        <w:rPr>
          <w:rFonts w:ascii="Garamond" w:hAnsi="Garamond"/>
          <w:sz w:val="24"/>
          <w:szCs w:val="24"/>
        </w:rPr>
        <w:t>DEQ</w:t>
      </w:r>
      <w:r w:rsidRPr="00606C6A">
        <w:rPr>
          <w:rFonts w:ascii="Garamond" w:hAnsi="Garamond"/>
          <w:sz w:val="24"/>
          <w:szCs w:val="24"/>
        </w:rPr>
        <w:t xml:space="preserve"> may request additional testing to determine compliance with the emission limits and standards.</w:t>
      </w:r>
      <w:r w:rsidR="005604CE" w:rsidRPr="005604CE">
        <w:rPr>
          <w:sz w:val="23"/>
          <w:szCs w:val="23"/>
        </w:rPr>
        <w:t xml:space="preserve"> </w:t>
      </w:r>
    </w:p>
    <w:p w14:paraId="1ADA4937" w14:textId="77777777" w:rsidR="005604CE" w:rsidRDefault="005604CE">
      <w:pPr>
        <w:ind w:left="360"/>
        <w:rPr>
          <w:sz w:val="23"/>
          <w:szCs w:val="23"/>
        </w:rPr>
      </w:pPr>
    </w:p>
    <w:p w14:paraId="43378C7C" w14:textId="77777777" w:rsidR="00633285" w:rsidRPr="00606C6A" w:rsidRDefault="00606C6A" w:rsidP="007F6D0E">
      <w:pPr>
        <w:rPr>
          <w:rFonts w:ascii="Garamond" w:hAnsi="Garamond"/>
          <w:sz w:val="24"/>
          <w:szCs w:val="24"/>
        </w:rPr>
      </w:pPr>
      <w:r>
        <w:rPr>
          <w:rFonts w:ascii="Garamond" w:hAnsi="Garamond"/>
          <w:sz w:val="24"/>
          <w:szCs w:val="24"/>
        </w:rPr>
        <w:br w:type="page"/>
      </w:r>
    </w:p>
    <w:p w14:paraId="45155227" w14:textId="77777777" w:rsidR="00633285" w:rsidRPr="00606C6A" w:rsidRDefault="00633285" w:rsidP="007F6D0E">
      <w:pPr>
        <w:pStyle w:val="Heading2"/>
        <w:spacing w:before="0" w:beforeAutospacing="0" w:after="0" w:afterAutospacing="0"/>
        <w:rPr>
          <w:rFonts w:ascii="Garamond" w:hAnsi="Garamond"/>
          <w:sz w:val="24"/>
          <w:szCs w:val="24"/>
        </w:rPr>
      </w:pPr>
      <w:bookmarkStart w:id="32" w:name="_Toc63146275"/>
      <w:bookmarkStart w:id="33" w:name="_Toc221798839"/>
      <w:r w:rsidRPr="00606C6A">
        <w:rPr>
          <w:rFonts w:ascii="Garamond" w:hAnsi="Garamond"/>
          <w:sz w:val="24"/>
          <w:szCs w:val="24"/>
        </w:rPr>
        <w:lastRenderedPageBreak/>
        <w:t>Test Methods and Procedures</w:t>
      </w:r>
      <w:bookmarkEnd w:id="32"/>
      <w:bookmarkEnd w:id="33"/>
    </w:p>
    <w:p w14:paraId="5DFD8B97" w14:textId="77777777" w:rsidR="00633285" w:rsidRPr="00606C6A" w:rsidRDefault="00633285" w:rsidP="007F6D0E">
      <w:pPr>
        <w:rPr>
          <w:rFonts w:ascii="Garamond" w:hAnsi="Garamond"/>
          <w:sz w:val="24"/>
          <w:szCs w:val="24"/>
        </w:rPr>
      </w:pPr>
    </w:p>
    <w:p w14:paraId="62E10F7F" w14:textId="1BBD84F3" w:rsidR="00633285" w:rsidRPr="00606C6A" w:rsidRDefault="00633285" w:rsidP="007F6D0E">
      <w:pPr>
        <w:ind w:left="360"/>
        <w:rPr>
          <w:rFonts w:ascii="Garamond" w:hAnsi="Garamond"/>
          <w:sz w:val="24"/>
          <w:szCs w:val="24"/>
        </w:rPr>
      </w:pPr>
      <w:r w:rsidRPr="00606C6A">
        <w:rPr>
          <w:rFonts w:ascii="Garamond" w:hAnsi="Garamond"/>
          <w:sz w:val="24"/>
          <w:szCs w:val="24"/>
        </w:rPr>
        <w:t xml:space="preserve">The operating permit may not require testing for all sources if routine monitoring is used to determine compliance, but </w:t>
      </w:r>
      <w:r w:rsidR="00C07B57">
        <w:rPr>
          <w:rFonts w:ascii="Garamond" w:hAnsi="Garamond"/>
          <w:sz w:val="24"/>
          <w:szCs w:val="24"/>
        </w:rPr>
        <w:t>DEQ</w:t>
      </w:r>
      <w:r w:rsidRPr="00606C6A">
        <w:rPr>
          <w:rFonts w:ascii="Garamond" w:hAnsi="Garamond"/>
          <w:sz w:val="24"/>
          <w:szCs w:val="24"/>
        </w:rPr>
        <w:t xml:space="preserve"> has the authority to require testing if deemed necessary to determine compliance with an emission limit or standard.  In addition, the permittee may elect to voluntarily conduct compliance testing to confirm its compliance status.</w:t>
      </w:r>
    </w:p>
    <w:p w14:paraId="6F1C6DB3" w14:textId="77777777" w:rsidR="00633285" w:rsidRPr="00606C6A" w:rsidRDefault="00633285" w:rsidP="007F6D0E">
      <w:pPr>
        <w:rPr>
          <w:rFonts w:ascii="Garamond" w:hAnsi="Garamond"/>
          <w:sz w:val="24"/>
          <w:szCs w:val="24"/>
        </w:rPr>
      </w:pPr>
    </w:p>
    <w:p w14:paraId="30A961D1" w14:textId="77777777" w:rsidR="00633285" w:rsidRPr="00606C6A" w:rsidRDefault="00633285" w:rsidP="007F6D0E">
      <w:pPr>
        <w:pStyle w:val="Heading2"/>
        <w:spacing w:before="0" w:beforeAutospacing="0" w:after="0" w:afterAutospacing="0"/>
        <w:rPr>
          <w:rFonts w:ascii="Garamond" w:hAnsi="Garamond"/>
          <w:sz w:val="24"/>
          <w:szCs w:val="24"/>
        </w:rPr>
      </w:pPr>
      <w:bookmarkStart w:id="34" w:name="_Toc63146276"/>
      <w:bookmarkStart w:id="35" w:name="_Toc221798840"/>
      <w:r w:rsidRPr="00606C6A">
        <w:rPr>
          <w:rFonts w:ascii="Garamond" w:hAnsi="Garamond"/>
          <w:sz w:val="24"/>
          <w:szCs w:val="24"/>
        </w:rPr>
        <w:t>Recordkeeping Requirements</w:t>
      </w:r>
      <w:bookmarkEnd w:id="34"/>
      <w:bookmarkEnd w:id="35"/>
    </w:p>
    <w:p w14:paraId="6D1A5714" w14:textId="77777777" w:rsidR="00633285" w:rsidRPr="00606C6A" w:rsidRDefault="00633285" w:rsidP="007F6D0E">
      <w:pPr>
        <w:rPr>
          <w:rFonts w:ascii="Garamond" w:hAnsi="Garamond"/>
          <w:sz w:val="24"/>
          <w:szCs w:val="24"/>
        </w:rPr>
      </w:pPr>
    </w:p>
    <w:p w14:paraId="268B9766" w14:textId="77777777" w:rsidR="00633285" w:rsidRPr="00606C6A" w:rsidRDefault="00633285">
      <w:pPr>
        <w:pStyle w:val="BodyText"/>
        <w:ind w:left="360"/>
        <w:rPr>
          <w:rFonts w:ascii="Garamond" w:hAnsi="Garamond"/>
          <w:sz w:val="24"/>
          <w:szCs w:val="24"/>
        </w:rPr>
      </w:pPr>
      <w:r w:rsidRPr="00606C6A">
        <w:rPr>
          <w:rFonts w:ascii="Garamond" w:hAnsi="Garamond"/>
          <w:sz w:val="24"/>
          <w:szCs w:val="24"/>
        </w:rPr>
        <w:t>The permittee is required to keep all records listed in the operating permit as a permanent business record for at least five years following the date of the generation of the record.</w:t>
      </w:r>
    </w:p>
    <w:p w14:paraId="543BE4B8" w14:textId="77777777" w:rsidR="00633285" w:rsidRPr="00606C6A" w:rsidRDefault="00633285" w:rsidP="007F6D0E">
      <w:pPr>
        <w:rPr>
          <w:rFonts w:ascii="Garamond" w:hAnsi="Garamond"/>
          <w:sz w:val="24"/>
          <w:szCs w:val="24"/>
        </w:rPr>
      </w:pPr>
    </w:p>
    <w:p w14:paraId="18C23752" w14:textId="77777777" w:rsidR="00633285" w:rsidRPr="00606C6A" w:rsidRDefault="00633285" w:rsidP="007F6D0E">
      <w:pPr>
        <w:pStyle w:val="Heading2"/>
        <w:spacing w:before="0" w:beforeAutospacing="0" w:after="0" w:afterAutospacing="0"/>
        <w:rPr>
          <w:rFonts w:ascii="Garamond" w:hAnsi="Garamond"/>
          <w:sz w:val="24"/>
          <w:szCs w:val="24"/>
        </w:rPr>
      </w:pPr>
      <w:bookmarkStart w:id="36" w:name="_Toc63146277"/>
      <w:bookmarkStart w:id="37" w:name="_Toc221798841"/>
      <w:r w:rsidRPr="00606C6A">
        <w:rPr>
          <w:rFonts w:ascii="Garamond" w:hAnsi="Garamond"/>
          <w:sz w:val="24"/>
          <w:szCs w:val="24"/>
        </w:rPr>
        <w:t>Reporting Requirements</w:t>
      </w:r>
      <w:bookmarkEnd w:id="36"/>
      <w:bookmarkEnd w:id="37"/>
    </w:p>
    <w:p w14:paraId="6DD0FB69" w14:textId="77777777" w:rsidR="00633285" w:rsidRPr="00606C6A" w:rsidRDefault="00633285" w:rsidP="007F6D0E">
      <w:pPr>
        <w:rPr>
          <w:rFonts w:ascii="Garamond" w:hAnsi="Garamond"/>
          <w:sz w:val="24"/>
          <w:szCs w:val="24"/>
        </w:rPr>
      </w:pPr>
    </w:p>
    <w:p w14:paraId="0549D4F2" w14:textId="7502E59C" w:rsidR="00633285" w:rsidRPr="00606C6A" w:rsidRDefault="00633285" w:rsidP="007F6D0E">
      <w:pPr>
        <w:ind w:left="360"/>
        <w:rPr>
          <w:rFonts w:ascii="Garamond" w:hAnsi="Garamond"/>
          <w:sz w:val="24"/>
          <w:szCs w:val="24"/>
        </w:rPr>
      </w:pPr>
      <w:r w:rsidRPr="00606C6A">
        <w:rPr>
          <w:rFonts w:ascii="Garamond" w:hAnsi="Garamond"/>
          <w:sz w:val="24"/>
          <w:szCs w:val="24"/>
        </w:rPr>
        <w:t xml:space="preserve">Reporting requirements are included in the permit for each emissions unit and Section V of the operating permit "General Conditions" explains the reporting requirements.  However, the permittee is required to submit semi-annual and annual monitoring reports to </w:t>
      </w:r>
      <w:r w:rsidR="00C07B57">
        <w:rPr>
          <w:rFonts w:ascii="Garamond" w:hAnsi="Garamond"/>
          <w:sz w:val="24"/>
          <w:szCs w:val="24"/>
        </w:rPr>
        <w:t>DEQ</w:t>
      </w:r>
      <w:r w:rsidRPr="00606C6A">
        <w:rPr>
          <w:rFonts w:ascii="Garamond" w:hAnsi="Garamond"/>
          <w:sz w:val="24"/>
          <w:szCs w:val="24"/>
        </w:rPr>
        <w:t xml:space="preserve"> and to annually certify compliance with the applicable requirements contained in the permit.  The reports must include a list of all emission limit and monitoring deviations, the reason for any deviation, and the corrective action taken </w:t>
      </w:r>
      <w:proofErr w:type="gramStart"/>
      <w:r w:rsidRPr="00606C6A">
        <w:rPr>
          <w:rFonts w:ascii="Garamond" w:hAnsi="Garamond"/>
          <w:sz w:val="24"/>
          <w:szCs w:val="24"/>
        </w:rPr>
        <w:t>as a result of</w:t>
      </w:r>
      <w:proofErr w:type="gramEnd"/>
      <w:r w:rsidRPr="00606C6A">
        <w:rPr>
          <w:rFonts w:ascii="Garamond" w:hAnsi="Garamond"/>
          <w:sz w:val="24"/>
          <w:szCs w:val="24"/>
        </w:rPr>
        <w:t xml:space="preserve"> any deviation.</w:t>
      </w:r>
    </w:p>
    <w:p w14:paraId="7C7B0DAB" w14:textId="77777777" w:rsidR="00633285" w:rsidRPr="00606C6A" w:rsidRDefault="00633285" w:rsidP="007F6D0E">
      <w:pPr>
        <w:rPr>
          <w:rFonts w:ascii="Garamond" w:hAnsi="Garamond"/>
          <w:sz w:val="24"/>
          <w:szCs w:val="24"/>
        </w:rPr>
      </w:pPr>
    </w:p>
    <w:p w14:paraId="6459F180" w14:textId="5C74CD43" w:rsidR="00633285" w:rsidRPr="004A3A39" w:rsidRDefault="004E0132" w:rsidP="004E0132">
      <w:pPr>
        <w:rPr>
          <w:rFonts w:ascii="Garamond" w:hAnsi="Garamond"/>
          <w:sz w:val="24"/>
          <w:szCs w:val="24"/>
        </w:rPr>
        <w:sectPr w:rsidR="00633285" w:rsidRPr="004A3A39" w:rsidSect="001D5FCE">
          <w:pgSz w:w="12240" w:h="15840" w:code="1"/>
          <w:pgMar w:top="1152" w:right="1440" w:bottom="1008" w:left="1440" w:header="720" w:footer="720" w:gutter="0"/>
          <w:cols w:space="720"/>
        </w:sectPr>
      </w:pPr>
      <w:r w:rsidRPr="004A3A39">
        <w:rPr>
          <w:rFonts w:ascii="Garamond" w:hAnsi="Garamond"/>
          <w:sz w:val="24"/>
          <w:szCs w:val="24"/>
        </w:rPr>
        <w:t xml:space="preserve"> </w:t>
      </w:r>
    </w:p>
    <w:p w14:paraId="6992B721" w14:textId="77777777" w:rsidR="00633285" w:rsidRPr="007F6D0E" w:rsidRDefault="00DA6CD9" w:rsidP="007F6D0E">
      <w:pPr>
        <w:pStyle w:val="Heading1"/>
        <w:rPr>
          <w:sz w:val="24"/>
          <w:szCs w:val="24"/>
        </w:rPr>
      </w:pPr>
      <w:r>
        <w:rPr>
          <w:sz w:val="24"/>
          <w:szCs w:val="24"/>
        </w:rPr>
        <w:lastRenderedPageBreak/>
        <w:t xml:space="preserve">   </w:t>
      </w:r>
      <w:bookmarkStart w:id="38" w:name="_Toc63146280"/>
      <w:bookmarkStart w:id="39" w:name="_Toc221798842"/>
      <w:r w:rsidR="00633285" w:rsidRPr="007F6D0E">
        <w:rPr>
          <w:sz w:val="24"/>
          <w:szCs w:val="24"/>
        </w:rPr>
        <w:t>NON-APPLICABLE REQUIREMENT ANALYSIS</w:t>
      </w:r>
      <w:bookmarkEnd w:id="38"/>
      <w:bookmarkEnd w:id="39"/>
    </w:p>
    <w:p w14:paraId="3C8861F4" w14:textId="77777777" w:rsidR="002F2BA5" w:rsidRPr="007F6D0E" w:rsidRDefault="002F2BA5" w:rsidP="007F6D0E">
      <w:pPr>
        <w:rPr>
          <w:sz w:val="24"/>
          <w:szCs w:val="24"/>
        </w:rPr>
      </w:pPr>
    </w:p>
    <w:p w14:paraId="572295DF" w14:textId="02E1A22F" w:rsidR="00654D16" w:rsidRPr="00654D16" w:rsidRDefault="00654D16" w:rsidP="00654D16">
      <w:pPr>
        <w:widowControl w:val="0"/>
        <w:autoSpaceDE w:val="0"/>
        <w:autoSpaceDN w:val="0"/>
        <w:adjustRightInd w:val="0"/>
        <w:rPr>
          <w:rFonts w:ascii="Garamond" w:hAnsi="Garamond"/>
          <w:sz w:val="24"/>
          <w:szCs w:val="24"/>
          <w:highlight w:val="yellow"/>
        </w:rPr>
      </w:pPr>
      <w:r w:rsidRPr="00654D16">
        <w:rPr>
          <w:rFonts w:ascii="Garamond" w:hAnsi="Garamond"/>
          <w:sz w:val="24"/>
          <w:szCs w:val="24"/>
        </w:rPr>
        <w:t xml:space="preserve">Section IV of the operating permit, “Non-applicable Requirements”, contains the requirements that </w:t>
      </w:r>
      <w:r w:rsidR="00315347">
        <w:rPr>
          <w:rFonts w:ascii="Garamond" w:hAnsi="Garamond"/>
          <w:sz w:val="24"/>
          <w:szCs w:val="24"/>
        </w:rPr>
        <w:t>DEQ</w:t>
      </w:r>
      <w:r w:rsidRPr="00654D16">
        <w:rPr>
          <w:rFonts w:ascii="Garamond" w:hAnsi="Garamond"/>
          <w:sz w:val="24"/>
          <w:szCs w:val="24"/>
        </w:rPr>
        <w:t xml:space="preserve"> determined were non-applicable.  This section typically outlines those requirements for which the applicant requested a shield, but no shield was provided for.  </w:t>
      </w:r>
    </w:p>
    <w:p w14:paraId="64DC69BF" w14:textId="77777777" w:rsidR="00654D16" w:rsidRPr="00654D16" w:rsidRDefault="00654D16" w:rsidP="00654D16">
      <w:pPr>
        <w:widowControl w:val="0"/>
        <w:autoSpaceDE w:val="0"/>
        <w:autoSpaceDN w:val="0"/>
        <w:adjustRightInd w:val="0"/>
        <w:rPr>
          <w:rFonts w:ascii="Garamond" w:hAnsi="Garamond"/>
          <w:sz w:val="24"/>
          <w:szCs w:val="24"/>
          <w:highlight w:val="yellow"/>
        </w:rPr>
      </w:pPr>
    </w:p>
    <w:p w14:paraId="76D1A724" w14:textId="77777777" w:rsidR="00654D16" w:rsidRPr="00654D16" w:rsidRDefault="00654D16" w:rsidP="00654D16">
      <w:pPr>
        <w:rPr>
          <w:rFonts w:ascii="Garamond" w:hAnsi="Garamond"/>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4428"/>
      </w:tblGrid>
      <w:tr w:rsidR="00654D16" w:rsidRPr="00654D16" w14:paraId="162CCABC" w14:textId="77777777" w:rsidTr="0079629A">
        <w:trPr>
          <w:cantSplit/>
          <w:tblHeader/>
        </w:trPr>
        <w:tc>
          <w:tcPr>
            <w:tcW w:w="4320" w:type="dxa"/>
            <w:tcBorders>
              <w:top w:val="double" w:sz="4" w:space="0" w:color="auto"/>
              <w:left w:val="double" w:sz="4" w:space="0" w:color="auto"/>
              <w:bottom w:val="double" w:sz="4" w:space="0" w:color="auto"/>
            </w:tcBorders>
            <w:shd w:val="clear" w:color="auto" w:fill="F3F3F3"/>
            <w:vAlign w:val="center"/>
          </w:tcPr>
          <w:p w14:paraId="6405F95A" w14:textId="77777777" w:rsidR="00654D16" w:rsidRPr="00654D16" w:rsidRDefault="00654D16" w:rsidP="00654D16">
            <w:pPr>
              <w:spacing w:after="58"/>
              <w:jc w:val="center"/>
              <w:rPr>
                <w:rFonts w:ascii="Garamond" w:hAnsi="Garamond"/>
                <w:b/>
                <w:sz w:val="22"/>
                <w:szCs w:val="22"/>
              </w:rPr>
            </w:pPr>
            <w:r w:rsidRPr="00654D16">
              <w:rPr>
                <w:rFonts w:ascii="Garamond" w:hAnsi="Garamond"/>
                <w:b/>
                <w:sz w:val="22"/>
                <w:szCs w:val="22"/>
              </w:rPr>
              <w:t>Applicable Requirement</w:t>
            </w:r>
          </w:p>
        </w:tc>
        <w:tc>
          <w:tcPr>
            <w:tcW w:w="4428" w:type="dxa"/>
            <w:tcBorders>
              <w:top w:val="double" w:sz="4" w:space="0" w:color="auto"/>
              <w:bottom w:val="double" w:sz="4" w:space="0" w:color="auto"/>
              <w:right w:val="double" w:sz="4" w:space="0" w:color="auto"/>
            </w:tcBorders>
            <w:shd w:val="clear" w:color="auto" w:fill="F3F3F3"/>
            <w:vAlign w:val="center"/>
          </w:tcPr>
          <w:p w14:paraId="543BD37A" w14:textId="77777777" w:rsidR="00654D16" w:rsidRPr="00654D16" w:rsidRDefault="00654D16" w:rsidP="00654D16">
            <w:pPr>
              <w:spacing w:after="58"/>
              <w:jc w:val="center"/>
              <w:rPr>
                <w:rFonts w:ascii="Garamond" w:hAnsi="Garamond"/>
                <w:b/>
                <w:sz w:val="22"/>
                <w:szCs w:val="22"/>
              </w:rPr>
            </w:pPr>
            <w:r w:rsidRPr="00654D16">
              <w:rPr>
                <w:rFonts w:ascii="Garamond" w:hAnsi="Garamond"/>
                <w:b/>
                <w:sz w:val="22"/>
                <w:szCs w:val="22"/>
              </w:rPr>
              <w:t>Reason</w:t>
            </w:r>
          </w:p>
        </w:tc>
      </w:tr>
      <w:tr w:rsidR="00654D16" w:rsidRPr="00654D16" w14:paraId="3DDF72C5" w14:textId="77777777" w:rsidTr="0079629A">
        <w:trPr>
          <w:cantSplit/>
        </w:trPr>
        <w:tc>
          <w:tcPr>
            <w:tcW w:w="8748" w:type="dxa"/>
            <w:gridSpan w:val="2"/>
            <w:tcBorders>
              <w:top w:val="double" w:sz="4" w:space="0" w:color="auto"/>
              <w:left w:val="double" w:sz="4" w:space="0" w:color="auto"/>
              <w:right w:val="double" w:sz="4" w:space="0" w:color="auto"/>
            </w:tcBorders>
            <w:shd w:val="clear" w:color="auto" w:fill="F3F3F3"/>
            <w:vAlign w:val="center"/>
          </w:tcPr>
          <w:p w14:paraId="4F6A58DA" w14:textId="77777777" w:rsidR="00654D16" w:rsidRPr="00654D16" w:rsidRDefault="00654D16" w:rsidP="00654D16">
            <w:pPr>
              <w:jc w:val="center"/>
              <w:rPr>
                <w:rFonts w:ascii="Garamond" w:hAnsi="Garamond"/>
                <w:b/>
                <w:bCs/>
                <w:sz w:val="22"/>
                <w:szCs w:val="22"/>
              </w:rPr>
            </w:pPr>
            <w:r w:rsidRPr="00654D16">
              <w:rPr>
                <w:rFonts w:ascii="Garamond" w:hAnsi="Garamond"/>
                <w:b/>
                <w:bCs/>
                <w:sz w:val="22"/>
                <w:szCs w:val="22"/>
              </w:rPr>
              <w:t>Sub-Chapter 1 General Provisions</w:t>
            </w:r>
          </w:p>
        </w:tc>
      </w:tr>
      <w:tr w:rsidR="00654D16" w:rsidRPr="00654D16" w14:paraId="0FCFB8F8" w14:textId="77777777" w:rsidTr="0079629A">
        <w:trPr>
          <w:cantSplit/>
          <w:trHeight w:val="240"/>
        </w:trPr>
        <w:tc>
          <w:tcPr>
            <w:tcW w:w="4320" w:type="dxa"/>
            <w:tcBorders>
              <w:left w:val="double" w:sz="4" w:space="0" w:color="auto"/>
            </w:tcBorders>
            <w:vAlign w:val="center"/>
          </w:tcPr>
          <w:p w14:paraId="4042C5A9" w14:textId="77777777" w:rsidR="00654D16" w:rsidRPr="00654D16" w:rsidRDefault="00654D16" w:rsidP="00654D16">
            <w:pPr>
              <w:rPr>
                <w:rFonts w:ascii="Garamond" w:hAnsi="Garamond"/>
                <w:sz w:val="22"/>
                <w:szCs w:val="22"/>
              </w:rPr>
            </w:pPr>
            <w:r w:rsidRPr="00654D16">
              <w:rPr>
                <w:rFonts w:ascii="Garamond" w:hAnsi="Garamond"/>
                <w:sz w:val="22"/>
                <w:szCs w:val="22"/>
              </w:rPr>
              <w:t>ARM 17.8.120 to 121 Variance Procedures</w:t>
            </w:r>
          </w:p>
          <w:p w14:paraId="5CA5B2EB" w14:textId="77777777" w:rsidR="00654D16" w:rsidRPr="00654D16" w:rsidRDefault="00654D16" w:rsidP="00654D16">
            <w:pPr>
              <w:rPr>
                <w:rFonts w:ascii="Garamond" w:hAnsi="Garamond"/>
                <w:sz w:val="22"/>
                <w:szCs w:val="22"/>
              </w:rPr>
            </w:pPr>
            <w:r w:rsidRPr="00654D16">
              <w:rPr>
                <w:rFonts w:ascii="Garamond" w:hAnsi="Garamond"/>
                <w:sz w:val="22"/>
                <w:szCs w:val="22"/>
              </w:rPr>
              <w:t>ARM 17.8.130 and ARM 17.8.131 Enforcement Procedures – Appeal to Board</w:t>
            </w:r>
          </w:p>
          <w:p w14:paraId="5BCDC8FF" w14:textId="77777777" w:rsidR="00654D16" w:rsidRPr="00654D16" w:rsidRDefault="00654D16" w:rsidP="00654D16">
            <w:pPr>
              <w:rPr>
                <w:rFonts w:ascii="Garamond" w:hAnsi="Garamond"/>
                <w:sz w:val="22"/>
                <w:szCs w:val="22"/>
              </w:rPr>
            </w:pPr>
            <w:r w:rsidRPr="00654D16">
              <w:rPr>
                <w:rFonts w:ascii="Garamond" w:hAnsi="Garamond"/>
                <w:sz w:val="22"/>
                <w:szCs w:val="22"/>
              </w:rPr>
              <w:t>ARM 17.8.140 Rehearing Procedures – Form and Filing of Petition</w:t>
            </w:r>
          </w:p>
          <w:p w14:paraId="00A4C07F" w14:textId="77777777" w:rsidR="00654D16" w:rsidRPr="00654D16" w:rsidRDefault="00654D16" w:rsidP="00654D16">
            <w:pPr>
              <w:rPr>
                <w:rFonts w:ascii="Garamond" w:hAnsi="Garamond"/>
                <w:sz w:val="22"/>
                <w:szCs w:val="22"/>
                <w:highlight w:val="yellow"/>
              </w:rPr>
            </w:pPr>
            <w:r w:rsidRPr="00654D16">
              <w:rPr>
                <w:rFonts w:ascii="Garamond" w:hAnsi="Garamond"/>
                <w:sz w:val="22"/>
                <w:szCs w:val="22"/>
              </w:rPr>
              <w:t>ARM 17.8.141 Rehearing Procedures – Filing Requirements</w:t>
            </w:r>
          </w:p>
        </w:tc>
        <w:tc>
          <w:tcPr>
            <w:tcW w:w="4428" w:type="dxa"/>
            <w:tcBorders>
              <w:right w:val="double" w:sz="4" w:space="0" w:color="auto"/>
            </w:tcBorders>
            <w:vAlign w:val="center"/>
          </w:tcPr>
          <w:p w14:paraId="4B798427" w14:textId="77777777" w:rsidR="00654D16" w:rsidRPr="00654D16" w:rsidRDefault="00654D16" w:rsidP="00654D16">
            <w:pPr>
              <w:spacing w:after="58"/>
              <w:rPr>
                <w:rFonts w:ascii="Garamond" w:hAnsi="Garamond"/>
                <w:sz w:val="22"/>
                <w:szCs w:val="22"/>
                <w:highlight w:val="yellow"/>
              </w:rPr>
            </w:pPr>
            <w:r w:rsidRPr="00654D16">
              <w:rPr>
                <w:rFonts w:ascii="Garamond" w:hAnsi="Garamond"/>
                <w:sz w:val="22"/>
                <w:szCs w:val="22"/>
              </w:rPr>
              <w:t xml:space="preserve">These are procedural rules that have specific requirements that may become relevant to a major source during the permit span.  </w:t>
            </w:r>
          </w:p>
        </w:tc>
      </w:tr>
      <w:tr w:rsidR="00654D16" w:rsidRPr="00654D16" w14:paraId="75139635" w14:textId="77777777" w:rsidTr="0079629A">
        <w:trPr>
          <w:cantSplit/>
          <w:trHeight w:val="962"/>
        </w:trPr>
        <w:tc>
          <w:tcPr>
            <w:tcW w:w="4320" w:type="dxa"/>
            <w:tcBorders>
              <w:left w:val="double" w:sz="4" w:space="0" w:color="auto"/>
            </w:tcBorders>
            <w:vAlign w:val="center"/>
          </w:tcPr>
          <w:p w14:paraId="2EF7B725" w14:textId="77777777" w:rsidR="00654D16" w:rsidRPr="00654D16" w:rsidRDefault="00654D16" w:rsidP="00654D16">
            <w:pPr>
              <w:spacing w:after="58"/>
              <w:rPr>
                <w:rFonts w:ascii="Garamond" w:hAnsi="Garamond"/>
                <w:sz w:val="22"/>
                <w:szCs w:val="22"/>
              </w:rPr>
            </w:pPr>
            <w:r w:rsidRPr="00654D16">
              <w:rPr>
                <w:rFonts w:ascii="Garamond" w:hAnsi="Garamond"/>
                <w:sz w:val="22"/>
                <w:szCs w:val="22"/>
              </w:rPr>
              <w:t>ARM 17.8.142  Rehearing Procedures – Board Review</w:t>
            </w:r>
          </w:p>
        </w:tc>
        <w:tc>
          <w:tcPr>
            <w:tcW w:w="4428" w:type="dxa"/>
            <w:tcBorders>
              <w:right w:val="double" w:sz="4" w:space="0" w:color="auto"/>
            </w:tcBorders>
            <w:vAlign w:val="center"/>
          </w:tcPr>
          <w:p w14:paraId="7039D0FE" w14:textId="77777777" w:rsidR="00654D16" w:rsidRPr="00654D16" w:rsidRDefault="00654D16" w:rsidP="00654D16">
            <w:pPr>
              <w:spacing w:after="58"/>
              <w:rPr>
                <w:rFonts w:ascii="Garamond" w:hAnsi="Garamond"/>
                <w:sz w:val="22"/>
                <w:szCs w:val="22"/>
              </w:rPr>
            </w:pPr>
            <w:r w:rsidRPr="00654D16">
              <w:rPr>
                <w:rFonts w:ascii="Garamond" w:hAnsi="Garamond"/>
                <w:sz w:val="22"/>
                <w:szCs w:val="22"/>
              </w:rPr>
              <w:t>These rules contain requirements for the regulatory authorities and not major sources; however, they can be used as authority to impose specific requirements on a major source.</w:t>
            </w:r>
          </w:p>
        </w:tc>
      </w:tr>
      <w:tr w:rsidR="00654D16" w:rsidRPr="00654D16" w14:paraId="5914B375" w14:textId="77777777" w:rsidTr="0079629A">
        <w:trPr>
          <w:cantSplit/>
        </w:trPr>
        <w:tc>
          <w:tcPr>
            <w:tcW w:w="8748" w:type="dxa"/>
            <w:gridSpan w:val="2"/>
            <w:tcBorders>
              <w:left w:val="double" w:sz="4" w:space="0" w:color="auto"/>
              <w:right w:val="double" w:sz="4" w:space="0" w:color="auto"/>
            </w:tcBorders>
            <w:shd w:val="clear" w:color="auto" w:fill="F3F3F3"/>
            <w:vAlign w:val="center"/>
          </w:tcPr>
          <w:p w14:paraId="0B766BDD" w14:textId="77777777" w:rsidR="00654D16" w:rsidRPr="00654D16" w:rsidRDefault="00654D16" w:rsidP="00654D16">
            <w:pPr>
              <w:jc w:val="center"/>
              <w:rPr>
                <w:rFonts w:ascii="Garamond" w:hAnsi="Garamond"/>
                <w:b/>
                <w:bCs/>
                <w:sz w:val="22"/>
                <w:szCs w:val="22"/>
              </w:rPr>
            </w:pPr>
            <w:r w:rsidRPr="00654D16">
              <w:rPr>
                <w:rFonts w:ascii="Garamond" w:hAnsi="Garamond"/>
                <w:b/>
                <w:bCs/>
                <w:sz w:val="22"/>
                <w:szCs w:val="22"/>
              </w:rPr>
              <w:t>Sub-Chapter 5 Air Quality Permit Application, Operation and Open Burning Fees</w:t>
            </w:r>
          </w:p>
        </w:tc>
      </w:tr>
      <w:tr w:rsidR="00654D16" w:rsidRPr="00654D16" w14:paraId="09214EB6" w14:textId="77777777" w:rsidTr="0079629A">
        <w:trPr>
          <w:cantSplit/>
          <w:trHeight w:val="900"/>
        </w:trPr>
        <w:tc>
          <w:tcPr>
            <w:tcW w:w="4320" w:type="dxa"/>
            <w:tcBorders>
              <w:left w:val="double" w:sz="4" w:space="0" w:color="auto"/>
            </w:tcBorders>
            <w:vAlign w:val="center"/>
          </w:tcPr>
          <w:p w14:paraId="0A3575DC" w14:textId="77777777" w:rsidR="00654D16" w:rsidRPr="00654D16" w:rsidRDefault="00654D16" w:rsidP="00654D16">
            <w:pPr>
              <w:rPr>
                <w:rFonts w:ascii="Garamond" w:hAnsi="Garamond"/>
                <w:sz w:val="22"/>
                <w:szCs w:val="22"/>
              </w:rPr>
            </w:pPr>
            <w:r w:rsidRPr="00654D16">
              <w:rPr>
                <w:rFonts w:ascii="Garamond" w:hAnsi="Garamond"/>
                <w:sz w:val="22"/>
                <w:szCs w:val="22"/>
              </w:rPr>
              <w:t>ARM 17.8.510 Annual Review</w:t>
            </w:r>
          </w:p>
        </w:tc>
        <w:tc>
          <w:tcPr>
            <w:tcW w:w="4428" w:type="dxa"/>
            <w:tcBorders>
              <w:right w:val="double" w:sz="4" w:space="0" w:color="auto"/>
            </w:tcBorders>
            <w:vAlign w:val="center"/>
          </w:tcPr>
          <w:p w14:paraId="3FF7310B" w14:textId="77777777" w:rsidR="00654D16" w:rsidRPr="00654D16" w:rsidRDefault="00654D16" w:rsidP="00654D16">
            <w:pPr>
              <w:rPr>
                <w:rFonts w:ascii="Garamond" w:hAnsi="Garamond"/>
                <w:sz w:val="22"/>
                <w:szCs w:val="22"/>
              </w:rPr>
            </w:pPr>
            <w:r w:rsidRPr="00654D16">
              <w:rPr>
                <w:rFonts w:ascii="Garamond" w:hAnsi="Garamond"/>
                <w:sz w:val="22"/>
                <w:szCs w:val="22"/>
              </w:rPr>
              <w:t>This rule contains requirements for the regulatory authorities and not major sources; however, it can be used as authority to impose specific requirements on a major source.</w:t>
            </w:r>
          </w:p>
        </w:tc>
      </w:tr>
      <w:tr w:rsidR="00654D16" w:rsidRPr="00654D16" w14:paraId="670DC7C8" w14:textId="77777777" w:rsidTr="0079629A">
        <w:trPr>
          <w:cantSplit/>
          <w:trHeight w:val="900"/>
        </w:trPr>
        <w:tc>
          <w:tcPr>
            <w:tcW w:w="4320" w:type="dxa"/>
            <w:tcBorders>
              <w:left w:val="double" w:sz="4" w:space="0" w:color="auto"/>
            </w:tcBorders>
            <w:vAlign w:val="center"/>
          </w:tcPr>
          <w:p w14:paraId="5DD55C2E" w14:textId="77777777" w:rsidR="00654D16" w:rsidRPr="00654D16" w:rsidRDefault="00654D16" w:rsidP="00654D16">
            <w:pPr>
              <w:rPr>
                <w:rFonts w:ascii="Garamond" w:hAnsi="Garamond"/>
                <w:sz w:val="22"/>
                <w:szCs w:val="22"/>
              </w:rPr>
            </w:pPr>
            <w:r w:rsidRPr="00654D16">
              <w:rPr>
                <w:rFonts w:ascii="Garamond" w:hAnsi="Garamond"/>
                <w:sz w:val="22"/>
                <w:szCs w:val="22"/>
              </w:rPr>
              <w:t>ARM 17.8.511 Air Quality Permit Application/Operation Fee Assessment Appeal Procedures</w:t>
            </w:r>
          </w:p>
          <w:p w14:paraId="5D3E362A" w14:textId="77777777" w:rsidR="00654D16" w:rsidRPr="00654D16" w:rsidRDefault="00654D16" w:rsidP="00654D16">
            <w:pPr>
              <w:rPr>
                <w:rFonts w:ascii="Garamond" w:hAnsi="Garamond"/>
                <w:sz w:val="22"/>
                <w:szCs w:val="22"/>
              </w:rPr>
            </w:pPr>
            <w:r w:rsidRPr="00654D16">
              <w:rPr>
                <w:rFonts w:ascii="Garamond" w:hAnsi="Garamond"/>
                <w:sz w:val="22"/>
                <w:szCs w:val="22"/>
              </w:rPr>
              <w:t>ARM 17.8.514 Air Quality Open Burning Fees</w:t>
            </w:r>
          </w:p>
          <w:p w14:paraId="36B0C0DA" w14:textId="77777777" w:rsidR="00654D16" w:rsidRPr="00654D16" w:rsidRDefault="00654D16" w:rsidP="00654D16">
            <w:pPr>
              <w:rPr>
                <w:rFonts w:ascii="Garamond" w:hAnsi="Garamond"/>
                <w:sz w:val="22"/>
                <w:szCs w:val="22"/>
              </w:rPr>
            </w:pPr>
            <w:r w:rsidRPr="00654D16">
              <w:rPr>
                <w:rFonts w:ascii="Garamond" w:hAnsi="Garamond"/>
                <w:sz w:val="22"/>
                <w:szCs w:val="22"/>
              </w:rPr>
              <w:t>ARM 17.8.515 Air Quality Open Burning Fees for Conditional, Emergency, Christmas Tree Waste, and Commercial Film Production Open Burning Permits</w:t>
            </w:r>
          </w:p>
        </w:tc>
        <w:tc>
          <w:tcPr>
            <w:tcW w:w="4428" w:type="dxa"/>
            <w:tcBorders>
              <w:right w:val="double" w:sz="4" w:space="0" w:color="auto"/>
            </w:tcBorders>
            <w:vAlign w:val="center"/>
          </w:tcPr>
          <w:p w14:paraId="35E32BA2" w14:textId="77777777" w:rsidR="00654D16" w:rsidRPr="00654D16" w:rsidRDefault="00654D16" w:rsidP="00654D16">
            <w:pPr>
              <w:rPr>
                <w:rFonts w:ascii="Garamond" w:hAnsi="Garamond"/>
                <w:sz w:val="22"/>
                <w:szCs w:val="22"/>
              </w:rPr>
            </w:pPr>
            <w:r w:rsidRPr="00654D16">
              <w:rPr>
                <w:rFonts w:ascii="Garamond" w:hAnsi="Garamond"/>
                <w:sz w:val="22"/>
                <w:szCs w:val="22"/>
              </w:rPr>
              <w:t xml:space="preserve">These are procedural rules that have specific requirements that may become relevant to a major source during the permit span.  </w:t>
            </w:r>
          </w:p>
        </w:tc>
      </w:tr>
      <w:tr w:rsidR="00654D16" w:rsidRPr="00654D16" w14:paraId="65E96809" w14:textId="77777777" w:rsidTr="0079629A">
        <w:trPr>
          <w:cantSplit/>
        </w:trPr>
        <w:tc>
          <w:tcPr>
            <w:tcW w:w="8748" w:type="dxa"/>
            <w:gridSpan w:val="2"/>
            <w:tcBorders>
              <w:left w:val="double" w:sz="4" w:space="0" w:color="auto"/>
              <w:right w:val="double" w:sz="4" w:space="0" w:color="auto"/>
            </w:tcBorders>
            <w:shd w:val="clear" w:color="auto" w:fill="F3F3F3"/>
            <w:vAlign w:val="center"/>
          </w:tcPr>
          <w:p w14:paraId="16B62D02" w14:textId="77777777" w:rsidR="00654D16" w:rsidRPr="00654D16" w:rsidRDefault="00654D16" w:rsidP="00654D16">
            <w:pPr>
              <w:jc w:val="center"/>
              <w:rPr>
                <w:rFonts w:ascii="Garamond" w:hAnsi="Garamond"/>
                <w:b/>
                <w:bCs/>
                <w:sz w:val="22"/>
                <w:szCs w:val="22"/>
              </w:rPr>
            </w:pPr>
            <w:r w:rsidRPr="00654D16">
              <w:rPr>
                <w:rFonts w:ascii="Garamond" w:hAnsi="Garamond"/>
                <w:b/>
                <w:bCs/>
                <w:sz w:val="22"/>
                <w:szCs w:val="22"/>
              </w:rPr>
              <w:t>Sub-Chapter 6 Open Burning</w:t>
            </w:r>
          </w:p>
        </w:tc>
      </w:tr>
      <w:tr w:rsidR="00654D16" w:rsidRPr="00654D16" w14:paraId="3B59A998" w14:textId="77777777" w:rsidTr="0079629A">
        <w:trPr>
          <w:cantSplit/>
          <w:trHeight w:val="900"/>
        </w:trPr>
        <w:tc>
          <w:tcPr>
            <w:tcW w:w="4320" w:type="dxa"/>
            <w:tcBorders>
              <w:left w:val="double" w:sz="4" w:space="0" w:color="auto"/>
            </w:tcBorders>
            <w:vAlign w:val="center"/>
          </w:tcPr>
          <w:p w14:paraId="464917F5" w14:textId="77777777" w:rsidR="00654D16" w:rsidRPr="00654D16" w:rsidRDefault="00654D16" w:rsidP="00654D16">
            <w:pPr>
              <w:rPr>
                <w:rFonts w:ascii="Garamond" w:hAnsi="Garamond"/>
                <w:sz w:val="22"/>
                <w:szCs w:val="22"/>
              </w:rPr>
            </w:pPr>
            <w:r w:rsidRPr="00654D16">
              <w:rPr>
                <w:rFonts w:ascii="Garamond" w:hAnsi="Garamond"/>
                <w:sz w:val="22"/>
                <w:szCs w:val="22"/>
              </w:rPr>
              <w:t>ARM 17.8.611 Emergency Open Burning Permits</w:t>
            </w:r>
          </w:p>
          <w:p w14:paraId="7D28E10D" w14:textId="77777777" w:rsidR="00654D16" w:rsidRPr="00654D16" w:rsidRDefault="00654D16" w:rsidP="00654D16">
            <w:pPr>
              <w:rPr>
                <w:rFonts w:ascii="Garamond" w:hAnsi="Garamond"/>
                <w:sz w:val="22"/>
                <w:szCs w:val="22"/>
              </w:rPr>
            </w:pPr>
            <w:r w:rsidRPr="00654D16">
              <w:rPr>
                <w:rFonts w:ascii="Garamond" w:hAnsi="Garamond"/>
                <w:sz w:val="22"/>
                <w:szCs w:val="22"/>
              </w:rPr>
              <w:t>ARM 17.8.612 Conditional Air Quality Open Burning Permits</w:t>
            </w:r>
          </w:p>
          <w:p w14:paraId="244EA1C4" w14:textId="77777777" w:rsidR="00654D16" w:rsidRPr="00654D16" w:rsidRDefault="00654D16" w:rsidP="00654D16">
            <w:pPr>
              <w:rPr>
                <w:rFonts w:ascii="Garamond" w:hAnsi="Garamond"/>
                <w:sz w:val="22"/>
                <w:szCs w:val="22"/>
              </w:rPr>
            </w:pPr>
            <w:r w:rsidRPr="00654D16">
              <w:rPr>
                <w:rFonts w:ascii="Garamond" w:hAnsi="Garamond"/>
                <w:sz w:val="22"/>
                <w:szCs w:val="22"/>
              </w:rPr>
              <w:t>ARM 17.8.613 Christmas Tree Waste Open Burning Permits</w:t>
            </w:r>
          </w:p>
          <w:p w14:paraId="77A0A15C" w14:textId="77777777" w:rsidR="00654D16" w:rsidRPr="00654D16" w:rsidRDefault="00654D16" w:rsidP="00654D16">
            <w:pPr>
              <w:rPr>
                <w:rFonts w:ascii="Garamond" w:hAnsi="Garamond"/>
                <w:sz w:val="22"/>
                <w:szCs w:val="22"/>
              </w:rPr>
            </w:pPr>
            <w:r w:rsidRPr="00654D16">
              <w:rPr>
                <w:rFonts w:ascii="Garamond" w:hAnsi="Garamond"/>
                <w:sz w:val="22"/>
                <w:szCs w:val="22"/>
              </w:rPr>
              <w:t>ARM 17.8.614 Commercial Film Production Open Burning Permits</w:t>
            </w:r>
          </w:p>
          <w:p w14:paraId="685B395C" w14:textId="77777777" w:rsidR="00654D16" w:rsidRPr="00654D16" w:rsidRDefault="00654D16" w:rsidP="00654D16">
            <w:pPr>
              <w:rPr>
                <w:rFonts w:ascii="Garamond" w:hAnsi="Garamond"/>
                <w:sz w:val="22"/>
                <w:szCs w:val="22"/>
              </w:rPr>
            </w:pPr>
            <w:r w:rsidRPr="00654D16">
              <w:rPr>
                <w:rFonts w:ascii="Garamond" w:hAnsi="Garamond"/>
                <w:sz w:val="22"/>
                <w:szCs w:val="22"/>
              </w:rPr>
              <w:t>ARM 17.8.615 Firefighter Training</w:t>
            </w:r>
          </w:p>
        </w:tc>
        <w:tc>
          <w:tcPr>
            <w:tcW w:w="4428" w:type="dxa"/>
            <w:tcBorders>
              <w:right w:val="double" w:sz="4" w:space="0" w:color="auto"/>
            </w:tcBorders>
            <w:vAlign w:val="center"/>
          </w:tcPr>
          <w:p w14:paraId="0EB470D7" w14:textId="77777777" w:rsidR="00654D16" w:rsidRPr="00654D16" w:rsidRDefault="00654D16" w:rsidP="00654D16">
            <w:pPr>
              <w:rPr>
                <w:rFonts w:ascii="Garamond" w:hAnsi="Garamond"/>
                <w:sz w:val="22"/>
                <w:szCs w:val="22"/>
              </w:rPr>
            </w:pPr>
            <w:r w:rsidRPr="00654D16">
              <w:rPr>
                <w:rFonts w:ascii="Garamond" w:hAnsi="Garamond"/>
                <w:sz w:val="22"/>
                <w:szCs w:val="22"/>
              </w:rPr>
              <w:t xml:space="preserve">These are procedural rules that have specific requirements that may become relevant to a major source during the permit span.  </w:t>
            </w:r>
          </w:p>
        </w:tc>
      </w:tr>
      <w:tr w:rsidR="00654D16" w:rsidRPr="00654D16" w14:paraId="21A70F6B" w14:textId="77777777" w:rsidTr="0079629A">
        <w:trPr>
          <w:cantSplit/>
        </w:trPr>
        <w:tc>
          <w:tcPr>
            <w:tcW w:w="8748" w:type="dxa"/>
            <w:gridSpan w:val="2"/>
            <w:tcBorders>
              <w:left w:val="double" w:sz="4" w:space="0" w:color="auto"/>
              <w:right w:val="double" w:sz="4" w:space="0" w:color="auto"/>
            </w:tcBorders>
            <w:shd w:val="clear" w:color="auto" w:fill="F3F3F3"/>
            <w:vAlign w:val="center"/>
          </w:tcPr>
          <w:p w14:paraId="79CBFC9D" w14:textId="77777777" w:rsidR="00654D16" w:rsidRPr="00654D16" w:rsidRDefault="00654D16" w:rsidP="00654D16">
            <w:pPr>
              <w:jc w:val="center"/>
              <w:rPr>
                <w:rFonts w:ascii="Garamond" w:hAnsi="Garamond"/>
                <w:b/>
                <w:bCs/>
                <w:sz w:val="22"/>
                <w:szCs w:val="22"/>
              </w:rPr>
            </w:pPr>
            <w:r w:rsidRPr="00654D16">
              <w:rPr>
                <w:rFonts w:ascii="Garamond" w:hAnsi="Garamond"/>
                <w:b/>
                <w:bCs/>
                <w:sz w:val="22"/>
                <w:szCs w:val="22"/>
              </w:rPr>
              <w:t>Sub-Chapter 8 Prevention of Significant Deterioration</w:t>
            </w:r>
          </w:p>
        </w:tc>
      </w:tr>
      <w:tr w:rsidR="00654D16" w:rsidRPr="00654D16" w14:paraId="5B403C3F" w14:textId="77777777" w:rsidTr="0079629A">
        <w:trPr>
          <w:cantSplit/>
          <w:trHeight w:val="900"/>
        </w:trPr>
        <w:tc>
          <w:tcPr>
            <w:tcW w:w="4320" w:type="dxa"/>
            <w:tcBorders>
              <w:left w:val="double" w:sz="4" w:space="0" w:color="auto"/>
            </w:tcBorders>
            <w:vAlign w:val="center"/>
          </w:tcPr>
          <w:p w14:paraId="2107436E" w14:textId="77777777" w:rsidR="00654D16" w:rsidRPr="00654D16" w:rsidRDefault="00654D16" w:rsidP="00654D16">
            <w:pPr>
              <w:rPr>
                <w:rFonts w:ascii="Garamond" w:hAnsi="Garamond"/>
                <w:sz w:val="22"/>
                <w:szCs w:val="22"/>
              </w:rPr>
            </w:pPr>
            <w:r w:rsidRPr="00654D16">
              <w:rPr>
                <w:rFonts w:ascii="Garamond" w:hAnsi="Garamond"/>
                <w:sz w:val="22"/>
                <w:szCs w:val="22"/>
              </w:rPr>
              <w:t>ARM 17.8. Subchapter 8</w:t>
            </w:r>
          </w:p>
          <w:p w14:paraId="2EB29859" w14:textId="77777777" w:rsidR="00654D16" w:rsidRPr="00654D16" w:rsidRDefault="00654D16" w:rsidP="00654D16">
            <w:pPr>
              <w:rPr>
                <w:rFonts w:ascii="Garamond" w:hAnsi="Garamond"/>
                <w:sz w:val="22"/>
                <w:szCs w:val="22"/>
              </w:rPr>
            </w:pPr>
          </w:p>
        </w:tc>
        <w:tc>
          <w:tcPr>
            <w:tcW w:w="4428" w:type="dxa"/>
            <w:tcBorders>
              <w:right w:val="double" w:sz="4" w:space="0" w:color="auto"/>
            </w:tcBorders>
            <w:vAlign w:val="center"/>
          </w:tcPr>
          <w:p w14:paraId="148B4974" w14:textId="77777777" w:rsidR="00654D16" w:rsidRPr="00654D16" w:rsidRDefault="00654D16" w:rsidP="00654D16">
            <w:pPr>
              <w:rPr>
                <w:rFonts w:ascii="Garamond" w:hAnsi="Garamond"/>
                <w:sz w:val="22"/>
                <w:szCs w:val="22"/>
              </w:rPr>
            </w:pPr>
            <w:r w:rsidRPr="00654D16">
              <w:rPr>
                <w:rFonts w:ascii="Garamond" w:hAnsi="Garamond"/>
                <w:sz w:val="22"/>
                <w:szCs w:val="22"/>
              </w:rPr>
              <w:t>These are rules that consist of either a statement of purpose, applicability statement, regulatory definitions or a statement of incorporation by reference.  These types of rules do not have specific requirements associated with them.</w:t>
            </w:r>
          </w:p>
          <w:p w14:paraId="3E8DA6AE" w14:textId="77777777" w:rsidR="00297B16" w:rsidRPr="00654D16" w:rsidRDefault="00297B16" w:rsidP="00654D16">
            <w:pPr>
              <w:rPr>
                <w:rFonts w:ascii="Garamond" w:hAnsi="Garamond"/>
                <w:sz w:val="22"/>
                <w:szCs w:val="22"/>
              </w:rPr>
            </w:pPr>
          </w:p>
        </w:tc>
      </w:tr>
      <w:tr w:rsidR="00654D16" w:rsidRPr="00654D16" w14:paraId="1AF52156" w14:textId="77777777" w:rsidTr="0079629A">
        <w:trPr>
          <w:cantSplit/>
        </w:trPr>
        <w:tc>
          <w:tcPr>
            <w:tcW w:w="8748" w:type="dxa"/>
            <w:gridSpan w:val="2"/>
            <w:tcBorders>
              <w:left w:val="double" w:sz="4" w:space="0" w:color="auto"/>
              <w:right w:val="double" w:sz="4" w:space="0" w:color="auto"/>
            </w:tcBorders>
            <w:shd w:val="clear" w:color="auto" w:fill="F3F3F3"/>
            <w:vAlign w:val="center"/>
          </w:tcPr>
          <w:p w14:paraId="4A543153" w14:textId="77777777" w:rsidR="00654D16" w:rsidRPr="00654D16" w:rsidRDefault="00654D16" w:rsidP="00654D16">
            <w:pPr>
              <w:jc w:val="center"/>
              <w:rPr>
                <w:rFonts w:ascii="Garamond" w:hAnsi="Garamond"/>
                <w:b/>
                <w:bCs/>
                <w:sz w:val="22"/>
                <w:szCs w:val="22"/>
              </w:rPr>
            </w:pPr>
            <w:r w:rsidRPr="00654D16">
              <w:rPr>
                <w:rFonts w:ascii="Garamond" w:hAnsi="Garamond"/>
                <w:b/>
                <w:bCs/>
                <w:sz w:val="22"/>
                <w:szCs w:val="22"/>
              </w:rPr>
              <w:t>Sub-Chapter 9 Permit Requirements for Major Stationary Sources or Major Modifications Located Within Nonattainment Areas</w:t>
            </w:r>
          </w:p>
        </w:tc>
      </w:tr>
      <w:tr w:rsidR="00654D16" w:rsidRPr="00654D16" w14:paraId="796A5A8A" w14:textId="77777777" w:rsidTr="0079629A">
        <w:trPr>
          <w:cantSplit/>
          <w:trHeight w:val="900"/>
        </w:trPr>
        <w:tc>
          <w:tcPr>
            <w:tcW w:w="4320" w:type="dxa"/>
            <w:tcBorders>
              <w:left w:val="double" w:sz="4" w:space="0" w:color="auto"/>
            </w:tcBorders>
            <w:vAlign w:val="center"/>
          </w:tcPr>
          <w:p w14:paraId="490C8E19" w14:textId="77777777" w:rsidR="00654D16" w:rsidRPr="00654D16" w:rsidRDefault="00654D16" w:rsidP="00654D16">
            <w:pPr>
              <w:rPr>
                <w:rFonts w:ascii="Garamond" w:hAnsi="Garamond"/>
                <w:sz w:val="22"/>
                <w:szCs w:val="22"/>
              </w:rPr>
            </w:pPr>
            <w:r w:rsidRPr="00654D16">
              <w:rPr>
                <w:rFonts w:ascii="Garamond" w:hAnsi="Garamond"/>
                <w:sz w:val="22"/>
                <w:szCs w:val="22"/>
              </w:rPr>
              <w:lastRenderedPageBreak/>
              <w:t>ARM 17.8. Subchapter 9</w:t>
            </w:r>
          </w:p>
        </w:tc>
        <w:tc>
          <w:tcPr>
            <w:tcW w:w="4428" w:type="dxa"/>
            <w:tcBorders>
              <w:right w:val="double" w:sz="4" w:space="0" w:color="auto"/>
            </w:tcBorders>
            <w:vAlign w:val="center"/>
          </w:tcPr>
          <w:p w14:paraId="01B43538" w14:textId="77777777" w:rsidR="00654D16" w:rsidRPr="00654D16" w:rsidRDefault="00654D16" w:rsidP="00654D16">
            <w:pPr>
              <w:rPr>
                <w:rFonts w:ascii="Garamond" w:hAnsi="Garamond"/>
                <w:sz w:val="22"/>
                <w:szCs w:val="22"/>
              </w:rPr>
            </w:pPr>
            <w:r w:rsidRPr="00654D16">
              <w:rPr>
                <w:rFonts w:ascii="Garamond" w:hAnsi="Garamond"/>
                <w:sz w:val="22"/>
                <w:szCs w:val="22"/>
              </w:rPr>
              <w:t>These are rules that consist of either a statement of purpose, applicability statement, regulatory definitions or a statement of incorporation by reference.  These types of rules do not have specific requirements associated with them.</w:t>
            </w:r>
          </w:p>
        </w:tc>
      </w:tr>
      <w:tr w:rsidR="00654D16" w:rsidRPr="00654D16" w14:paraId="74E8EE3E" w14:textId="77777777" w:rsidTr="0079629A">
        <w:trPr>
          <w:cantSplit/>
        </w:trPr>
        <w:tc>
          <w:tcPr>
            <w:tcW w:w="8748" w:type="dxa"/>
            <w:gridSpan w:val="2"/>
            <w:tcBorders>
              <w:left w:val="double" w:sz="4" w:space="0" w:color="auto"/>
              <w:right w:val="double" w:sz="4" w:space="0" w:color="auto"/>
            </w:tcBorders>
            <w:shd w:val="clear" w:color="auto" w:fill="F3F3F3"/>
            <w:vAlign w:val="center"/>
          </w:tcPr>
          <w:p w14:paraId="00205EFE" w14:textId="77777777" w:rsidR="00654D16" w:rsidRPr="00654D16" w:rsidRDefault="00654D16" w:rsidP="00654D16">
            <w:pPr>
              <w:jc w:val="center"/>
              <w:rPr>
                <w:rFonts w:ascii="Garamond" w:hAnsi="Garamond"/>
                <w:b/>
                <w:bCs/>
                <w:sz w:val="22"/>
                <w:szCs w:val="22"/>
              </w:rPr>
            </w:pPr>
            <w:r w:rsidRPr="00654D16">
              <w:rPr>
                <w:rFonts w:ascii="Garamond" w:hAnsi="Garamond"/>
                <w:b/>
                <w:bCs/>
                <w:sz w:val="22"/>
                <w:szCs w:val="22"/>
              </w:rPr>
              <w:t>Sub-Chapter 10 Preconstruction Permit Requirements for Major Stationary Sources or Major Modifications Located Within Attainment or Unclassified Areas</w:t>
            </w:r>
          </w:p>
        </w:tc>
      </w:tr>
      <w:tr w:rsidR="00654D16" w:rsidRPr="00654D16" w14:paraId="06A27FB0" w14:textId="77777777" w:rsidTr="0079629A">
        <w:trPr>
          <w:cantSplit/>
          <w:trHeight w:val="900"/>
        </w:trPr>
        <w:tc>
          <w:tcPr>
            <w:tcW w:w="4320" w:type="dxa"/>
            <w:tcBorders>
              <w:left w:val="double" w:sz="4" w:space="0" w:color="auto"/>
            </w:tcBorders>
            <w:vAlign w:val="center"/>
          </w:tcPr>
          <w:p w14:paraId="2708B4AA" w14:textId="77777777" w:rsidR="00654D16" w:rsidRPr="00654D16" w:rsidRDefault="00654D16" w:rsidP="00654D16">
            <w:pPr>
              <w:rPr>
                <w:rFonts w:ascii="Garamond" w:hAnsi="Garamond"/>
                <w:sz w:val="22"/>
                <w:szCs w:val="22"/>
              </w:rPr>
            </w:pPr>
            <w:r w:rsidRPr="00654D16">
              <w:rPr>
                <w:rFonts w:ascii="Garamond" w:hAnsi="Garamond"/>
                <w:sz w:val="22"/>
                <w:szCs w:val="22"/>
              </w:rPr>
              <w:t>ARM 17.8. Subchapter 10</w:t>
            </w:r>
          </w:p>
        </w:tc>
        <w:tc>
          <w:tcPr>
            <w:tcW w:w="4428" w:type="dxa"/>
            <w:tcBorders>
              <w:right w:val="double" w:sz="4" w:space="0" w:color="auto"/>
            </w:tcBorders>
            <w:vAlign w:val="center"/>
          </w:tcPr>
          <w:p w14:paraId="1407B474" w14:textId="77777777" w:rsidR="00654D16" w:rsidRPr="00654D16" w:rsidRDefault="00654D16" w:rsidP="00654D16">
            <w:pPr>
              <w:rPr>
                <w:rFonts w:ascii="Garamond" w:hAnsi="Garamond"/>
                <w:sz w:val="22"/>
                <w:szCs w:val="22"/>
              </w:rPr>
            </w:pPr>
            <w:r w:rsidRPr="00654D16">
              <w:rPr>
                <w:rFonts w:ascii="Garamond" w:hAnsi="Garamond"/>
                <w:sz w:val="22"/>
                <w:szCs w:val="22"/>
              </w:rPr>
              <w:t>These are rules that consist of either a statement of purpose, applicability statement, regulatory definitions or a statement of incorporation by reference.  These types of rules do not have specific requirements associated with them.</w:t>
            </w:r>
          </w:p>
        </w:tc>
      </w:tr>
      <w:tr w:rsidR="00654D16" w:rsidRPr="00654D16" w14:paraId="36593113" w14:textId="77777777" w:rsidTr="0079629A">
        <w:trPr>
          <w:cantSplit/>
        </w:trPr>
        <w:tc>
          <w:tcPr>
            <w:tcW w:w="8748" w:type="dxa"/>
            <w:gridSpan w:val="2"/>
            <w:tcBorders>
              <w:left w:val="double" w:sz="4" w:space="0" w:color="auto"/>
              <w:right w:val="double" w:sz="4" w:space="0" w:color="auto"/>
            </w:tcBorders>
            <w:shd w:val="clear" w:color="auto" w:fill="F3F3F3"/>
            <w:vAlign w:val="center"/>
          </w:tcPr>
          <w:p w14:paraId="23094999" w14:textId="77777777" w:rsidR="00654D16" w:rsidRPr="00654D16" w:rsidRDefault="00654D16" w:rsidP="00654D16">
            <w:pPr>
              <w:jc w:val="center"/>
              <w:rPr>
                <w:rFonts w:ascii="Garamond" w:hAnsi="Garamond"/>
                <w:b/>
                <w:bCs/>
                <w:sz w:val="22"/>
                <w:szCs w:val="22"/>
              </w:rPr>
            </w:pPr>
            <w:r w:rsidRPr="00654D16">
              <w:rPr>
                <w:rFonts w:ascii="Garamond" w:hAnsi="Garamond"/>
                <w:b/>
                <w:bCs/>
                <w:sz w:val="22"/>
                <w:szCs w:val="22"/>
              </w:rPr>
              <w:t>Sub-Chapter 11 Visibility Impact Assessment</w:t>
            </w:r>
          </w:p>
        </w:tc>
      </w:tr>
      <w:tr w:rsidR="00654D16" w:rsidRPr="00654D16" w14:paraId="02D5BFB4" w14:textId="77777777" w:rsidTr="0079629A">
        <w:trPr>
          <w:cantSplit/>
          <w:trHeight w:val="900"/>
        </w:trPr>
        <w:tc>
          <w:tcPr>
            <w:tcW w:w="4320" w:type="dxa"/>
            <w:tcBorders>
              <w:left w:val="double" w:sz="4" w:space="0" w:color="auto"/>
            </w:tcBorders>
            <w:vAlign w:val="center"/>
          </w:tcPr>
          <w:p w14:paraId="16BC6C1D" w14:textId="77777777" w:rsidR="00654D16" w:rsidRPr="00654D16" w:rsidRDefault="00654D16" w:rsidP="00654D16">
            <w:pPr>
              <w:rPr>
                <w:rFonts w:ascii="Garamond" w:hAnsi="Garamond"/>
                <w:sz w:val="22"/>
                <w:szCs w:val="22"/>
              </w:rPr>
            </w:pPr>
            <w:r w:rsidRPr="00654D16">
              <w:rPr>
                <w:rFonts w:ascii="Garamond" w:hAnsi="Garamond"/>
                <w:sz w:val="22"/>
                <w:szCs w:val="22"/>
              </w:rPr>
              <w:t>ARM 17.8 Subchapter 11</w:t>
            </w:r>
          </w:p>
        </w:tc>
        <w:tc>
          <w:tcPr>
            <w:tcW w:w="4428" w:type="dxa"/>
            <w:tcBorders>
              <w:right w:val="double" w:sz="4" w:space="0" w:color="auto"/>
            </w:tcBorders>
            <w:vAlign w:val="center"/>
          </w:tcPr>
          <w:p w14:paraId="558C4F94" w14:textId="77777777" w:rsidR="00654D16" w:rsidRPr="00654D16" w:rsidRDefault="00654D16" w:rsidP="00654D16">
            <w:pPr>
              <w:rPr>
                <w:rFonts w:ascii="Garamond" w:hAnsi="Garamond"/>
                <w:sz w:val="22"/>
                <w:szCs w:val="22"/>
              </w:rPr>
            </w:pPr>
            <w:r w:rsidRPr="00654D16">
              <w:rPr>
                <w:rFonts w:ascii="Garamond" w:hAnsi="Garamond"/>
                <w:sz w:val="22"/>
                <w:szCs w:val="22"/>
              </w:rPr>
              <w:t>These are rules that consist of either a statement of purpose, applicability statement, regulatory definitions or a statement of incorporation by reference.  These types of rules do not have specific requirements associated with them.</w:t>
            </w:r>
          </w:p>
        </w:tc>
      </w:tr>
      <w:tr w:rsidR="00654D16" w:rsidRPr="00654D16" w14:paraId="65C1A023" w14:textId="77777777" w:rsidTr="0079629A">
        <w:trPr>
          <w:cantSplit/>
        </w:trPr>
        <w:tc>
          <w:tcPr>
            <w:tcW w:w="8748" w:type="dxa"/>
            <w:gridSpan w:val="2"/>
            <w:tcBorders>
              <w:left w:val="double" w:sz="4" w:space="0" w:color="auto"/>
              <w:right w:val="double" w:sz="4" w:space="0" w:color="auto"/>
            </w:tcBorders>
            <w:shd w:val="clear" w:color="auto" w:fill="F3F3F3"/>
            <w:vAlign w:val="center"/>
          </w:tcPr>
          <w:p w14:paraId="5D28152F" w14:textId="77777777" w:rsidR="00654D16" w:rsidRPr="00654D16" w:rsidRDefault="00654D16" w:rsidP="00654D16">
            <w:pPr>
              <w:jc w:val="center"/>
              <w:rPr>
                <w:rFonts w:ascii="Garamond" w:hAnsi="Garamond"/>
                <w:b/>
                <w:bCs/>
                <w:sz w:val="22"/>
                <w:szCs w:val="22"/>
              </w:rPr>
            </w:pPr>
            <w:r w:rsidRPr="00654D16">
              <w:rPr>
                <w:rFonts w:ascii="Garamond" w:hAnsi="Garamond"/>
                <w:b/>
                <w:bCs/>
                <w:sz w:val="22"/>
                <w:szCs w:val="22"/>
              </w:rPr>
              <w:t>Sub-Chapter 15 Compliance Assurance Monitoring</w:t>
            </w:r>
          </w:p>
        </w:tc>
      </w:tr>
      <w:tr w:rsidR="00654D16" w:rsidRPr="00654D16" w14:paraId="1C384C93" w14:textId="77777777" w:rsidTr="0079629A">
        <w:trPr>
          <w:cantSplit/>
          <w:trHeight w:val="900"/>
        </w:trPr>
        <w:tc>
          <w:tcPr>
            <w:tcW w:w="4320" w:type="dxa"/>
            <w:tcBorders>
              <w:left w:val="double" w:sz="4" w:space="0" w:color="auto"/>
              <w:bottom w:val="double" w:sz="4" w:space="0" w:color="auto"/>
            </w:tcBorders>
            <w:vAlign w:val="center"/>
          </w:tcPr>
          <w:p w14:paraId="50295D6B" w14:textId="77777777" w:rsidR="00654D16" w:rsidRPr="00654D16" w:rsidRDefault="00654D16" w:rsidP="00654D16">
            <w:pPr>
              <w:rPr>
                <w:rFonts w:ascii="Garamond" w:hAnsi="Garamond"/>
                <w:sz w:val="22"/>
                <w:szCs w:val="22"/>
              </w:rPr>
            </w:pPr>
            <w:r w:rsidRPr="00654D16">
              <w:rPr>
                <w:rFonts w:ascii="Garamond" w:hAnsi="Garamond"/>
                <w:sz w:val="22"/>
                <w:szCs w:val="22"/>
              </w:rPr>
              <w:t xml:space="preserve">ARM 17.8.1501 </w:t>
            </w:r>
            <w:r w:rsidRPr="00654D16">
              <w:rPr>
                <w:rFonts w:ascii="Garamond" w:hAnsi="Garamond"/>
                <w:i/>
                <w:sz w:val="22"/>
                <w:szCs w:val="22"/>
              </w:rPr>
              <w:t>et seq</w:t>
            </w:r>
            <w:r w:rsidRPr="00654D16">
              <w:rPr>
                <w:rFonts w:ascii="Garamond" w:hAnsi="Garamond"/>
                <w:sz w:val="22"/>
                <w:szCs w:val="22"/>
              </w:rPr>
              <w:t>.</w:t>
            </w:r>
          </w:p>
        </w:tc>
        <w:tc>
          <w:tcPr>
            <w:tcW w:w="4428" w:type="dxa"/>
            <w:tcBorders>
              <w:bottom w:val="double" w:sz="4" w:space="0" w:color="auto"/>
              <w:right w:val="double" w:sz="4" w:space="0" w:color="auto"/>
            </w:tcBorders>
            <w:vAlign w:val="center"/>
          </w:tcPr>
          <w:p w14:paraId="5DF1B1A1" w14:textId="77777777" w:rsidR="00654D16" w:rsidRPr="00654D16" w:rsidRDefault="00654D16" w:rsidP="00654D16">
            <w:pPr>
              <w:rPr>
                <w:rFonts w:ascii="Garamond" w:hAnsi="Garamond"/>
                <w:sz w:val="22"/>
                <w:szCs w:val="22"/>
              </w:rPr>
            </w:pPr>
            <w:r w:rsidRPr="00654D16">
              <w:rPr>
                <w:rFonts w:ascii="Garamond" w:hAnsi="Garamond"/>
                <w:sz w:val="22"/>
                <w:szCs w:val="22"/>
              </w:rPr>
              <w:t>These regulations may not be applicable to the source at this time; however, these regulations may become applicable during the life of the permit.</w:t>
            </w:r>
          </w:p>
        </w:tc>
      </w:tr>
    </w:tbl>
    <w:p w14:paraId="36DE6A23" w14:textId="77777777" w:rsidR="00654D16" w:rsidRPr="00654D16" w:rsidRDefault="00654D16" w:rsidP="00654D16">
      <w:pPr>
        <w:rPr>
          <w:rFonts w:ascii="Garamond" w:hAnsi="Garamond"/>
          <w:sz w:val="24"/>
          <w:szCs w:val="24"/>
        </w:rPr>
      </w:pPr>
    </w:p>
    <w:p w14:paraId="0D9A862D" w14:textId="77777777" w:rsidR="00654D16" w:rsidRPr="00654D16" w:rsidRDefault="00654D16" w:rsidP="00654D16">
      <w:pPr>
        <w:widowControl w:val="0"/>
        <w:autoSpaceDE w:val="0"/>
        <w:autoSpaceDN w:val="0"/>
        <w:adjustRightInd w:val="0"/>
        <w:rPr>
          <w:rFonts w:ascii="Garamond" w:hAnsi="Garamond"/>
          <w:sz w:val="24"/>
          <w:szCs w:val="24"/>
          <w:highlight w:val="yellow"/>
        </w:rPr>
      </w:pPr>
    </w:p>
    <w:p w14:paraId="7C1A2E6E" w14:textId="77777777" w:rsidR="00633285" w:rsidRPr="00C84BDB" w:rsidRDefault="00633285">
      <w:pPr>
        <w:rPr>
          <w:rFonts w:ascii="Garamond" w:hAnsi="Garamond"/>
        </w:rPr>
      </w:pPr>
    </w:p>
    <w:p w14:paraId="13743A1C" w14:textId="77777777" w:rsidR="00633285" w:rsidRPr="00C84BDB" w:rsidRDefault="00633285">
      <w:pPr>
        <w:pStyle w:val="Header"/>
        <w:tabs>
          <w:tab w:val="clear" w:pos="4320"/>
          <w:tab w:val="clear" w:pos="8640"/>
        </w:tabs>
        <w:rPr>
          <w:rFonts w:ascii="Garamond" w:hAnsi="Garamond"/>
        </w:rPr>
        <w:sectPr w:rsidR="00633285" w:rsidRPr="00C84BDB" w:rsidSect="001D5FCE">
          <w:pgSz w:w="12240" w:h="15840" w:code="1"/>
          <w:pgMar w:top="1152" w:right="1440" w:bottom="1008" w:left="1440" w:header="720" w:footer="720" w:gutter="0"/>
          <w:cols w:space="720"/>
        </w:sectPr>
      </w:pPr>
    </w:p>
    <w:p w14:paraId="6CE5F94B" w14:textId="77777777" w:rsidR="00633285" w:rsidRPr="007F6D0E" w:rsidRDefault="00E56E44">
      <w:pPr>
        <w:pStyle w:val="Heading1"/>
        <w:rPr>
          <w:sz w:val="24"/>
          <w:szCs w:val="24"/>
        </w:rPr>
      </w:pPr>
      <w:r>
        <w:rPr>
          <w:sz w:val="24"/>
          <w:szCs w:val="24"/>
        </w:rPr>
        <w:lastRenderedPageBreak/>
        <w:t xml:space="preserve">   </w:t>
      </w:r>
      <w:bookmarkStart w:id="40" w:name="_Toc63146281"/>
      <w:bookmarkStart w:id="41" w:name="_Toc221798843"/>
      <w:r w:rsidR="00633285" w:rsidRPr="007F6D0E">
        <w:rPr>
          <w:sz w:val="24"/>
          <w:szCs w:val="24"/>
        </w:rPr>
        <w:t>FUTURE PERMIT CONSIDERATIONS</w:t>
      </w:r>
      <w:bookmarkEnd w:id="40"/>
      <w:bookmarkEnd w:id="41"/>
    </w:p>
    <w:p w14:paraId="4D99AA21" w14:textId="77777777" w:rsidR="00633285" w:rsidRPr="00E56E44" w:rsidRDefault="00633285" w:rsidP="007F6D0E">
      <w:pPr>
        <w:rPr>
          <w:rFonts w:ascii="Garamond" w:hAnsi="Garamond"/>
          <w:sz w:val="24"/>
          <w:szCs w:val="24"/>
        </w:rPr>
      </w:pPr>
    </w:p>
    <w:p w14:paraId="1B20A5CF" w14:textId="77777777" w:rsidR="00633285" w:rsidRPr="00E56E44" w:rsidRDefault="00633285" w:rsidP="007F6D0E">
      <w:pPr>
        <w:pStyle w:val="Heading2"/>
        <w:numPr>
          <w:ilvl w:val="0"/>
          <w:numId w:val="23"/>
        </w:numPr>
        <w:spacing w:before="0" w:beforeAutospacing="0" w:after="0" w:afterAutospacing="0"/>
        <w:rPr>
          <w:rFonts w:ascii="Garamond" w:hAnsi="Garamond"/>
          <w:sz w:val="24"/>
          <w:szCs w:val="24"/>
        </w:rPr>
      </w:pPr>
      <w:bookmarkStart w:id="42" w:name="_Toc63146282"/>
      <w:bookmarkStart w:id="43" w:name="_Toc221798844"/>
      <w:r w:rsidRPr="00E56E44">
        <w:rPr>
          <w:rFonts w:ascii="Garamond" w:hAnsi="Garamond"/>
          <w:sz w:val="24"/>
          <w:szCs w:val="24"/>
        </w:rPr>
        <w:t>MACT Standards</w:t>
      </w:r>
      <w:r w:rsidR="00CF049B" w:rsidRPr="00E56E44">
        <w:rPr>
          <w:rFonts w:ascii="Garamond" w:hAnsi="Garamond"/>
          <w:sz w:val="24"/>
          <w:szCs w:val="24"/>
        </w:rPr>
        <w:t xml:space="preserve"> (Part 63)</w:t>
      </w:r>
      <w:bookmarkEnd w:id="42"/>
      <w:bookmarkEnd w:id="43"/>
    </w:p>
    <w:p w14:paraId="4E85A64D" w14:textId="77777777" w:rsidR="00E56E44" w:rsidRPr="00E56E44" w:rsidRDefault="00E56E44" w:rsidP="00E56E44">
      <w:pPr>
        <w:rPr>
          <w:rFonts w:ascii="Garamond" w:hAnsi="Garamond"/>
          <w:sz w:val="24"/>
          <w:szCs w:val="24"/>
        </w:rPr>
      </w:pPr>
    </w:p>
    <w:p w14:paraId="7849C956" w14:textId="2769503C" w:rsidR="00F64DBD" w:rsidRPr="00E56E44" w:rsidRDefault="00F64DBD" w:rsidP="007F6D0E">
      <w:pPr>
        <w:ind w:left="360"/>
        <w:rPr>
          <w:rFonts w:ascii="Garamond" w:hAnsi="Garamond"/>
          <w:sz w:val="24"/>
          <w:szCs w:val="24"/>
        </w:rPr>
      </w:pPr>
      <w:r w:rsidRPr="00E56E44">
        <w:rPr>
          <w:rFonts w:ascii="Garamond" w:hAnsi="Garamond"/>
          <w:sz w:val="24"/>
          <w:szCs w:val="24"/>
        </w:rPr>
        <w:t xml:space="preserve">The source is now subject to 40 CFR 63, Subpart EEEEEEE but </w:t>
      </w:r>
      <w:r w:rsidR="00315347">
        <w:rPr>
          <w:rFonts w:ascii="Garamond" w:hAnsi="Garamond"/>
          <w:sz w:val="24"/>
          <w:szCs w:val="24"/>
        </w:rPr>
        <w:t>DEQ</w:t>
      </w:r>
      <w:r w:rsidRPr="00E56E44">
        <w:rPr>
          <w:rFonts w:ascii="Garamond" w:hAnsi="Garamond"/>
          <w:sz w:val="24"/>
          <w:szCs w:val="24"/>
        </w:rPr>
        <w:t xml:space="preserve"> is not aware of any other MACT standards that will</w:t>
      </w:r>
      <w:r w:rsidR="00987588" w:rsidRPr="00E56E44">
        <w:rPr>
          <w:rFonts w:ascii="Garamond" w:hAnsi="Garamond"/>
          <w:sz w:val="24"/>
          <w:szCs w:val="24"/>
        </w:rPr>
        <w:t xml:space="preserve"> be applicable to this source.</w:t>
      </w:r>
    </w:p>
    <w:p w14:paraId="41BDE1A0" w14:textId="77777777" w:rsidR="00F64DBD" w:rsidRPr="00E56E44" w:rsidRDefault="00F64DBD" w:rsidP="007F6D0E">
      <w:pPr>
        <w:rPr>
          <w:rFonts w:ascii="Garamond" w:hAnsi="Garamond"/>
          <w:sz w:val="24"/>
          <w:szCs w:val="24"/>
        </w:rPr>
      </w:pPr>
    </w:p>
    <w:p w14:paraId="2C859ADB" w14:textId="77777777" w:rsidR="00633285" w:rsidRPr="00E56E44" w:rsidRDefault="00633285" w:rsidP="007F6D0E">
      <w:pPr>
        <w:pStyle w:val="Heading2"/>
        <w:spacing w:before="0" w:beforeAutospacing="0" w:after="0" w:afterAutospacing="0"/>
        <w:rPr>
          <w:rFonts w:ascii="Garamond" w:hAnsi="Garamond"/>
          <w:sz w:val="24"/>
          <w:szCs w:val="24"/>
        </w:rPr>
      </w:pPr>
      <w:bookmarkStart w:id="44" w:name="_Toc63146283"/>
      <w:bookmarkStart w:id="45" w:name="_Toc221798845"/>
      <w:r w:rsidRPr="00E56E44">
        <w:rPr>
          <w:rFonts w:ascii="Garamond" w:hAnsi="Garamond"/>
          <w:sz w:val="24"/>
          <w:szCs w:val="24"/>
        </w:rPr>
        <w:t>NESHAP Standards</w:t>
      </w:r>
      <w:r w:rsidR="00CF049B" w:rsidRPr="00E56E44">
        <w:rPr>
          <w:rFonts w:ascii="Garamond" w:hAnsi="Garamond"/>
          <w:sz w:val="24"/>
          <w:szCs w:val="24"/>
        </w:rPr>
        <w:t xml:space="preserve"> (Part 61)</w:t>
      </w:r>
      <w:bookmarkEnd w:id="44"/>
      <w:bookmarkEnd w:id="45"/>
    </w:p>
    <w:p w14:paraId="1C929455" w14:textId="77777777" w:rsidR="00E56E44" w:rsidRPr="00E56E44" w:rsidRDefault="00E56E44" w:rsidP="00E56E44">
      <w:pPr>
        <w:rPr>
          <w:rFonts w:ascii="Garamond" w:hAnsi="Garamond"/>
          <w:sz w:val="24"/>
          <w:szCs w:val="24"/>
        </w:rPr>
      </w:pPr>
    </w:p>
    <w:p w14:paraId="3E515360" w14:textId="0E407F17" w:rsidR="0019529C" w:rsidRPr="00E56E44" w:rsidRDefault="0019529C" w:rsidP="007F6D0E">
      <w:pPr>
        <w:pStyle w:val="Default"/>
        <w:ind w:left="360"/>
        <w:rPr>
          <w:rFonts w:ascii="Garamond" w:hAnsi="Garamond"/>
        </w:rPr>
      </w:pPr>
      <w:r w:rsidRPr="00E56E44">
        <w:rPr>
          <w:rFonts w:ascii="Garamond" w:hAnsi="Garamond"/>
        </w:rPr>
        <w:t xml:space="preserve">As of the date of permit issuance, </w:t>
      </w:r>
      <w:r w:rsidR="00315347">
        <w:rPr>
          <w:rFonts w:ascii="Garamond" w:hAnsi="Garamond"/>
        </w:rPr>
        <w:t>DEQ</w:t>
      </w:r>
      <w:r w:rsidRPr="00E56E44">
        <w:rPr>
          <w:rFonts w:ascii="Garamond" w:hAnsi="Garamond"/>
        </w:rPr>
        <w:t xml:space="preserve"> is not aware of any NESHAP Standards that</w:t>
      </w:r>
      <w:r w:rsidR="00987588" w:rsidRPr="00E56E44">
        <w:rPr>
          <w:rFonts w:ascii="Garamond" w:hAnsi="Garamond"/>
        </w:rPr>
        <w:t xml:space="preserve"> are applicable to this source.</w:t>
      </w:r>
    </w:p>
    <w:p w14:paraId="50F86330" w14:textId="77777777" w:rsidR="0019529C" w:rsidRPr="00E56E44" w:rsidRDefault="0019529C" w:rsidP="007F6D0E">
      <w:pPr>
        <w:rPr>
          <w:rFonts w:ascii="Garamond" w:hAnsi="Garamond"/>
          <w:sz w:val="24"/>
          <w:szCs w:val="24"/>
        </w:rPr>
      </w:pPr>
    </w:p>
    <w:p w14:paraId="6402160E" w14:textId="586FE753" w:rsidR="0019529C" w:rsidRPr="00E56E44" w:rsidRDefault="0019529C" w:rsidP="007F6D0E">
      <w:pPr>
        <w:ind w:left="360"/>
        <w:rPr>
          <w:rFonts w:ascii="Garamond" w:hAnsi="Garamond"/>
          <w:sz w:val="24"/>
          <w:szCs w:val="24"/>
        </w:rPr>
      </w:pPr>
      <w:r w:rsidRPr="00E56E44">
        <w:rPr>
          <w:rFonts w:ascii="Garamond" w:hAnsi="Garamond"/>
          <w:sz w:val="24"/>
          <w:szCs w:val="24"/>
        </w:rPr>
        <w:t xml:space="preserve">Asbestos abatement projects and building demolition/renovation activities will be conducted in accordance with applicable asbestos regulatory requirements. </w:t>
      </w:r>
      <w:r w:rsidR="00987588" w:rsidRPr="00E56E44">
        <w:rPr>
          <w:rFonts w:ascii="Garamond" w:hAnsi="Garamond"/>
          <w:sz w:val="24"/>
          <w:szCs w:val="24"/>
        </w:rPr>
        <w:t xml:space="preserve"> </w:t>
      </w:r>
      <w:r w:rsidRPr="00E56E44">
        <w:rPr>
          <w:rFonts w:ascii="Garamond" w:hAnsi="Garamond"/>
          <w:sz w:val="24"/>
          <w:szCs w:val="24"/>
        </w:rPr>
        <w:t xml:space="preserve">Those regulatory requirements </w:t>
      </w:r>
      <w:r w:rsidR="004124F9" w:rsidRPr="00E56E44">
        <w:rPr>
          <w:rFonts w:ascii="Garamond" w:hAnsi="Garamond"/>
          <w:sz w:val="24"/>
          <w:szCs w:val="24"/>
        </w:rPr>
        <w:t>include but</w:t>
      </w:r>
      <w:r w:rsidRPr="00E56E44">
        <w:rPr>
          <w:rFonts w:ascii="Garamond" w:hAnsi="Garamond"/>
          <w:sz w:val="24"/>
          <w:szCs w:val="24"/>
        </w:rPr>
        <w:t xml:space="preserve"> are not limited to 29 CFR Part(s)1926.1101; 40 CFR 763 Sections 120, 121, 124, and Subpart E; 40 CFR 61 Subpart M; State of Montana Asbestos Control Act 75-2-501 through 519 MCA; and State of Montana Occupational Health Rules ARM 17.74.301 through 406. State-accredited asbestos abatement personnel shall conduct the abatement of regulated asbestos-containing materials. </w:t>
      </w:r>
      <w:r w:rsidR="00987588" w:rsidRPr="00E56E44">
        <w:rPr>
          <w:rFonts w:ascii="Garamond" w:hAnsi="Garamond"/>
          <w:sz w:val="24"/>
          <w:szCs w:val="24"/>
        </w:rPr>
        <w:t xml:space="preserve"> </w:t>
      </w:r>
      <w:r w:rsidRPr="00E56E44">
        <w:rPr>
          <w:rFonts w:ascii="Garamond" w:hAnsi="Garamond"/>
          <w:sz w:val="24"/>
          <w:szCs w:val="24"/>
        </w:rPr>
        <w:t>Asbestos-containing waste materials shall be transported properly and disposed of in a State-approved landfill.</w:t>
      </w:r>
    </w:p>
    <w:p w14:paraId="3F150D53" w14:textId="77777777" w:rsidR="00F64DBD" w:rsidRPr="00E56E44" w:rsidRDefault="00F64DBD" w:rsidP="007F6D0E">
      <w:pPr>
        <w:rPr>
          <w:rFonts w:ascii="Garamond" w:hAnsi="Garamond"/>
          <w:sz w:val="24"/>
          <w:szCs w:val="24"/>
        </w:rPr>
      </w:pPr>
    </w:p>
    <w:p w14:paraId="25ACF4C2" w14:textId="77777777" w:rsidR="00633285" w:rsidRDefault="00633285" w:rsidP="007F6D0E">
      <w:pPr>
        <w:pStyle w:val="Heading2"/>
        <w:spacing w:before="0" w:beforeAutospacing="0" w:after="0" w:afterAutospacing="0"/>
        <w:rPr>
          <w:rFonts w:ascii="Garamond" w:hAnsi="Garamond"/>
          <w:sz w:val="24"/>
          <w:szCs w:val="24"/>
        </w:rPr>
      </w:pPr>
      <w:bookmarkStart w:id="46" w:name="_Toc63146284"/>
      <w:bookmarkStart w:id="47" w:name="_Toc221798846"/>
      <w:r w:rsidRPr="00E56E44">
        <w:rPr>
          <w:rFonts w:ascii="Garamond" w:hAnsi="Garamond"/>
          <w:sz w:val="24"/>
          <w:szCs w:val="24"/>
        </w:rPr>
        <w:t>NSPS Standards</w:t>
      </w:r>
      <w:bookmarkEnd w:id="46"/>
      <w:bookmarkEnd w:id="47"/>
    </w:p>
    <w:p w14:paraId="77367484" w14:textId="77777777" w:rsidR="008F435B" w:rsidRPr="008F435B" w:rsidRDefault="008F435B" w:rsidP="008F435B">
      <w:pPr>
        <w:rPr>
          <w:rFonts w:ascii="Garamond" w:hAnsi="Garamond"/>
          <w:sz w:val="24"/>
          <w:szCs w:val="24"/>
        </w:rPr>
      </w:pPr>
    </w:p>
    <w:p w14:paraId="7F20D513" w14:textId="77777777" w:rsidR="00F64DBD" w:rsidRPr="00E56E44" w:rsidRDefault="00585268" w:rsidP="007F6D0E">
      <w:pPr>
        <w:ind w:left="360"/>
        <w:rPr>
          <w:rFonts w:ascii="Garamond" w:hAnsi="Garamond"/>
          <w:sz w:val="24"/>
          <w:szCs w:val="24"/>
        </w:rPr>
      </w:pPr>
      <w:r w:rsidRPr="00E56E44">
        <w:rPr>
          <w:rFonts w:ascii="Garamond" w:hAnsi="Garamond"/>
          <w:sz w:val="24"/>
          <w:szCs w:val="24"/>
        </w:rPr>
        <w:t xml:space="preserve">When GSM constructs and operates the Fine Ore Processing Unit EU008, the entire facility will become an “affected source” and will be subject </w:t>
      </w:r>
      <w:r w:rsidR="00987588" w:rsidRPr="00E56E44">
        <w:rPr>
          <w:rFonts w:ascii="Garamond" w:hAnsi="Garamond"/>
          <w:sz w:val="24"/>
          <w:szCs w:val="24"/>
        </w:rPr>
        <w:t>to 40 CFR 60, Subpart A and LL.</w:t>
      </w:r>
    </w:p>
    <w:p w14:paraId="299B341D" w14:textId="77777777" w:rsidR="00F64DBD" w:rsidRPr="00E56E44" w:rsidRDefault="00F64DBD" w:rsidP="007F6D0E">
      <w:pPr>
        <w:rPr>
          <w:rFonts w:ascii="Garamond" w:hAnsi="Garamond"/>
          <w:sz w:val="24"/>
          <w:szCs w:val="24"/>
        </w:rPr>
      </w:pPr>
    </w:p>
    <w:p w14:paraId="422AF9E7" w14:textId="77777777" w:rsidR="00633285" w:rsidRPr="00E56E44" w:rsidRDefault="00633285" w:rsidP="007F6D0E">
      <w:pPr>
        <w:pStyle w:val="Heading2"/>
        <w:spacing w:before="0" w:beforeAutospacing="0" w:after="0" w:afterAutospacing="0"/>
        <w:rPr>
          <w:rFonts w:ascii="Garamond" w:hAnsi="Garamond"/>
          <w:sz w:val="24"/>
          <w:szCs w:val="24"/>
        </w:rPr>
      </w:pPr>
      <w:bookmarkStart w:id="48" w:name="_Toc63146285"/>
      <w:bookmarkStart w:id="49" w:name="_Toc221798847"/>
      <w:r w:rsidRPr="00E56E44">
        <w:rPr>
          <w:rFonts w:ascii="Garamond" w:hAnsi="Garamond"/>
          <w:sz w:val="24"/>
          <w:szCs w:val="24"/>
        </w:rPr>
        <w:t>Risk Management Plan</w:t>
      </w:r>
      <w:bookmarkEnd w:id="48"/>
      <w:bookmarkEnd w:id="49"/>
    </w:p>
    <w:p w14:paraId="05C1E3B2" w14:textId="77777777" w:rsidR="00633285" w:rsidRPr="00E56E44" w:rsidRDefault="00633285" w:rsidP="007F6D0E">
      <w:pPr>
        <w:rPr>
          <w:rFonts w:ascii="Garamond" w:hAnsi="Garamond"/>
          <w:sz w:val="24"/>
          <w:szCs w:val="24"/>
        </w:rPr>
      </w:pPr>
    </w:p>
    <w:p w14:paraId="7A48CFCB" w14:textId="77777777" w:rsidR="00633285" w:rsidRPr="00422519" w:rsidRDefault="00633285" w:rsidP="007F6D0E">
      <w:pPr>
        <w:ind w:left="360"/>
        <w:rPr>
          <w:rFonts w:ascii="Garamond" w:hAnsi="Garamond"/>
          <w:sz w:val="24"/>
          <w:szCs w:val="24"/>
        </w:rPr>
      </w:pPr>
      <w:r w:rsidRPr="00422519">
        <w:rPr>
          <w:rFonts w:ascii="Garamond" w:hAnsi="Garamond"/>
          <w:sz w:val="24"/>
          <w:szCs w:val="24"/>
        </w:rPr>
        <w:t xml:space="preserve">As of </w:t>
      </w:r>
      <w:r w:rsidR="00422519" w:rsidRPr="00422519">
        <w:rPr>
          <w:rFonts w:ascii="Garamond" w:hAnsi="Garamond"/>
          <w:sz w:val="24"/>
          <w:szCs w:val="24"/>
        </w:rPr>
        <w:t>January 15, 2021,</w:t>
      </w:r>
      <w:r w:rsidRPr="00422519">
        <w:rPr>
          <w:rFonts w:ascii="Garamond" w:hAnsi="Garamond"/>
          <w:sz w:val="24"/>
          <w:szCs w:val="24"/>
        </w:rPr>
        <w:t xml:space="preserve"> this facility does not exceed the minimum threshold quantities for any regulated substance listed in 40 CFR 68.115 for any facility process.  Consequently, this facility is not required to submit a Risk Management Plan.</w:t>
      </w:r>
    </w:p>
    <w:p w14:paraId="56589E6C" w14:textId="77777777" w:rsidR="00633285" w:rsidRPr="00422519" w:rsidRDefault="00633285" w:rsidP="007F6D0E">
      <w:pPr>
        <w:rPr>
          <w:rFonts w:ascii="Garamond" w:hAnsi="Garamond"/>
          <w:sz w:val="24"/>
          <w:szCs w:val="24"/>
        </w:rPr>
      </w:pPr>
    </w:p>
    <w:p w14:paraId="20C282DB" w14:textId="77777777" w:rsidR="00633285" w:rsidRPr="00E56E44" w:rsidRDefault="00633285" w:rsidP="007F6D0E">
      <w:pPr>
        <w:ind w:left="360"/>
        <w:rPr>
          <w:rFonts w:ascii="Garamond" w:hAnsi="Garamond"/>
          <w:sz w:val="24"/>
          <w:szCs w:val="24"/>
        </w:rPr>
      </w:pPr>
      <w:r w:rsidRPr="00422519">
        <w:rPr>
          <w:rFonts w:ascii="Garamond" w:hAnsi="Garamond"/>
          <w:sz w:val="24"/>
          <w:szCs w:val="24"/>
        </w:rPr>
        <w:t xml:space="preserve">If a facility has more than a threshold quantity of a regulated substance in a process, the facility </w:t>
      </w:r>
      <w:r w:rsidR="00422519">
        <w:rPr>
          <w:rFonts w:ascii="Garamond" w:hAnsi="Garamond"/>
          <w:sz w:val="24"/>
          <w:szCs w:val="24"/>
        </w:rPr>
        <w:t>was required to</w:t>
      </w:r>
      <w:r w:rsidRPr="00422519">
        <w:rPr>
          <w:rFonts w:ascii="Garamond" w:hAnsi="Garamond"/>
          <w:sz w:val="24"/>
          <w:szCs w:val="24"/>
        </w:rPr>
        <w:t xml:space="preserve"> comply with 40 CFR 68 requirements no later than June 21, 1999; three years after the date on which a regulated substance is first listed under 40 CFR 68.130; or the date on which a regulated substance is first present in more than a threshold quantity in a process, whichever is later.</w:t>
      </w:r>
    </w:p>
    <w:p w14:paraId="6122DB6E" w14:textId="77777777" w:rsidR="00467333" w:rsidRPr="00E56E44" w:rsidRDefault="00467333" w:rsidP="007F6D0E">
      <w:pPr>
        <w:rPr>
          <w:rFonts w:ascii="Garamond" w:hAnsi="Garamond"/>
          <w:sz w:val="24"/>
          <w:szCs w:val="24"/>
        </w:rPr>
      </w:pPr>
    </w:p>
    <w:p w14:paraId="1148FCEE" w14:textId="77777777" w:rsidR="00467333" w:rsidRPr="00E56E44" w:rsidRDefault="00467333" w:rsidP="007F6D0E">
      <w:pPr>
        <w:pStyle w:val="Heading2"/>
        <w:spacing w:before="0" w:beforeAutospacing="0" w:after="0" w:afterAutospacing="0"/>
        <w:rPr>
          <w:rFonts w:ascii="Garamond" w:hAnsi="Garamond"/>
          <w:sz w:val="24"/>
          <w:szCs w:val="24"/>
        </w:rPr>
      </w:pPr>
      <w:bookmarkStart w:id="50" w:name="_Toc63146286"/>
      <w:bookmarkStart w:id="51" w:name="_Toc221798848"/>
      <w:r w:rsidRPr="00E56E44">
        <w:rPr>
          <w:rFonts w:ascii="Garamond" w:hAnsi="Garamond"/>
          <w:sz w:val="24"/>
          <w:szCs w:val="24"/>
        </w:rPr>
        <w:t>CAM Applicability</w:t>
      </w:r>
      <w:bookmarkEnd w:id="50"/>
      <w:bookmarkEnd w:id="51"/>
    </w:p>
    <w:p w14:paraId="381BF481" w14:textId="77777777" w:rsidR="00CF049B" w:rsidRPr="00E56E44" w:rsidRDefault="00CF049B" w:rsidP="007F6D0E">
      <w:pPr>
        <w:rPr>
          <w:rFonts w:ascii="Garamond" w:hAnsi="Garamond"/>
          <w:color w:val="000000"/>
          <w:sz w:val="24"/>
          <w:szCs w:val="24"/>
        </w:rPr>
      </w:pPr>
    </w:p>
    <w:p w14:paraId="237FBBA0" w14:textId="77777777" w:rsidR="00CF049B" w:rsidRPr="00E56E44" w:rsidRDefault="00CF049B" w:rsidP="007F6D0E">
      <w:pPr>
        <w:ind w:left="360"/>
        <w:rPr>
          <w:rFonts w:ascii="Garamond" w:hAnsi="Garamond"/>
          <w:color w:val="000000"/>
          <w:sz w:val="24"/>
          <w:szCs w:val="24"/>
        </w:rPr>
      </w:pPr>
      <w:r w:rsidRPr="00E56E44">
        <w:rPr>
          <w:rFonts w:ascii="Garamond" w:hAnsi="Garamond"/>
          <w:color w:val="000000"/>
          <w:sz w:val="24"/>
          <w:szCs w:val="24"/>
        </w:rPr>
        <w:t xml:space="preserve">An emitting unit located at a Title V facility that meets the following criteria listed in ARM 17.8.1503 is subject to Subchapter 15 and must develop a </w:t>
      </w:r>
      <w:r w:rsidR="00550F32" w:rsidRPr="00E56E44">
        <w:rPr>
          <w:rFonts w:ascii="Garamond" w:hAnsi="Garamond"/>
          <w:color w:val="000000"/>
          <w:sz w:val="24"/>
          <w:szCs w:val="24"/>
        </w:rPr>
        <w:t>Compliance Assurance Monitoring (</w:t>
      </w:r>
      <w:r w:rsidRPr="00E56E44">
        <w:rPr>
          <w:rFonts w:ascii="Garamond" w:hAnsi="Garamond"/>
          <w:color w:val="000000"/>
          <w:sz w:val="24"/>
          <w:szCs w:val="24"/>
        </w:rPr>
        <w:t>CAM</w:t>
      </w:r>
      <w:r w:rsidR="00550F32" w:rsidRPr="00E56E44">
        <w:rPr>
          <w:rFonts w:ascii="Garamond" w:hAnsi="Garamond"/>
          <w:color w:val="000000"/>
          <w:sz w:val="24"/>
          <w:szCs w:val="24"/>
        </w:rPr>
        <w:t>)</w:t>
      </w:r>
      <w:r w:rsidRPr="00E56E44">
        <w:rPr>
          <w:rFonts w:ascii="Garamond" w:hAnsi="Garamond"/>
          <w:color w:val="000000"/>
          <w:sz w:val="24"/>
          <w:szCs w:val="24"/>
        </w:rPr>
        <w:t xml:space="preserve"> Plan for that unit: </w:t>
      </w:r>
    </w:p>
    <w:p w14:paraId="764DBCE4" w14:textId="77777777" w:rsidR="00CF049B" w:rsidRPr="00E56E44" w:rsidRDefault="00CF049B" w:rsidP="007F6D0E">
      <w:pPr>
        <w:rPr>
          <w:rFonts w:ascii="Garamond" w:hAnsi="Garamond"/>
          <w:color w:val="000000"/>
          <w:sz w:val="24"/>
          <w:szCs w:val="24"/>
        </w:rPr>
      </w:pPr>
    </w:p>
    <w:p w14:paraId="1F5479E1" w14:textId="77777777" w:rsidR="00CF049B" w:rsidRPr="00E56E44" w:rsidRDefault="00CF049B" w:rsidP="007F6D0E">
      <w:pPr>
        <w:numPr>
          <w:ilvl w:val="0"/>
          <w:numId w:val="24"/>
        </w:numPr>
        <w:tabs>
          <w:tab w:val="clear" w:pos="1440"/>
          <w:tab w:val="left" w:pos="720"/>
        </w:tabs>
        <w:autoSpaceDE w:val="0"/>
        <w:autoSpaceDN w:val="0"/>
        <w:adjustRightInd w:val="0"/>
        <w:ind w:left="720"/>
        <w:rPr>
          <w:rFonts w:ascii="Garamond" w:hAnsi="Garamond"/>
          <w:color w:val="000000"/>
          <w:sz w:val="24"/>
          <w:szCs w:val="24"/>
        </w:rPr>
      </w:pPr>
      <w:r w:rsidRPr="00E56E44">
        <w:rPr>
          <w:rFonts w:ascii="Garamond" w:hAnsi="Garamond"/>
          <w:color w:val="000000"/>
          <w:sz w:val="24"/>
          <w:szCs w:val="24"/>
        </w:rPr>
        <w:t xml:space="preserve">The emitting unit is subject to an emission limitation or standard for the applicable regulated air pollutant (unless the limitation or standard that is exempt under ARM 17.8.1503(2)); </w:t>
      </w:r>
    </w:p>
    <w:p w14:paraId="06D47ABE" w14:textId="77777777" w:rsidR="00CF049B" w:rsidRPr="00E56E44" w:rsidRDefault="00CF049B" w:rsidP="007F6D0E">
      <w:pPr>
        <w:numPr>
          <w:ilvl w:val="0"/>
          <w:numId w:val="24"/>
        </w:numPr>
        <w:tabs>
          <w:tab w:val="clear" w:pos="1440"/>
          <w:tab w:val="left" w:pos="720"/>
        </w:tabs>
        <w:autoSpaceDE w:val="0"/>
        <w:autoSpaceDN w:val="0"/>
        <w:adjustRightInd w:val="0"/>
        <w:ind w:left="720"/>
        <w:rPr>
          <w:rFonts w:ascii="Garamond" w:hAnsi="Garamond"/>
          <w:color w:val="000000"/>
          <w:sz w:val="24"/>
          <w:szCs w:val="24"/>
        </w:rPr>
      </w:pPr>
      <w:r w:rsidRPr="00E56E44">
        <w:rPr>
          <w:rFonts w:ascii="Garamond" w:hAnsi="Garamond"/>
          <w:color w:val="000000"/>
          <w:sz w:val="24"/>
          <w:szCs w:val="24"/>
        </w:rPr>
        <w:t xml:space="preserve">The emitting unit uses a control device to achieve compliance with such limit; and </w:t>
      </w:r>
    </w:p>
    <w:p w14:paraId="207581E0" w14:textId="77777777" w:rsidR="00CF049B" w:rsidRPr="00E56E44" w:rsidRDefault="00CF049B" w:rsidP="00490CEA">
      <w:pPr>
        <w:pStyle w:val="Default"/>
        <w:keepNext/>
        <w:numPr>
          <w:ilvl w:val="0"/>
          <w:numId w:val="24"/>
        </w:numPr>
        <w:tabs>
          <w:tab w:val="clear" w:pos="1440"/>
          <w:tab w:val="left" w:pos="720"/>
        </w:tabs>
        <w:ind w:left="720"/>
        <w:rPr>
          <w:rFonts w:ascii="Garamond" w:hAnsi="Garamond"/>
        </w:rPr>
      </w:pPr>
      <w:r w:rsidRPr="00E56E44">
        <w:rPr>
          <w:rFonts w:ascii="Garamond" w:hAnsi="Garamond"/>
        </w:rPr>
        <w:lastRenderedPageBreak/>
        <w:t xml:space="preserve">The emitting unit has potential pre-control device emission of the applicable regulated air pollutant that is greater than major source thresholds. </w:t>
      </w:r>
    </w:p>
    <w:p w14:paraId="5704205A" w14:textId="77777777" w:rsidR="00CF049B" w:rsidRPr="00E56E44" w:rsidRDefault="00CF049B" w:rsidP="00490CEA">
      <w:pPr>
        <w:pStyle w:val="Default"/>
        <w:keepNext/>
        <w:tabs>
          <w:tab w:val="left" w:pos="720"/>
        </w:tabs>
        <w:rPr>
          <w:rFonts w:ascii="Garamond" w:hAnsi="Garamond"/>
        </w:rPr>
      </w:pPr>
    </w:p>
    <w:p w14:paraId="1B36CD3A" w14:textId="77777777" w:rsidR="00DA4BBC" w:rsidRPr="00E56E44" w:rsidRDefault="00DA4BBC" w:rsidP="00490CEA">
      <w:pPr>
        <w:keepNext/>
        <w:ind w:left="360"/>
        <w:rPr>
          <w:rFonts w:ascii="Garamond" w:hAnsi="Garamond"/>
          <w:color w:val="000000"/>
          <w:sz w:val="24"/>
          <w:szCs w:val="24"/>
        </w:rPr>
      </w:pPr>
      <w:r w:rsidRPr="00E56E44">
        <w:rPr>
          <w:rFonts w:ascii="Garamond" w:hAnsi="Garamond"/>
          <w:color w:val="000000"/>
          <w:sz w:val="24"/>
          <w:szCs w:val="24"/>
        </w:rPr>
        <w:t>There are no</w:t>
      </w:r>
      <w:r w:rsidR="00550F32" w:rsidRPr="00E56E44">
        <w:rPr>
          <w:rFonts w:ascii="Garamond" w:hAnsi="Garamond"/>
          <w:color w:val="000000"/>
          <w:sz w:val="24"/>
          <w:szCs w:val="24"/>
        </w:rPr>
        <w:t xml:space="preserve"> emitting units subject to CAM at this facility.</w:t>
      </w:r>
      <w:r w:rsidRPr="00E56E44">
        <w:rPr>
          <w:rFonts w:ascii="Garamond" w:hAnsi="Garamond"/>
          <w:color w:val="000000"/>
          <w:sz w:val="24"/>
          <w:szCs w:val="24"/>
        </w:rPr>
        <w:t xml:space="preserve"> </w:t>
      </w:r>
    </w:p>
    <w:p w14:paraId="206BF0CE" w14:textId="77777777" w:rsidR="00CF049B" w:rsidRPr="00E56E44" w:rsidRDefault="00CF049B" w:rsidP="007F6D0E">
      <w:pPr>
        <w:rPr>
          <w:rFonts w:ascii="Garamond" w:hAnsi="Garamond"/>
          <w:color w:val="000000"/>
          <w:sz w:val="24"/>
          <w:szCs w:val="24"/>
        </w:rPr>
      </w:pPr>
    </w:p>
    <w:p w14:paraId="6801D44B" w14:textId="77777777" w:rsidR="00CF049B" w:rsidRPr="00E56E44" w:rsidRDefault="00CF049B" w:rsidP="007F6D0E">
      <w:pPr>
        <w:pStyle w:val="Heading2"/>
        <w:spacing w:before="0" w:beforeAutospacing="0" w:after="0" w:afterAutospacing="0"/>
        <w:rPr>
          <w:rFonts w:ascii="Garamond" w:hAnsi="Garamond"/>
          <w:sz w:val="24"/>
          <w:szCs w:val="24"/>
        </w:rPr>
      </w:pPr>
      <w:bookmarkStart w:id="52" w:name="_Toc277676895"/>
      <w:bookmarkStart w:id="53" w:name="_Toc278272488"/>
      <w:bookmarkStart w:id="54" w:name="_Toc63146287"/>
      <w:bookmarkStart w:id="55" w:name="_Toc221798849"/>
      <w:r w:rsidRPr="00E56E44">
        <w:rPr>
          <w:rFonts w:ascii="Garamond" w:hAnsi="Garamond"/>
          <w:sz w:val="24"/>
          <w:szCs w:val="24"/>
        </w:rPr>
        <w:t>PSD and Title V Greenhouse Gas Tailoring Rule</w:t>
      </w:r>
      <w:bookmarkEnd w:id="52"/>
      <w:bookmarkEnd w:id="53"/>
      <w:bookmarkEnd w:id="54"/>
      <w:bookmarkEnd w:id="55"/>
    </w:p>
    <w:p w14:paraId="293A29B3" w14:textId="77777777" w:rsidR="00CF049B" w:rsidRPr="00E56E44" w:rsidRDefault="00CF049B" w:rsidP="007F6D0E">
      <w:pPr>
        <w:rPr>
          <w:rFonts w:ascii="Garamond" w:hAnsi="Garamond"/>
          <w:sz w:val="24"/>
          <w:szCs w:val="24"/>
        </w:rPr>
      </w:pPr>
    </w:p>
    <w:p w14:paraId="375E7372" w14:textId="77777777" w:rsidR="00CF049B" w:rsidRPr="00E56E44" w:rsidRDefault="00CF049B" w:rsidP="007F6D0E">
      <w:pPr>
        <w:ind w:left="360"/>
        <w:rPr>
          <w:rFonts w:ascii="Garamond" w:hAnsi="Garamond"/>
          <w:sz w:val="24"/>
          <w:szCs w:val="24"/>
        </w:rPr>
      </w:pPr>
      <w:r w:rsidRPr="00E56E44">
        <w:rPr>
          <w:rFonts w:ascii="Garamond" w:hAnsi="Garamond"/>
          <w:sz w:val="24"/>
          <w:szCs w:val="24"/>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  </w:t>
      </w:r>
    </w:p>
    <w:p w14:paraId="3D7FB7D4" w14:textId="77777777" w:rsidR="00CF049B" w:rsidRPr="00E56E44" w:rsidRDefault="00CF049B" w:rsidP="007F6D0E">
      <w:pPr>
        <w:rPr>
          <w:rFonts w:ascii="Garamond" w:hAnsi="Garamond"/>
          <w:sz w:val="24"/>
          <w:szCs w:val="24"/>
        </w:rPr>
      </w:pPr>
    </w:p>
    <w:p w14:paraId="67BC0A91" w14:textId="77777777" w:rsidR="00CF049B" w:rsidRPr="00E56E44" w:rsidRDefault="00CF049B" w:rsidP="007F6D0E">
      <w:pPr>
        <w:ind w:left="360"/>
        <w:rPr>
          <w:rFonts w:ascii="Garamond" w:hAnsi="Garamond"/>
          <w:sz w:val="24"/>
          <w:szCs w:val="24"/>
        </w:rPr>
      </w:pPr>
      <w:r w:rsidRPr="00E56E44">
        <w:rPr>
          <w:rFonts w:ascii="Garamond" w:hAnsi="Garamond"/>
          <w:sz w:val="24"/>
          <w:szCs w:val="24"/>
        </w:rPr>
        <w:t>Under the Tailoring Rule, any PSD action (either a new major stationary source or a major modification at a major stationary source) taken for a pollutant or pollutants other than GHG that would become final on or after January 2, 2011 would be subject to PSD permitting requirements for GHG if the GHG increases associated with that action were at or above 75,000 TPY of carbon dioxide equivalent (CO</w:t>
      </w:r>
      <w:r w:rsidRPr="00E56E44">
        <w:rPr>
          <w:rFonts w:ascii="Garamond" w:hAnsi="Garamond"/>
          <w:sz w:val="24"/>
          <w:szCs w:val="24"/>
          <w:vertAlign w:val="subscript"/>
        </w:rPr>
        <w:t>2</w:t>
      </w:r>
      <w:r w:rsidRPr="00E56E44">
        <w:rPr>
          <w:rFonts w:ascii="Garamond" w:hAnsi="Garamond"/>
          <w:sz w:val="24"/>
          <w:szCs w:val="24"/>
        </w:rPr>
        <w:t xml:space="preserve">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  </w:t>
      </w:r>
    </w:p>
    <w:p w14:paraId="33EE529D" w14:textId="77777777" w:rsidR="00CF049B" w:rsidRPr="00E56E44" w:rsidRDefault="00CF049B" w:rsidP="007F6D0E">
      <w:pPr>
        <w:rPr>
          <w:rFonts w:ascii="Garamond" w:hAnsi="Garamond"/>
          <w:sz w:val="24"/>
          <w:szCs w:val="24"/>
        </w:rPr>
      </w:pPr>
    </w:p>
    <w:p w14:paraId="58E42720" w14:textId="77777777" w:rsidR="00CF049B" w:rsidRPr="00E56E44" w:rsidRDefault="00C15002" w:rsidP="007F6D0E">
      <w:pPr>
        <w:ind w:left="360"/>
        <w:rPr>
          <w:rFonts w:ascii="Garamond" w:hAnsi="Garamond"/>
          <w:sz w:val="24"/>
          <w:szCs w:val="24"/>
        </w:rPr>
      </w:pPr>
      <w:r w:rsidRPr="00E56E44">
        <w:rPr>
          <w:rFonts w:ascii="Garamond" w:hAnsi="Garamond"/>
          <w:sz w:val="24"/>
          <w:szCs w:val="24"/>
        </w:rPr>
        <w:t xml:space="preserve">Starting on July 1, 2011, PSD permitting requirements would be triggered for modifications that were determined to be major under PSD based on GHG emissions alone, even if no other pollutant </w:t>
      </w:r>
      <w:r w:rsidR="00987588" w:rsidRPr="00E56E44">
        <w:rPr>
          <w:rFonts w:ascii="Garamond" w:hAnsi="Garamond"/>
          <w:sz w:val="24"/>
          <w:szCs w:val="24"/>
        </w:rPr>
        <w:t>triggered a major modification.</w:t>
      </w:r>
      <w:r w:rsidRPr="00E56E44">
        <w:rPr>
          <w:rFonts w:ascii="Garamond" w:hAnsi="Garamond"/>
          <w:sz w:val="24"/>
          <w:szCs w:val="24"/>
        </w:rPr>
        <w:t xml:space="preserve"> </w:t>
      </w:r>
      <w:r w:rsidR="00987588" w:rsidRPr="00E56E44">
        <w:rPr>
          <w:rFonts w:ascii="Garamond" w:hAnsi="Garamond"/>
          <w:sz w:val="24"/>
          <w:szCs w:val="24"/>
        </w:rPr>
        <w:t xml:space="preserve"> </w:t>
      </w:r>
      <w:r w:rsidRPr="00E56E44">
        <w:rPr>
          <w:rFonts w:ascii="Garamond" w:hAnsi="Garamond"/>
          <w:sz w:val="24"/>
          <w:szCs w:val="24"/>
        </w:rPr>
        <w:t>In addition, sources that are not considered PSD major sources based on criteria pollutant emissions would become subject to PSD review if their facility-wide potential emissions equaled or exceeded 100,000 TPY of CO</w:t>
      </w:r>
      <w:r w:rsidRPr="00E56E44">
        <w:rPr>
          <w:rFonts w:ascii="Garamond" w:hAnsi="Garamond"/>
          <w:sz w:val="24"/>
          <w:szCs w:val="24"/>
          <w:vertAlign w:val="subscript"/>
        </w:rPr>
        <w:t>2</w:t>
      </w:r>
      <w:r w:rsidRPr="00E56E44">
        <w:rPr>
          <w:rFonts w:ascii="Garamond" w:hAnsi="Garamond"/>
          <w:sz w:val="24"/>
          <w:szCs w:val="24"/>
        </w:rPr>
        <w:t>e and 100 or 250 TPY of GHG on a mass basis depending on their listed status in ARM 17.8.801(22) and they undertook a permitting action with increases of 75,000 TPY or more of CO</w:t>
      </w:r>
      <w:r w:rsidRPr="00E56E44">
        <w:rPr>
          <w:rFonts w:ascii="Garamond" w:hAnsi="Garamond"/>
          <w:sz w:val="24"/>
          <w:szCs w:val="24"/>
          <w:vertAlign w:val="subscript"/>
        </w:rPr>
        <w:t>2</w:t>
      </w:r>
      <w:r w:rsidRPr="00E56E44">
        <w:rPr>
          <w:rFonts w:ascii="Garamond" w:hAnsi="Garamond"/>
          <w:sz w:val="24"/>
          <w:szCs w:val="24"/>
        </w:rPr>
        <w:t>e and greater than 0 TPY of GHG on a mass basis. With respect to Title V, sources not currently holding a Title V permit that have potential facility-wide emissions equal to or exceeding 100,000 TPY of CO</w:t>
      </w:r>
      <w:r w:rsidRPr="00E56E44">
        <w:rPr>
          <w:rFonts w:ascii="Garamond" w:hAnsi="Garamond"/>
          <w:sz w:val="24"/>
          <w:szCs w:val="24"/>
          <w:vertAlign w:val="subscript"/>
        </w:rPr>
        <w:t>2</w:t>
      </w:r>
      <w:r w:rsidRPr="00E56E44">
        <w:rPr>
          <w:rFonts w:ascii="Garamond" w:hAnsi="Garamond"/>
          <w:sz w:val="24"/>
          <w:szCs w:val="24"/>
        </w:rPr>
        <w:t>e and 100 TPY of GHG on a mass basis would be required to obtain a Title V Operating Permit.</w:t>
      </w:r>
    </w:p>
    <w:p w14:paraId="43BDEB83" w14:textId="77777777" w:rsidR="00CF049B" w:rsidRPr="00E56E44" w:rsidRDefault="00CF049B" w:rsidP="007F6D0E">
      <w:pPr>
        <w:rPr>
          <w:rFonts w:ascii="Garamond" w:hAnsi="Garamond"/>
          <w:sz w:val="24"/>
          <w:szCs w:val="24"/>
        </w:rPr>
      </w:pPr>
    </w:p>
    <w:p w14:paraId="6800E837" w14:textId="77777777" w:rsidR="00CF049B" w:rsidRPr="00E56E44" w:rsidRDefault="00A8328F" w:rsidP="007F6D0E">
      <w:pPr>
        <w:pStyle w:val="Default"/>
        <w:ind w:left="360"/>
        <w:rPr>
          <w:rFonts w:ascii="Garamond" w:hAnsi="Garamond"/>
        </w:rPr>
      </w:pPr>
      <w:r w:rsidRPr="00E56E44">
        <w:rPr>
          <w:rFonts w:ascii="Garamond" w:hAnsi="Garamond"/>
        </w:rPr>
        <w:t xml:space="preserve">Based on information provided by </w:t>
      </w:r>
      <w:r w:rsidR="00326C8E" w:rsidRPr="00E56E44">
        <w:rPr>
          <w:rFonts w:ascii="Garamond" w:hAnsi="Garamond"/>
        </w:rPr>
        <w:t>GSM</w:t>
      </w:r>
      <w:r w:rsidRPr="00E56E44">
        <w:rPr>
          <w:rFonts w:ascii="Garamond" w:hAnsi="Garamond"/>
        </w:rPr>
        <w:t xml:space="preserve">, </w:t>
      </w:r>
      <w:r w:rsidR="00326C8E" w:rsidRPr="00E56E44">
        <w:rPr>
          <w:rFonts w:ascii="Garamond" w:hAnsi="Garamond"/>
        </w:rPr>
        <w:t>GSM</w:t>
      </w:r>
      <w:r w:rsidRPr="00E56E44">
        <w:rPr>
          <w:rFonts w:ascii="Garamond" w:hAnsi="Garamond"/>
        </w:rPr>
        <w:t xml:space="preserve">’s potential emissions </w:t>
      </w:r>
      <w:r w:rsidR="00415F92" w:rsidRPr="00E56E44">
        <w:rPr>
          <w:rFonts w:ascii="Garamond" w:hAnsi="Garamond"/>
        </w:rPr>
        <w:t>fall below</w:t>
      </w:r>
      <w:r w:rsidRPr="00E56E44">
        <w:rPr>
          <w:rFonts w:ascii="Garamond" w:hAnsi="Garamond"/>
        </w:rPr>
        <w:t xml:space="preserve"> the GHG major source threshold of 100,000 TPY of CO</w:t>
      </w:r>
      <w:r w:rsidRPr="00DB0867">
        <w:rPr>
          <w:rFonts w:ascii="Garamond" w:hAnsi="Garamond"/>
          <w:vertAlign w:val="subscript"/>
        </w:rPr>
        <w:t>2</w:t>
      </w:r>
      <w:r w:rsidRPr="00E56E44">
        <w:rPr>
          <w:rFonts w:ascii="Garamond" w:hAnsi="Garamond"/>
        </w:rPr>
        <w:t xml:space="preserve">e for both Title V and PSD under the Tailoring Rule.  </w:t>
      </w:r>
    </w:p>
    <w:p w14:paraId="05D967D7" w14:textId="77777777" w:rsidR="00CF049B" w:rsidRPr="00E56E44" w:rsidRDefault="00CF049B" w:rsidP="007F6D0E">
      <w:pPr>
        <w:rPr>
          <w:rFonts w:ascii="Garamond" w:hAnsi="Garamond"/>
          <w:color w:val="000000"/>
          <w:sz w:val="24"/>
          <w:szCs w:val="24"/>
        </w:rPr>
      </w:pPr>
    </w:p>
    <w:p w14:paraId="00715F21" w14:textId="77777777" w:rsidR="00467333" w:rsidRPr="00E56E44" w:rsidRDefault="00467333" w:rsidP="007F6D0E">
      <w:pPr>
        <w:rPr>
          <w:rFonts w:ascii="Garamond" w:hAnsi="Garamond"/>
          <w:sz w:val="24"/>
          <w:szCs w:val="24"/>
        </w:rPr>
      </w:pPr>
    </w:p>
    <w:sectPr w:rsidR="00467333" w:rsidRPr="00E56E44" w:rsidSect="001D5FCE">
      <w:pgSz w:w="12240" w:h="15840" w:code="1"/>
      <w:pgMar w:top="1152"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10D5" w14:textId="77777777" w:rsidR="003A3745" w:rsidRDefault="003A3745">
      <w:r>
        <w:separator/>
      </w:r>
    </w:p>
  </w:endnote>
  <w:endnote w:type="continuationSeparator" w:id="0">
    <w:p w14:paraId="77372EBD" w14:textId="77777777" w:rsidR="003A3745" w:rsidRDefault="003A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7AC9" w14:textId="77777777" w:rsidR="00A8328F" w:rsidRDefault="00A8328F">
    <w:pPr>
      <w:pStyle w:val="Footer"/>
      <w:framePr w:wrap="around" w:vAnchor="text" w:hAnchor="margin" w:xAlign="center" w:y="1"/>
      <w:rPr>
        <w:rStyle w:val="PageNumber"/>
      </w:rPr>
    </w:pPr>
  </w:p>
  <w:p w14:paraId="00156F6E" w14:textId="77777777" w:rsidR="00A8328F" w:rsidRDefault="00A83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1208" w14:textId="10C0CDB5" w:rsidR="00321605" w:rsidRDefault="008B1D57" w:rsidP="00321605">
    <w:pPr>
      <w:tabs>
        <w:tab w:val="center" w:pos="4320"/>
        <w:tab w:val="left" w:pos="7200"/>
        <w:tab w:val="right" w:pos="9360"/>
      </w:tabs>
      <w:rPr>
        <w:rFonts w:ascii="Garamond" w:hAnsi="Garamond"/>
        <w:sz w:val="22"/>
        <w:szCs w:val="22"/>
      </w:rPr>
    </w:pPr>
    <w:r w:rsidRPr="004A3A39">
      <w:rPr>
        <w:rFonts w:ascii="Garamond" w:hAnsi="Garamond"/>
        <w:sz w:val="18"/>
        <w:szCs w:val="18"/>
      </w:rPr>
      <w:t>TRD1689-</w:t>
    </w:r>
    <w:r w:rsidR="00F754B3" w:rsidRPr="004A3A39">
      <w:rPr>
        <w:rFonts w:ascii="Garamond" w:hAnsi="Garamond"/>
        <w:sz w:val="18"/>
        <w:szCs w:val="18"/>
      </w:rPr>
      <w:t>0</w:t>
    </w:r>
    <w:r w:rsidR="00010B1C">
      <w:rPr>
        <w:rFonts w:ascii="Garamond" w:hAnsi="Garamond"/>
        <w:sz w:val="18"/>
        <w:szCs w:val="18"/>
      </w:rPr>
      <w:t>4</w:t>
    </w:r>
    <w:r w:rsidR="00F754B3" w:rsidRPr="004A3A39">
      <w:rPr>
        <w:rFonts w:ascii="Garamond" w:hAnsi="Garamond"/>
        <w:sz w:val="18"/>
        <w:szCs w:val="18"/>
      </w:rPr>
      <w:ptab w:relativeTo="margin" w:alignment="center" w:leader="none"/>
    </w:r>
    <w:r w:rsidR="001D6CA4" w:rsidRPr="001D6CA4">
      <w:rPr>
        <w:rFonts w:ascii="Garamond" w:hAnsi="Garamond"/>
        <w:sz w:val="18"/>
        <w:szCs w:val="18"/>
      </w:rPr>
      <w:fldChar w:fldCharType="begin"/>
    </w:r>
    <w:r w:rsidR="001D6CA4" w:rsidRPr="001D6CA4">
      <w:rPr>
        <w:rFonts w:ascii="Garamond" w:hAnsi="Garamond"/>
        <w:sz w:val="18"/>
        <w:szCs w:val="18"/>
      </w:rPr>
      <w:instrText xml:space="preserve"> PAGE   \* MERGEFORMAT </w:instrText>
    </w:r>
    <w:r w:rsidR="001D6CA4" w:rsidRPr="001D6CA4">
      <w:rPr>
        <w:rFonts w:ascii="Garamond" w:hAnsi="Garamond"/>
        <w:sz w:val="18"/>
        <w:szCs w:val="18"/>
      </w:rPr>
      <w:fldChar w:fldCharType="separate"/>
    </w:r>
    <w:r w:rsidR="001D6CA4" w:rsidRPr="001D6CA4">
      <w:rPr>
        <w:rFonts w:ascii="Garamond" w:hAnsi="Garamond"/>
        <w:noProof/>
        <w:sz w:val="18"/>
        <w:szCs w:val="18"/>
      </w:rPr>
      <w:t>1</w:t>
    </w:r>
    <w:r w:rsidR="001D6CA4" w:rsidRPr="001D6CA4">
      <w:rPr>
        <w:rFonts w:ascii="Garamond" w:hAnsi="Garamond"/>
        <w:noProof/>
        <w:sz w:val="18"/>
        <w:szCs w:val="18"/>
      </w:rPr>
      <w:fldChar w:fldCharType="end"/>
    </w:r>
    <w:r w:rsidR="00F754B3" w:rsidRPr="004A3A39">
      <w:rPr>
        <w:rFonts w:ascii="Garamond" w:hAnsi="Garamond"/>
        <w:sz w:val="18"/>
        <w:szCs w:val="18"/>
      </w:rPr>
      <w:ptab w:relativeTo="margin" w:alignment="right" w:leader="none"/>
    </w:r>
    <w:r w:rsidR="00321605" w:rsidRPr="004A3A39">
      <w:rPr>
        <w:rFonts w:ascii="Garamond" w:hAnsi="Garamond"/>
        <w:sz w:val="16"/>
        <w:szCs w:val="16"/>
      </w:rPr>
      <w:t xml:space="preserve"> </w:t>
    </w:r>
    <w:r w:rsidR="00010B1C">
      <w:rPr>
        <w:rFonts w:ascii="Garamond" w:hAnsi="Garamond"/>
        <w:sz w:val="18"/>
        <w:szCs w:val="18"/>
      </w:rPr>
      <w:t>Draft</w:t>
    </w:r>
    <w:r w:rsidR="00321605" w:rsidRPr="004A3A39">
      <w:rPr>
        <w:rFonts w:ascii="Garamond" w:hAnsi="Garamond"/>
        <w:sz w:val="18"/>
        <w:szCs w:val="18"/>
      </w:rPr>
      <w:t xml:space="preserve">: </w:t>
    </w:r>
    <w:r w:rsidR="004B3904">
      <w:rPr>
        <w:rFonts w:ascii="Garamond" w:hAnsi="Garamond"/>
        <w:sz w:val="18"/>
        <w:szCs w:val="18"/>
      </w:rPr>
      <w:t>06/2</w:t>
    </w:r>
    <w:r w:rsidR="001E22B9">
      <w:rPr>
        <w:rFonts w:ascii="Garamond" w:hAnsi="Garamond"/>
        <w:sz w:val="18"/>
        <w:szCs w:val="18"/>
      </w:rPr>
      <w:t>5</w:t>
    </w:r>
    <w:r w:rsidR="004B3904">
      <w:rPr>
        <w:rFonts w:ascii="Garamond" w:hAnsi="Garamond"/>
        <w:sz w:val="18"/>
        <w:szCs w:val="18"/>
      </w:rPr>
      <w:t>/2026</w:t>
    </w:r>
  </w:p>
  <w:p w14:paraId="149C0915" w14:textId="05B62E58" w:rsidR="008B1D57" w:rsidRPr="00A6310A" w:rsidRDefault="008B1D57" w:rsidP="002E7550">
    <w:pPr>
      <w:tabs>
        <w:tab w:val="center" w:pos="4320"/>
      </w:tabs>
      <w:rPr>
        <w:rFonts w:ascii="Garamond" w:hAnsi="Garamon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212A" w14:textId="77777777" w:rsidR="003A3745" w:rsidRDefault="003A3745">
      <w:r>
        <w:separator/>
      </w:r>
    </w:p>
  </w:footnote>
  <w:footnote w:type="continuationSeparator" w:id="0">
    <w:p w14:paraId="6323BC06" w14:textId="77777777" w:rsidR="003A3745" w:rsidRDefault="003A3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09ED8"/>
    <w:multiLevelType w:val="hybridMultilevel"/>
    <w:tmpl w:val="F043AF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D08A2C"/>
    <w:multiLevelType w:val="hybridMultilevel"/>
    <w:tmpl w:val="DD2AEBF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0BCCB5"/>
    <w:multiLevelType w:val="hybridMultilevel"/>
    <w:tmpl w:val="CE65F3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97A706C"/>
    <w:multiLevelType w:val="hybridMultilevel"/>
    <w:tmpl w:val="5B31D9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F60A157"/>
    <w:multiLevelType w:val="hybridMultilevel"/>
    <w:tmpl w:val="16FB4A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65C6F71"/>
    <w:multiLevelType w:val="hybridMultilevel"/>
    <w:tmpl w:val="8AF9DC8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142BB8"/>
    <w:multiLevelType w:val="singleLevel"/>
    <w:tmpl w:val="1B3C5200"/>
    <w:lvl w:ilvl="0">
      <w:start w:val="1"/>
      <w:numFmt w:val="upperLetter"/>
      <w:lvlText w:val="%1."/>
      <w:lvlJc w:val="left"/>
      <w:pPr>
        <w:tabs>
          <w:tab w:val="num" w:pos="360"/>
        </w:tabs>
        <w:ind w:left="360" w:hanging="360"/>
      </w:pPr>
      <w:rPr>
        <w:u w:val="none"/>
      </w:rPr>
    </w:lvl>
  </w:abstractNum>
  <w:abstractNum w:abstractNumId="7" w15:restartNumberingAfterBreak="0">
    <w:nsid w:val="06A34959"/>
    <w:multiLevelType w:val="multilevel"/>
    <w:tmpl w:val="2AD0F652"/>
    <w:lvl w:ilvl="0">
      <w:start w:val="16"/>
      <w:numFmt w:val="upperLetter"/>
      <w:lvlText w:val="%1"/>
      <w:lvlJc w:val="left"/>
      <w:pPr>
        <w:ind w:hanging="432"/>
      </w:pPr>
      <w:rPr>
        <w:rFonts w:hint="default"/>
      </w:rPr>
    </w:lvl>
    <w:lvl w:ilvl="1">
      <w:start w:val="15"/>
      <w:numFmt w:val="upperLetter"/>
      <w:lvlText w:val="%1.%2."/>
      <w:lvlJc w:val="left"/>
      <w:pPr>
        <w:ind w:hanging="432"/>
      </w:pPr>
      <w:rPr>
        <w:rFonts w:ascii="Times New Roman" w:eastAsia="Times New Roman" w:hAnsi="Times New Roman" w:hint="default"/>
        <w:color w:val="464646"/>
        <w:w w:val="104"/>
        <w:sz w:val="20"/>
        <w:szCs w:val="20"/>
      </w:rPr>
    </w:lvl>
    <w:lvl w:ilvl="2">
      <w:start w:val="1"/>
      <w:numFmt w:val="bullet"/>
      <w:lvlText w:val="•"/>
      <w:lvlJc w:val="left"/>
      <w:pPr>
        <w:ind w:hanging="375"/>
      </w:pPr>
      <w:rPr>
        <w:rFonts w:ascii="Times New Roman" w:eastAsia="Times New Roman" w:hAnsi="Times New Roman" w:hint="default"/>
        <w:color w:val="313131"/>
        <w:w w:val="174"/>
        <w:sz w:val="20"/>
        <w:szCs w:val="20"/>
      </w:rPr>
    </w:lvl>
    <w:lvl w:ilvl="3">
      <w:start w:val="1"/>
      <w:numFmt w:val="bullet"/>
      <w:lvlText w:val="•"/>
      <w:lvlJc w:val="left"/>
      <w:pPr>
        <w:ind w:hanging="350"/>
      </w:pPr>
      <w:rPr>
        <w:rFonts w:ascii="Times New Roman" w:eastAsia="Times New Roman" w:hAnsi="Times New Roman" w:hint="default"/>
        <w:color w:val="3F3F3F"/>
        <w:w w:val="158"/>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C54F65"/>
    <w:multiLevelType w:val="multilevel"/>
    <w:tmpl w:val="150A7F10"/>
    <w:lvl w:ilvl="0">
      <w:start w:val="1"/>
      <w:numFmt w:val="upperRoman"/>
      <w:pStyle w:val="Heading1"/>
      <w:suff w:val="space"/>
      <w:lvlText w:val="SECTION %1."/>
      <w:lvlJc w:val="left"/>
      <w:pPr>
        <w:ind w:left="0" w:firstLine="0"/>
      </w:pPr>
      <w:rPr>
        <w:rFonts w:ascii="Garamond" w:hAnsi="Garamond" w:hint="default"/>
        <w:b/>
        <w:i w:val="0"/>
        <w:sz w:val="24"/>
        <w:szCs w:val="24"/>
      </w:rPr>
    </w:lvl>
    <w:lvl w:ilvl="1">
      <w:start w:val="1"/>
      <w:numFmt w:val="upperLetter"/>
      <w:lvlText w:val="%2"/>
      <w:lvlJc w:val="left"/>
      <w:pPr>
        <w:tabs>
          <w:tab w:val="num" w:pos="360"/>
        </w:tabs>
        <w:ind w:left="0" w:firstLine="0"/>
      </w:pPr>
      <w:rPr>
        <w:rFonts w:ascii="Univers" w:hAnsi="Univer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AFA48B0"/>
    <w:multiLevelType w:val="singleLevel"/>
    <w:tmpl w:val="92AEAD54"/>
    <w:lvl w:ilvl="0">
      <w:start w:val="7"/>
      <w:numFmt w:val="upperLetter"/>
      <w:lvlText w:val="%1."/>
      <w:lvlJc w:val="left"/>
      <w:pPr>
        <w:tabs>
          <w:tab w:val="num" w:pos="504"/>
        </w:tabs>
        <w:ind w:left="504" w:hanging="504"/>
      </w:pPr>
      <w:rPr>
        <w:u w:val="none"/>
      </w:rPr>
    </w:lvl>
  </w:abstractNum>
  <w:abstractNum w:abstractNumId="10" w15:restartNumberingAfterBreak="0">
    <w:nsid w:val="138462EE"/>
    <w:multiLevelType w:val="singleLevel"/>
    <w:tmpl w:val="1B3C5200"/>
    <w:lvl w:ilvl="0">
      <w:start w:val="1"/>
      <w:numFmt w:val="upperLetter"/>
      <w:lvlText w:val="%1."/>
      <w:lvlJc w:val="left"/>
      <w:pPr>
        <w:tabs>
          <w:tab w:val="num" w:pos="360"/>
        </w:tabs>
        <w:ind w:left="360" w:hanging="360"/>
      </w:pPr>
      <w:rPr>
        <w:u w:val="none"/>
      </w:rPr>
    </w:lvl>
  </w:abstractNum>
  <w:abstractNum w:abstractNumId="11" w15:restartNumberingAfterBreak="0">
    <w:nsid w:val="16893AEF"/>
    <w:multiLevelType w:val="singleLevel"/>
    <w:tmpl w:val="9B022782"/>
    <w:lvl w:ilvl="0">
      <w:start w:val="4"/>
      <w:numFmt w:val="upperLetter"/>
      <w:lvlText w:val="%1."/>
      <w:lvlJc w:val="left"/>
      <w:pPr>
        <w:tabs>
          <w:tab w:val="num" w:pos="504"/>
        </w:tabs>
        <w:ind w:left="504" w:hanging="504"/>
      </w:pPr>
      <w:rPr>
        <w:u w:val="none"/>
      </w:rPr>
    </w:lvl>
  </w:abstractNum>
  <w:abstractNum w:abstractNumId="12" w15:restartNumberingAfterBreak="0">
    <w:nsid w:val="2D554260"/>
    <w:multiLevelType w:val="singleLevel"/>
    <w:tmpl w:val="BC48ADE4"/>
    <w:lvl w:ilvl="0">
      <w:start w:val="1"/>
      <w:numFmt w:val="upperLetter"/>
      <w:lvlText w:val="%1."/>
      <w:lvlJc w:val="left"/>
      <w:pPr>
        <w:tabs>
          <w:tab w:val="num" w:pos="504"/>
        </w:tabs>
        <w:ind w:left="504" w:hanging="504"/>
      </w:pPr>
      <w:rPr>
        <w:u w:val="none"/>
      </w:rPr>
    </w:lvl>
  </w:abstractNum>
  <w:abstractNum w:abstractNumId="13" w15:restartNumberingAfterBreak="0">
    <w:nsid w:val="2ED55972"/>
    <w:multiLevelType w:val="singleLevel"/>
    <w:tmpl w:val="9B022782"/>
    <w:lvl w:ilvl="0">
      <w:start w:val="4"/>
      <w:numFmt w:val="upperLetter"/>
      <w:lvlText w:val="%1."/>
      <w:lvlJc w:val="left"/>
      <w:pPr>
        <w:tabs>
          <w:tab w:val="num" w:pos="504"/>
        </w:tabs>
        <w:ind w:left="504" w:hanging="504"/>
      </w:pPr>
      <w:rPr>
        <w:u w:val="none"/>
      </w:rPr>
    </w:lvl>
  </w:abstractNum>
  <w:abstractNum w:abstractNumId="14" w15:restartNumberingAfterBreak="0">
    <w:nsid w:val="31E277DE"/>
    <w:multiLevelType w:val="singleLevel"/>
    <w:tmpl w:val="9B022782"/>
    <w:lvl w:ilvl="0">
      <w:start w:val="4"/>
      <w:numFmt w:val="upperLetter"/>
      <w:lvlText w:val="%1."/>
      <w:lvlJc w:val="left"/>
      <w:pPr>
        <w:tabs>
          <w:tab w:val="num" w:pos="504"/>
        </w:tabs>
        <w:ind w:left="504" w:hanging="504"/>
      </w:pPr>
      <w:rPr>
        <w:u w:val="none"/>
      </w:rPr>
    </w:lvl>
  </w:abstractNum>
  <w:abstractNum w:abstractNumId="15" w15:restartNumberingAfterBreak="0">
    <w:nsid w:val="3C3E484C"/>
    <w:multiLevelType w:val="hybridMultilevel"/>
    <w:tmpl w:val="848678CC"/>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6" w15:restartNumberingAfterBreak="0">
    <w:nsid w:val="3D3F48F5"/>
    <w:multiLevelType w:val="singleLevel"/>
    <w:tmpl w:val="BC48ADE4"/>
    <w:lvl w:ilvl="0">
      <w:start w:val="1"/>
      <w:numFmt w:val="upperLetter"/>
      <w:lvlText w:val="%1."/>
      <w:lvlJc w:val="left"/>
      <w:pPr>
        <w:tabs>
          <w:tab w:val="num" w:pos="504"/>
        </w:tabs>
        <w:ind w:left="504" w:hanging="504"/>
      </w:pPr>
      <w:rPr>
        <w:u w:val="none"/>
      </w:rPr>
    </w:lvl>
  </w:abstractNum>
  <w:abstractNum w:abstractNumId="17" w15:restartNumberingAfterBreak="0">
    <w:nsid w:val="3E453822"/>
    <w:multiLevelType w:val="hybridMultilevel"/>
    <w:tmpl w:val="7E56CF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F17D20"/>
    <w:multiLevelType w:val="singleLevel"/>
    <w:tmpl w:val="E3E8EE0E"/>
    <w:lvl w:ilvl="0">
      <w:start w:val="3"/>
      <w:numFmt w:val="upperLetter"/>
      <w:lvlText w:val="%1."/>
      <w:lvlJc w:val="left"/>
      <w:pPr>
        <w:tabs>
          <w:tab w:val="num" w:pos="504"/>
        </w:tabs>
        <w:ind w:left="504" w:hanging="504"/>
      </w:pPr>
      <w:rPr>
        <w:u w:val="none"/>
      </w:rPr>
    </w:lvl>
  </w:abstractNum>
  <w:abstractNum w:abstractNumId="19" w15:restartNumberingAfterBreak="0">
    <w:nsid w:val="4CC85727"/>
    <w:multiLevelType w:val="singleLevel"/>
    <w:tmpl w:val="1B3C5200"/>
    <w:lvl w:ilvl="0">
      <w:start w:val="1"/>
      <w:numFmt w:val="upperLetter"/>
      <w:lvlText w:val="%1."/>
      <w:lvlJc w:val="left"/>
      <w:pPr>
        <w:tabs>
          <w:tab w:val="num" w:pos="360"/>
        </w:tabs>
        <w:ind w:left="360" w:hanging="360"/>
      </w:pPr>
      <w:rPr>
        <w:u w:val="none"/>
      </w:rPr>
    </w:lvl>
  </w:abstractNum>
  <w:abstractNum w:abstractNumId="20" w15:restartNumberingAfterBreak="0">
    <w:nsid w:val="4E0D1DE5"/>
    <w:multiLevelType w:val="singleLevel"/>
    <w:tmpl w:val="1B3C5200"/>
    <w:lvl w:ilvl="0">
      <w:start w:val="1"/>
      <w:numFmt w:val="upperLetter"/>
      <w:lvlText w:val="%1."/>
      <w:lvlJc w:val="left"/>
      <w:pPr>
        <w:tabs>
          <w:tab w:val="num" w:pos="360"/>
        </w:tabs>
        <w:ind w:left="360" w:hanging="360"/>
      </w:pPr>
      <w:rPr>
        <w:u w:val="none"/>
      </w:rPr>
    </w:lvl>
  </w:abstractNum>
  <w:abstractNum w:abstractNumId="21" w15:restartNumberingAfterBreak="0">
    <w:nsid w:val="51B43279"/>
    <w:multiLevelType w:val="singleLevel"/>
    <w:tmpl w:val="89D06930"/>
    <w:lvl w:ilvl="0">
      <w:start w:val="1"/>
      <w:numFmt w:val="upperLetter"/>
      <w:pStyle w:val="Heading6"/>
      <w:lvlText w:val="%1."/>
      <w:lvlJc w:val="left"/>
      <w:pPr>
        <w:tabs>
          <w:tab w:val="num" w:pos="504"/>
        </w:tabs>
        <w:ind w:left="504" w:hanging="504"/>
      </w:pPr>
      <w:rPr>
        <w:rFonts w:hint="default"/>
        <w:b/>
        <w:i w:val="0"/>
        <w:color w:val="000000"/>
        <w:sz w:val="22"/>
        <w:u w:val="none"/>
      </w:rPr>
    </w:lvl>
  </w:abstractNum>
  <w:abstractNum w:abstractNumId="22" w15:restartNumberingAfterBreak="0">
    <w:nsid w:val="59CC22D5"/>
    <w:multiLevelType w:val="hybridMultilevel"/>
    <w:tmpl w:val="0AE2D0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30F7EFC"/>
    <w:multiLevelType w:val="singleLevel"/>
    <w:tmpl w:val="1B3C5200"/>
    <w:lvl w:ilvl="0">
      <w:start w:val="1"/>
      <w:numFmt w:val="upperLetter"/>
      <w:lvlText w:val="%1."/>
      <w:lvlJc w:val="left"/>
      <w:pPr>
        <w:tabs>
          <w:tab w:val="num" w:pos="360"/>
        </w:tabs>
        <w:ind w:left="360" w:hanging="360"/>
      </w:pPr>
      <w:rPr>
        <w:u w:val="none"/>
      </w:rPr>
    </w:lvl>
  </w:abstractNum>
  <w:abstractNum w:abstractNumId="24" w15:restartNumberingAfterBreak="0">
    <w:nsid w:val="6509FC81"/>
    <w:multiLevelType w:val="hybridMultilevel"/>
    <w:tmpl w:val="828B303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9940F98"/>
    <w:multiLevelType w:val="singleLevel"/>
    <w:tmpl w:val="1B3C5200"/>
    <w:lvl w:ilvl="0">
      <w:start w:val="1"/>
      <w:numFmt w:val="upperLetter"/>
      <w:lvlText w:val="%1."/>
      <w:lvlJc w:val="left"/>
      <w:pPr>
        <w:tabs>
          <w:tab w:val="num" w:pos="360"/>
        </w:tabs>
        <w:ind w:left="360" w:hanging="360"/>
      </w:pPr>
      <w:rPr>
        <w:u w:val="none"/>
      </w:rPr>
    </w:lvl>
  </w:abstractNum>
  <w:abstractNum w:abstractNumId="26" w15:restartNumberingAfterBreak="0">
    <w:nsid w:val="69C04498"/>
    <w:multiLevelType w:val="singleLevel"/>
    <w:tmpl w:val="E3E8EE0E"/>
    <w:lvl w:ilvl="0">
      <w:start w:val="3"/>
      <w:numFmt w:val="upperLetter"/>
      <w:lvlText w:val="%1."/>
      <w:lvlJc w:val="left"/>
      <w:pPr>
        <w:tabs>
          <w:tab w:val="num" w:pos="504"/>
        </w:tabs>
        <w:ind w:left="504" w:hanging="504"/>
      </w:pPr>
      <w:rPr>
        <w:u w:val="none"/>
      </w:rPr>
    </w:lvl>
  </w:abstractNum>
  <w:abstractNum w:abstractNumId="27" w15:restartNumberingAfterBreak="0">
    <w:nsid w:val="69DB56FB"/>
    <w:multiLevelType w:val="hybridMultilevel"/>
    <w:tmpl w:val="D9A65AD4"/>
    <w:lvl w:ilvl="0" w:tplc="0D888430">
      <w:start w:val="1"/>
      <w:numFmt w:val="upperLetter"/>
      <w:pStyle w:val="Heading2"/>
      <w:lvlText w:val="%1."/>
      <w:lvlJc w:val="left"/>
      <w:pPr>
        <w:tabs>
          <w:tab w:val="num" w:pos="360"/>
        </w:tabs>
        <w:ind w:left="360" w:hanging="360"/>
      </w:pPr>
      <w:rPr>
        <w:rFonts w:ascii="Garamond" w:hAnsi="Garamon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E817A5"/>
    <w:multiLevelType w:val="hybridMultilevel"/>
    <w:tmpl w:val="7C3CA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BE2B00"/>
    <w:multiLevelType w:val="singleLevel"/>
    <w:tmpl w:val="373ECD82"/>
    <w:lvl w:ilvl="0">
      <w:start w:val="3"/>
      <w:numFmt w:val="upperLetter"/>
      <w:pStyle w:val="Heading5"/>
      <w:lvlText w:val="%1."/>
      <w:lvlJc w:val="left"/>
      <w:pPr>
        <w:tabs>
          <w:tab w:val="num" w:pos="504"/>
        </w:tabs>
        <w:ind w:left="504" w:hanging="504"/>
      </w:pPr>
      <w:rPr>
        <w:rFonts w:hint="default"/>
        <w:b/>
        <w:i w:val="0"/>
        <w:color w:val="000000"/>
        <w:u w:val="none"/>
      </w:rPr>
    </w:lvl>
  </w:abstractNum>
  <w:abstractNum w:abstractNumId="30" w15:restartNumberingAfterBreak="0">
    <w:nsid w:val="7C3D0E49"/>
    <w:multiLevelType w:val="singleLevel"/>
    <w:tmpl w:val="89F6480A"/>
    <w:lvl w:ilvl="0">
      <w:start w:val="1"/>
      <w:numFmt w:val="upperLetter"/>
      <w:pStyle w:val="Heading4"/>
      <w:lvlText w:val="%1."/>
      <w:lvlJc w:val="left"/>
      <w:pPr>
        <w:tabs>
          <w:tab w:val="num" w:pos="360"/>
        </w:tabs>
        <w:ind w:left="360" w:hanging="360"/>
      </w:pPr>
      <w:rPr>
        <w:u w:val="none"/>
      </w:rPr>
    </w:lvl>
  </w:abstractNum>
  <w:num w:numId="1" w16cid:durableId="887568430">
    <w:abstractNumId w:val="8"/>
  </w:num>
  <w:num w:numId="2" w16cid:durableId="768549872">
    <w:abstractNumId w:val="16"/>
  </w:num>
  <w:num w:numId="3" w16cid:durableId="1084499274">
    <w:abstractNumId w:val="12"/>
  </w:num>
  <w:num w:numId="4" w16cid:durableId="523323506">
    <w:abstractNumId w:val="21"/>
  </w:num>
  <w:num w:numId="5" w16cid:durableId="1390880331">
    <w:abstractNumId w:val="11"/>
  </w:num>
  <w:num w:numId="6" w16cid:durableId="1503471262">
    <w:abstractNumId w:val="13"/>
  </w:num>
  <w:num w:numId="7" w16cid:durableId="1522165816">
    <w:abstractNumId w:val="14"/>
  </w:num>
  <w:num w:numId="8" w16cid:durableId="1802532601">
    <w:abstractNumId w:val="8"/>
  </w:num>
  <w:num w:numId="9" w16cid:durableId="1625576526">
    <w:abstractNumId w:val="30"/>
  </w:num>
  <w:num w:numId="10" w16cid:durableId="551581868">
    <w:abstractNumId w:val="10"/>
  </w:num>
  <w:num w:numId="11" w16cid:durableId="1004355759">
    <w:abstractNumId w:val="6"/>
  </w:num>
  <w:num w:numId="12" w16cid:durableId="1793016479">
    <w:abstractNumId w:val="25"/>
  </w:num>
  <w:num w:numId="13" w16cid:durableId="642000371">
    <w:abstractNumId w:val="23"/>
  </w:num>
  <w:num w:numId="14" w16cid:durableId="1384476720">
    <w:abstractNumId w:val="26"/>
  </w:num>
  <w:num w:numId="15" w16cid:durableId="1258054679">
    <w:abstractNumId w:val="18"/>
  </w:num>
  <w:num w:numId="16" w16cid:durableId="1337924915">
    <w:abstractNumId w:val="29"/>
  </w:num>
  <w:num w:numId="17" w16cid:durableId="112018048">
    <w:abstractNumId w:val="9"/>
  </w:num>
  <w:num w:numId="18" w16cid:durableId="519507914">
    <w:abstractNumId w:val="19"/>
  </w:num>
  <w:num w:numId="19" w16cid:durableId="316347571">
    <w:abstractNumId w:val="20"/>
  </w:num>
  <w:num w:numId="20" w16cid:durableId="1681392633">
    <w:abstractNumId w:val="27"/>
  </w:num>
  <w:num w:numId="21" w16cid:durableId="773473736">
    <w:abstractNumId w:val="27"/>
    <w:lvlOverride w:ilvl="0">
      <w:startOverride w:val="1"/>
    </w:lvlOverride>
  </w:num>
  <w:num w:numId="22" w16cid:durableId="955676351">
    <w:abstractNumId w:val="27"/>
    <w:lvlOverride w:ilvl="0">
      <w:startOverride w:val="1"/>
    </w:lvlOverride>
  </w:num>
  <w:num w:numId="23" w16cid:durableId="2066372005">
    <w:abstractNumId w:val="27"/>
    <w:lvlOverride w:ilvl="0">
      <w:startOverride w:val="1"/>
    </w:lvlOverride>
  </w:num>
  <w:num w:numId="24" w16cid:durableId="1047413899">
    <w:abstractNumId w:val="22"/>
  </w:num>
  <w:num w:numId="25" w16cid:durableId="787965317">
    <w:abstractNumId w:val="2"/>
  </w:num>
  <w:num w:numId="26" w16cid:durableId="1073233040">
    <w:abstractNumId w:val="17"/>
  </w:num>
  <w:num w:numId="27" w16cid:durableId="1105926725">
    <w:abstractNumId w:val="4"/>
  </w:num>
  <w:num w:numId="28" w16cid:durableId="330451996">
    <w:abstractNumId w:val="3"/>
  </w:num>
  <w:num w:numId="29" w16cid:durableId="1563835842">
    <w:abstractNumId w:val="1"/>
  </w:num>
  <w:num w:numId="30" w16cid:durableId="1455515600">
    <w:abstractNumId w:val="0"/>
  </w:num>
  <w:num w:numId="31" w16cid:durableId="1508060997">
    <w:abstractNumId w:val="24"/>
  </w:num>
  <w:num w:numId="32" w16cid:durableId="1193305919">
    <w:abstractNumId w:val="5"/>
  </w:num>
  <w:num w:numId="33" w16cid:durableId="133065906">
    <w:abstractNumId w:val="7"/>
  </w:num>
  <w:num w:numId="34" w16cid:durableId="1400328279">
    <w:abstractNumId w:val="27"/>
  </w:num>
  <w:num w:numId="35" w16cid:durableId="229846830">
    <w:abstractNumId w:val="8"/>
  </w:num>
  <w:num w:numId="36" w16cid:durableId="1670058660">
    <w:abstractNumId w:val="27"/>
  </w:num>
  <w:num w:numId="37" w16cid:durableId="1830242819">
    <w:abstractNumId w:val="28"/>
  </w:num>
  <w:num w:numId="38" w16cid:durableId="1078986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F8"/>
    <w:rsid w:val="00004846"/>
    <w:rsid w:val="00010B1C"/>
    <w:rsid w:val="00013E38"/>
    <w:rsid w:val="000159FA"/>
    <w:rsid w:val="0002357C"/>
    <w:rsid w:val="000250B6"/>
    <w:rsid w:val="000334CF"/>
    <w:rsid w:val="000526D0"/>
    <w:rsid w:val="000528F1"/>
    <w:rsid w:val="000540B3"/>
    <w:rsid w:val="00060F15"/>
    <w:rsid w:val="00065E7E"/>
    <w:rsid w:val="00066366"/>
    <w:rsid w:val="000668DE"/>
    <w:rsid w:val="00066D0A"/>
    <w:rsid w:val="00070333"/>
    <w:rsid w:val="00073B42"/>
    <w:rsid w:val="000819AA"/>
    <w:rsid w:val="00086432"/>
    <w:rsid w:val="00095B2F"/>
    <w:rsid w:val="00096A61"/>
    <w:rsid w:val="00096B59"/>
    <w:rsid w:val="00097844"/>
    <w:rsid w:val="000A05E3"/>
    <w:rsid w:val="000B5D43"/>
    <w:rsid w:val="000B7E3D"/>
    <w:rsid w:val="000D6A2E"/>
    <w:rsid w:val="000D7B14"/>
    <w:rsid w:val="000E197E"/>
    <w:rsid w:val="000E2C23"/>
    <w:rsid w:val="00101134"/>
    <w:rsid w:val="00101D84"/>
    <w:rsid w:val="00106575"/>
    <w:rsid w:val="00110D9F"/>
    <w:rsid w:val="00110F52"/>
    <w:rsid w:val="0011281D"/>
    <w:rsid w:val="00115591"/>
    <w:rsid w:val="00116E2D"/>
    <w:rsid w:val="00130C88"/>
    <w:rsid w:val="00133F4F"/>
    <w:rsid w:val="00142902"/>
    <w:rsid w:val="001443F1"/>
    <w:rsid w:val="00145CF6"/>
    <w:rsid w:val="00150D0A"/>
    <w:rsid w:val="001519B0"/>
    <w:rsid w:val="00154D6E"/>
    <w:rsid w:val="001573F8"/>
    <w:rsid w:val="001604D8"/>
    <w:rsid w:val="00163EA5"/>
    <w:rsid w:val="001725E2"/>
    <w:rsid w:val="00173925"/>
    <w:rsid w:val="0018504C"/>
    <w:rsid w:val="00190336"/>
    <w:rsid w:val="00193677"/>
    <w:rsid w:val="0019529C"/>
    <w:rsid w:val="00195CB7"/>
    <w:rsid w:val="001A0F2E"/>
    <w:rsid w:val="001A3A2F"/>
    <w:rsid w:val="001A6252"/>
    <w:rsid w:val="001A7971"/>
    <w:rsid w:val="001B0E56"/>
    <w:rsid w:val="001B1695"/>
    <w:rsid w:val="001D4D74"/>
    <w:rsid w:val="001D5FCE"/>
    <w:rsid w:val="001D6CA4"/>
    <w:rsid w:val="001D713B"/>
    <w:rsid w:val="001D7C07"/>
    <w:rsid w:val="001E1264"/>
    <w:rsid w:val="001E22B9"/>
    <w:rsid w:val="001E3736"/>
    <w:rsid w:val="001E76F7"/>
    <w:rsid w:val="001F128E"/>
    <w:rsid w:val="001F2FA3"/>
    <w:rsid w:val="00200D70"/>
    <w:rsid w:val="00202D95"/>
    <w:rsid w:val="00203A91"/>
    <w:rsid w:val="002046DA"/>
    <w:rsid w:val="00211065"/>
    <w:rsid w:val="00213657"/>
    <w:rsid w:val="00213EBC"/>
    <w:rsid w:val="002166F4"/>
    <w:rsid w:val="0022312E"/>
    <w:rsid w:val="002275FA"/>
    <w:rsid w:val="00236D76"/>
    <w:rsid w:val="00240FC2"/>
    <w:rsid w:val="002414F5"/>
    <w:rsid w:val="00252225"/>
    <w:rsid w:val="002540E6"/>
    <w:rsid w:val="00272E65"/>
    <w:rsid w:val="0027314E"/>
    <w:rsid w:val="00276177"/>
    <w:rsid w:val="002772C0"/>
    <w:rsid w:val="0028617B"/>
    <w:rsid w:val="00297B16"/>
    <w:rsid w:val="002A4104"/>
    <w:rsid w:val="002A6104"/>
    <w:rsid w:val="002B74DC"/>
    <w:rsid w:val="002C252D"/>
    <w:rsid w:val="002C271E"/>
    <w:rsid w:val="002E14F3"/>
    <w:rsid w:val="002E4947"/>
    <w:rsid w:val="002E7550"/>
    <w:rsid w:val="002F0430"/>
    <w:rsid w:val="002F2BA5"/>
    <w:rsid w:val="00314218"/>
    <w:rsid w:val="00315347"/>
    <w:rsid w:val="0031567B"/>
    <w:rsid w:val="0031580C"/>
    <w:rsid w:val="00321605"/>
    <w:rsid w:val="003220A5"/>
    <w:rsid w:val="00326C8E"/>
    <w:rsid w:val="0033695D"/>
    <w:rsid w:val="00340164"/>
    <w:rsid w:val="00340D88"/>
    <w:rsid w:val="00341438"/>
    <w:rsid w:val="003526A9"/>
    <w:rsid w:val="00352E1D"/>
    <w:rsid w:val="00355D93"/>
    <w:rsid w:val="00362DB9"/>
    <w:rsid w:val="003637D2"/>
    <w:rsid w:val="00366150"/>
    <w:rsid w:val="00375518"/>
    <w:rsid w:val="0037637E"/>
    <w:rsid w:val="003810B5"/>
    <w:rsid w:val="00391854"/>
    <w:rsid w:val="00396964"/>
    <w:rsid w:val="003A360F"/>
    <w:rsid w:val="003A3745"/>
    <w:rsid w:val="003B090C"/>
    <w:rsid w:val="003B26D7"/>
    <w:rsid w:val="003B4334"/>
    <w:rsid w:val="003D0217"/>
    <w:rsid w:val="003E123A"/>
    <w:rsid w:val="003E665D"/>
    <w:rsid w:val="003F0B60"/>
    <w:rsid w:val="00404FFE"/>
    <w:rsid w:val="00407518"/>
    <w:rsid w:val="004124F9"/>
    <w:rsid w:val="00413E45"/>
    <w:rsid w:val="00414826"/>
    <w:rsid w:val="00415F92"/>
    <w:rsid w:val="00422519"/>
    <w:rsid w:val="00424592"/>
    <w:rsid w:val="00437CB2"/>
    <w:rsid w:val="00442C02"/>
    <w:rsid w:val="00445EC7"/>
    <w:rsid w:val="004470E0"/>
    <w:rsid w:val="00462922"/>
    <w:rsid w:val="00467333"/>
    <w:rsid w:val="00476B7C"/>
    <w:rsid w:val="00482C32"/>
    <w:rsid w:val="00483C1F"/>
    <w:rsid w:val="00490CEA"/>
    <w:rsid w:val="004A19E3"/>
    <w:rsid w:val="004A3A39"/>
    <w:rsid w:val="004A7CB0"/>
    <w:rsid w:val="004B3801"/>
    <w:rsid w:val="004B3904"/>
    <w:rsid w:val="004B6FB8"/>
    <w:rsid w:val="004C084B"/>
    <w:rsid w:val="004C51F3"/>
    <w:rsid w:val="004C6257"/>
    <w:rsid w:val="004C7DE1"/>
    <w:rsid w:val="004D16A4"/>
    <w:rsid w:val="004D19E3"/>
    <w:rsid w:val="004E0132"/>
    <w:rsid w:val="004E1548"/>
    <w:rsid w:val="004E18F5"/>
    <w:rsid w:val="004E5659"/>
    <w:rsid w:val="004E58D9"/>
    <w:rsid w:val="004E6A00"/>
    <w:rsid w:val="004E6D53"/>
    <w:rsid w:val="004E7A76"/>
    <w:rsid w:val="004F38A8"/>
    <w:rsid w:val="004F439B"/>
    <w:rsid w:val="004F7CEB"/>
    <w:rsid w:val="005045F1"/>
    <w:rsid w:val="00507A58"/>
    <w:rsid w:val="00520020"/>
    <w:rsid w:val="005265AC"/>
    <w:rsid w:val="00537D70"/>
    <w:rsid w:val="0054150F"/>
    <w:rsid w:val="005454EC"/>
    <w:rsid w:val="00550F32"/>
    <w:rsid w:val="00551313"/>
    <w:rsid w:val="00555CBA"/>
    <w:rsid w:val="005570B4"/>
    <w:rsid w:val="005604CE"/>
    <w:rsid w:val="0056221E"/>
    <w:rsid w:val="00565079"/>
    <w:rsid w:val="00574A42"/>
    <w:rsid w:val="00585268"/>
    <w:rsid w:val="00592466"/>
    <w:rsid w:val="005978D9"/>
    <w:rsid w:val="005B2B1A"/>
    <w:rsid w:val="005B670D"/>
    <w:rsid w:val="005B7CD5"/>
    <w:rsid w:val="005C4011"/>
    <w:rsid w:val="005C5F75"/>
    <w:rsid w:val="005C7059"/>
    <w:rsid w:val="005C7E95"/>
    <w:rsid w:val="005D0AFB"/>
    <w:rsid w:val="005D3666"/>
    <w:rsid w:val="005D6C9B"/>
    <w:rsid w:val="005D7E00"/>
    <w:rsid w:val="005E0B29"/>
    <w:rsid w:val="005E2B8F"/>
    <w:rsid w:val="005E4FBA"/>
    <w:rsid w:val="005F2D88"/>
    <w:rsid w:val="005F5BF3"/>
    <w:rsid w:val="005F68D3"/>
    <w:rsid w:val="00603DEA"/>
    <w:rsid w:val="00606C6A"/>
    <w:rsid w:val="006070F5"/>
    <w:rsid w:val="006073A7"/>
    <w:rsid w:val="00612606"/>
    <w:rsid w:val="006129DF"/>
    <w:rsid w:val="00613F73"/>
    <w:rsid w:val="00615FB0"/>
    <w:rsid w:val="0062442E"/>
    <w:rsid w:val="006311B5"/>
    <w:rsid w:val="00632C6F"/>
    <w:rsid w:val="00632DED"/>
    <w:rsid w:val="00633285"/>
    <w:rsid w:val="0063761C"/>
    <w:rsid w:val="006447BB"/>
    <w:rsid w:val="00644FA0"/>
    <w:rsid w:val="00646249"/>
    <w:rsid w:val="00646B34"/>
    <w:rsid w:val="00654D16"/>
    <w:rsid w:val="00655A4D"/>
    <w:rsid w:val="00662D7A"/>
    <w:rsid w:val="00663C47"/>
    <w:rsid w:val="0066759F"/>
    <w:rsid w:val="0067193F"/>
    <w:rsid w:val="00676548"/>
    <w:rsid w:val="0068705C"/>
    <w:rsid w:val="006906C6"/>
    <w:rsid w:val="00696566"/>
    <w:rsid w:val="006A2BF3"/>
    <w:rsid w:val="006A6002"/>
    <w:rsid w:val="006C23F7"/>
    <w:rsid w:val="006D1078"/>
    <w:rsid w:val="006E286E"/>
    <w:rsid w:val="006E3961"/>
    <w:rsid w:val="006F12F4"/>
    <w:rsid w:val="00714592"/>
    <w:rsid w:val="00715103"/>
    <w:rsid w:val="00717DAC"/>
    <w:rsid w:val="007207DB"/>
    <w:rsid w:val="00721D73"/>
    <w:rsid w:val="00727A2E"/>
    <w:rsid w:val="0073153C"/>
    <w:rsid w:val="007317EF"/>
    <w:rsid w:val="007339DD"/>
    <w:rsid w:val="007409AE"/>
    <w:rsid w:val="00747314"/>
    <w:rsid w:val="00750C82"/>
    <w:rsid w:val="00774F33"/>
    <w:rsid w:val="007754B5"/>
    <w:rsid w:val="00777417"/>
    <w:rsid w:val="00781017"/>
    <w:rsid w:val="0078114B"/>
    <w:rsid w:val="007822DD"/>
    <w:rsid w:val="00784D34"/>
    <w:rsid w:val="007864E0"/>
    <w:rsid w:val="007867E0"/>
    <w:rsid w:val="007867E2"/>
    <w:rsid w:val="0079629A"/>
    <w:rsid w:val="00797472"/>
    <w:rsid w:val="007A5A6C"/>
    <w:rsid w:val="007B266E"/>
    <w:rsid w:val="007B276B"/>
    <w:rsid w:val="007B6026"/>
    <w:rsid w:val="007D73B8"/>
    <w:rsid w:val="007E14B0"/>
    <w:rsid w:val="007E2A8F"/>
    <w:rsid w:val="007E6326"/>
    <w:rsid w:val="007F29F6"/>
    <w:rsid w:val="007F51F8"/>
    <w:rsid w:val="007F6D0E"/>
    <w:rsid w:val="008065B8"/>
    <w:rsid w:val="00806AEB"/>
    <w:rsid w:val="0080737F"/>
    <w:rsid w:val="00823367"/>
    <w:rsid w:val="00827B5C"/>
    <w:rsid w:val="0083135A"/>
    <w:rsid w:val="008317D3"/>
    <w:rsid w:val="008329B4"/>
    <w:rsid w:val="00835191"/>
    <w:rsid w:val="00844FF3"/>
    <w:rsid w:val="008471EB"/>
    <w:rsid w:val="00861AF1"/>
    <w:rsid w:val="00865F33"/>
    <w:rsid w:val="00872C82"/>
    <w:rsid w:val="00881329"/>
    <w:rsid w:val="008905D0"/>
    <w:rsid w:val="008910D9"/>
    <w:rsid w:val="00893AD9"/>
    <w:rsid w:val="00893D88"/>
    <w:rsid w:val="0089552B"/>
    <w:rsid w:val="008A2F91"/>
    <w:rsid w:val="008A36FD"/>
    <w:rsid w:val="008A3A2F"/>
    <w:rsid w:val="008A63B8"/>
    <w:rsid w:val="008B1D57"/>
    <w:rsid w:val="008B36D4"/>
    <w:rsid w:val="008C467E"/>
    <w:rsid w:val="008E1ABB"/>
    <w:rsid w:val="008F435B"/>
    <w:rsid w:val="008F7671"/>
    <w:rsid w:val="00903044"/>
    <w:rsid w:val="009043EA"/>
    <w:rsid w:val="00906507"/>
    <w:rsid w:val="00932B41"/>
    <w:rsid w:val="00933A97"/>
    <w:rsid w:val="00941EBC"/>
    <w:rsid w:val="00942D5C"/>
    <w:rsid w:val="00952232"/>
    <w:rsid w:val="00956AFD"/>
    <w:rsid w:val="009637FA"/>
    <w:rsid w:val="0096528A"/>
    <w:rsid w:val="0096653B"/>
    <w:rsid w:val="00972BDB"/>
    <w:rsid w:val="0097531F"/>
    <w:rsid w:val="00986DCA"/>
    <w:rsid w:val="00987588"/>
    <w:rsid w:val="00993E37"/>
    <w:rsid w:val="009A2AFD"/>
    <w:rsid w:val="009A390B"/>
    <w:rsid w:val="009B0CDB"/>
    <w:rsid w:val="009B25F1"/>
    <w:rsid w:val="009C0557"/>
    <w:rsid w:val="009C763D"/>
    <w:rsid w:val="009D0723"/>
    <w:rsid w:val="009D3444"/>
    <w:rsid w:val="009E345D"/>
    <w:rsid w:val="009F0A40"/>
    <w:rsid w:val="009F5B5F"/>
    <w:rsid w:val="009F5E3A"/>
    <w:rsid w:val="00A067FC"/>
    <w:rsid w:val="00A12E36"/>
    <w:rsid w:val="00A12F77"/>
    <w:rsid w:val="00A37746"/>
    <w:rsid w:val="00A40E69"/>
    <w:rsid w:val="00A431E6"/>
    <w:rsid w:val="00A4326E"/>
    <w:rsid w:val="00A4543A"/>
    <w:rsid w:val="00A45E9A"/>
    <w:rsid w:val="00A47095"/>
    <w:rsid w:val="00A47B64"/>
    <w:rsid w:val="00A509AC"/>
    <w:rsid w:val="00A50D25"/>
    <w:rsid w:val="00A56FE8"/>
    <w:rsid w:val="00A6310A"/>
    <w:rsid w:val="00A63B8D"/>
    <w:rsid w:val="00A658A1"/>
    <w:rsid w:val="00A708BC"/>
    <w:rsid w:val="00A774CA"/>
    <w:rsid w:val="00A82B7E"/>
    <w:rsid w:val="00A8328F"/>
    <w:rsid w:val="00A86739"/>
    <w:rsid w:val="00A86A30"/>
    <w:rsid w:val="00A92A9F"/>
    <w:rsid w:val="00AA60C1"/>
    <w:rsid w:val="00AA7370"/>
    <w:rsid w:val="00AB74EF"/>
    <w:rsid w:val="00AC487A"/>
    <w:rsid w:val="00AC64AB"/>
    <w:rsid w:val="00AC78AF"/>
    <w:rsid w:val="00AE3A69"/>
    <w:rsid w:val="00AE69E0"/>
    <w:rsid w:val="00AF7B34"/>
    <w:rsid w:val="00B07B48"/>
    <w:rsid w:val="00B26345"/>
    <w:rsid w:val="00B271B1"/>
    <w:rsid w:val="00B278CF"/>
    <w:rsid w:val="00B345C3"/>
    <w:rsid w:val="00B353A4"/>
    <w:rsid w:val="00B41586"/>
    <w:rsid w:val="00B45E64"/>
    <w:rsid w:val="00B506F1"/>
    <w:rsid w:val="00B50FA1"/>
    <w:rsid w:val="00B5102B"/>
    <w:rsid w:val="00B60737"/>
    <w:rsid w:val="00B6245D"/>
    <w:rsid w:val="00B65B4C"/>
    <w:rsid w:val="00B66966"/>
    <w:rsid w:val="00B763EB"/>
    <w:rsid w:val="00B7700C"/>
    <w:rsid w:val="00B92182"/>
    <w:rsid w:val="00BA3572"/>
    <w:rsid w:val="00BA4CEE"/>
    <w:rsid w:val="00BA5C46"/>
    <w:rsid w:val="00BB4586"/>
    <w:rsid w:val="00BD3175"/>
    <w:rsid w:val="00BD5FF8"/>
    <w:rsid w:val="00BE2016"/>
    <w:rsid w:val="00BF0905"/>
    <w:rsid w:val="00BF1413"/>
    <w:rsid w:val="00BF25B3"/>
    <w:rsid w:val="00C00116"/>
    <w:rsid w:val="00C07B57"/>
    <w:rsid w:val="00C10228"/>
    <w:rsid w:val="00C1168E"/>
    <w:rsid w:val="00C15002"/>
    <w:rsid w:val="00C2228F"/>
    <w:rsid w:val="00C230A2"/>
    <w:rsid w:val="00C41247"/>
    <w:rsid w:val="00C43878"/>
    <w:rsid w:val="00C456B7"/>
    <w:rsid w:val="00C45EF2"/>
    <w:rsid w:val="00C507C8"/>
    <w:rsid w:val="00C70551"/>
    <w:rsid w:val="00C82343"/>
    <w:rsid w:val="00C84BDB"/>
    <w:rsid w:val="00C8534E"/>
    <w:rsid w:val="00C95BD4"/>
    <w:rsid w:val="00C96768"/>
    <w:rsid w:val="00CA0FF7"/>
    <w:rsid w:val="00CA2775"/>
    <w:rsid w:val="00CC1FEC"/>
    <w:rsid w:val="00CC5DF9"/>
    <w:rsid w:val="00CD16A7"/>
    <w:rsid w:val="00CD2A8D"/>
    <w:rsid w:val="00CD7B5D"/>
    <w:rsid w:val="00CE4876"/>
    <w:rsid w:val="00CE5FA8"/>
    <w:rsid w:val="00CE77E1"/>
    <w:rsid w:val="00CF049B"/>
    <w:rsid w:val="00CF081D"/>
    <w:rsid w:val="00CF6EEB"/>
    <w:rsid w:val="00CF713C"/>
    <w:rsid w:val="00CF7BDF"/>
    <w:rsid w:val="00D12A50"/>
    <w:rsid w:val="00D13BB9"/>
    <w:rsid w:val="00D156F2"/>
    <w:rsid w:val="00D1755B"/>
    <w:rsid w:val="00D217C0"/>
    <w:rsid w:val="00D27F8E"/>
    <w:rsid w:val="00D37AF6"/>
    <w:rsid w:val="00D43A4C"/>
    <w:rsid w:val="00D47136"/>
    <w:rsid w:val="00D54156"/>
    <w:rsid w:val="00D5763C"/>
    <w:rsid w:val="00D6050F"/>
    <w:rsid w:val="00D60CAA"/>
    <w:rsid w:val="00D66727"/>
    <w:rsid w:val="00D81770"/>
    <w:rsid w:val="00DA204A"/>
    <w:rsid w:val="00DA3542"/>
    <w:rsid w:val="00DA4BBC"/>
    <w:rsid w:val="00DA6CD9"/>
    <w:rsid w:val="00DB0867"/>
    <w:rsid w:val="00DB73D5"/>
    <w:rsid w:val="00DC15B5"/>
    <w:rsid w:val="00DE024C"/>
    <w:rsid w:val="00DE0E84"/>
    <w:rsid w:val="00DF730A"/>
    <w:rsid w:val="00E13D54"/>
    <w:rsid w:val="00E2410E"/>
    <w:rsid w:val="00E24B19"/>
    <w:rsid w:val="00E277B7"/>
    <w:rsid w:val="00E27F98"/>
    <w:rsid w:val="00E409E5"/>
    <w:rsid w:val="00E422CA"/>
    <w:rsid w:val="00E45EF5"/>
    <w:rsid w:val="00E47786"/>
    <w:rsid w:val="00E564B1"/>
    <w:rsid w:val="00E56E44"/>
    <w:rsid w:val="00E60F07"/>
    <w:rsid w:val="00E618AD"/>
    <w:rsid w:val="00E86117"/>
    <w:rsid w:val="00E86689"/>
    <w:rsid w:val="00E93020"/>
    <w:rsid w:val="00EB78AF"/>
    <w:rsid w:val="00EC301A"/>
    <w:rsid w:val="00EC65BC"/>
    <w:rsid w:val="00ED3FBC"/>
    <w:rsid w:val="00EE400E"/>
    <w:rsid w:val="00EF102B"/>
    <w:rsid w:val="00EF3C07"/>
    <w:rsid w:val="00EF6E75"/>
    <w:rsid w:val="00F04126"/>
    <w:rsid w:val="00F1499E"/>
    <w:rsid w:val="00F1505A"/>
    <w:rsid w:val="00F222BB"/>
    <w:rsid w:val="00F24B0D"/>
    <w:rsid w:val="00F30D44"/>
    <w:rsid w:val="00F315AE"/>
    <w:rsid w:val="00F46227"/>
    <w:rsid w:val="00F46B53"/>
    <w:rsid w:val="00F47E53"/>
    <w:rsid w:val="00F5266F"/>
    <w:rsid w:val="00F53757"/>
    <w:rsid w:val="00F539C7"/>
    <w:rsid w:val="00F556D4"/>
    <w:rsid w:val="00F5760C"/>
    <w:rsid w:val="00F6268F"/>
    <w:rsid w:val="00F64DBD"/>
    <w:rsid w:val="00F65AF9"/>
    <w:rsid w:val="00F711F2"/>
    <w:rsid w:val="00F71578"/>
    <w:rsid w:val="00F754B3"/>
    <w:rsid w:val="00F779D5"/>
    <w:rsid w:val="00F826EC"/>
    <w:rsid w:val="00FA57BF"/>
    <w:rsid w:val="00FB25E3"/>
    <w:rsid w:val="00FC1B6A"/>
    <w:rsid w:val="00FC1BAA"/>
    <w:rsid w:val="00FC6329"/>
    <w:rsid w:val="00FD5B23"/>
    <w:rsid w:val="00FE5D43"/>
    <w:rsid w:val="00FE7601"/>
    <w:rsid w:val="00FF1CE3"/>
    <w:rsid w:val="00FF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E9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2E7550"/>
    <w:pPr>
      <w:keepNext/>
      <w:numPr>
        <w:numId w:val="8"/>
      </w:numPr>
      <w:jc w:val="center"/>
      <w:outlineLvl w:val="0"/>
    </w:pPr>
    <w:rPr>
      <w:rFonts w:ascii="Garamond" w:hAnsi="Garamond"/>
      <w:b/>
      <w:sz w:val="22"/>
    </w:rPr>
  </w:style>
  <w:style w:type="paragraph" w:styleId="Heading2">
    <w:name w:val="heading 2"/>
    <w:basedOn w:val="Normal"/>
    <w:next w:val="Normal"/>
    <w:qFormat/>
    <w:pPr>
      <w:keepNext/>
      <w:numPr>
        <w:numId w:val="20"/>
      </w:numPr>
      <w:tabs>
        <w:tab w:val="left" w:pos="720"/>
      </w:tabs>
      <w:spacing w:before="100" w:beforeAutospacing="1" w:after="100" w:afterAutospacing="1"/>
      <w:outlineLvl w:val="1"/>
    </w:pPr>
    <w:rPr>
      <w:rFonts w:ascii="Times New Roman Bold" w:hAnsi="Times New Roman Bold"/>
      <w:b/>
      <w:sz w:val="22"/>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qFormat/>
    <w:pPr>
      <w:keepNext/>
      <w:numPr>
        <w:numId w:val="9"/>
      </w:numPr>
      <w:outlineLvl w:val="3"/>
    </w:pPr>
    <w:rPr>
      <w:rFonts w:ascii="Univers" w:hAnsi="Univers"/>
      <w:b/>
    </w:rPr>
  </w:style>
  <w:style w:type="paragraph" w:styleId="Heading5">
    <w:name w:val="heading 5"/>
    <w:basedOn w:val="Normal"/>
    <w:next w:val="Normal"/>
    <w:qFormat/>
    <w:pPr>
      <w:keepNext/>
      <w:numPr>
        <w:numId w:val="16"/>
      </w:numPr>
      <w:outlineLvl w:val="4"/>
    </w:pPr>
    <w:rPr>
      <w:rFonts w:ascii="Univers" w:hAnsi="Univers"/>
      <w:b/>
    </w:rPr>
  </w:style>
  <w:style w:type="paragraph" w:styleId="Heading6">
    <w:name w:val="heading 6"/>
    <w:basedOn w:val="Normal"/>
    <w:next w:val="Normal"/>
    <w:qFormat/>
    <w:pPr>
      <w:keepNext/>
      <w:numPr>
        <w:numId w:val="4"/>
      </w:numPr>
      <w:tabs>
        <w:tab w:val="left" w:pos="720"/>
      </w:tabs>
      <w:outlineLvl w:val="5"/>
    </w:pPr>
    <w:rPr>
      <w:b/>
      <w:bCs/>
      <w:sz w:val="21"/>
    </w:rPr>
  </w:style>
  <w:style w:type="paragraph" w:styleId="Heading7">
    <w:name w:val="heading 7"/>
    <w:basedOn w:val="Normal"/>
    <w:next w:val="Normal"/>
    <w:qFormat/>
    <w:pPr>
      <w:keepNext/>
      <w:outlineLvl w:val="6"/>
    </w:pPr>
    <w:rPr>
      <w:b/>
      <w:bCs/>
      <w:sz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Univers" w:hAnsi="Univers"/>
      <w:b/>
    </w:rPr>
  </w:style>
  <w:style w:type="paragraph" w:styleId="Header">
    <w:name w:val="header"/>
    <w:basedOn w:val="Normal"/>
    <w:pPr>
      <w:tabs>
        <w:tab w:val="center" w:pos="4320"/>
        <w:tab w:val="right" w:pos="8640"/>
      </w:tabs>
    </w:pPr>
    <w:rPr>
      <w:rFonts w:ascii="Univers" w:hAnsi="Univers"/>
    </w:rPr>
  </w:style>
  <w:style w:type="paragraph" w:styleId="TOC1">
    <w:name w:val="toc 1"/>
    <w:basedOn w:val="Normal"/>
    <w:next w:val="Normal"/>
    <w:autoRedefine/>
    <w:uiPriority w:val="39"/>
    <w:rsid w:val="002E7550"/>
    <w:pPr>
      <w:tabs>
        <w:tab w:val="right" w:leader="dot" w:pos="9350"/>
      </w:tabs>
      <w:spacing w:before="120" w:after="120"/>
    </w:pPr>
    <w:rPr>
      <w:rFonts w:ascii="Garamond" w:hAnsi="Garamond"/>
      <w:caps/>
      <w:noProof/>
      <w:sz w:val="22"/>
      <w:szCs w:val="22"/>
    </w:rPr>
  </w:style>
  <w:style w:type="paragraph" w:styleId="TOC2">
    <w:name w:val="toc 2"/>
    <w:basedOn w:val="Normal"/>
    <w:next w:val="Normal"/>
    <w:autoRedefine/>
    <w:uiPriority w:val="39"/>
    <w:rsid w:val="003F0B60"/>
    <w:pPr>
      <w:tabs>
        <w:tab w:val="left" w:pos="600"/>
        <w:tab w:val="right" w:leader="dot" w:pos="9360"/>
      </w:tabs>
      <w:ind w:left="630" w:hanging="430"/>
    </w:pPr>
    <w:rPr>
      <w:smallCaps/>
      <w:noProo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BodyTextIndent2">
    <w:name w:val="Body Text Indent 2"/>
    <w:basedOn w:val="Normal"/>
    <w:rsid w:val="00467333"/>
    <w:pPr>
      <w:spacing w:after="120" w:line="480" w:lineRule="auto"/>
      <w:ind w:left="360"/>
    </w:pPr>
  </w:style>
  <w:style w:type="paragraph" w:customStyle="1" w:styleId="Default">
    <w:name w:val="Default"/>
    <w:rsid w:val="00CF049B"/>
    <w:pPr>
      <w:autoSpaceDE w:val="0"/>
      <w:autoSpaceDN w:val="0"/>
      <w:adjustRightInd w:val="0"/>
    </w:pPr>
    <w:rPr>
      <w:color w:val="000000"/>
      <w:sz w:val="24"/>
      <w:szCs w:val="24"/>
    </w:rPr>
  </w:style>
  <w:style w:type="paragraph" w:styleId="BodyTextIndent">
    <w:name w:val="Body Text Indent"/>
    <w:basedOn w:val="Normal"/>
    <w:link w:val="BodyTextIndentChar"/>
    <w:rsid w:val="0028617B"/>
    <w:pPr>
      <w:spacing w:after="120"/>
      <w:ind w:left="360"/>
    </w:pPr>
  </w:style>
  <w:style w:type="character" w:customStyle="1" w:styleId="BodyTextIndentChar">
    <w:name w:val="Body Text Indent Char"/>
    <w:basedOn w:val="DefaultParagraphFont"/>
    <w:link w:val="BodyTextIndent"/>
    <w:rsid w:val="0028617B"/>
  </w:style>
  <w:style w:type="character" w:styleId="CommentReference">
    <w:name w:val="annotation reference"/>
    <w:rsid w:val="00C1168E"/>
    <w:rPr>
      <w:sz w:val="16"/>
      <w:szCs w:val="16"/>
    </w:rPr>
  </w:style>
  <w:style w:type="paragraph" w:styleId="CommentText">
    <w:name w:val="annotation text"/>
    <w:basedOn w:val="Normal"/>
    <w:link w:val="CommentTextChar"/>
    <w:rsid w:val="00C1168E"/>
  </w:style>
  <w:style w:type="character" w:customStyle="1" w:styleId="CommentTextChar">
    <w:name w:val="Comment Text Char"/>
    <w:basedOn w:val="DefaultParagraphFont"/>
    <w:link w:val="CommentText"/>
    <w:rsid w:val="00C1168E"/>
  </w:style>
  <w:style w:type="paragraph" w:styleId="CommentSubject">
    <w:name w:val="annotation subject"/>
    <w:basedOn w:val="CommentText"/>
    <w:next w:val="CommentText"/>
    <w:link w:val="CommentSubjectChar"/>
    <w:rsid w:val="00C1168E"/>
    <w:rPr>
      <w:b/>
      <w:bCs/>
    </w:rPr>
  </w:style>
  <w:style w:type="character" w:customStyle="1" w:styleId="CommentSubjectChar">
    <w:name w:val="Comment Subject Char"/>
    <w:link w:val="CommentSubject"/>
    <w:rsid w:val="00C1168E"/>
    <w:rPr>
      <w:b/>
      <w:bCs/>
    </w:rPr>
  </w:style>
  <w:style w:type="paragraph" w:styleId="BalloonText">
    <w:name w:val="Balloon Text"/>
    <w:basedOn w:val="Normal"/>
    <w:link w:val="BalloonTextChar"/>
    <w:rsid w:val="00C1168E"/>
    <w:rPr>
      <w:rFonts w:ascii="Tahoma" w:hAnsi="Tahoma" w:cs="Tahoma"/>
      <w:sz w:val="16"/>
      <w:szCs w:val="16"/>
    </w:rPr>
  </w:style>
  <w:style w:type="character" w:customStyle="1" w:styleId="BalloonTextChar">
    <w:name w:val="Balloon Text Char"/>
    <w:link w:val="BalloonText"/>
    <w:rsid w:val="00C1168E"/>
    <w:rPr>
      <w:rFonts w:ascii="Tahoma" w:hAnsi="Tahoma" w:cs="Tahoma"/>
      <w:sz w:val="16"/>
      <w:szCs w:val="16"/>
    </w:rPr>
  </w:style>
  <w:style w:type="paragraph" w:styleId="Revision">
    <w:name w:val="Revision"/>
    <w:hidden/>
    <w:uiPriority w:val="99"/>
    <w:semiHidden/>
    <w:rsid w:val="00F754B3"/>
  </w:style>
  <w:style w:type="paragraph" w:styleId="ListParagraph">
    <w:name w:val="List Paragraph"/>
    <w:basedOn w:val="Normal"/>
    <w:link w:val="ListParagraphChar"/>
    <w:uiPriority w:val="34"/>
    <w:qFormat/>
    <w:rsid w:val="002C271E"/>
    <w:pPr>
      <w:widowControl w:val="0"/>
      <w:ind w:left="720"/>
    </w:pPr>
    <w:rPr>
      <w:rFonts w:ascii="Courier" w:hAnsi="Courier"/>
      <w:snapToGrid w:val="0"/>
      <w:sz w:val="24"/>
    </w:rPr>
  </w:style>
  <w:style w:type="character" w:customStyle="1" w:styleId="ListParagraphChar">
    <w:name w:val="List Paragraph Char"/>
    <w:basedOn w:val="DefaultParagraphFont"/>
    <w:link w:val="ListParagraph"/>
    <w:uiPriority w:val="34"/>
    <w:rsid w:val="002C271E"/>
    <w:rPr>
      <w:rFonts w:ascii="Courier" w:hAnsi="Courier"/>
      <w:snapToGrid w:val="0"/>
      <w:sz w:val="24"/>
    </w:rPr>
  </w:style>
  <w:style w:type="paragraph" w:styleId="TOCHeading">
    <w:name w:val="TOC Heading"/>
    <w:basedOn w:val="Heading1"/>
    <w:next w:val="Normal"/>
    <w:uiPriority w:val="39"/>
    <w:unhideWhenUsed/>
    <w:qFormat/>
    <w:rsid w:val="002772C0"/>
    <w:pPr>
      <w:keepLines/>
      <w:numPr>
        <w:numId w:val="0"/>
      </w:numPr>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3">
    <w:name w:val="toc 3"/>
    <w:basedOn w:val="Normal"/>
    <w:next w:val="Normal"/>
    <w:autoRedefine/>
    <w:uiPriority w:val="39"/>
    <w:rsid w:val="002772C0"/>
    <w:pPr>
      <w:spacing w:after="100"/>
      <w:ind w:left="400"/>
    </w:pPr>
  </w:style>
  <w:style w:type="character" w:styleId="Hyperlink">
    <w:name w:val="Hyperlink"/>
    <w:basedOn w:val="DefaultParagraphFont"/>
    <w:uiPriority w:val="99"/>
    <w:unhideWhenUsed/>
    <w:rsid w:val="002772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66668">
      <w:bodyDiv w:val="1"/>
      <w:marLeft w:val="0"/>
      <w:marRight w:val="0"/>
      <w:marTop w:val="0"/>
      <w:marBottom w:val="0"/>
      <w:divBdr>
        <w:top w:val="none" w:sz="0" w:space="0" w:color="auto"/>
        <w:left w:val="none" w:sz="0" w:space="0" w:color="auto"/>
        <w:bottom w:val="none" w:sz="0" w:space="0" w:color="auto"/>
        <w:right w:val="none" w:sz="0" w:space="0" w:color="auto"/>
      </w:divBdr>
    </w:div>
    <w:div w:id="187612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5457</Words>
  <Characters>31107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2026-06-25T21:09:00Z</dcterms:created>
  <dcterms:modified xsi:type="dcterms:W3CDTF">2026-06-25T21:09:00Z</dcterms:modified>
</cp:coreProperties>
</file>