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59B00B" w14:textId="77777777" w:rsidR="00EE54A7" w:rsidRPr="001C6D71" w:rsidRDefault="00EE54A7">
      <w:pPr>
        <w:pStyle w:val="Title"/>
        <w:rPr>
          <w:rFonts w:ascii="Garamond" w:hAnsi="Garamond"/>
          <w:sz w:val="24"/>
          <w:szCs w:val="24"/>
        </w:rPr>
      </w:pPr>
      <w:r w:rsidRPr="001C6D71">
        <w:rPr>
          <w:rFonts w:ascii="Garamond" w:hAnsi="Garamond"/>
          <w:sz w:val="24"/>
          <w:szCs w:val="24"/>
        </w:rPr>
        <w:t>MONTANA DEPARTMENT OF ENVIRONMENTAL QUALITY</w:t>
      </w:r>
    </w:p>
    <w:p w14:paraId="01C378FB" w14:textId="77777777" w:rsidR="00EE54A7" w:rsidRPr="001C6D71" w:rsidRDefault="00EE54A7">
      <w:pPr>
        <w:jc w:val="center"/>
        <w:rPr>
          <w:rFonts w:ascii="Garamond" w:hAnsi="Garamond"/>
          <w:b/>
          <w:sz w:val="24"/>
          <w:szCs w:val="24"/>
        </w:rPr>
      </w:pPr>
      <w:r w:rsidRPr="001C6D71">
        <w:rPr>
          <w:rFonts w:ascii="Garamond" w:hAnsi="Garamond"/>
          <w:b/>
          <w:sz w:val="24"/>
          <w:szCs w:val="24"/>
        </w:rPr>
        <w:t>OPERATING PERMIT TECHNICAL REVIEW DOCUMENT</w:t>
      </w:r>
    </w:p>
    <w:p w14:paraId="4304E6B6" w14:textId="77777777" w:rsidR="00EE54A7" w:rsidRPr="00220BD9" w:rsidRDefault="00EE54A7">
      <w:pPr>
        <w:jc w:val="center"/>
        <w:rPr>
          <w:rFonts w:ascii="Garamond" w:hAnsi="Garamond"/>
          <w:b/>
          <w:sz w:val="18"/>
          <w:szCs w:val="18"/>
        </w:rPr>
      </w:pPr>
    </w:p>
    <w:p w14:paraId="2E13B06F" w14:textId="77777777" w:rsidR="00EE54A7" w:rsidRPr="001C6D71" w:rsidRDefault="00EE54A7">
      <w:pPr>
        <w:jc w:val="center"/>
        <w:rPr>
          <w:rFonts w:ascii="Garamond" w:hAnsi="Garamond"/>
          <w:b/>
          <w:sz w:val="24"/>
          <w:szCs w:val="24"/>
        </w:rPr>
      </w:pPr>
      <w:r w:rsidRPr="001C6D71">
        <w:rPr>
          <w:rFonts w:ascii="Garamond" w:hAnsi="Garamond"/>
          <w:b/>
          <w:sz w:val="24"/>
          <w:szCs w:val="24"/>
        </w:rPr>
        <w:t>Permitting and Compliance Division</w:t>
      </w:r>
    </w:p>
    <w:p w14:paraId="44645469" w14:textId="77777777" w:rsidR="00EE54A7" w:rsidRPr="001C6D71" w:rsidRDefault="00EE54A7">
      <w:pPr>
        <w:jc w:val="center"/>
        <w:rPr>
          <w:rFonts w:ascii="Garamond" w:hAnsi="Garamond"/>
          <w:b/>
          <w:sz w:val="24"/>
          <w:szCs w:val="24"/>
        </w:rPr>
      </w:pPr>
      <w:r w:rsidRPr="001C6D71">
        <w:rPr>
          <w:rFonts w:ascii="Garamond" w:hAnsi="Garamond"/>
          <w:b/>
          <w:sz w:val="24"/>
          <w:szCs w:val="24"/>
        </w:rPr>
        <w:t>1520 E. Sixth Avenue</w:t>
      </w:r>
    </w:p>
    <w:p w14:paraId="580721ED" w14:textId="77777777" w:rsidR="00EE54A7" w:rsidRPr="001C6D71" w:rsidRDefault="00EE54A7">
      <w:pPr>
        <w:jc w:val="center"/>
        <w:rPr>
          <w:rFonts w:ascii="Garamond" w:hAnsi="Garamond"/>
          <w:b/>
          <w:sz w:val="24"/>
          <w:szCs w:val="24"/>
        </w:rPr>
      </w:pPr>
      <w:r w:rsidRPr="001C6D71">
        <w:rPr>
          <w:rFonts w:ascii="Garamond" w:hAnsi="Garamond"/>
          <w:b/>
          <w:sz w:val="24"/>
          <w:szCs w:val="24"/>
        </w:rPr>
        <w:t>P.O. Box 200901</w:t>
      </w:r>
    </w:p>
    <w:p w14:paraId="24AD5C83" w14:textId="77777777" w:rsidR="00EE54A7" w:rsidRPr="001C6D71" w:rsidRDefault="00EE54A7">
      <w:pPr>
        <w:jc w:val="center"/>
        <w:rPr>
          <w:rFonts w:ascii="Garamond" w:hAnsi="Garamond"/>
          <w:sz w:val="24"/>
          <w:szCs w:val="24"/>
        </w:rPr>
      </w:pPr>
      <w:r w:rsidRPr="001C6D71">
        <w:rPr>
          <w:rFonts w:ascii="Garamond" w:hAnsi="Garamond"/>
          <w:b/>
          <w:sz w:val="24"/>
          <w:szCs w:val="24"/>
        </w:rPr>
        <w:t>Helena, Montana 59620-0901</w:t>
      </w:r>
    </w:p>
    <w:p w14:paraId="29C2D825" w14:textId="77777777" w:rsidR="00EE54A7" w:rsidRPr="00220BD9" w:rsidRDefault="00EE54A7">
      <w:pPr>
        <w:jc w:val="center"/>
        <w:rPr>
          <w:rFonts w:ascii="Garamond" w:hAnsi="Garamond"/>
          <w:sz w:val="18"/>
          <w:szCs w:val="18"/>
        </w:rPr>
      </w:pPr>
    </w:p>
    <w:p w14:paraId="32EAD304" w14:textId="77777777" w:rsidR="00EE54A7" w:rsidRPr="00220BD9" w:rsidRDefault="00EE54A7">
      <w:pPr>
        <w:jc w:val="center"/>
        <w:rPr>
          <w:rFonts w:ascii="Garamond" w:hAnsi="Garamond"/>
          <w:sz w:val="18"/>
          <w:szCs w:val="18"/>
        </w:rPr>
      </w:pPr>
    </w:p>
    <w:p w14:paraId="75AE168B" w14:textId="77777777" w:rsidR="00EE54A7" w:rsidRDefault="00F13CAF">
      <w:pPr>
        <w:jc w:val="center"/>
        <w:rPr>
          <w:rFonts w:ascii="Garamond" w:hAnsi="Garamond"/>
          <w:sz w:val="24"/>
          <w:szCs w:val="24"/>
        </w:rPr>
      </w:pPr>
      <w:r w:rsidRPr="001C6D71">
        <w:rPr>
          <w:rFonts w:ascii="Garamond" w:hAnsi="Garamond"/>
          <w:sz w:val="24"/>
          <w:szCs w:val="24"/>
        </w:rPr>
        <w:t>WBI Energy Transmission, Inc.</w:t>
      </w:r>
    </w:p>
    <w:p w14:paraId="32A3C763" w14:textId="77777777" w:rsidR="00867741" w:rsidRPr="001C6D71" w:rsidRDefault="00867741">
      <w:pPr>
        <w:jc w:val="center"/>
        <w:rPr>
          <w:rFonts w:ascii="Garamond" w:hAnsi="Garamond"/>
          <w:sz w:val="24"/>
          <w:szCs w:val="24"/>
        </w:rPr>
      </w:pPr>
      <w:r>
        <w:rPr>
          <w:rFonts w:ascii="Garamond" w:hAnsi="Garamond"/>
          <w:sz w:val="24"/>
          <w:szCs w:val="24"/>
        </w:rPr>
        <w:t>Hathaway Compressor Station</w:t>
      </w:r>
    </w:p>
    <w:p w14:paraId="5024E23A" w14:textId="77777777" w:rsidR="00F13CAF" w:rsidRPr="001C6D71" w:rsidRDefault="00F13CAF">
      <w:pPr>
        <w:jc w:val="center"/>
        <w:rPr>
          <w:rFonts w:ascii="Garamond" w:hAnsi="Garamond"/>
          <w:sz w:val="24"/>
          <w:szCs w:val="24"/>
        </w:rPr>
      </w:pPr>
      <w:r w:rsidRPr="001C6D71">
        <w:rPr>
          <w:rFonts w:ascii="Garamond" w:hAnsi="Garamond"/>
          <w:sz w:val="24"/>
          <w:szCs w:val="24"/>
        </w:rPr>
        <w:t>2010 Montana Avenue</w:t>
      </w:r>
    </w:p>
    <w:p w14:paraId="3207ACEE" w14:textId="77777777" w:rsidR="00F13CAF" w:rsidRDefault="00F13CAF">
      <w:pPr>
        <w:jc w:val="center"/>
        <w:rPr>
          <w:rFonts w:ascii="Garamond" w:hAnsi="Garamond"/>
          <w:sz w:val="24"/>
          <w:szCs w:val="24"/>
        </w:rPr>
      </w:pPr>
      <w:r w:rsidRPr="001C6D71">
        <w:rPr>
          <w:rFonts w:ascii="Garamond" w:hAnsi="Garamond"/>
          <w:sz w:val="24"/>
          <w:szCs w:val="24"/>
        </w:rPr>
        <w:t>Glendive, MT 59330</w:t>
      </w:r>
    </w:p>
    <w:p w14:paraId="3A992842" w14:textId="77777777" w:rsidR="00E24596" w:rsidRPr="001C6D71" w:rsidRDefault="00E24596">
      <w:pPr>
        <w:jc w:val="center"/>
        <w:rPr>
          <w:rFonts w:ascii="Garamond" w:hAnsi="Garamond"/>
          <w:sz w:val="24"/>
          <w:szCs w:val="24"/>
        </w:rPr>
      </w:pPr>
    </w:p>
    <w:p w14:paraId="6B81E27A" w14:textId="77777777" w:rsidR="00EE54A7" w:rsidRPr="001C6D71" w:rsidRDefault="00EE54A7">
      <w:pPr>
        <w:jc w:val="center"/>
        <w:rPr>
          <w:rFonts w:ascii="Garamond" w:hAnsi="Garamond"/>
          <w:sz w:val="24"/>
          <w:szCs w:val="24"/>
        </w:rPr>
      </w:pPr>
      <w:r w:rsidRPr="001C6D71">
        <w:rPr>
          <w:rFonts w:ascii="Garamond" w:hAnsi="Garamond"/>
          <w:sz w:val="24"/>
          <w:szCs w:val="24"/>
        </w:rPr>
        <w:t>NE¼ of the SE¼ of Section 34, Township 7 North, Range 45 East in Custer County, Montana</w:t>
      </w:r>
    </w:p>
    <w:p w14:paraId="70DA4F1D" w14:textId="77777777" w:rsidR="00EE54A7" w:rsidRPr="00220BD9" w:rsidRDefault="00EE54A7">
      <w:pPr>
        <w:rPr>
          <w:rFonts w:ascii="Garamond" w:hAnsi="Garamond"/>
          <w:sz w:val="18"/>
          <w:szCs w:val="18"/>
        </w:rPr>
      </w:pPr>
    </w:p>
    <w:p w14:paraId="021A01DA" w14:textId="77777777" w:rsidR="00EE54A7" w:rsidRDefault="00EE54A7">
      <w:pPr>
        <w:rPr>
          <w:rFonts w:ascii="Garamond" w:hAnsi="Garamond"/>
          <w:sz w:val="24"/>
          <w:szCs w:val="24"/>
        </w:rPr>
      </w:pPr>
      <w:r w:rsidRPr="001C6D71">
        <w:rPr>
          <w:rFonts w:ascii="Garamond" w:hAnsi="Garamond"/>
          <w:sz w:val="24"/>
          <w:szCs w:val="24"/>
        </w:rPr>
        <w:t>The following table summarizes the air quality programs testing, monitoring, and reporting requirements applicable to this facility.</w:t>
      </w:r>
    </w:p>
    <w:p w14:paraId="3AC5B47B" w14:textId="77777777" w:rsidR="00867741" w:rsidRPr="00867741" w:rsidRDefault="00867741">
      <w:pPr>
        <w:rPr>
          <w:rFonts w:ascii="Garamond" w:hAnsi="Garamond"/>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50"/>
        <w:gridCol w:w="629"/>
        <w:gridCol w:w="537"/>
        <w:gridCol w:w="1614"/>
      </w:tblGrid>
      <w:tr w:rsidR="00EE54A7" w:rsidRPr="00252F09" w14:paraId="0552FA6B" w14:textId="77777777" w:rsidTr="00BB2373">
        <w:trPr>
          <w:trHeight w:val="400"/>
        </w:trPr>
        <w:tc>
          <w:tcPr>
            <w:tcW w:w="3510" w:type="pct"/>
            <w:tcBorders>
              <w:top w:val="double" w:sz="4" w:space="0" w:color="auto"/>
              <w:left w:val="double" w:sz="4" w:space="0" w:color="auto"/>
              <w:bottom w:val="double" w:sz="4" w:space="0" w:color="auto"/>
            </w:tcBorders>
            <w:shd w:val="clear" w:color="auto" w:fill="F3F3F3"/>
            <w:vAlign w:val="center"/>
          </w:tcPr>
          <w:p w14:paraId="4DA99393" w14:textId="77777777" w:rsidR="00EE54A7" w:rsidRPr="00252F09" w:rsidRDefault="00EE54A7">
            <w:pPr>
              <w:pStyle w:val="Title"/>
              <w:rPr>
                <w:rFonts w:ascii="Garamond" w:hAnsi="Garamond"/>
                <w:sz w:val="22"/>
                <w:szCs w:val="22"/>
              </w:rPr>
            </w:pPr>
            <w:r w:rsidRPr="00252F09">
              <w:rPr>
                <w:rFonts w:ascii="Garamond" w:hAnsi="Garamond"/>
                <w:sz w:val="22"/>
                <w:szCs w:val="22"/>
              </w:rPr>
              <w:t>Facility Compliance Requirements</w:t>
            </w:r>
          </w:p>
        </w:tc>
        <w:tc>
          <w:tcPr>
            <w:tcW w:w="337" w:type="pct"/>
            <w:tcBorders>
              <w:top w:val="double" w:sz="4" w:space="0" w:color="auto"/>
              <w:bottom w:val="double" w:sz="4" w:space="0" w:color="auto"/>
            </w:tcBorders>
            <w:shd w:val="clear" w:color="auto" w:fill="F3F3F3"/>
            <w:vAlign w:val="center"/>
          </w:tcPr>
          <w:p w14:paraId="7D8F446B" w14:textId="77777777" w:rsidR="00EE54A7" w:rsidRPr="00252F09" w:rsidRDefault="00EE54A7">
            <w:pPr>
              <w:jc w:val="center"/>
              <w:rPr>
                <w:rFonts w:ascii="Garamond" w:hAnsi="Garamond"/>
                <w:b/>
                <w:sz w:val="22"/>
                <w:szCs w:val="22"/>
              </w:rPr>
            </w:pPr>
            <w:r w:rsidRPr="00252F09">
              <w:rPr>
                <w:rFonts w:ascii="Garamond" w:hAnsi="Garamond"/>
                <w:b/>
                <w:sz w:val="22"/>
                <w:szCs w:val="22"/>
              </w:rPr>
              <w:t>Yes</w:t>
            </w:r>
          </w:p>
        </w:tc>
        <w:tc>
          <w:tcPr>
            <w:tcW w:w="288" w:type="pct"/>
            <w:tcBorders>
              <w:top w:val="double" w:sz="4" w:space="0" w:color="auto"/>
              <w:bottom w:val="double" w:sz="4" w:space="0" w:color="auto"/>
            </w:tcBorders>
            <w:shd w:val="clear" w:color="auto" w:fill="F3F3F3"/>
            <w:vAlign w:val="center"/>
          </w:tcPr>
          <w:p w14:paraId="7C40AACA" w14:textId="77777777" w:rsidR="00EE54A7" w:rsidRPr="00252F09" w:rsidRDefault="00EE54A7">
            <w:pPr>
              <w:jc w:val="center"/>
              <w:rPr>
                <w:rFonts w:ascii="Garamond" w:hAnsi="Garamond"/>
                <w:b/>
                <w:sz w:val="22"/>
                <w:szCs w:val="22"/>
              </w:rPr>
            </w:pPr>
            <w:r w:rsidRPr="00252F09">
              <w:rPr>
                <w:rFonts w:ascii="Garamond" w:hAnsi="Garamond"/>
                <w:b/>
                <w:sz w:val="22"/>
                <w:szCs w:val="22"/>
              </w:rPr>
              <w:t>No</w:t>
            </w:r>
          </w:p>
        </w:tc>
        <w:tc>
          <w:tcPr>
            <w:tcW w:w="865" w:type="pct"/>
            <w:tcBorders>
              <w:top w:val="double" w:sz="4" w:space="0" w:color="auto"/>
              <w:bottom w:val="double" w:sz="4" w:space="0" w:color="auto"/>
              <w:right w:val="double" w:sz="4" w:space="0" w:color="auto"/>
            </w:tcBorders>
            <w:shd w:val="clear" w:color="auto" w:fill="F3F3F3"/>
            <w:vAlign w:val="center"/>
          </w:tcPr>
          <w:p w14:paraId="57E4F334" w14:textId="77777777" w:rsidR="00EE54A7" w:rsidRPr="00252F09" w:rsidRDefault="00EE54A7">
            <w:pPr>
              <w:jc w:val="center"/>
              <w:rPr>
                <w:rFonts w:ascii="Garamond" w:hAnsi="Garamond"/>
                <w:b/>
                <w:sz w:val="22"/>
                <w:szCs w:val="22"/>
              </w:rPr>
            </w:pPr>
            <w:r w:rsidRPr="00252F09">
              <w:rPr>
                <w:rFonts w:ascii="Garamond" w:hAnsi="Garamond"/>
                <w:b/>
                <w:sz w:val="22"/>
                <w:szCs w:val="22"/>
              </w:rPr>
              <w:t>Comments</w:t>
            </w:r>
          </w:p>
        </w:tc>
      </w:tr>
      <w:tr w:rsidR="00EE54A7" w:rsidRPr="00252F09" w14:paraId="52A2BECA" w14:textId="77777777" w:rsidTr="00BB2373">
        <w:trPr>
          <w:trHeight w:val="400"/>
        </w:trPr>
        <w:tc>
          <w:tcPr>
            <w:tcW w:w="3510" w:type="pct"/>
            <w:tcBorders>
              <w:top w:val="double" w:sz="4" w:space="0" w:color="auto"/>
              <w:left w:val="double" w:sz="4" w:space="0" w:color="auto"/>
            </w:tcBorders>
            <w:vAlign w:val="center"/>
          </w:tcPr>
          <w:p w14:paraId="5B5D9D42" w14:textId="77777777" w:rsidR="00EE54A7" w:rsidRPr="00252F09" w:rsidRDefault="00EE54A7">
            <w:pPr>
              <w:rPr>
                <w:rFonts w:ascii="Garamond" w:hAnsi="Garamond"/>
                <w:sz w:val="22"/>
                <w:szCs w:val="22"/>
              </w:rPr>
            </w:pPr>
            <w:r w:rsidRPr="00252F09">
              <w:rPr>
                <w:rFonts w:ascii="Garamond" w:hAnsi="Garamond"/>
                <w:sz w:val="22"/>
                <w:szCs w:val="22"/>
              </w:rPr>
              <w:t>Source Tests Required</w:t>
            </w:r>
          </w:p>
        </w:tc>
        <w:tc>
          <w:tcPr>
            <w:tcW w:w="337" w:type="pct"/>
            <w:tcBorders>
              <w:top w:val="double" w:sz="4" w:space="0" w:color="auto"/>
            </w:tcBorders>
            <w:vAlign w:val="center"/>
          </w:tcPr>
          <w:p w14:paraId="3166C445" w14:textId="77777777" w:rsidR="00EE54A7" w:rsidRPr="00252F09" w:rsidRDefault="00EE54A7">
            <w:pPr>
              <w:jc w:val="center"/>
              <w:rPr>
                <w:rFonts w:ascii="Garamond" w:hAnsi="Garamond"/>
                <w:sz w:val="22"/>
                <w:szCs w:val="22"/>
              </w:rPr>
            </w:pPr>
            <w:r w:rsidRPr="00252F09">
              <w:rPr>
                <w:rFonts w:ascii="Garamond" w:hAnsi="Garamond"/>
                <w:sz w:val="22"/>
                <w:szCs w:val="22"/>
              </w:rPr>
              <w:t>X</w:t>
            </w:r>
          </w:p>
        </w:tc>
        <w:tc>
          <w:tcPr>
            <w:tcW w:w="288" w:type="pct"/>
            <w:tcBorders>
              <w:top w:val="double" w:sz="4" w:space="0" w:color="auto"/>
            </w:tcBorders>
            <w:vAlign w:val="center"/>
          </w:tcPr>
          <w:p w14:paraId="4E8455FE" w14:textId="77777777" w:rsidR="00EE54A7" w:rsidRPr="00252F09" w:rsidRDefault="00EE54A7">
            <w:pPr>
              <w:jc w:val="center"/>
              <w:rPr>
                <w:rFonts w:ascii="Garamond" w:hAnsi="Garamond"/>
                <w:sz w:val="22"/>
                <w:szCs w:val="22"/>
              </w:rPr>
            </w:pPr>
          </w:p>
        </w:tc>
        <w:tc>
          <w:tcPr>
            <w:tcW w:w="865" w:type="pct"/>
            <w:tcBorders>
              <w:top w:val="double" w:sz="4" w:space="0" w:color="auto"/>
              <w:right w:val="double" w:sz="4" w:space="0" w:color="auto"/>
            </w:tcBorders>
            <w:vAlign w:val="center"/>
          </w:tcPr>
          <w:p w14:paraId="45E3E3B0" w14:textId="77777777" w:rsidR="00EE54A7" w:rsidRPr="00252F09" w:rsidRDefault="00EE54A7">
            <w:pPr>
              <w:jc w:val="center"/>
              <w:rPr>
                <w:rFonts w:ascii="Garamond" w:hAnsi="Garamond"/>
                <w:sz w:val="22"/>
                <w:szCs w:val="22"/>
              </w:rPr>
            </w:pPr>
          </w:p>
        </w:tc>
      </w:tr>
      <w:tr w:rsidR="00EE54A7" w:rsidRPr="00252F09" w14:paraId="68C0A0E3" w14:textId="77777777" w:rsidTr="00BB2373">
        <w:trPr>
          <w:trHeight w:val="400"/>
        </w:trPr>
        <w:tc>
          <w:tcPr>
            <w:tcW w:w="3510" w:type="pct"/>
            <w:tcBorders>
              <w:left w:val="double" w:sz="4" w:space="0" w:color="auto"/>
            </w:tcBorders>
            <w:vAlign w:val="center"/>
          </w:tcPr>
          <w:p w14:paraId="487E1BC8" w14:textId="77777777" w:rsidR="00EE54A7" w:rsidRPr="00252F09" w:rsidRDefault="00EE54A7">
            <w:pPr>
              <w:rPr>
                <w:rFonts w:ascii="Garamond" w:hAnsi="Garamond"/>
                <w:sz w:val="22"/>
                <w:szCs w:val="22"/>
              </w:rPr>
            </w:pPr>
            <w:r w:rsidRPr="00252F09">
              <w:rPr>
                <w:rFonts w:ascii="Garamond" w:hAnsi="Garamond"/>
                <w:sz w:val="22"/>
                <w:szCs w:val="22"/>
              </w:rPr>
              <w:t>Ambient Monitoring Required</w:t>
            </w:r>
          </w:p>
        </w:tc>
        <w:tc>
          <w:tcPr>
            <w:tcW w:w="337" w:type="pct"/>
            <w:vAlign w:val="center"/>
          </w:tcPr>
          <w:p w14:paraId="28FC9DAD" w14:textId="77777777" w:rsidR="00EE54A7" w:rsidRPr="00252F09" w:rsidRDefault="00EE54A7">
            <w:pPr>
              <w:jc w:val="center"/>
              <w:rPr>
                <w:rFonts w:ascii="Garamond" w:hAnsi="Garamond"/>
                <w:sz w:val="22"/>
                <w:szCs w:val="22"/>
              </w:rPr>
            </w:pPr>
          </w:p>
        </w:tc>
        <w:tc>
          <w:tcPr>
            <w:tcW w:w="288" w:type="pct"/>
            <w:vAlign w:val="center"/>
          </w:tcPr>
          <w:p w14:paraId="7E39BD67" w14:textId="77777777" w:rsidR="00EE54A7" w:rsidRPr="00252F09" w:rsidRDefault="00EE54A7">
            <w:pPr>
              <w:jc w:val="center"/>
              <w:rPr>
                <w:rFonts w:ascii="Garamond" w:hAnsi="Garamond"/>
                <w:sz w:val="22"/>
                <w:szCs w:val="22"/>
              </w:rPr>
            </w:pPr>
            <w:r w:rsidRPr="00252F09">
              <w:rPr>
                <w:rFonts w:ascii="Garamond" w:hAnsi="Garamond"/>
                <w:sz w:val="22"/>
                <w:szCs w:val="22"/>
              </w:rPr>
              <w:t>X</w:t>
            </w:r>
          </w:p>
        </w:tc>
        <w:tc>
          <w:tcPr>
            <w:tcW w:w="865" w:type="pct"/>
            <w:tcBorders>
              <w:right w:val="double" w:sz="4" w:space="0" w:color="auto"/>
            </w:tcBorders>
            <w:vAlign w:val="center"/>
          </w:tcPr>
          <w:p w14:paraId="0824042B" w14:textId="77777777" w:rsidR="00EE54A7" w:rsidRPr="00252F09" w:rsidRDefault="00EE54A7">
            <w:pPr>
              <w:jc w:val="center"/>
              <w:rPr>
                <w:rFonts w:ascii="Garamond" w:hAnsi="Garamond"/>
                <w:sz w:val="22"/>
                <w:szCs w:val="22"/>
              </w:rPr>
            </w:pPr>
          </w:p>
        </w:tc>
      </w:tr>
      <w:tr w:rsidR="00EE54A7" w:rsidRPr="00252F09" w14:paraId="19A13B6C" w14:textId="77777777" w:rsidTr="00BB2373">
        <w:trPr>
          <w:trHeight w:val="400"/>
        </w:trPr>
        <w:tc>
          <w:tcPr>
            <w:tcW w:w="3510" w:type="pct"/>
            <w:tcBorders>
              <w:left w:val="double" w:sz="4" w:space="0" w:color="auto"/>
            </w:tcBorders>
            <w:vAlign w:val="center"/>
          </w:tcPr>
          <w:p w14:paraId="40E9184E" w14:textId="77777777" w:rsidR="00EE54A7" w:rsidRPr="00252F09" w:rsidRDefault="00EE54A7">
            <w:pPr>
              <w:rPr>
                <w:rFonts w:ascii="Garamond" w:hAnsi="Garamond"/>
                <w:sz w:val="22"/>
                <w:szCs w:val="22"/>
              </w:rPr>
            </w:pPr>
            <w:r w:rsidRPr="00252F09">
              <w:rPr>
                <w:rFonts w:ascii="Garamond" w:hAnsi="Garamond"/>
                <w:sz w:val="22"/>
                <w:szCs w:val="22"/>
              </w:rPr>
              <w:t>COMS Required</w:t>
            </w:r>
          </w:p>
        </w:tc>
        <w:tc>
          <w:tcPr>
            <w:tcW w:w="337" w:type="pct"/>
            <w:vAlign w:val="center"/>
          </w:tcPr>
          <w:p w14:paraId="49563B22" w14:textId="77777777" w:rsidR="00EE54A7" w:rsidRPr="00252F09" w:rsidRDefault="00EE54A7">
            <w:pPr>
              <w:jc w:val="center"/>
              <w:rPr>
                <w:rFonts w:ascii="Garamond" w:hAnsi="Garamond"/>
                <w:sz w:val="22"/>
                <w:szCs w:val="22"/>
              </w:rPr>
            </w:pPr>
          </w:p>
        </w:tc>
        <w:tc>
          <w:tcPr>
            <w:tcW w:w="288" w:type="pct"/>
            <w:vAlign w:val="center"/>
          </w:tcPr>
          <w:p w14:paraId="0C27562E" w14:textId="77777777" w:rsidR="00EE54A7" w:rsidRPr="00252F09" w:rsidRDefault="00EE54A7">
            <w:pPr>
              <w:jc w:val="center"/>
              <w:rPr>
                <w:rFonts w:ascii="Garamond" w:hAnsi="Garamond"/>
                <w:sz w:val="22"/>
                <w:szCs w:val="22"/>
              </w:rPr>
            </w:pPr>
            <w:r w:rsidRPr="00252F09">
              <w:rPr>
                <w:rFonts w:ascii="Garamond" w:hAnsi="Garamond"/>
                <w:sz w:val="22"/>
                <w:szCs w:val="22"/>
              </w:rPr>
              <w:t>X</w:t>
            </w:r>
          </w:p>
        </w:tc>
        <w:tc>
          <w:tcPr>
            <w:tcW w:w="865" w:type="pct"/>
            <w:tcBorders>
              <w:right w:val="double" w:sz="4" w:space="0" w:color="auto"/>
            </w:tcBorders>
            <w:vAlign w:val="center"/>
          </w:tcPr>
          <w:p w14:paraId="5C21D97B" w14:textId="77777777" w:rsidR="00EE54A7" w:rsidRPr="00252F09" w:rsidRDefault="00EE54A7">
            <w:pPr>
              <w:jc w:val="center"/>
              <w:rPr>
                <w:rFonts w:ascii="Garamond" w:hAnsi="Garamond"/>
                <w:sz w:val="22"/>
                <w:szCs w:val="22"/>
              </w:rPr>
            </w:pPr>
          </w:p>
        </w:tc>
      </w:tr>
      <w:tr w:rsidR="00EE54A7" w:rsidRPr="00252F09" w14:paraId="57ABD9AC" w14:textId="77777777" w:rsidTr="00BB2373">
        <w:trPr>
          <w:trHeight w:val="400"/>
        </w:trPr>
        <w:tc>
          <w:tcPr>
            <w:tcW w:w="3510" w:type="pct"/>
            <w:tcBorders>
              <w:left w:val="double" w:sz="4" w:space="0" w:color="auto"/>
            </w:tcBorders>
            <w:vAlign w:val="center"/>
          </w:tcPr>
          <w:p w14:paraId="59715BC0" w14:textId="77777777" w:rsidR="00EE54A7" w:rsidRPr="00252F09" w:rsidRDefault="00EE54A7">
            <w:pPr>
              <w:rPr>
                <w:rFonts w:ascii="Garamond" w:hAnsi="Garamond"/>
                <w:sz w:val="22"/>
                <w:szCs w:val="22"/>
              </w:rPr>
            </w:pPr>
            <w:r w:rsidRPr="00252F09">
              <w:rPr>
                <w:rFonts w:ascii="Garamond" w:hAnsi="Garamond"/>
                <w:sz w:val="22"/>
                <w:szCs w:val="22"/>
              </w:rPr>
              <w:t>CEMS Required</w:t>
            </w:r>
          </w:p>
        </w:tc>
        <w:tc>
          <w:tcPr>
            <w:tcW w:w="337" w:type="pct"/>
            <w:vAlign w:val="center"/>
          </w:tcPr>
          <w:p w14:paraId="6CD9B375" w14:textId="77777777" w:rsidR="00EE54A7" w:rsidRPr="00252F09" w:rsidRDefault="00EE54A7">
            <w:pPr>
              <w:jc w:val="center"/>
              <w:rPr>
                <w:rFonts w:ascii="Garamond" w:hAnsi="Garamond"/>
                <w:sz w:val="22"/>
                <w:szCs w:val="22"/>
              </w:rPr>
            </w:pPr>
          </w:p>
        </w:tc>
        <w:tc>
          <w:tcPr>
            <w:tcW w:w="288" w:type="pct"/>
            <w:vAlign w:val="center"/>
          </w:tcPr>
          <w:p w14:paraId="76C6801E" w14:textId="77777777" w:rsidR="00EE54A7" w:rsidRPr="00252F09" w:rsidRDefault="00EE54A7">
            <w:pPr>
              <w:jc w:val="center"/>
              <w:rPr>
                <w:rFonts w:ascii="Garamond" w:hAnsi="Garamond"/>
                <w:sz w:val="22"/>
                <w:szCs w:val="22"/>
              </w:rPr>
            </w:pPr>
            <w:r w:rsidRPr="00252F09">
              <w:rPr>
                <w:rFonts w:ascii="Garamond" w:hAnsi="Garamond"/>
                <w:sz w:val="22"/>
                <w:szCs w:val="22"/>
              </w:rPr>
              <w:t>X</w:t>
            </w:r>
          </w:p>
        </w:tc>
        <w:tc>
          <w:tcPr>
            <w:tcW w:w="865" w:type="pct"/>
            <w:tcBorders>
              <w:right w:val="double" w:sz="4" w:space="0" w:color="auto"/>
            </w:tcBorders>
            <w:vAlign w:val="center"/>
          </w:tcPr>
          <w:p w14:paraId="382DFF67" w14:textId="77777777" w:rsidR="00EE54A7" w:rsidRPr="00252F09" w:rsidRDefault="00EE54A7">
            <w:pPr>
              <w:jc w:val="center"/>
              <w:rPr>
                <w:rFonts w:ascii="Garamond" w:hAnsi="Garamond"/>
                <w:sz w:val="22"/>
                <w:szCs w:val="22"/>
              </w:rPr>
            </w:pPr>
          </w:p>
        </w:tc>
      </w:tr>
      <w:tr w:rsidR="00EE54A7" w:rsidRPr="00252F09" w14:paraId="6B17BF32" w14:textId="77777777" w:rsidTr="00BB2373">
        <w:trPr>
          <w:trHeight w:val="400"/>
        </w:trPr>
        <w:tc>
          <w:tcPr>
            <w:tcW w:w="3510" w:type="pct"/>
            <w:tcBorders>
              <w:left w:val="double" w:sz="4" w:space="0" w:color="auto"/>
            </w:tcBorders>
            <w:vAlign w:val="center"/>
          </w:tcPr>
          <w:p w14:paraId="76CA91B8" w14:textId="77777777" w:rsidR="00EE54A7" w:rsidRPr="00252F09" w:rsidRDefault="00EE54A7">
            <w:pPr>
              <w:rPr>
                <w:rFonts w:ascii="Garamond" w:hAnsi="Garamond"/>
                <w:sz w:val="22"/>
                <w:szCs w:val="22"/>
              </w:rPr>
            </w:pPr>
            <w:r w:rsidRPr="00252F09">
              <w:rPr>
                <w:rFonts w:ascii="Garamond" w:hAnsi="Garamond"/>
                <w:sz w:val="22"/>
                <w:szCs w:val="22"/>
              </w:rPr>
              <w:t>Schedule of Compliance Required</w:t>
            </w:r>
          </w:p>
        </w:tc>
        <w:tc>
          <w:tcPr>
            <w:tcW w:w="337" w:type="pct"/>
            <w:vAlign w:val="center"/>
          </w:tcPr>
          <w:p w14:paraId="544531CF" w14:textId="77777777" w:rsidR="00EE54A7" w:rsidRPr="00252F09" w:rsidRDefault="00EE54A7">
            <w:pPr>
              <w:jc w:val="center"/>
              <w:rPr>
                <w:rFonts w:ascii="Garamond" w:hAnsi="Garamond"/>
                <w:sz w:val="22"/>
                <w:szCs w:val="22"/>
              </w:rPr>
            </w:pPr>
          </w:p>
        </w:tc>
        <w:tc>
          <w:tcPr>
            <w:tcW w:w="288" w:type="pct"/>
            <w:vAlign w:val="center"/>
          </w:tcPr>
          <w:p w14:paraId="7D94B6AD" w14:textId="77777777" w:rsidR="00EE54A7" w:rsidRPr="00252F09" w:rsidRDefault="00EE54A7">
            <w:pPr>
              <w:jc w:val="center"/>
              <w:rPr>
                <w:rFonts w:ascii="Garamond" w:hAnsi="Garamond"/>
                <w:sz w:val="22"/>
                <w:szCs w:val="22"/>
              </w:rPr>
            </w:pPr>
            <w:r w:rsidRPr="00252F09">
              <w:rPr>
                <w:rFonts w:ascii="Garamond" w:hAnsi="Garamond"/>
                <w:sz w:val="22"/>
                <w:szCs w:val="22"/>
              </w:rPr>
              <w:t>X</w:t>
            </w:r>
          </w:p>
        </w:tc>
        <w:tc>
          <w:tcPr>
            <w:tcW w:w="865" w:type="pct"/>
            <w:tcBorders>
              <w:right w:val="double" w:sz="4" w:space="0" w:color="auto"/>
            </w:tcBorders>
            <w:vAlign w:val="center"/>
          </w:tcPr>
          <w:p w14:paraId="4D30FAF1" w14:textId="77777777" w:rsidR="00EE54A7" w:rsidRPr="00252F09" w:rsidRDefault="00EE54A7">
            <w:pPr>
              <w:jc w:val="center"/>
              <w:rPr>
                <w:rFonts w:ascii="Garamond" w:hAnsi="Garamond"/>
                <w:sz w:val="22"/>
                <w:szCs w:val="22"/>
              </w:rPr>
            </w:pPr>
          </w:p>
        </w:tc>
      </w:tr>
      <w:tr w:rsidR="00EE54A7" w:rsidRPr="00252F09" w14:paraId="5083EBC9" w14:textId="77777777" w:rsidTr="00BB2373">
        <w:trPr>
          <w:trHeight w:val="400"/>
        </w:trPr>
        <w:tc>
          <w:tcPr>
            <w:tcW w:w="3510" w:type="pct"/>
            <w:tcBorders>
              <w:left w:val="double" w:sz="4" w:space="0" w:color="auto"/>
            </w:tcBorders>
            <w:vAlign w:val="center"/>
          </w:tcPr>
          <w:p w14:paraId="090EE498" w14:textId="77777777" w:rsidR="00EE54A7" w:rsidRPr="00252F09" w:rsidRDefault="00EE54A7">
            <w:pPr>
              <w:rPr>
                <w:rFonts w:ascii="Garamond" w:hAnsi="Garamond"/>
                <w:sz w:val="22"/>
                <w:szCs w:val="22"/>
              </w:rPr>
            </w:pPr>
            <w:r w:rsidRPr="00252F09">
              <w:rPr>
                <w:rFonts w:ascii="Garamond" w:hAnsi="Garamond"/>
                <w:sz w:val="22"/>
                <w:szCs w:val="22"/>
              </w:rPr>
              <w:t>Annual Compliance Certification and Semiannual Reporting Required</w:t>
            </w:r>
          </w:p>
        </w:tc>
        <w:tc>
          <w:tcPr>
            <w:tcW w:w="337" w:type="pct"/>
            <w:vAlign w:val="center"/>
          </w:tcPr>
          <w:p w14:paraId="1B643F69" w14:textId="77777777" w:rsidR="00EE54A7" w:rsidRPr="00252F09" w:rsidRDefault="00EE54A7">
            <w:pPr>
              <w:jc w:val="center"/>
              <w:rPr>
                <w:rFonts w:ascii="Garamond" w:hAnsi="Garamond"/>
                <w:sz w:val="22"/>
                <w:szCs w:val="22"/>
              </w:rPr>
            </w:pPr>
            <w:r w:rsidRPr="00252F09">
              <w:rPr>
                <w:rFonts w:ascii="Garamond" w:hAnsi="Garamond"/>
                <w:sz w:val="22"/>
                <w:szCs w:val="22"/>
              </w:rPr>
              <w:t>X</w:t>
            </w:r>
          </w:p>
        </w:tc>
        <w:tc>
          <w:tcPr>
            <w:tcW w:w="288" w:type="pct"/>
            <w:vAlign w:val="center"/>
          </w:tcPr>
          <w:p w14:paraId="6FE16EB7" w14:textId="77777777" w:rsidR="00EE54A7" w:rsidRPr="00252F09" w:rsidRDefault="00EE54A7">
            <w:pPr>
              <w:jc w:val="center"/>
              <w:rPr>
                <w:rFonts w:ascii="Garamond" w:hAnsi="Garamond"/>
                <w:sz w:val="22"/>
                <w:szCs w:val="22"/>
              </w:rPr>
            </w:pPr>
          </w:p>
        </w:tc>
        <w:tc>
          <w:tcPr>
            <w:tcW w:w="865" w:type="pct"/>
            <w:tcBorders>
              <w:right w:val="double" w:sz="4" w:space="0" w:color="auto"/>
            </w:tcBorders>
            <w:vAlign w:val="center"/>
          </w:tcPr>
          <w:p w14:paraId="36615EF0" w14:textId="77777777" w:rsidR="00EE54A7" w:rsidRPr="00252F09" w:rsidRDefault="00EE54A7">
            <w:pPr>
              <w:jc w:val="center"/>
              <w:rPr>
                <w:rFonts w:ascii="Garamond" w:hAnsi="Garamond"/>
                <w:sz w:val="22"/>
                <w:szCs w:val="22"/>
              </w:rPr>
            </w:pPr>
            <w:r w:rsidRPr="00252F09">
              <w:rPr>
                <w:rFonts w:ascii="Garamond" w:hAnsi="Garamond"/>
                <w:sz w:val="22"/>
                <w:szCs w:val="22"/>
              </w:rPr>
              <w:t>As applicable</w:t>
            </w:r>
          </w:p>
        </w:tc>
      </w:tr>
      <w:tr w:rsidR="00EE54A7" w:rsidRPr="00252F09" w14:paraId="010E006B" w14:textId="77777777" w:rsidTr="00BB2373">
        <w:trPr>
          <w:trHeight w:val="400"/>
        </w:trPr>
        <w:tc>
          <w:tcPr>
            <w:tcW w:w="3510" w:type="pct"/>
            <w:tcBorders>
              <w:left w:val="double" w:sz="4" w:space="0" w:color="auto"/>
            </w:tcBorders>
            <w:vAlign w:val="center"/>
          </w:tcPr>
          <w:p w14:paraId="6FF96C9C" w14:textId="77777777" w:rsidR="00EE54A7" w:rsidRPr="00252F09" w:rsidRDefault="00EE54A7">
            <w:pPr>
              <w:rPr>
                <w:rFonts w:ascii="Garamond" w:hAnsi="Garamond"/>
                <w:sz w:val="22"/>
                <w:szCs w:val="22"/>
              </w:rPr>
            </w:pPr>
            <w:r w:rsidRPr="00252F09">
              <w:rPr>
                <w:rFonts w:ascii="Garamond" w:hAnsi="Garamond"/>
                <w:sz w:val="22"/>
                <w:szCs w:val="22"/>
              </w:rPr>
              <w:t>Monthly Reporting Required</w:t>
            </w:r>
          </w:p>
        </w:tc>
        <w:tc>
          <w:tcPr>
            <w:tcW w:w="337" w:type="pct"/>
            <w:vAlign w:val="center"/>
          </w:tcPr>
          <w:p w14:paraId="4EC8A0C5" w14:textId="77777777" w:rsidR="00EE54A7" w:rsidRPr="00252F09" w:rsidRDefault="00EE54A7">
            <w:pPr>
              <w:jc w:val="center"/>
              <w:rPr>
                <w:rFonts w:ascii="Garamond" w:hAnsi="Garamond"/>
                <w:sz w:val="22"/>
                <w:szCs w:val="22"/>
              </w:rPr>
            </w:pPr>
          </w:p>
        </w:tc>
        <w:tc>
          <w:tcPr>
            <w:tcW w:w="288" w:type="pct"/>
            <w:vAlign w:val="center"/>
          </w:tcPr>
          <w:p w14:paraId="01CC8867" w14:textId="77777777" w:rsidR="00EE54A7" w:rsidRPr="00252F09" w:rsidRDefault="00EE54A7">
            <w:pPr>
              <w:jc w:val="center"/>
              <w:rPr>
                <w:rFonts w:ascii="Garamond" w:hAnsi="Garamond"/>
                <w:sz w:val="22"/>
                <w:szCs w:val="22"/>
              </w:rPr>
            </w:pPr>
            <w:r w:rsidRPr="00252F09">
              <w:rPr>
                <w:rFonts w:ascii="Garamond" w:hAnsi="Garamond"/>
                <w:sz w:val="22"/>
                <w:szCs w:val="22"/>
              </w:rPr>
              <w:t>X</w:t>
            </w:r>
          </w:p>
        </w:tc>
        <w:tc>
          <w:tcPr>
            <w:tcW w:w="865" w:type="pct"/>
            <w:tcBorders>
              <w:right w:val="double" w:sz="4" w:space="0" w:color="auto"/>
            </w:tcBorders>
            <w:vAlign w:val="center"/>
          </w:tcPr>
          <w:p w14:paraId="1E997AF0" w14:textId="77777777" w:rsidR="00EE54A7" w:rsidRPr="00252F09" w:rsidRDefault="00EE54A7">
            <w:pPr>
              <w:jc w:val="center"/>
              <w:rPr>
                <w:rFonts w:ascii="Garamond" w:hAnsi="Garamond"/>
                <w:sz w:val="22"/>
                <w:szCs w:val="22"/>
              </w:rPr>
            </w:pPr>
          </w:p>
        </w:tc>
      </w:tr>
      <w:tr w:rsidR="00EE54A7" w:rsidRPr="00252F09" w14:paraId="387CFC25" w14:textId="77777777" w:rsidTr="00BB2373">
        <w:trPr>
          <w:trHeight w:val="400"/>
        </w:trPr>
        <w:tc>
          <w:tcPr>
            <w:tcW w:w="3510" w:type="pct"/>
            <w:tcBorders>
              <w:left w:val="double" w:sz="4" w:space="0" w:color="auto"/>
              <w:bottom w:val="double" w:sz="4" w:space="0" w:color="auto"/>
            </w:tcBorders>
            <w:vAlign w:val="center"/>
          </w:tcPr>
          <w:p w14:paraId="1132A7F8" w14:textId="77777777" w:rsidR="00EE54A7" w:rsidRPr="00252F09" w:rsidRDefault="00EE54A7">
            <w:pPr>
              <w:rPr>
                <w:rFonts w:ascii="Garamond" w:hAnsi="Garamond"/>
                <w:sz w:val="22"/>
                <w:szCs w:val="22"/>
              </w:rPr>
            </w:pPr>
            <w:r w:rsidRPr="00252F09">
              <w:rPr>
                <w:rFonts w:ascii="Garamond" w:hAnsi="Garamond"/>
                <w:sz w:val="22"/>
                <w:szCs w:val="22"/>
              </w:rPr>
              <w:t>Quarterly Reporting Required</w:t>
            </w:r>
          </w:p>
        </w:tc>
        <w:tc>
          <w:tcPr>
            <w:tcW w:w="337" w:type="pct"/>
            <w:tcBorders>
              <w:bottom w:val="double" w:sz="4" w:space="0" w:color="auto"/>
            </w:tcBorders>
            <w:vAlign w:val="center"/>
          </w:tcPr>
          <w:p w14:paraId="5F62972E" w14:textId="77777777" w:rsidR="00EE54A7" w:rsidRPr="00252F09" w:rsidRDefault="00EE54A7">
            <w:pPr>
              <w:jc w:val="center"/>
              <w:rPr>
                <w:rFonts w:ascii="Garamond" w:hAnsi="Garamond"/>
                <w:sz w:val="22"/>
                <w:szCs w:val="22"/>
              </w:rPr>
            </w:pPr>
          </w:p>
        </w:tc>
        <w:tc>
          <w:tcPr>
            <w:tcW w:w="288" w:type="pct"/>
            <w:tcBorders>
              <w:bottom w:val="double" w:sz="4" w:space="0" w:color="auto"/>
            </w:tcBorders>
            <w:vAlign w:val="center"/>
          </w:tcPr>
          <w:p w14:paraId="644EACFE" w14:textId="77777777" w:rsidR="00EE54A7" w:rsidRPr="00252F09" w:rsidRDefault="00EE54A7">
            <w:pPr>
              <w:jc w:val="center"/>
              <w:rPr>
                <w:rFonts w:ascii="Garamond" w:hAnsi="Garamond"/>
                <w:sz w:val="22"/>
                <w:szCs w:val="22"/>
              </w:rPr>
            </w:pPr>
            <w:r w:rsidRPr="00252F09">
              <w:rPr>
                <w:rFonts w:ascii="Garamond" w:hAnsi="Garamond"/>
                <w:sz w:val="22"/>
                <w:szCs w:val="22"/>
              </w:rPr>
              <w:t>X</w:t>
            </w:r>
          </w:p>
        </w:tc>
        <w:tc>
          <w:tcPr>
            <w:tcW w:w="865" w:type="pct"/>
            <w:tcBorders>
              <w:bottom w:val="double" w:sz="4" w:space="0" w:color="auto"/>
              <w:right w:val="double" w:sz="4" w:space="0" w:color="auto"/>
            </w:tcBorders>
            <w:vAlign w:val="center"/>
          </w:tcPr>
          <w:p w14:paraId="394F765F" w14:textId="77777777" w:rsidR="00EE54A7" w:rsidRPr="00252F09" w:rsidRDefault="00EE54A7">
            <w:pPr>
              <w:jc w:val="center"/>
              <w:rPr>
                <w:rFonts w:ascii="Garamond" w:hAnsi="Garamond"/>
                <w:sz w:val="22"/>
                <w:szCs w:val="22"/>
              </w:rPr>
            </w:pPr>
          </w:p>
        </w:tc>
      </w:tr>
      <w:tr w:rsidR="00762D64" w:rsidRPr="00252F09" w14:paraId="29146C98" w14:textId="77777777" w:rsidTr="00762D64">
        <w:trPr>
          <w:trHeight w:val="400"/>
          <w:tblHeader/>
        </w:trPr>
        <w:tc>
          <w:tcPr>
            <w:tcW w:w="3510" w:type="pct"/>
            <w:tcBorders>
              <w:top w:val="double" w:sz="4" w:space="0" w:color="auto"/>
              <w:left w:val="double" w:sz="4" w:space="0" w:color="auto"/>
              <w:bottom w:val="double" w:sz="4" w:space="0" w:color="auto"/>
            </w:tcBorders>
            <w:shd w:val="clear" w:color="auto" w:fill="F3F3F3"/>
            <w:vAlign w:val="center"/>
          </w:tcPr>
          <w:p w14:paraId="4020BD56" w14:textId="77777777" w:rsidR="00762D64" w:rsidRPr="00252F09" w:rsidRDefault="00762D64" w:rsidP="00466476">
            <w:pPr>
              <w:pStyle w:val="Title"/>
              <w:rPr>
                <w:rFonts w:ascii="Garamond" w:hAnsi="Garamond"/>
                <w:sz w:val="22"/>
                <w:szCs w:val="22"/>
              </w:rPr>
            </w:pPr>
            <w:r w:rsidRPr="00252F09">
              <w:rPr>
                <w:rFonts w:ascii="Garamond" w:hAnsi="Garamond"/>
                <w:sz w:val="22"/>
                <w:szCs w:val="22"/>
              </w:rPr>
              <w:t>Applicable Air Quality Programs</w:t>
            </w:r>
          </w:p>
        </w:tc>
        <w:tc>
          <w:tcPr>
            <w:tcW w:w="337" w:type="pct"/>
            <w:tcBorders>
              <w:top w:val="double" w:sz="4" w:space="0" w:color="auto"/>
              <w:bottom w:val="double" w:sz="4" w:space="0" w:color="auto"/>
            </w:tcBorders>
            <w:shd w:val="clear" w:color="auto" w:fill="F3F3F3"/>
            <w:vAlign w:val="center"/>
          </w:tcPr>
          <w:p w14:paraId="430C75D1" w14:textId="77777777" w:rsidR="00762D64" w:rsidRPr="00252F09" w:rsidRDefault="00762D64" w:rsidP="00466476">
            <w:pPr>
              <w:jc w:val="center"/>
              <w:rPr>
                <w:rFonts w:ascii="Garamond" w:hAnsi="Garamond"/>
                <w:sz w:val="22"/>
                <w:szCs w:val="22"/>
              </w:rPr>
            </w:pPr>
          </w:p>
        </w:tc>
        <w:tc>
          <w:tcPr>
            <w:tcW w:w="288" w:type="pct"/>
            <w:tcBorders>
              <w:top w:val="double" w:sz="4" w:space="0" w:color="auto"/>
              <w:bottom w:val="double" w:sz="4" w:space="0" w:color="auto"/>
            </w:tcBorders>
            <w:shd w:val="clear" w:color="auto" w:fill="F3F3F3"/>
            <w:vAlign w:val="center"/>
          </w:tcPr>
          <w:p w14:paraId="5010AA24" w14:textId="77777777" w:rsidR="00762D64" w:rsidRPr="00252F09" w:rsidRDefault="00762D64" w:rsidP="00466476">
            <w:pPr>
              <w:jc w:val="center"/>
              <w:rPr>
                <w:rFonts w:ascii="Garamond" w:hAnsi="Garamond"/>
                <w:sz w:val="22"/>
                <w:szCs w:val="22"/>
              </w:rPr>
            </w:pPr>
          </w:p>
        </w:tc>
        <w:tc>
          <w:tcPr>
            <w:tcW w:w="865" w:type="pct"/>
            <w:tcBorders>
              <w:top w:val="double" w:sz="4" w:space="0" w:color="auto"/>
              <w:bottom w:val="double" w:sz="4" w:space="0" w:color="auto"/>
              <w:right w:val="double" w:sz="4" w:space="0" w:color="auto"/>
            </w:tcBorders>
            <w:shd w:val="clear" w:color="auto" w:fill="F3F3F3"/>
            <w:vAlign w:val="center"/>
          </w:tcPr>
          <w:p w14:paraId="2A5C1167" w14:textId="77777777" w:rsidR="00762D64" w:rsidRPr="00252F09" w:rsidRDefault="00762D64" w:rsidP="00466476">
            <w:pPr>
              <w:jc w:val="center"/>
              <w:rPr>
                <w:rFonts w:ascii="Garamond" w:hAnsi="Garamond"/>
                <w:sz w:val="22"/>
                <w:szCs w:val="22"/>
              </w:rPr>
            </w:pPr>
          </w:p>
        </w:tc>
      </w:tr>
      <w:tr w:rsidR="00762D64" w:rsidRPr="00252F09" w14:paraId="137A312E" w14:textId="77777777" w:rsidTr="00466476">
        <w:trPr>
          <w:trHeight w:val="400"/>
        </w:trPr>
        <w:tc>
          <w:tcPr>
            <w:tcW w:w="3510" w:type="pct"/>
            <w:tcBorders>
              <w:top w:val="double" w:sz="4" w:space="0" w:color="auto"/>
              <w:left w:val="double" w:sz="4" w:space="0" w:color="auto"/>
            </w:tcBorders>
            <w:vAlign w:val="center"/>
          </w:tcPr>
          <w:p w14:paraId="0F96C456" w14:textId="77777777" w:rsidR="00762D64" w:rsidRPr="00252F09" w:rsidRDefault="00762D64" w:rsidP="00466476">
            <w:pPr>
              <w:rPr>
                <w:rFonts w:ascii="Garamond" w:hAnsi="Garamond"/>
                <w:sz w:val="22"/>
                <w:szCs w:val="22"/>
              </w:rPr>
            </w:pPr>
            <w:r w:rsidRPr="00252F09">
              <w:rPr>
                <w:rFonts w:ascii="Garamond" w:hAnsi="Garamond"/>
                <w:sz w:val="22"/>
                <w:szCs w:val="22"/>
              </w:rPr>
              <w:t>ARM Subchapter 7 Montana Air Quality Permit (MAQP)</w:t>
            </w:r>
          </w:p>
        </w:tc>
        <w:tc>
          <w:tcPr>
            <w:tcW w:w="337" w:type="pct"/>
            <w:tcBorders>
              <w:top w:val="double" w:sz="4" w:space="0" w:color="auto"/>
            </w:tcBorders>
            <w:vAlign w:val="center"/>
          </w:tcPr>
          <w:p w14:paraId="25F6C4CD" w14:textId="77777777" w:rsidR="00762D64" w:rsidRPr="00252F09" w:rsidRDefault="00762D64" w:rsidP="00466476">
            <w:pPr>
              <w:jc w:val="center"/>
              <w:rPr>
                <w:rFonts w:ascii="Garamond" w:hAnsi="Garamond"/>
                <w:sz w:val="22"/>
                <w:szCs w:val="22"/>
              </w:rPr>
            </w:pPr>
            <w:r w:rsidRPr="00252F09">
              <w:rPr>
                <w:rFonts w:ascii="Garamond" w:hAnsi="Garamond"/>
                <w:sz w:val="22"/>
                <w:szCs w:val="22"/>
              </w:rPr>
              <w:t>X</w:t>
            </w:r>
          </w:p>
        </w:tc>
        <w:tc>
          <w:tcPr>
            <w:tcW w:w="288" w:type="pct"/>
            <w:tcBorders>
              <w:top w:val="double" w:sz="4" w:space="0" w:color="auto"/>
            </w:tcBorders>
            <w:vAlign w:val="center"/>
          </w:tcPr>
          <w:p w14:paraId="06E8B0BC" w14:textId="77777777" w:rsidR="00762D64" w:rsidRPr="00252F09" w:rsidRDefault="00762D64" w:rsidP="00466476">
            <w:pPr>
              <w:jc w:val="center"/>
              <w:rPr>
                <w:rFonts w:ascii="Garamond" w:hAnsi="Garamond"/>
                <w:sz w:val="22"/>
                <w:szCs w:val="22"/>
              </w:rPr>
            </w:pPr>
          </w:p>
        </w:tc>
        <w:tc>
          <w:tcPr>
            <w:tcW w:w="865" w:type="pct"/>
            <w:tcBorders>
              <w:top w:val="double" w:sz="4" w:space="0" w:color="auto"/>
              <w:right w:val="double" w:sz="4" w:space="0" w:color="auto"/>
            </w:tcBorders>
            <w:vAlign w:val="center"/>
          </w:tcPr>
          <w:p w14:paraId="27D0E1FB" w14:textId="77777777" w:rsidR="00762D64" w:rsidRPr="00252F09" w:rsidRDefault="00762D64" w:rsidP="00466476">
            <w:pPr>
              <w:jc w:val="center"/>
              <w:rPr>
                <w:rFonts w:ascii="Garamond" w:hAnsi="Garamond"/>
                <w:sz w:val="22"/>
                <w:szCs w:val="22"/>
              </w:rPr>
            </w:pPr>
            <w:r w:rsidRPr="00252F09">
              <w:rPr>
                <w:rFonts w:ascii="Garamond" w:hAnsi="Garamond"/>
                <w:sz w:val="22"/>
                <w:szCs w:val="22"/>
              </w:rPr>
              <w:t>MAQP #1628-04</w:t>
            </w:r>
          </w:p>
        </w:tc>
      </w:tr>
      <w:tr w:rsidR="00762D64" w:rsidRPr="00252F09" w14:paraId="4698981D" w14:textId="77777777" w:rsidTr="00466476">
        <w:trPr>
          <w:trHeight w:val="400"/>
        </w:trPr>
        <w:tc>
          <w:tcPr>
            <w:tcW w:w="3510" w:type="pct"/>
            <w:tcBorders>
              <w:left w:val="double" w:sz="4" w:space="0" w:color="auto"/>
            </w:tcBorders>
            <w:vAlign w:val="center"/>
          </w:tcPr>
          <w:p w14:paraId="51BD60C4" w14:textId="77777777" w:rsidR="00762D64" w:rsidRPr="00252F09" w:rsidRDefault="00762D64" w:rsidP="00466476">
            <w:pPr>
              <w:rPr>
                <w:rFonts w:ascii="Garamond" w:hAnsi="Garamond"/>
                <w:sz w:val="22"/>
                <w:szCs w:val="22"/>
              </w:rPr>
            </w:pPr>
            <w:r w:rsidRPr="00252F09">
              <w:rPr>
                <w:rFonts w:ascii="Garamond" w:hAnsi="Garamond"/>
                <w:sz w:val="22"/>
                <w:szCs w:val="22"/>
              </w:rPr>
              <w:t>New Source Performance Standards (NSPS)</w:t>
            </w:r>
          </w:p>
        </w:tc>
        <w:tc>
          <w:tcPr>
            <w:tcW w:w="337" w:type="pct"/>
            <w:vAlign w:val="center"/>
          </w:tcPr>
          <w:p w14:paraId="69361BBD" w14:textId="77777777" w:rsidR="00762D64" w:rsidRPr="00252F09" w:rsidRDefault="00762D64" w:rsidP="00466476">
            <w:pPr>
              <w:jc w:val="center"/>
              <w:rPr>
                <w:rFonts w:ascii="Garamond" w:hAnsi="Garamond"/>
                <w:sz w:val="22"/>
                <w:szCs w:val="22"/>
              </w:rPr>
            </w:pPr>
            <w:r w:rsidRPr="00252F09">
              <w:rPr>
                <w:rFonts w:ascii="Garamond" w:hAnsi="Garamond"/>
                <w:sz w:val="22"/>
                <w:szCs w:val="22"/>
              </w:rPr>
              <w:t>X</w:t>
            </w:r>
          </w:p>
        </w:tc>
        <w:tc>
          <w:tcPr>
            <w:tcW w:w="288" w:type="pct"/>
            <w:vAlign w:val="center"/>
          </w:tcPr>
          <w:p w14:paraId="5BD30803" w14:textId="77777777" w:rsidR="00762D64" w:rsidRPr="00252F09" w:rsidRDefault="00762D64" w:rsidP="00466476">
            <w:pPr>
              <w:jc w:val="center"/>
              <w:rPr>
                <w:rFonts w:ascii="Garamond" w:hAnsi="Garamond"/>
                <w:sz w:val="22"/>
                <w:szCs w:val="22"/>
              </w:rPr>
            </w:pPr>
          </w:p>
        </w:tc>
        <w:tc>
          <w:tcPr>
            <w:tcW w:w="865" w:type="pct"/>
            <w:tcBorders>
              <w:right w:val="double" w:sz="4" w:space="0" w:color="auto"/>
            </w:tcBorders>
            <w:vAlign w:val="center"/>
          </w:tcPr>
          <w:p w14:paraId="49E73993" w14:textId="77777777" w:rsidR="00762D64" w:rsidRPr="00252F09" w:rsidRDefault="00762D64" w:rsidP="00466476">
            <w:pPr>
              <w:jc w:val="center"/>
              <w:rPr>
                <w:rFonts w:ascii="Garamond" w:hAnsi="Garamond"/>
                <w:sz w:val="22"/>
                <w:szCs w:val="22"/>
              </w:rPr>
            </w:pPr>
            <w:r w:rsidRPr="00252F09">
              <w:rPr>
                <w:rFonts w:ascii="Garamond" w:hAnsi="Garamond"/>
                <w:sz w:val="22"/>
                <w:szCs w:val="22"/>
              </w:rPr>
              <w:t xml:space="preserve">40 CFR 60, Subpart GG </w:t>
            </w:r>
          </w:p>
        </w:tc>
      </w:tr>
      <w:tr w:rsidR="00762D64" w:rsidRPr="00252F09" w14:paraId="3517FD03" w14:textId="77777777" w:rsidTr="00466476">
        <w:trPr>
          <w:trHeight w:val="400"/>
        </w:trPr>
        <w:tc>
          <w:tcPr>
            <w:tcW w:w="3510" w:type="pct"/>
            <w:tcBorders>
              <w:left w:val="double" w:sz="4" w:space="0" w:color="auto"/>
            </w:tcBorders>
            <w:vAlign w:val="center"/>
          </w:tcPr>
          <w:p w14:paraId="671076F6" w14:textId="77777777" w:rsidR="00762D64" w:rsidRPr="00252F09" w:rsidRDefault="00762D64" w:rsidP="00466476">
            <w:pPr>
              <w:rPr>
                <w:rFonts w:ascii="Garamond" w:hAnsi="Garamond"/>
                <w:sz w:val="22"/>
                <w:szCs w:val="22"/>
              </w:rPr>
            </w:pPr>
            <w:r w:rsidRPr="00252F09">
              <w:rPr>
                <w:rFonts w:ascii="Garamond" w:hAnsi="Garamond"/>
                <w:sz w:val="22"/>
                <w:szCs w:val="22"/>
              </w:rPr>
              <w:t>National Emission Standards for Hazardous Air Pollutants (NESHAPS)</w:t>
            </w:r>
          </w:p>
        </w:tc>
        <w:tc>
          <w:tcPr>
            <w:tcW w:w="337" w:type="pct"/>
            <w:vAlign w:val="center"/>
          </w:tcPr>
          <w:p w14:paraId="7DB0A0D1" w14:textId="77777777" w:rsidR="00762D64" w:rsidRPr="00252F09" w:rsidRDefault="00762D64" w:rsidP="00466476">
            <w:pPr>
              <w:pStyle w:val="Header"/>
              <w:tabs>
                <w:tab w:val="clear" w:pos="4320"/>
                <w:tab w:val="clear" w:pos="8640"/>
              </w:tabs>
              <w:jc w:val="center"/>
              <w:rPr>
                <w:rFonts w:ascii="Garamond" w:hAnsi="Garamond"/>
                <w:sz w:val="22"/>
                <w:szCs w:val="22"/>
              </w:rPr>
            </w:pPr>
          </w:p>
        </w:tc>
        <w:tc>
          <w:tcPr>
            <w:tcW w:w="288" w:type="pct"/>
            <w:vAlign w:val="center"/>
          </w:tcPr>
          <w:p w14:paraId="7C166FE0" w14:textId="77777777" w:rsidR="00762D64" w:rsidRPr="00252F09" w:rsidRDefault="00762D64" w:rsidP="00466476">
            <w:pPr>
              <w:jc w:val="center"/>
              <w:rPr>
                <w:rFonts w:ascii="Garamond" w:hAnsi="Garamond"/>
                <w:sz w:val="22"/>
                <w:szCs w:val="22"/>
              </w:rPr>
            </w:pPr>
            <w:r w:rsidRPr="00252F09">
              <w:rPr>
                <w:rFonts w:ascii="Garamond" w:hAnsi="Garamond"/>
                <w:sz w:val="22"/>
                <w:szCs w:val="22"/>
              </w:rPr>
              <w:t>X</w:t>
            </w:r>
          </w:p>
        </w:tc>
        <w:tc>
          <w:tcPr>
            <w:tcW w:w="865" w:type="pct"/>
            <w:tcBorders>
              <w:right w:val="double" w:sz="4" w:space="0" w:color="auto"/>
            </w:tcBorders>
            <w:vAlign w:val="center"/>
          </w:tcPr>
          <w:p w14:paraId="03CEF19E" w14:textId="77777777" w:rsidR="00762D64" w:rsidRPr="00252F09" w:rsidRDefault="00762D64" w:rsidP="00466476">
            <w:pPr>
              <w:jc w:val="center"/>
              <w:rPr>
                <w:rFonts w:ascii="Garamond" w:hAnsi="Garamond"/>
                <w:sz w:val="22"/>
                <w:szCs w:val="22"/>
              </w:rPr>
            </w:pPr>
            <w:r w:rsidRPr="00252F09">
              <w:rPr>
                <w:rFonts w:ascii="Garamond" w:hAnsi="Garamond"/>
                <w:sz w:val="22"/>
                <w:szCs w:val="22"/>
              </w:rPr>
              <w:t>Except for 40 CFR 61, Subpart M</w:t>
            </w:r>
          </w:p>
        </w:tc>
      </w:tr>
      <w:tr w:rsidR="00762D64" w:rsidRPr="00252F09" w14:paraId="346AE25F" w14:textId="77777777" w:rsidTr="00466476">
        <w:trPr>
          <w:trHeight w:val="400"/>
        </w:trPr>
        <w:tc>
          <w:tcPr>
            <w:tcW w:w="3510" w:type="pct"/>
            <w:tcBorders>
              <w:left w:val="double" w:sz="4" w:space="0" w:color="auto"/>
            </w:tcBorders>
            <w:vAlign w:val="center"/>
          </w:tcPr>
          <w:p w14:paraId="745221EC" w14:textId="77777777" w:rsidR="00762D64" w:rsidRPr="00252F09" w:rsidRDefault="00762D64" w:rsidP="00466476">
            <w:pPr>
              <w:rPr>
                <w:rFonts w:ascii="Garamond" w:hAnsi="Garamond"/>
                <w:sz w:val="22"/>
                <w:szCs w:val="22"/>
              </w:rPr>
            </w:pPr>
            <w:r w:rsidRPr="00252F09">
              <w:rPr>
                <w:rFonts w:ascii="Garamond" w:hAnsi="Garamond"/>
                <w:sz w:val="22"/>
                <w:szCs w:val="22"/>
              </w:rPr>
              <w:t>Maximum Achievable Control Technology (MACT)</w:t>
            </w:r>
          </w:p>
        </w:tc>
        <w:tc>
          <w:tcPr>
            <w:tcW w:w="337" w:type="pct"/>
            <w:vAlign w:val="center"/>
          </w:tcPr>
          <w:p w14:paraId="0DEC3FAB" w14:textId="77777777" w:rsidR="00762D64" w:rsidRPr="00252F09" w:rsidRDefault="00762D64" w:rsidP="00466476">
            <w:pPr>
              <w:jc w:val="center"/>
              <w:rPr>
                <w:rFonts w:ascii="Garamond" w:hAnsi="Garamond"/>
                <w:sz w:val="22"/>
                <w:szCs w:val="22"/>
              </w:rPr>
            </w:pPr>
          </w:p>
        </w:tc>
        <w:tc>
          <w:tcPr>
            <w:tcW w:w="288" w:type="pct"/>
            <w:vAlign w:val="center"/>
          </w:tcPr>
          <w:p w14:paraId="3B532A02" w14:textId="77777777" w:rsidR="00762D64" w:rsidRPr="00252F09" w:rsidRDefault="00762D64" w:rsidP="00466476">
            <w:pPr>
              <w:jc w:val="center"/>
              <w:rPr>
                <w:rFonts w:ascii="Garamond" w:hAnsi="Garamond"/>
                <w:sz w:val="22"/>
                <w:szCs w:val="22"/>
              </w:rPr>
            </w:pPr>
            <w:r w:rsidRPr="00252F09">
              <w:rPr>
                <w:rFonts w:ascii="Garamond" w:hAnsi="Garamond"/>
                <w:sz w:val="22"/>
                <w:szCs w:val="22"/>
              </w:rPr>
              <w:t>X</w:t>
            </w:r>
          </w:p>
        </w:tc>
        <w:tc>
          <w:tcPr>
            <w:tcW w:w="865" w:type="pct"/>
            <w:tcBorders>
              <w:right w:val="double" w:sz="4" w:space="0" w:color="auto"/>
            </w:tcBorders>
            <w:vAlign w:val="center"/>
          </w:tcPr>
          <w:p w14:paraId="007F72FC" w14:textId="77777777" w:rsidR="00762D64" w:rsidRPr="00252F09" w:rsidRDefault="00762D64" w:rsidP="00466476">
            <w:pPr>
              <w:jc w:val="center"/>
              <w:rPr>
                <w:rFonts w:ascii="Garamond" w:hAnsi="Garamond"/>
                <w:sz w:val="22"/>
                <w:szCs w:val="22"/>
              </w:rPr>
            </w:pPr>
          </w:p>
        </w:tc>
      </w:tr>
      <w:tr w:rsidR="00762D64" w:rsidRPr="00252F09" w14:paraId="2B157B0A" w14:textId="77777777" w:rsidTr="00466476">
        <w:trPr>
          <w:trHeight w:val="400"/>
        </w:trPr>
        <w:tc>
          <w:tcPr>
            <w:tcW w:w="3510" w:type="pct"/>
            <w:tcBorders>
              <w:left w:val="double" w:sz="4" w:space="0" w:color="auto"/>
            </w:tcBorders>
            <w:vAlign w:val="center"/>
          </w:tcPr>
          <w:p w14:paraId="037B3287" w14:textId="77777777" w:rsidR="00762D64" w:rsidRPr="00252F09" w:rsidRDefault="00762D64" w:rsidP="00466476">
            <w:pPr>
              <w:rPr>
                <w:rFonts w:ascii="Garamond" w:hAnsi="Garamond"/>
                <w:sz w:val="22"/>
                <w:szCs w:val="22"/>
              </w:rPr>
            </w:pPr>
            <w:r w:rsidRPr="00252F09">
              <w:rPr>
                <w:rFonts w:ascii="Garamond" w:hAnsi="Garamond"/>
                <w:sz w:val="22"/>
                <w:szCs w:val="22"/>
              </w:rPr>
              <w:t>Major New Source Review (NSR) includes Prevention of Significant Deterioration (PSD) and/or Non-attainment Area (NAA) NSR</w:t>
            </w:r>
          </w:p>
        </w:tc>
        <w:tc>
          <w:tcPr>
            <w:tcW w:w="337" w:type="pct"/>
            <w:vAlign w:val="center"/>
          </w:tcPr>
          <w:p w14:paraId="284E261F" w14:textId="77777777" w:rsidR="00762D64" w:rsidRPr="00252F09" w:rsidRDefault="00762D64" w:rsidP="00466476">
            <w:pPr>
              <w:jc w:val="center"/>
              <w:rPr>
                <w:rFonts w:ascii="Garamond" w:hAnsi="Garamond"/>
                <w:sz w:val="22"/>
                <w:szCs w:val="22"/>
              </w:rPr>
            </w:pPr>
          </w:p>
        </w:tc>
        <w:tc>
          <w:tcPr>
            <w:tcW w:w="288" w:type="pct"/>
            <w:vAlign w:val="center"/>
          </w:tcPr>
          <w:p w14:paraId="59193084" w14:textId="77777777" w:rsidR="00762D64" w:rsidRPr="00252F09" w:rsidRDefault="00762D64" w:rsidP="00466476">
            <w:pPr>
              <w:jc w:val="center"/>
              <w:rPr>
                <w:rFonts w:ascii="Garamond" w:hAnsi="Garamond"/>
                <w:sz w:val="22"/>
                <w:szCs w:val="22"/>
              </w:rPr>
            </w:pPr>
            <w:r w:rsidRPr="00252F09">
              <w:rPr>
                <w:rFonts w:ascii="Garamond" w:hAnsi="Garamond"/>
                <w:sz w:val="22"/>
                <w:szCs w:val="22"/>
              </w:rPr>
              <w:t>X</w:t>
            </w:r>
          </w:p>
        </w:tc>
        <w:tc>
          <w:tcPr>
            <w:tcW w:w="865" w:type="pct"/>
            <w:tcBorders>
              <w:right w:val="double" w:sz="4" w:space="0" w:color="auto"/>
            </w:tcBorders>
            <w:vAlign w:val="center"/>
          </w:tcPr>
          <w:p w14:paraId="36671175" w14:textId="77777777" w:rsidR="00762D64" w:rsidRPr="00252F09" w:rsidRDefault="00762D64" w:rsidP="00466476">
            <w:pPr>
              <w:jc w:val="center"/>
              <w:rPr>
                <w:rFonts w:ascii="Garamond" w:hAnsi="Garamond"/>
                <w:sz w:val="22"/>
                <w:szCs w:val="22"/>
              </w:rPr>
            </w:pPr>
          </w:p>
        </w:tc>
      </w:tr>
      <w:tr w:rsidR="00762D64" w:rsidRPr="00252F09" w14:paraId="13B2609E" w14:textId="77777777" w:rsidTr="00466476">
        <w:trPr>
          <w:trHeight w:val="400"/>
        </w:trPr>
        <w:tc>
          <w:tcPr>
            <w:tcW w:w="3510" w:type="pct"/>
            <w:tcBorders>
              <w:left w:val="double" w:sz="4" w:space="0" w:color="auto"/>
            </w:tcBorders>
            <w:vAlign w:val="center"/>
          </w:tcPr>
          <w:p w14:paraId="721DF7AF" w14:textId="77777777" w:rsidR="00762D64" w:rsidRPr="00252F09" w:rsidRDefault="00762D64" w:rsidP="00466476">
            <w:pPr>
              <w:rPr>
                <w:rFonts w:ascii="Garamond" w:hAnsi="Garamond"/>
                <w:sz w:val="22"/>
                <w:szCs w:val="22"/>
              </w:rPr>
            </w:pPr>
            <w:r w:rsidRPr="00252F09">
              <w:rPr>
                <w:rFonts w:ascii="Garamond" w:hAnsi="Garamond"/>
                <w:sz w:val="22"/>
                <w:szCs w:val="22"/>
              </w:rPr>
              <w:t>Prevention of Significant Deterioration (PSD)</w:t>
            </w:r>
          </w:p>
        </w:tc>
        <w:tc>
          <w:tcPr>
            <w:tcW w:w="337" w:type="pct"/>
            <w:vAlign w:val="center"/>
          </w:tcPr>
          <w:p w14:paraId="02B3F89A" w14:textId="77777777" w:rsidR="00762D64" w:rsidRPr="00252F09" w:rsidRDefault="00762D64" w:rsidP="00466476">
            <w:pPr>
              <w:jc w:val="center"/>
              <w:rPr>
                <w:rFonts w:ascii="Garamond" w:hAnsi="Garamond"/>
                <w:sz w:val="22"/>
                <w:szCs w:val="22"/>
              </w:rPr>
            </w:pPr>
          </w:p>
        </w:tc>
        <w:tc>
          <w:tcPr>
            <w:tcW w:w="288" w:type="pct"/>
            <w:vAlign w:val="center"/>
          </w:tcPr>
          <w:p w14:paraId="4D54E185" w14:textId="77777777" w:rsidR="00762D64" w:rsidRPr="00252F09" w:rsidRDefault="00762D64" w:rsidP="00466476">
            <w:pPr>
              <w:jc w:val="center"/>
              <w:rPr>
                <w:rFonts w:ascii="Garamond" w:hAnsi="Garamond"/>
                <w:sz w:val="22"/>
                <w:szCs w:val="22"/>
              </w:rPr>
            </w:pPr>
            <w:r w:rsidRPr="00252F09">
              <w:rPr>
                <w:rFonts w:ascii="Garamond" w:hAnsi="Garamond"/>
                <w:sz w:val="22"/>
                <w:szCs w:val="22"/>
              </w:rPr>
              <w:t>X</w:t>
            </w:r>
          </w:p>
        </w:tc>
        <w:tc>
          <w:tcPr>
            <w:tcW w:w="865" w:type="pct"/>
            <w:tcBorders>
              <w:right w:val="double" w:sz="4" w:space="0" w:color="auto"/>
            </w:tcBorders>
            <w:vAlign w:val="center"/>
          </w:tcPr>
          <w:p w14:paraId="4C5C8049" w14:textId="77777777" w:rsidR="00762D64" w:rsidRPr="00252F09" w:rsidRDefault="00762D64" w:rsidP="00466476">
            <w:pPr>
              <w:jc w:val="center"/>
              <w:rPr>
                <w:rFonts w:ascii="Garamond" w:hAnsi="Garamond"/>
                <w:sz w:val="22"/>
                <w:szCs w:val="22"/>
              </w:rPr>
            </w:pPr>
          </w:p>
        </w:tc>
      </w:tr>
      <w:tr w:rsidR="00762D64" w:rsidRPr="00252F09" w14:paraId="6D31FB63" w14:textId="77777777" w:rsidTr="00466476">
        <w:trPr>
          <w:trHeight w:val="400"/>
        </w:trPr>
        <w:tc>
          <w:tcPr>
            <w:tcW w:w="3510" w:type="pct"/>
            <w:tcBorders>
              <w:left w:val="double" w:sz="4" w:space="0" w:color="auto"/>
            </w:tcBorders>
            <w:vAlign w:val="center"/>
          </w:tcPr>
          <w:p w14:paraId="3D3136AF" w14:textId="77777777" w:rsidR="00762D64" w:rsidRPr="00252F09" w:rsidRDefault="00762D64" w:rsidP="00466476">
            <w:pPr>
              <w:rPr>
                <w:rFonts w:ascii="Garamond" w:hAnsi="Garamond"/>
                <w:sz w:val="22"/>
                <w:szCs w:val="22"/>
              </w:rPr>
            </w:pPr>
            <w:r w:rsidRPr="00252F09">
              <w:rPr>
                <w:rFonts w:ascii="Garamond" w:hAnsi="Garamond"/>
                <w:sz w:val="22"/>
                <w:szCs w:val="22"/>
              </w:rPr>
              <w:t>Risk Management Plan Required (RMP)</w:t>
            </w:r>
          </w:p>
        </w:tc>
        <w:tc>
          <w:tcPr>
            <w:tcW w:w="337" w:type="pct"/>
            <w:vAlign w:val="center"/>
          </w:tcPr>
          <w:p w14:paraId="240BB4A3" w14:textId="77777777" w:rsidR="00762D64" w:rsidRPr="00252F09" w:rsidRDefault="00762D64" w:rsidP="00466476">
            <w:pPr>
              <w:jc w:val="center"/>
              <w:rPr>
                <w:rFonts w:ascii="Garamond" w:hAnsi="Garamond"/>
                <w:sz w:val="22"/>
                <w:szCs w:val="22"/>
              </w:rPr>
            </w:pPr>
          </w:p>
        </w:tc>
        <w:tc>
          <w:tcPr>
            <w:tcW w:w="288" w:type="pct"/>
            <w:vAlign w:val="center"/>
          </w:tcPr>
          <w:p w14:paraId="701D9B9E" w14:textId="77777777" w:rsidR="00762D64" w:rsidRPr="00252F09" w:rsidRDefault="00762D64" w:rsidP="00466476">
            <w:pPr>
              <w:jc w:val="center"/>
              <w:rPr>
                <w:rFonts w:ascii="Garamond" w:hAnsi="Garamond"/>
                <w:sz w:val="22"/>
                <w:szCs w:val="22"/>
              </w:rPr>
            </w:pPr>
            <w:r w:rsidRPr="00252F09">
              <w:rPr>
                <w:rFonts w:ascii="Garamond" w:hAnsi="Garamond"/>
                <w:sz w:val="22"/>
                <w:szCs w:val="22"/>
              </w:rPr>
              <w:t>X</w:t>
            </w:r>
          </w:p>
        </w:tc>
        <w:tc>
          <w:tcPr>
            <w:tcW w:w="865" w:type="pct"/>
            <w:tcBorders>
              <w:right w:val="double" w:sz="4" w:space="0" w:color="auto"/>
            </w:tcBorders>
            <w:vAlign w:val="center"/>
          </w:tcPr>
          <w:p w14:paraId="3AE7E466" w14:textId="77777777" w:rsidR="00762D64" w:rsidRPr="00252F09" w:rsidRDefault="00762D64" w:rsidP="00466476">
            <w:pPr>
              <w:jc w:val="center"/>
              <w:rPr>
                <w:rFonts w:ascii="Garamond" w:hAnsi="Garamond"/>
                <w:sz w:val="22"/>
                <w:szCs w:val="22"/>
              </w:rPr>
            </w:pPr>
          </w:p>
        </w:tc>
      </w:tr>
      <w:tr w:rsidR="00762D64" w:rsidRPr="00A0630D" w14:paraId="1929C18C" w14:textId="77777777" w:rsidTr="00466476">
        <w:trPr>
          <w:trHeight w:val="400"/>
        </w:trPr>
        <w:tc>
          <w:tcPr>
            <w:tcW w:w="3510" w:type="pct"/>
            <w:tcBorders>
              <w:left w:val="double" w:sz="4" w:space="0" w:color="auto"/>
              <w:bottom w:val="single" w:sz="4" w:space="0" w:color="auto"/>
            </w:tcBorders>
            <w:vAlign w:val="center"/>
          </w:tcPr>
          <w:p w14:paraId="3185F91B" w14:textId="77777777" w:rsidR="00762D64" w:rsidRPr="00252F09" w:rsidRDefault="00762D64" w:rsidP="00466476">
            <w:pPr>
              <w:rPr>
                <w:rFonts w:ascii="Garamond" w:hAnsi="Garamond"/>
                <w:sz w:val="22"/>
                <w:szCs w:val="22"/>
              </w:rPr>
            </w:pPr>
            <w:r w:rsidRPr="00252F09">
              <w:rPr>
                <w:rFonts w:ascii="Garamond" w:hAnsi="Garamond"/>
                <w:sz w:val="22"/>
                <w:szCs w:val="22"/>
              </w:rPr>
              <w:t>Acid Rain Title IV</w:t>
            </w:r>
          </w:p>
        </w:tc>
        <w:tc>
          <w:tcPr>
            <w:tcW w:w="337" w:type="pct"/>
            <w:tcBorders>
              <w:bottom w:val="single" w:sz="4" w:space="0" w:color="auto"/>
            </w:tcBorders>
            <w:vAlign w:val="center"/>
          </w:tcPr>
          <w:p w14:paraId="7BB24943" w14:textId="77777777" w:rsidR="00762D64" w:rsidRPr="00252F09" w:rsidRDefault="00762D64" w:rsidP="00466476">
            <w:pPr>
              <w:jc w:val="center"/>
              <w:rPr>
                <w:rFonts w:ascii="Garamond" w:hAnsi="Garamond"/>
                <w:sz w:val="22"/>
                <w:szCs w:val="22"/>
              </w:rPr>
            </w:pPr>
          </w:p>
        </w:tc>
        <w:tc>
          <w:tcPr>
            <w:tcW w:w="288" w:type="pct"/>
            <w:tcBorders>
              <w:bottom w:val="single" w:sz="4" w:space="0" w:color="auto"/>
            </w:tcBorders>
            <w:vAlign w:val="center"/>
          </w:tcPr>
          <w:p w14:paraId="01B181FC" w14:textId="77777777" w:rsidR="00762D64" w:rsidRPr="00252F09" w:rsidRDefault="00762D64" w:rsidP="00466476">
            <w:pPr>
              <w:jc w:val="center"/>
              <w:rPr>
                <w:rFonts w:ascii="Garamond" w:hAnsi="Garamond"/>
                <w:sz w:val="22"/>
                <w:szCs w:val="22"/>
              </w:rPr>
            </w:pPr>
            <w:r w:rsidRPr="00252F09">
              <w:rPr>
                <w:rFonts w:ascii="Garamond" w:hAnsi="Garamond"/>
                <w:sz w:val="22"/>
                <w:szCs w:val="22"/>
              </w:rPr>
              <w:t>X</w:t>
            </w:r>
          </w:p>
        </w:tc>
        <w:tc>
          <w:tcPr>
            <w:tcW w:w="865" w:type="pct"/>
            <w:tcBorders>
              <w:bottom w:val="single" w:sz="4" w:space="0" w:color="auto"/>
              <w:right w:val="double" w:sz="4" w:space="0" w:color="auto"/>
            </w:tcBorders>
            <w:vAlign w:val="center"/>
          </w:tcPr>
          <w:p w14:paraId="11D450BB" w14:textId="77777777" w:rsidR="00762D64" w:rsidRPr="00A0630D" w:rsidRDefault="00762D64" w:rsidP="00466476">
            <w:pPr>
              <w:rPr>
                <w:rFonts w:ascii="Garamond" w:hAnsi="Garamond"/>
                <w:sz w:val="22"/>
                <w:szCs w:val="22"/>
              </w:rPr>
            </w:pPr>
          </w:p>
        </w:tc>
      </w:tr>
      <w:tr w:rsidR="00762D64" w:rsidRPr="00252F09" w14:paraId="1689C636" w14:textId="77777777" w:rsidTr="00466476">
        <w:trPr>
          <w:cantSplit/>
          <w:trHeight w:val="400"/>
        </w:trPr>
        <w:tc>
          <w:tcPr>
            <w:tcW w:w="3510" w:type="pct"/>
            <w:tcBorders>
              <w:left w:val="double" w:sz="4" w:space="0" w:color="auto"/>
              <w:bottom w:val="single" w:sz="4" w:space="0" w:color="auto"/>
            </w:tcBorders>
            <w:vAlign w:val="center"/>
          </w:tcPr>
          <w:p w14:paraId="71F2D765" w14:textId="77777777" w:rsidR="00762D64" w:rsidRPr="00252F09" w:rsidRDefault="00762D64" w:rsidP="00466476">
            <w:pPr>
              <w:keepNext/>
              <w:rPr>
                <w:rFonts w:ascii="Garamond" w:hAnsi="Garamond"/>
                <w:sz w:val="22"/>
                <w:szCs w:val="22"/>
              </w:rPr>
            </w:pPr>
            <w:r w:rsidRPr="00252F09">
              <w:rPr>
                <w:rFonts w:ascii="Garamond" w:hAnsi="Garamond"/>
                <w:sz w:val="22"/>
                <w:szCs w:val="22"/>
              </w:rPr>
              <w:lastRenderedPageBreak/>
              <w:t>Compliance Assurance Monitoring (CAM)</w:t>
            </w:r>
          </w:p>
        </w:tc>
        <w:tc>
          <w:tcPr>
            <w:tcW w:w="337" w:type="pct"/>
            <w:tcBorders>
              <w:bottom w:val="single" w:sz="4" w:space="0" w:color="auto"/>
            </w:tcBorders>
            <w:vAlign w:val="center"/>
          </w:tcPr>
          <w:p w14:paraId="0C3E3F19" w14:textId="77777777" w:rsidR="00762D64" w:rsidRPr="00252F09" w:rsidRDefault="00762D64" w:rsidP="00466476">
            <w:pPr>
              <w:keepNext/>
              <w:jc w:val="center"/>
              <w:rPr>
                <w:rFonts w:ascii="Garamond" w:hAnsi="Garamond"/>
                <w:sz w:val="22"/>
                <w:szCs w:val="22"/>
              </w:rPr>
            </w:pPr>
          </w:p>
        </w:tc>
        <w:tc>
          <w:tcPr>
            <w:tcW w:w="288" w:type="pct"/>
            <w:tcBorders>
              <w:bottom w:val="single" w:sz="4" w:space="0" w:color="auto"/>
            </w:tcBorders>
            <w:vAlign w:val="center"/>
          </w:tcPr>
          <w:p w14:paraId="4B0749DE" w14:textId="77777777" w:rsidR="00762D64" w:rsidRPr="00252F09" w:rsidRDefault="00762D64" w:rsidP="00466476">
            <w:pPr>
              <w:keepNext/>
              <w:jc w:val="center"/>
              <w:rPr>
                <w:rFonts w:ascii="Garamond" w:hAnsi="Garamond"/>
                <w:sz w:val="22"/>
                <w:szCs w:val="22"/>
              </w:rPr>
            </w:pPr>
            <w:r w:rsidRPr="00252F09">
              <w:rPr>
                <w:rFonts w:ascii="Garamond" w:hAnsi="Garamond"/>
                <w:sz w:val="22"/>
                <w:szCs w:val="22"/>
              </w:rPr>
              <w:t>X</w:t>
            </w:r>
          </w:p>
        </w:tc>
        <w:tc>
          <w:tcPr>
            <w:tcW w:w="865" w:type="pct"/>
            <w:tcBorders>
              <w:bottom w:val="single" w:sz="4" w:space="0" w:color="auto"/>
              <w:right w:val="double" w:sz="4" w:space="0" w:color="auto"/>
            </w:tcBorders>
            <w:vAlign w:val="center"/>
          </w:tcPr>
          <w:p w14:paraId="71A9B4CB" w14:textId="77777777" w:rsidR="00762D64" w:rsidRPr="00252F09" w:rsidRDefault="00762D64" w:rsidP="00466476">
            <w:pPr>
              <w:keepNext/>
              <w:jc w:val="center"/>
              <w:rPr>
                <w:rFonts w:ascii="Garamond" w:hAnsi="Garamond"/>
                <w:sz w:val="22"/>
                <w:szCs w:val="22"/>
              </w:rPr>
            </w:pPr>
          </w:p>
        </w:tc>
      </w:tr>
      <w:tr w:rsidR="00762D64" w:rsidRPr="00252F09" w14:paraId="3C84CAA7" w14:textId="77777777" w:rsidTr="00466476">
        <w:trPr>
          <w:cantSplit/>
          <w:trHeight w:val="566"/>
        </w:trPr>
        <w:tc>
          <w:tcPr>
            <w:tcW w:w="3510" w:type="pct"/>
            <w:tcBorders>
              <w:top w:val="single" w:sz="4" w:space="0" w:color="auto"/>
              <w:left w:val="double" w:sz="4" w:space="0" w:color="auto"/>
              <w:bottom w:val="double" w:sz="4" w:space="0" w:color="auto"/>
            </w:tcBorders>
            <w:vAlign w:val="center"/>
          </w:tcPr>
          <w:p w14:paraId="3E85BFD6" w14:textId="77777777" w:rsidR="00762D64" w:rsidRPr="00252F09" w:rsidRDefault="00762D64" w:rsidP="00466476">
            <w:pPr>
              <w:keepNext/>
              <w:rPr>
                <w:rFonts w:ascii="Garamond" w:hAnsi="Garamond"/>
                <w:sz w:val="22"/>
                <w:szCs w:val="22"/>
              </w:rPr>
            </w:pPr>
            <w:r w:rsidRPr="00252F09">
              <w:rPr>
                <w:rFonts w:ascii="Garamond" w:hAnsi="Garamond"/>
                <w:sz w:val="22"/>
                <w:szCs w:val="22"/>
              </w:rPr>
              <w:t>State Implementation Plan (SIP)</w:t>
            </w:r>
          </w:p>
        </w:tc>
        <w:tc>
          <w:tcPr>
            <w:tcW w:w="337" w:type="pct"/>
            <w:tcBorders>
              <w:top w:val="single" w:sz="4" w:space="0" w:color="auto"/>
              <w:bottom w:val="double" w:sz="4" w:space="0" w:color="auto"/>
            </w:tcBorders>
            <w:vAlign w:val="center"/>
          </w:tcPr>
          <w:p w14:paraId="2C1D53C1" w14:textId="77777777" w:rsidR="00762D64" w:rsidRPr="00252F09" w:rsidRDefault="00762D64" w:rsidP="00466476">
            <w:pPr>
              <w:keepNext/>
              <w:jc w:val="center"/>
              <w:rPr>
                <w:rFonts w:ascii="Garamond" w:hAnsi="Garamond"/>
                <w:sz w:val="22"/>
                <w:szCs w:val="22"/>
              </w:rPr>
            </w:pPr>
            <w:r w:rsidRPr="00252F09">
              <w:rPr>
                <w:rFonts w:ascii="Garamond" w:hAnsi="Garamond"/>
                <w:sz w:val="22"/>
                <w:szCs w:val="22"/>
              </w:rPr>
              <w:t>X</w:t>
            </w:r>
          </w:p>
        </w:tc>
        <w:tc>
          <w:tcPr>
            <w:tcW w:w="288" w:type="pct"/>
            <w:tcBorders>
              <w:top w:val="single" w:sz="4" w:space="0" w:color="auto"/>
              <w:bottom w:val="double" w:sz="4" w:space="0" w:color="auto"/>
            </w:tcBorders>
            <w:vAlign w:val="center"/>
          </w:tcPr>
          <w:p w14:paraId="7C22D2E0" w14:textId="77777777" w:rsidR="00762D64" w:rsidRPr="00252F09" w:rsidRDefault="00762D64" w:rsidP="00466476">
            <w:pPr>
              <w:keepNext/>
              <w:jc w:val="center"/>
              <w:rPr>
                <w:rFonts w:ascii="Garamond" w:hAnsi="Garamond"/>
                <w:sz w:val="22"/>
                <w:szCs w:val="22"/>
              </w:rPr>
            </w:pPr>
          </w:p>
        </w:tc>
        <w:tc>
          <w:tcPr>
            <w:tcW w:w="865" w:type="pct"/>
            <w:tcBorders>
              <w:top w:val="single" w:sz="4" w:space="0" w:color="auto"/>
              <w:bottom w:val="double" w:sz="4" w:space="0" w:color="auto"/>
              <w:right w:val="double" w:sz="4" w:space="0" w:color="auto"/>
            </w:tcBorders>
            <w:vAlign w:val="center"/>
          </w:tcPr>
          <w:p w14:paraId="5F00CB51" w14:textId="77777777" w:rsidR="00762D64" w:rsidRPr="00252F09" w:rsidRDefault="00762D64" w:rsidP="00466476">
            <w:pPr>
              <w:keepNext/>
              <w:jc w:val="center"/>
              <w:rPr>
                <w:rFonts w:ascii="Garamond" w:hAnsi="Garamond"/>
                <w:sz w:val="22"/>
                <w:szCs w:val="22"/>
              </w:rPr>
            </w:pPr>
            <w:r w:rsidRPr="00252F09">
              <w:rPr>
                <w:rFonts w:ascii="Garamond" w:hAnsi="Garamond"/>
                <w:sz w:val="22"/>
                <w:szCs w:val="22"/>
              </w:rPr>
              <w:t>General SIP</w:t>
            </w:r>
          </w:p>
        </w:tc>
      </w:tr>
    </w:tbl>
    <w:p w14:paraId="7D4DD341" w14:textId="77777777" w:rsidR="00762D64" w:rsidRDefault="00762D64" w:rsidP="002D55D3">
      <w:pPr>
        <w:rPr>
          <w:rFonts w:ascii="Garamond" w:hAnsi="Garamond"/>
          <w:sz w:val="24"/>
          <w:szCs w:val="24"/>
        </w:rPr>
      </w:pPr>
    </w:p>
    <w:p w14:paraId="1AB341D7" w14:textId="1136C5C5" w:rsidR="00EE54A7" w:rsidRPr="001C6D71" w:rsidRDefault="00EE54A7" w:rsidP="002D55D3">
      <w:pPr>
        <w:rPr>
          <w:rFonts w:ascii="Garamond" w:hAnsi="Garamond"/>
          <w:sz w:val="24"/>
          <w:szCs w:val="24"/>
        </w:rPr>
      </w:pPr>
      <w:r w:rsidRPr="00DF5D6B">
        <w:rPr>
          <w:rFonts w:ascii="Garamond" w:hAnsi="Garamond"/>
          <w:sz w:val="24"/>
          <w:szCs w:val="24"/>
        </w:rPr>
        <w:br w:type="page"/>
      </w:r>
      <w:r w:rsidRPr="001C6D71">
        <w:rPr>
          <w:rFonts w:ascii="Garamond" w:hAnsi="Garamond"/>
          <w:sz w:val="24"/>
          <w:szCs w:val="24"/>
          <w:u w:val="single"/>
        </w:rPr>
        <w:lastRenderedPageBreak/>
        <w:t>TABLE OF CONTENTS</w:t>
      </w:r>
    </w:p>
    <w:p w14:paraId="69F19099" w14:textId="77777777" w:rsidR="00EE54A7" w:rsidRPr="001C6D71" w:rsidRDefault="00EE54A7">
      <w:pPr>
        <w:rPr>
          <w:rFonts w:ascii="Garamond" w:hAnsi="Garamond"/>
          <w:sz w:val="24"/>
          <w:szCs w:val="24"/>
        </w:rPr>
      </w:pPr>
    </w:p>
    <w:p w14:paraId="73451FF6" w14:textId="5402BCBA" w:rsidR="00093755" w:rsidRPr="00404326" w:rsidRDefault="00EE54A7">
      <w:pPr>
        <w:pStyle w:val="TOC1"/>
        <w:rPr>
          <w:rFonts w:ascii="Garamond" w:hAnsi="Garamond"/>
          <w:b w:val="0"/>
          <w:caps w:val="0"/>
          <w:noProof/>
          <w:sz w:val="24"/>
          <w:szCs w:val="24"/>
        </w:rPr>
      </w:pPr>
      <w:r w:rsidRPr="008C76D9">
        <w:rPr>
          <w:rFonts w:ascii="Garamond" w:hAnsi="Garamond"/>
          <w:sz w:val="24"/>
          <w:szCs w:val="24"/>
          <w:highlight w:val="cyan"/>
        </w:rPr>
        <w:fldChar w:fldCharType="begin"/>
      </w:r>
      <w:r w:rsidRPr="008C76D9">
        <w:rPr>
          <w:rFonts w:ascii="Garamond" w:hAnsi="Garamond"/>
          <w:sz w:val="24"/>
          <w:szCs w:val="24"/>
          <w:highlight w:val="cyan"/>
        </w:rPr>
        <w:instrText xml:space="preserve"> TOC \o "1-2" </w:instrText>
      </w:r>
      <w:r w:rsidRPr="008C76D9">
        <w:rPr>
          <w:rFonts w:ascii="Garamond" w:hAnsi="Garamond"/>
          <w:sz w:val="24"/>
          <w:szCs w:val="24"/>
          <w:highlight w:val="cyan"/>
        </w:rPr>
        <w:fldChar w:fldCharType="separate"/>
      </w:r>
      <w:r w:rsidR="00093755" w:rsidRPr="008C76D9">
        <w:rPr>
          <w:rFonts w:ascii="Garamond" w:hAnsi="Garamond"/>
          <w:noProof/>
          <w:sz w:val="24"/>
          <w:szCs w:val="24"/>
        </w:rPr>
        <w:t>SECTION I.   GENERAL INFORMATION</w:t>
      </w:r>
      <w:r w:rsidR="00093755" w:rsidRPr="008C76D9">
        <w:rPr>
          <w:rFonts w:ascii="Garamond" w:hAnsi="Garamond"/>
          <w:noProof/>
          <w:sz w:val="24"/>
          <w:szCs w:val="24"/>
        </w:rPr>
        <w:tab/>
      </w:r>
      <w:r w:rsidR="00093755" w:rsidRPr="008C76D9">
        <w:rPr>
          <w:rFonts w:ascii="Garamond" w:hAnsi="Garamond"/>
          <w:noProof/>
          <w:sz w:val="24"/>
          <w:szCs w:val="24"/>
        </w:rPr>
        <w:fldChar w:fldCharType="begin"/>
      </w:r>
      <w:r w:rsidR="00093755" w:rsidRPr="008C76D9">
        <w:rPr>
          <w:rFonts w:ascii="Garamond" w:hAnsi="Garamond"/>
          <w:noProof/>
          <w:sz w:val="24"/>
          <w:szCs w:val="24"/>
        </w:rPr>
        <w:instrText xml:space="preserve"> PAGEREF _Toc411330007 \h </w:instrText>
      </w:r>
      <w:r w:rsidR="00093755" w:rsidRPr="008C76D9">
        <w:rPr>
          <w:rFonts w:ascii="Garamond" w:hAnsi="Garamond"/>
          <w:noProof/>
          <w:sz w:val="24"/>
          <w:szCs w:val="24"/>
        </w:rPr>
      </w:r>
      <w:r w:rsidR="00093755" w:rsidRPr="008C76D9">
        <w:rPr>
          <w:rFonts w:ascii="Garamond" w:hAnsi="Garamond"/>
          <w:noProof/>
          <w:sz w:val="24"/>
          <w:szCs w:val="24"/>
        </w:rPr>
        <w:fldChar w:fldCharType="separate"/>
      </w:r>
      <w:r w:rsidR="002D35B6">
        <w:rPr>
          <w:rFonts w:ascii="Garamond" w:hAnsi="Garamond"/>
          <w:noProof/>
          <w:sz w:val="24"/>
          <w:szCs w:val="24"/>
        </w:rPr>
        <w:t>4</w:t>
      </w:r>
      <w:r w:rsidR="00093755" w:rsidRPr="008C76D9">
        <w:rPr>
          <w:rFonts w:ascii="Garamond" w:hAnsi="Garamond"/>
          <w:noProof/>
          <w:sz w:val="24"/>
          <w:szCs w:val="24"/>
        </w:rPr>
        <w:fldChar w:fldCharType="end"/>
      </w:r>
    </w:p>
    <w:p w14:paraId="3DE80D2A" w14:textId="6F8F3156" w:rsidR="00093755" w:rsidRPr="00404326" w:rsidRDefault="00093755">
      <w:pPr>
        <w:pStyle w:val="TOC2"/>
        <w:rPr>
          <w:rFonts w:ascii="Garamond" w:hAnsi="Garamond"/>
          <w:smallCaps w:val="0"/>
          <w:sz w:val="24"/>
          <w:szCs w:val="24"/>
        </w:rPr>
      </w:pPr>
      <w:r w:rsidRPr="008C76D9">
        <w:rPr>
          <w:rFonts w:ascii="Garamond" w:hAnsi="Garamond"/>
          <w:sz w:val="24"/>
          <w:szCs w:val="24"/>
        </w:rPr>
        <w:t>A.</w:t>
      </w:r>
      <w:r w:rsidRPr="00404326">
        <w:rPr>
          <w:rFonts w:ascii="Garamond" w:hAnsi="Garamond"/>
          <w:smallCaps w:val="0"/>
          <w:sz w:val="24"/>
          <w:szCs w:val="24"/>
        </w:rPr>
        <w:tab/>
      </w:r>
      <w:r w:rsidRPr="008C76D9">
        <w:rPr>
          <w:rFonts w:ascii="Garamond" w:hAnsi="Garamond"/>
          <w:sz w:val="24"/>
          <w:szCs w:val="24"/>
        </w:rPr>
        <w:t>Purpose</w:t>
      </w:r>
      <w:r w:rsidRPr="008C76D9">
        <w:rPr>
          <w:rFonts w:ascii="Garamond" w:hAnsi="Garamond"/>
          <w:sz w:val="24"/>
          <w:szCs w:val="24"/>
        </w:rPr>
        <w:tab/>
      </w:r>
      <w:r w:rsidRPr="008C76D9">
        <w:rPr>
          <w:rFonts w:ascii="Garamond" w:hAnsi="Garamond"/>
          <w:sz w:val="24"/>
          <w:szCs w:val="24"/>
        </w:rPr>
        <w:fldChar w:fldCharType="begin"/>
      </w:r>
      <w:r w:rsidRPr="008C76D9">
        <w:rPr>
          <w:rFonts w:ascii="Garamond" w:hAnsi="Garamond"/>
          <w:sz w:val="24"/>
          <w:szCs w:val="24"/>
        </w:rPr>
        <w:instrText xml:space="preserve"> PAGEREF _Toc411330008 \h </w:instrText>
      </w:r>
      <w:r w:rsidRPr="008C76D9">
        <w:rPr>
          <w:rFonts w:ascii="Garamond" w:hAnsi="Garamond"/>
          <w:sz w:val="24"/>
          <w:szCs w:val="24"/>
        </w:rPr>
      </w:r>
      <w:r w:rsidRPr="008C76D9">
        <w:rPr>
          <w:rFonts w:ascii="Garamond" w:hAnsi="Garamond"/>
          <w:sz w:val="24"/>
          <w:szCs w:val="24"/>
        </w:rPr>
        <w:fldChar w:fldCharType="separate"/>
      </w:r>
      <w:r w:rsidR="002D35B6">
        <w:rPr>
          <w:rFonts w:ascii="Garamond" w:hAnsi="Garamond"/>
          <w:sz w:val="24"/>
          <w:szCs w:val="24"/>
        </w:rPr>
        <w:t>4</w:t>
      </w:r>
      <w:r w:rsidRPr="008C76D9">
        <w:rPr>
          <w:rFonts w:ascii="Garamond" w:hAnsi="Garamond"/>
          <w:sz w:val="24"/>
          <w:szCs w:val="24"/>
        </w:rPr>
        <w:fldChar w:fldCharType="end"/>
      </w:r>
    </w:p>
    <w:p w14:paraId="0A4DD436" w14:textId="1CE0B057" w:rsidR="00093755" w:rsidRPr="00404326" w:rsidRDefault="00093755">
      <w:pPr>
        <w:pStyle w:val="TOC2"/>
        <w:rPr>
          <w:rFonts w:ascii="Garamond" w:hAnsi="Garamond"/>
          <w:smallCaps w:val="0"/>
          <w:sz w:val="24"/>
          <w:szCs w:val="24"/>
        </w:rPr>
      </w:pPr>
      <w:r w:rsidRPr="008C76D9">
        <w:rPr>
          <w:rFonts w:ascii="Garamond" w:hAnsi="Garamond"/>
          <w:sz w:val="24"/>
          <w:szCs w:val="24"/>
        </w:rPr>
        <w:t>B.</w:t>
      </w:r>
      <w:r w:rsidRPr="00404326">
        <w:rPr>
          <w:rFonts w:ascii="Garamond" w:hAnsi="Garamond"/>
          <w:smallCaps w:val="0"/>
          <w:sz w:val="24"/>
          <w:szCs w:val="24"/>
        </w:rPr>
        <w:tab/>
      </w:r>
      <w:r w:rsidRPr="008C76D9">
        <w:rPr>
          <w:rFonts w:ascii="Garamond" w:hAnsi="Garamond"/>
          <w:sz w:val="24"/>
          <w:szCs w:val="24"/>
        </w:rPr>
        <w:t>Facility Location</w:t>
      </w:r>
      <w:r w:rsidRPr="008C76D9">
        <w:rPr>
          <w:rFonts w:ascii="Garamond" w:hAnsi="Garamond"/>
          <w:sz w:val="24"/>
          <w:szCs w:val="24"/>
        </w:rPr>
        <w:tab/>
      </w:r>
      <w:r w:rsidRPr="008C76D9">
        <w:rPr>
          <w:rFonts w:ascii="Garamond" w:hAnsi="Garamond"/>
          <w:sz w:val="24"/>
          <w:szCs w:val="24"/>
        </w:rPr>
        <w:fldChar w:fldCharType="begin"/>
      </w:r>
      <w:r w:rsidRPr="008C76D9">
        <w:rPr>
          <w:rFonts w:ascii="Garamond" w:hAnsi="Garamond"/>
          <w:sz w:val="24"/>
          <w:szCs w:val="24"/>
        </w:rPr>
        <w:instrText xml:space="preserve"> PAGEREF _Toc411330009 \h </w:instrText>
      </w:r>
      <w:r w:rsidRPr="008C76D9">
        <w:rPr>
          <w:rFonts w:ascii="Garamond" w:hAnsi="Garamond"/>
          <w:sz w:val="24"/>
          <w:szCs w:val="24"/>
        </w:rPr>
      </w:r>
      <w:r w:rsidRPr="008C76D9">
        <w:rPr>
          <w:rFonts w:ascii="Garamond" w:hAnsi="Garamond"/>
          <w:sz w:val="24"/>
          <w:szCs w:val="24"/>
        </w:rPr>
        <w:fldChar w:fldCharType="separate"/>
      </w:r>
      <w:r w:rsidR="002D35B6">
        <w:rPr>
          <w:rFonts w:ascii="Garamond" w:hAnsi="Garamond"/>
          <w:sz w:val="24"/>
          <w:szCs w:val="24"/>
        </w:rPr>
        <w:t>4</w:t>
      </w:r>
      <w:r w:rsidRPr="008C76D9">
        <w:rPr>
          <w:rFonts w:ascii="Garamond" w:hAnsi="Garamond"/>
          <w:sz w:val="24"/>
          <w:szCs w:val="24"/>
        </w:rPr>
        <w:fldChar w:fldCharType="end"/>
      </w:r>
    </w:p>
    <w:p w14:paraId="66D2C7D3" w14:textId="66782BD1" w:rsidR="00093755" w:rsidRPr="00404326" w:rsidRDefault="00093755">
      <w:pPr>
        <w:pStyle w:val="TOC2"/>
        <w:rPr>
          <w:rFonts w:ascii="Garamond" w:hAnsi="Garamond"/>
          <w:smallCaps w:val="0"/>
          <w:sz w:val="24"/>
          <w:szCs w:val="24"/>
        </w:rPr>
      </w:pPr>
      <w:r w:rsidRPr="008C76D9">
        <w:rPr>
          <w:rFonts w:ascii="Garamond" w:hAnsi="Garamond"/>
          <w:sz w:val="24"/>
          <w:szCs w:val="24"/>
        </w:rPr>
        <w:t>C.</w:t>
      </w:r>
      <w:r w:rsidRPr="00404326">
        <w:rPr>
          <w:rFonts w:ascii="Garamond" w:hAnsi="Garamond"/>
          <w:smallCaps w:val="0"/>
          <w:sz w:val="24"/>
          <w:szCs w:val="24"/>
        </w:rPr>
        <w:tab/>
      </w:r>
      <w:r w:rsidRPr="008C76D9">
        <w:rPr>
          <w:rFonts w:ascii="Garamond" w:hAnsi="Garamond"/>
          <w:sz w:val="24"/>
          <w:szCs w:val="24"/>
        </w:rPr>
        <w:t>Facility Background Information</w:t>
      </w:r>
      <w:r w:rsidRPr="008C76D9">
        <w:rPr>
          <w:rFonts w:ascii="Garamond" w:hAnsi="Garamond"/>
          <w:sz w:val="24"/>
          <w:szCs w:val="24"/>
        </w:rPr>
        <w:tab/>
      </w:r>
      <w:r w:rsidRPr="008C76D9">
        <w:rPr>
          <w:rFonts w:ascii="Garamond" w:hAnsi="Garamond"/>
          <w:sz w:val="24"/>
          <w:szCs w:val="24"/>
        </w:rPr>
        <w:fldChar w:fldCharType="begin"/>
      </w:r>
      <w:r w:rsidRPr="008C76D9">
        <w:rPr>
          <w:rFonts w:ascii="Garamond" w:hAnsi="Garamond"/>
          <w:sz w:val="24"/>
          <w:szCs w:val="24"/>
        </w:rPr>
        <w:instrText xml:space="preserve"> PAGEREF _Toc411330010 \h </w:instrText>
      </w:r>
      <w:r w:rsidRPr="008C76D9">
        <w:rPr>
          <w:rFonts w:ascii="Garamond" w:hAnsi="Garamond"/>
          <w:sz w:val="24"/>
          <w:szCs w:val="24"/>
        </w:rPr>
      </w:r>
      <w:r w:rsidRPr="008C76D9">
        <w:rPr>
          <w:rFonts w:ascii="Garamond" w:hAnsi="Garamond"/>
          <w:sz w:val="24"/>
          <w:szCs w:val="24"/>
        </w:rPr>
        <w:fldChar w:fldCharType="separate"/>
      </w:r>
      <w:r w:rsidR="002D35B6">
        <w:rPr>
          <w:rFonts w:ascii="Garamond" w:hAnsi="Garamond"/>
          <w:sz w:val="24"/>
          <w:szCs w:val="24"/>
        </w:rPr>
        <w:t>4</w:t>
      </w:r>
      <w:r w:rsidRPr="008C76D9">
        <w:rPr>
          <w:rFonts w:ascii="Garamond" w:hAnsi="Garamond"/>
          <w:sz w:val="24"/>
          <w:szCs w:val="24"/>
        </w:rPr>
        <w:fldChar w:fldCharType="end"/>
      </w:r>
    </w:p>
    <w:p w14:paraId="3F48C9F0" w14:textId="5CCB3313" w:rsidR="00093755" w:rsidRPr="00404326" w:rsidRDefault="00093755">
      <w:pPr>
        <w:pStyle w:val="TOC2"/>
        <w:rPr>
          <w:rFonts w:ascii="Garamond" w:hAnsi="Garamond"/>
          <w:smallCaps w:val="0"/>
          <w:sz w:val="24"/>
          <w:szCs w:val="24"/>
        </w:rPr>
      </w:pPr>
      <w:r w:rsidRPr="008C76D9">
        <w:rPr>
          <w:rFonts w:ascii="Garamond" w:hAnsi="Garamond"/>
          <w:sz w:val="24"/>
          <w:szCs w:val="24"/>
        </w:rPr>
        <w:t>D.</w:t>
      </w:r>
      <w:r w:rsidRPr="00404326">
        <w:rPr>
          <w:rFonts w:ascii="Garamond" w:hAnsi="Garamond"/>
          <w:smallCaps w:val="0"/>
          <w:sz w:val="24"/>
          <w:szCs w:val="24"/>
        </w:rPr>
        <w:tab/>
      </w:r>
      <w:r w:rsidRPr="008C76D9">
        <w:rPr>
          <w:rFonts w:ascii="Garamond" w:hAnsi="Garamond"/>
          <w:sz w:val="24"/>
          <w:szCs w:val="24"/>
        </w:rPr>
        <w:t>Current Permit Action</w:t>
      </w:r>
      <w:r w:rsidRPr="008C76D9">
        <w:rPr>
          <w:rFonts w:ascii="Garamond" w:hAnsi="Garamond"/>
          <w:sz w:val="24"/>
          <w:szCs w:val="24"/>
        </w:rPr>
        <w:tab/>
      </w:r>
      <w:r w:rsidRPr="008C76D9">
        <w:rPr>
          <w:rFonts w:ascii="Garamond" w:hAnsi="Garamond"/>
          <w:sz w:val="24"/>
          <w:szCs w:val="24"/>
        </w:rPr>
        <w:fldChar w:fldCharType="begin"/>
      </w:r>
      <w:r w:rsidRPr="008C76D9">
        <w:rPr>
          <w:rFonts w:ascii="Garamond" w:hAnsi="Garamond"/>
          <w:sz w:val="24"/>
          <w:szCs w:val="24"/>
        </w:rPr>
        <w:instrText xml:space="preserve"> PAGEREF _Toc411330011 \h </w:instrText>
      </w:r>
      <w:r w:rsidRPr="008C76D9">
        <w:rPr>
          <w:rFonts w:ascii="Garamond" w:hAnsi="Garamond"/>
          <w:sz w:val="24"/>
          <w:szCs w:val="24"/>
        </w:rPr>
      </w:r>
      <w:r w:rsidRPr="008C76D9">
        <w:rPr>
          <w:rFonts w:ascii="Garamond" w:hAnsi="Garamond"/>
          <w:sz w:val="24"/>
          <w:szCs w:val="24"/>
        </w:rPr>
        <w:fldChar w:fldCharType="separate"/>
      </w:r>
      <w:r w:rsidR="002D35B6">
        <w:rPr>
          <w:rFonts w:ascii="Garamond" w:hAnsi="Garamond"/>
          <w:sz w:val="24"/>
          <w:szCs w:val="24"/>
        </w:rPr>
        <w:t>6</w:t>
      </w:r>
      <w:r w:rsidRPr="008C76D9">
        <w:rPr>
          <w:rFonts w:ascii="Garamond" w:hAnsi="Garamond"/>
          <w:sz w:val="24"/>
          <w:szCs w:val="24"/>
        </w:rPr>
        <w:fldChar w:fldCharType="end"/>
      </w:r>
    </w:p>
    <w:p w14:paraId="6677BF52" w14:textId="0406E1D8" w:rsidR="00093755" w:rsidRPr="00404326" w:rsidRDefault="00093755">
      <w:pPr>
        <w:pStyle w:val="TOC2"/>
        <w:rPr>
          <w:rFonts w:ascii="Garamond" w:hAnsi="Garamond"/>
          <w:smallCaps w:val="0"/>
          <w:sz w:val="24"/>
          <w:szCs w:val="24"/>
        </w:rPr>
      </w:pPr>
      <w:r w:rsidRPr="008C76D9">
        <w:rPr>
          <w:rFonts w:ascii="Garamond" w:hAnsi="Garamond"/>
          <w:sz w:val="24"/>
          <w:szCs w:val="24"/>
        </w:rPr>
        <w:t>E.</w:t>
      </w:r>
      <w:r w:rsidRPr="00404326">
        <w:rPr>
          <w:rFonts w:ascii="Garamond" w:hAnsi="Garamond"/>
          <w:smallCaps w:val="0"/>
          <w:sz w:val="24"/>
          <w:szCs w:val="24"/>
        </w:rPr>
        <w:tab/>
      </w:r>
      <w:r w:rsidRPr="008C76D9">
        <w:rPr>
          <w:rFonts w:ascii="Garamond" w:hAnsi="Garamond"/>
          <w:sz w:val="24"/>
          <w:szCs w:val="24"/>
        </w:rPr>
        <w:t>Taking and Damaging Analysis</w:t>
      </w:r>
      <w:r w:rsidRPr="008C76D9">
        <w:rPr>
          <w:rFonts w:ascii="Garamond" w:hAnsi="Garamond"/>
          <w:sz w:val="24"/>
          <w:szCs w:val="24"/>
        </w:rPr>
        <w:tab/>
      </w:r>
      <w:r w:rsidRPr="008C76D9">
        <w:rPr>
          <w:rFonts w:ascii="Garamond" w:hAnsi="Garamond"/>
          <w:sz w:val="24"/>
          <w:szCs w:val="24"/>
        </w:rPr>
        <w:fldChar w:fldCharType="begin"/>
      </w:r>
      <w:r w:rsidRPr="008C76D9">
        <w:rPr>
          <w:rFonts w:ascii="Garamond" w:hAnsi="Garamond"/>
          <w:sz w:val="24"/>
          <w:szCs w:val="24"/>
        </w:rPr>
        <w:instrText xml:space="preserve"> PAGEREF _Toc411330012 \h </w:instrText>
      </w:r>
      <w:r w:rsidRPr="008C76D9">
        <w:rPr>
          <w:rFonts w:ascii="Garamond" w:hAnsi="Garamond"/>
          <w:sz w:val="24"/>
          <w:szCs w:val="24"/>
        </w:rPr>
      </w:r>
      <w:r w:rsidRPr="008C76D9">
        <w:rPr>
          <w:rFonts w:ascii="Garamond" w:hAnsi="Garamond"/>
          <w:sz w:val="24"/>
          <w:szCs w:val="24"/>
        </w:rPr>
        <w:fldChar w:fldCharType="separate"/>
      </w:r>
      <w:r w:rsidR="002D35B6">
        <w:rPr>
          <w:rFonts w:ascii="Garamond" w:hAnsi="Garamond"/>
          <w:sz w:val="24"/>
          <w:szCs w:val="24"/>
        </w:rPr>
        <w:t>7</w:t>
      </w:r>
      <w:r w:rsidRPr="008C76D9">
        <w:rPr>
          <w:rFonts w:ascii="Garamond" w:hAnsi="Garamond"/>
          <w:sz w:val="24"/>
          <w:szCs w:val="24"/>
        </w:rPr>
        <w:fldChar w:fldCharType="end"/>
      </w:r>
    </w:p>
    <w:p w14:paraId="1AF3A367" w14:textId="766160A5" w:rsidR="00093755" w:rsidRPr="00404326" w:rsidRDefault="00093755">
      <w:pPr>
        <w:pStyle w:val="TOC2"/>
        <w:rPr>
          <w:rFonts w:ascii="Garamond" w:hAnsi="Garamond"/>
          <w:smallCaps w:val="0"/>
          <w:sz w:val="24"/>
          <w:szCs w:val="24"/>
        </w:rPr>
      </w:pPr>
      <w:r w:rsidRPr="008C76D9">
        <w:rPr>
          <w:rFonts w:ascii="Garamond" w:hAnsi="Garamond"/>
          <w:sz w:val="24"/>
          <w:szCs w:val="24"/>
        </w:rPr>
        <w:t>F.</w:t>
      </w:r>
      <w:r w:rsidRPr="00404326">
        <w:rPr>
          <w:rFonts w:ascii="Garamond" w:hAnsi="Garamond"/>
          <w:smallCaps w:val="0"/>
          <w:sz w:val="24"/>
          <w:szCs w:val="24"/>
        </w:rPr>
        <w:tab/>
      </w:r>
      <w:r w:rsidRPr="008C76D9">
        <w:rPr>
          <w:rFonts w:ascii="Garamond" w:hAnsi="Garamond"/>
          <w:sz w:val="24"/>
          <w:szCs w:val="24"/>
        </w:rPr>
        <w:t>Compliance Designation</w:t>
      </w:r>
      <w:r w:rsidRPr="008C76D9">
        <w:rPr>
          <w:rFonts w:ascii="Garamond" w:hAnsi="Garamond"/>
          <w:sz w:val="24"/>
          <w:szCs w:val="24"/>
        </w:rPr>
        <w:tab/>
      </w:r>
      <w:r w:rsidRPr="008C76D9">
        <w:rPr>
          <w:rFonts w:ascii="Garamond" w:hAnsi="Garamond"/>
          <w:sz w:val="24"/>
          <w:szCs w:val="24"/>
        </w:rPr>
        <w:fldChar w:fldCharType="begin"/>
      </w:r>
      <w:r w:rsidRPr="008C76D9">
        <w:rPr>
          <w:rFonts w:ascii="Garamond" w:hAnsi="Garamond"/>
          <w:sz w:val="24"/>
          <w:szCs w:val="24"/>
        </w:rPr>
        <w:instrText xml:space="preserve"> PAGEREF _Toc411330013 \h </w:instrText>
      </w:r>
      <w:r w:rsidRPr="008C76D9">
        <w:rPr>
          <w:rFonts w:ascii="Garamond" w:hAnsi="Garamond"/>
          <w:sz w:val="24"/>
          <w:szCs w:val="24"/>
        </w:rPr>
      </w:r>
      <w:r w:rsidRPr="008C76D9">
        <w:rPr>
          <w:rFonts w:ascii="Garamond" w:hAnsi="Garamond"/>
          <w:sz w:val="24"/>
          <w:szCs w:val="24"/>
        </w:rPr>
        <w:fldChar w:fldCharType="separate"/>
      </w:r>
      <w:r w:rsidR="002D35B6">
        <w:rPr>
          <w:rFonts w:ascii="Garamond" w:hAnsi="Garamond"/>
          <w:sz w:val="24"/>
          <w:szCs w:val="24"/>
        </w:rPr>
        <w:t>7</w:t>
      </w:r>
      <w:r w:rsidRPr="008C76D9">
        <w:rPr>
          <w:rFonts w:ascii="Garamond" w:hAnsi="Garamond"/>
          <w:sz w:val="24"/>
          <w:szCs w:val="24"/>
        </w:rPr>
        <w:fldChar w:fldCharType="end"/>
      </w:r>
    </w:p>
    <w:p w14:paraId="0FD06E81" w14:textId="59A969F1" w:rsidR="00093755" w:rsidRPr="00404326" w:rsidRDefault="00093755">
      <w:pPr>
        <w:pStyle w:val="TOC1"/>
        <w:rPr>
          <w:rFonts w:ascii="Garamond" w:hAnsi="Garamond"/>
          <w:b w:val="0"/>
          <w:caps w:val="0"/>
          <w:noProof/>
          <w:sz w:val="24"/>
          <w:szCs w:val="24"/>
        </w:rPr>
      </w:pPr>
      <w:r w:rsidRPr="008C76D9">
        <w:rPr>
          <w:rFonts w:ascii="Garamond" w:hAnsi="Garamond"/>
          <w:noProof/>
          <w:sz w:val="24"/>
          <w:szCs w:val="24"/>
        </w:rPr>
        <w:t>SECTION II.   SUMMARY OF EMISSION UNITS</w:t>
      </w:r>
      <w:r w:rsidRPr="008C76D9">
        <w:rPr>
          <w:rFonts w:ascii="Garamond" w:hAnsi="Garamond"/>
          <w:noProof/>
          <w:sz w:val="24"/>
          <w:szCs w:val="24"/>
        </w:rPr>
        <w:tab/>
      </w:r>
      <w:r w:rsidRPr="008C76D9">
        <w:rPr>
          <w:rFonts w:ascii="Garamond" w:hAnsi="Garamond"/>
          <w:noProof/>
          <w:sz w:val="24"/>
          <w:szCs w:val="24"/>
        </w:rPr>
        <w:fldChar w:fldCharType="begin"/>
      </w:r>
      <w:r w:rsidRPr="008C76D9">
        <w:rPr>
          <w:rFonts w:ascii="Garamond" w:hAnsi="Garamond"/>
          <w:noProof/>
          <w:sz w:val="24"/>
          <w:szCs w:val="24"/>
        </w:rPr>
        <w:instrText xml:space="preserve"> PAGEREF _Toc411330014 \h </w:instrText>
      </w:r>
      <w:r w:rsidRPr="008C76D9">
        <w:rPr>
          <w:rFonts w:ascii="Garamond" w:hAnsi="Garamond"/>
          <w:noProof/>
          <w:sz w:val="24"/>
          <w:szCs w:val="24"/>
        </w:rPr>
      </w:r>
      <w:r w:rsidRPr="008C76D9">
        <w:rPr>
          <w:rFonts w:ascii="Garamond" w:hAnsi="Garamond"/>
          <w:noProof/>
          <w:sz w:val="24"/>
          <w:szCs w:val="24"/>
        </w:rPr>
        <w:fldChar w:fldCharType="separate"/>
      </w:r>
      <w:r w:rsidR="002D35B6">
        <w:rPr>
          <w:rFonts w:ascii="Garamond" w:hAnsi="Garamond"/>
          <w:noProof/>
          <w:sz w:val="24"/>
          <w:szCs w:val="24"/>
        </w:rPr>
        <w:t>8</w:t>
      </w:r>
      <w:r w:rsidRPr="008C76D9">
        <w:rPr>
          <w:rFonts w:ascii="Garamond" w:hAnsi="Garamond"/>
          <w:noProof/>
          <w:sz w:val="24"/>
          <w:szCs w:val="24"/>
        </w:rPr>
        <w:fldChar w:fldCharType="end"/>
      </w:r>
    </w:p>
    <w:p w14:paraId="4A2BF44C" w14:textId="184E272B" w:rsidR="00093755" w:rsidRPr="00404326" w:rsidRDefault="00093755">
      <w:pPr>
        <w:pStyle w:val="TOC2"/>
        <w:rPr>
          <w:rFonts w:ascii="Garamond" w:hAnsi="Garamond"/>
          <w:smallCaps w:val="0"/>
          <w:sz w:val="24"/>
          <w:szCs w:val="24"/>
        </w:rPr>
      </w:pPr>
      <w:r w:rsidRPr="008C76D9">
        <w:rPr>
          <w:rFonts w:ascii="Garamond" w:hAnsi="Garamond"/>
          <w:sz w:val="24"/>
          <w:szCs w:val="24"/>
        </w:rPr>
        <w:t>A.</w:t>
      </w:r>
      <w:r w:rsidRPr="00404326">
        <w:rPr>
          <w:rFonts w:ascii="Garamond" w:hAnsi="Garamond"/>
          <w:smallCaps w:val="0"/>
          <w:sz w:val="24"/>
          <w:szCs w:val="24"/>
        </w:rPr>
        <w:tab/>
      </w:r>
      <w:r w:rsidRPr="008C76D9">
        <w:rPr>
          <w:rFonts w:ascii="Garamond" w:hAnsi="Garamond"/>
          <w:sz w:val="24"/>
          <w:szCs w:val="24"/>
        </w:rPr>
        <w:t>Facility Process Description</w:t>
      </w:r>
      <w:r w:rsidRPr="008C76D9">
        <w:rPr>
          <w:rFonts w:ascii="Garamond" w:hAnsi="Garamond"/>
          <w:sz w:val="24"/>
          <w:szCs w:val="24"/>
        </w:rPr>
        <w:tab/>
      </w:r>
      <w:r w:rsidRPr="008C76D9">
        <w:rPr>
          <w:rFonts w:ascii="Garamond" w:hAnsi="Garamond"/>
          <w:sz w:val="24"/>
          <w:szCs w:val="24"/>
        </w:rPr>
        <w:fldChar w:fldCharType="begin"/>
      </w:r>
      <w:r w:rsidRPr="008C76D9">
        <w:rPr>
          <w:rFonts w:ascii="Garamond" w:hAnsi="Garamond"/>
          <w:sz w:val="24"/>
          <w:szCs w:val="24"/>
        </w:rPr>
        <w:instrText xml:space="preserve"> PAGEREF _Toc411330015 \h </w:instrText>
      </w:r>
      <w:r w:rsidRPr="008C76D9">
        <w:rPr>
          <w:rFonts w:ascii="Garamond" w:hAnsi="Garamond"/>
          <w:sz w:val="24"/>
          <w:szCs w:val="24"/>
        </w:rPr>
      </w:r>
      <w:r w:rsidRPr="008C76D9">
        <w:rPr>
          <w:rFonts w:ascii="Garamond" w:hAnsi="Garamond"/>
          <w:sz w:val="24"/>
          <w:szCs w:val="24"/>
        </w:rPr>
        <w:fldChar w:fldCharType="separate"/>
      </w:r>
      <w:r w:rsidR="002D35B6">
        <w:rPr>
          <w:rFonts w:ascii="Garamond" w:hAnsi="Garamond"/>
          <w:sz w:val="24"/>
          <w:szCs w:val="24"/>
        </w:rPr>
        <w:t>8</w:t>
      </w:r>
      <w:r w:rsidRPr="008C76D9">
        <w:rPr>
          <w:rFonts w:ascii="Garamond" w:hAnsi="Garamond"/>
          <w:sz w:val="24"/>
          <w:szCs w:val="24"/>
        </w:rPr>
        <w:fldChar w:fldCharType="end"/>
      </w:r>
    </w:p>
    <w:p w14:paraId="1347F29C" w14:textId="32A623BF" w:rsidR="00093755" w:rsidRPr="00404326" w:rsidRDefault="00093755">
      <w:pPr>
        <w:pStyle w:val="TOC2"/>
        <w:rPr>
          <w:rFonts w:ascii="Garamond" w:hAnsi="Garamond"/>
          <w:smallCaps w:val="0"/>
          <w:sz w:val="24"/>
          <w:szCs w:val="24"/>
        </w:rPr>
      </w:pPr>
      <w:r w:rsidRPr="008C76D9">
        <w:rPr>
          <w:rFonts w:ascii="Garamond" w:hAnsi="Garamond"/>
          <w:sz w:val="24"/>
          <w:szCs w:val="24"/>
        </w:rPr>
        <w:t>B.</w:t>
      </w:r>
      <w:r w:rsidRPr="00404326">
        <w:rPr>
          <w:rFonts w:ascii="Garamond" w:hAnsi="Garamond"/>
          <w:smallCaps w:val="0"/>
          <w:sz w:val="24"/>
          <w:szCs w:val="24"/>
        </w:rPr>
        <w:tab/>
      </w:r>
      <w:r w:rsidRPr="008C76D9">
        <w:rPr>
          <w:rFonts w:ascii="Garamond" w:hAnsi="Garamond"/>
          <w:sz w:val="24"/>
          <w:szCs w:val="24"/>
        </w:rPr>
        <w:t>Emission Units and Pollution Control Device Identification</w:t>
      </w:r>
      <w:r w:rsidRPr="008C76D9">
        <w:rPr>
          <w:rFonts w:ascii="Garamond" w:hAnsi="Garamond"/>
          <w:sz w:val="24"/>
          <w:szCs w:val="24"/>
        </w:rPr>
        <w:tab/>
      </w:r>
      <w:r w:rsidRPr="008C76D9">
        <w:rPr>
          <w:rFonts w:ascii="Garamond" w:hAnsi="Garamond"/>
          <w:sz w:val="24"/>
          <w:szCs w:val="24"/>
        </w:rPr>
        <w:fldChar w:fldCharType="begin"/>
      </w:r>
      <w:r w:rsidRPr="008C76D9">
        <w:rPr>
          <w:rFonts w:ascii="Garamond" w:hAnsi="Garamond"/>
          <w:sz w:val="24"/>
          <w:szCs w:val="24"/>
        </w:rPr>
        <w:instrText xml:space="preserve"> PAGEREF _Toc411330016 \h </w:instrText>
      </w:r>
      <w:r w:rsidRPr="008C76D9">
        <w:rPr>
          <w:rFonts w:ascii="Garamond" w:hAnsi="Garamond"/>
          <w:sz w:val="24"/>
          <w:szCs w:val="24"/>
        </w:rPr>
      </w:r>
      <w:r w:rsidRPr="008C76D9">
        <w:rPr>
          <w:rFonts w:ascii="Garamond" w:hAnsi="Garamond"/>
          <w:sz w:val="24"/>
          <w:szCs w:val="24"/>
        </w:rPr>
        <w:fldChar w:fldCharType="separate"/>
      </w:r>
      <w:r w:rsidR="002D35B6">
        <w:rPr>
          <w:rFonts w:ascii="Garamond" w:hAnsi="Garamond"/>
          <w:sz w:val="24"/>
          <w:szCs w:val="24"/>
        </w:rPr>
        <w:t>8</w:t>
      </w:r>
      <w:r w:rsidRPr="008C76D9">
        <w:rPr>
          <w:rFonts w:ascii="Garamond" w:hAnsi="Garamond"/>
          <w:sz w:val="24"/>
          <w:szCs w:val="24"/>
        </w:rPr>
        <w:fldChar w:fldCharType="end"/>
      </w:r>
    </w:p>
    <w:p w14:paraId="4A330CD5" w14:textId="17F9DFFF" w:rsidR="00093755" w:rsidRPr="00404326" w:rsidRDefault="00093755">
      <w:pPr>
        <w:pStyle w:val="TOC2"/>
        <w:rPr>
          <w:rFonts w:ascii="Garamond" w:hAnsi="Garamond"/>
          <w:smallCaps w:val="0"/>
          <w:sz w:val="24"/>
          <w:szCs w:val="24"/>
        </w:rPr>
      </w:pPr>
      <w:r w:rsidRPr="008C76D9">
        <w:rPr>
          <w:rFonts w:ascii="Garamond" w:hAnsi="Garamond"/>
          <w:sz w:val="24"/>
          <w:szCs w:val="24"/>
        </w:rPr>
        <w:t>C.</w:t>
      </w:r>
      <w:r w:rsidRPr="00404326">
        <w:rPr>
          <w:rFonts w:ascii="Garamond" w:hAnsi="Garamond"/>
          <w:smallCaps w:val="0"/>
          <w:sz w:val="24"/>
          <w:szCs w:val="24"/>
        </w:rPr>
        <w:tab/>
      </w:r>
      <w:r w:rsidRPr="008C76D9">
        <w:rPr>
          <w:rFonts w:ascii="Garamond" w:hAnsi="Garamond"/>
          <w:sz w:val="24"/>
          <w:szCs w:val="24"/>
        </w:rPr>
        <w:t>Categorically Insignificant Sources/Activities</w:t>
      </w:r>
      <w:r w:rsidRPr="008C76D9">
        <w:rPr>
          <w:rFonts w:ascii="Garamond" w:hAnsi="Garamond"/>
          <w:sz w:val="24"/>
          <w:szCs w:val="24"/>
        </w:rPr>
        <w:tab/>
      </w:r>
      <w:r w:rsidRPr="008C76D9">
        <w:rPr>
          <w:rFonts w:ascii="Garamond" w:hAnsi="Garamond"/>
          <w:sz w:val="24"/>
          <w:szCs w:val="24"/>
        </w:rPr>
        <w:fldChar w:fldCharType="begin"/>
      </w:r>
      <w:r w:rsidRPr="008C76D9">
        <w:rPr>
          <w:rFonts w:ascii="Garamond" w:hAnsi="Garamond"/>
          <w:sz w:val="24"/>
          <w:szCs w:val="24"/>
        </w:rPr>
        <w:instrText xml:space="preserve"> PAGEREF _Toc411330017 \h </w:instrText>
      </w:r>
      <w:r w:rsidRPr="008C76D9">
        <w:rPr>
          <w:rFonts w:ascii="Garamond" w:hAnsi="Garamond"/>
          <w:sz w:val="24"/>
          <w:szCs w:val="24"/>
        </w:rPr>
      </w:r>
      <w:r w:rsidRPr="008C76D9">
        <w:rPr>
          <w:rFonts w:ascii="Garamond" w:hAnsi="Garamond"/>
          <w:sz w:val="24"/>
          <w:szCs w:val="24"/>
        </w:rPr>
        <w:fldChar w:fldCharType="separate"/>
      </w:r>
      <w:r w:rsidR="002D35B6">
        <w:rPr>
          <w:rFonts w:ascii="Garamond" w:hAnsi="Garamond"/>
          <w:sz w:val="24"/>
          <w:szCs w:val="24"/>
        </w:rPr>
        <w:t>8</w:t>
      </w:r>
      <w:r w:rsidRPr="008C76D9">
        <w:rPr>
          <w:rFonts w:ascii="Garamond" w:hAnsi="Garamond"/>
          <w:sz w:val="24"/>
          <w:szCs w:val="24"/>
        </w:rPr>
        <w:fldChar w:fldCharType="end"/>
      </w:r>
    </w:p>
    <w:p w14:paraId="23803021" w14:textId="40064AC2" w:rsidR="00093755" w:rsidRPr="00404326" w:rsidRDefault="00093755">
      <w:pPr>
        <w:pStyle w:val="TOC1"/>
        <w:rPr>
          <w:rFonts w:ascii="Garamond" w:hAnsi="Garamond"/>
          <w:b w:val="0"/>
          <w:caps w:val="0"/>
          <w:noProof/>
          <w:sz w:val="24"/>
          <w:szCs w:val="24"/>
        </w:rPr>
      </w:pPr>
      <w:r w:rsidRPr="008C76D9">
        <w:rPr>
          <w:rFonts w:ascii="Garamond" w:hAnsi="Garamond"/>
          <w:noProof/>
          <w:sz w:val="24"/>
          <w:szCs w:val="24"/>
        </w:rPr>
        <w:t>SECTION III.   PERMIT CONDITIONS</w:t>
      </w:r>
      <w:r w:rsidRPr="008C76D9">
        <w:rPr>
          <w:rFonts w:ascii="Garamond" w:hAnsi="Garamond"/>
          <w:noProof/>
          <w:sz w:val="24"/>
          <w:szCs w:val="24"/>
        </w:rPr>
        <w:tab/>
      </w:r>
      <w:r w:rsidRPr="008C76D9">
        <w:rPr>
          <w:rFonts w:ascii="Garamond" w:hAnsi="Garamond"/>
          <w:noProof/>
          <w:sz w:val="24"/>
          <w:szCs w:val="24"/>
        </w:rPr>
        <w:fldChar w:fldCharType="begin"/>
      </w:r>
      <w:r w:rsidRPr="008C76D9">
        <w:rPr>
          <w:rFonts w:ascii="Garamond" w:hAnsi="Garamond"/>
          <w:noProof/>
          <w:sz w:val="24"/>
          <w:szCs w:val="24"/>
        </w:rPr>
        <w:instrText xml:space="preserve"> PAGEREF _Toc411330018 \h </w:instrText>
      </w:r>
      <w:r w:rsidRPr="008C76D9">
        <w:rPr>
          <w:rFonts w:ascii="Garamond" w:hAnsi="Garamond"/>
          <w:noProof/>
          <w:sz w:val="24"/>
          <w:szCs w:val="24"/>
        </w:rPr>
      </w:r>
      <w:r w:rsidRPr="008C76D9">
        <w:rPr>
          <w:rFonts w:ascii="Garamond" w:hAnsi="Garamond"/>
          <w:noProof/>
          <w:sz w:val="24"/>
          <w:szCs w:val="24"/>
        </w:rPr>
        <w:fldChar w:fldCharType="separate"/>
      </w:r>
      <w:r w:rsidR="002D35B6">
        <w:rPr>
          <w:rFonts w:ascii="Garamond" w:hAnsi="Garamond"/>
          <w:noProof/>
          <w:sz w:val="24"/>
          <w:szCs w:val="24"/>
        </w:rPr>
        <w:t>9</w:t>
      </w:r>
      <w:r w:rsidRPr="008C76D9">
        <w:rPr>
          <w:rFonts w:ascii="Garamond" w:hAnsi="Garamond"/>
          <w:noProof/>
          <w:sz w:val="24"/>
          <w:szCs w:val="24"/>
        </w:rPr>
        <w:fldChar w:fldCharType="end"/>
      </w:r>
    </w:p>
    <w:p w14:paraId="07C33949" w14:textId="45A03969" w:rsidR="00093755" w:rsidRPr="00404326" w:rsidRDefault="00093755">
      <w:pPr>
        <w:pStyle w:val="TOC2"/>
        <w:rPr>
          <w:rFonts w:ascii="Garamond" w:hAnsi="Garamond"/>
          <w:smallCaps w:val="0"/>
          <w:sz w:val="24"/>
          <w:szCs w:val="24"/>
        </w:rPr>
      </w:pPr>
      <w:r w:rsidRPr="008C76D9">
        <w:rPr>
          <w:rFonts w:ascii="Garamond" w:hAnsi="Garamond"/>
          <w:sz w:val="24"/>
          <w:szCs w:val="24"/>
        </w:rPr>
        <w:t>A.</w:t>
      </w:r>
      <w:r w:rsidRPr="00404326">
        <w:rPr>
          <w:rFonts w:ascii="Garamond" w:hAnsi="Garamond"/>
          <w:smallCaps w:val="0"/>
          <w:sz w:val="24"/>
          <w:szCs w:val="24"/>
        </w:rPr>
        <w:tab/>
      </w:r>
      <w:r w:rsidRPr="008C76D9">
        <w:rPr>
          <w:rFonts w:ascii="Garamond" w:hAnsi="Garamond"/>
          <w:sz w:val="24"/>
          <w:szCs w:val="24"/>
        </w:rPr>
        <w:t>Emission Limits and Standards</w:t>
      </w:r>
      <w:r w:rsidRPr="008C76D9">
        <w:rPr>
          <w:rFonts w:ascii="Garamond" w:hAnsi="Garamond"/>
          <w:sz w:val="24"/>
          <w:szCs w:val="24"/>
        </w:rPr>
        <w:tab/>
      </w:r>
      <w:r w:rsidRPr="008C76D9">
        <w:rPr>
          <w:rFonts w:ascii="Garamond" w:hAnsi="Garamond"/>
          <w:sz w:val="24"/>
          <w:szCs w:val="24"/>
        </w:rPr>
        <w:fldChar w:fldCharType="begin"/>
      </w:r>
      <w:r w:rsidRPr="008C76D9">
        <w:rPr>
          <w:rFonts w:ascii="Garamond" w:hAnsi="Garamond"/>
          <w:sz w:val="24"/>
          <w:szCs w:val="24"/>
        </w:rPr>
        <w:instrText xml:space="preserve"> PAGEREF _Toc411330019 \h </w:instrText>
      </w:r>
      <w:r w:rsidRPr="008C76D9">
        <w:rPr>
          <w:rFonts w:ascii="Garamond" w:hAnsi="Garamond"/>
          <w:sz w:val="24"/>
          <w:szCs w:val="24"/>
        </w:rPr>
      </w:r>
      <w:r w:rsidRPr="008C76D9">
        <w:rPr>
          <w:rFonts w:ascii="Garamond" w:hAnsi="Garamond"/>
          <w:sz w:val="24"/>
          <w:szCs w:val="24"/>
        </w:rPr>
        <w:fldChar w:fldCharType="separate"/>
      </w:r>
      <w:r w:rsidR="002D35B6">
        <w:rPr>
          <w:rFonts w:ascii="Garamond" w:hAnsi="Garamond"/>
          <w:sz w:val="24"/>
          <w:szCs w:val="24"/>
        </w:rPr>
        <w:t>9</w:t>
      </w:r>
      <w:r w:rsidRPr="008C76D9">
        <w:rPr>
          <w:rFonts w:ascii="Garamond" w:hAnsi="Garamond"/>
          <w:sz w:val="24"/>
          <w:szCs w:val="24"/>
        </w:rPr>
        <w:fldChar w:fldCharType="end"/>
      </w:r>
    </w:p>
    <w:p w14:paraId="67794A15" w14:textId="5CBD86CD" w:rsidR="00093755" w:rsidRPr="00404326" w:rsidRDefault="00093755">
      <w:pPr>
        <w:pStyle w:val="TOC2"/>
        <w:rPr>
          <w:rFonts w:ascii="Garamond" w:hAnsi="Garamond"/>
          <w:smallCaps w:val="0"/>
          <w:sz w:val="24"/>
          <w:szCs w:val="24"/>
        </w:rPr>
      </w:pPr>
      <w:r w:rsidRPr="008C76D9">
        <w:rPr>
          <w:rFonts w:ascii="Garamond" w:hAnsi="Garamond"/>
          <w:sz w:val="24"/>
          <w:szCs w:val="24"/>
        </w:rPr>
        <w:t>B.</w:t>
      </w:r>
      <w:r w:rsidRPr="00404326">
        <w:rPr>
          <w:rFonts w:ascii="Garamond" w:hAnsi="Garamond"/>
          <w:smallCaps w:val="0"/>
          <w:sz w:val="24"/>
          <w:szCs w:val="24"/>
        </w:rPr>
        <w:tab/>
      </w:r>
      <w:r w:rsidRPr="008C76D9">
        <w:rPr>
          <w:rFonts w:ascii="Garamond" w:hAnsi="Garamond"/>
          <w:sz w:val="24"/>
          <w:szCs w:val="24"/>
        </w:rPr>
        <w:t>Monitoring Requirements</w:t>
      </w:r>
      <w:r w:rsidRPr="008C76D9">
        <w:rPr>
          <w:rFonts w:ascii="Garamond" w:hAnsi="Garamond"/>
          <w:sz w:val="24"/>
          <w:szCs w:val="24"/>
        </w:rPr>
        <w:tab/>
      </w:r>
      <w:r w:rsidRPr="008C76D9">
        <w:rPr>
          <w:rFonts w:ascii="Garamond" w:hAnsi="Garamond"/>
          <w:sz w:val="24"/>
          <w:szCs w:val="24"/>
        </w:rPr>
        <w:fldChar w:fldCharType="begin"/>
      </w:r>
      <w:r w:rsidRPr="008C76D9">
        <w:rPr>
          <w:rFonts w:ascii="Garamond" w:hAnsi="Garamond"/>
          <w:sz w:val="24"/>
          <w:szCs w:val="24"/>
        </w:rPr>
        <w:instrText xml:space="preserve"> PAGEREF _Toc411330020 \h </w:instrText>
      </w:r>
      <w:r w:rsidRPr="008C76D9">
        <w:rPr>
          <w:rFonts w:ascii="Garamond" w:hAnsi="Garamond"/>
          <w:sz w:val="24"/>
          <w:szCs w:val="24"/>
        </w:rPr>
      </w:r>
      <w:r w:rsidRPr="008C76D9">
        <w:rPr>
          <w:rFonts w:ascii="Garamond" w:hAnsi="Garamond"/>
          <w:sz w:val="24"/>
          <w:szCs w:val="24"/>
        </w:rPr>
        <w:fldChar w:fldCharType="separate"/>
      </w:r>
      <w:r w:rsidR="002D35B6">
        <w:rPr>
          <w:rFonts w:ascii="Garamond" w:hAnsi="Garamond"/>
          <w:sz w:val="24"/>
          <w:szCs w:val="24"/>
        </w:rPr>
        <w:t>9</w:t>
      </w:r>
      <w:r w:rsidRPr="008C76D9">
        <w:rPr>
          <w:rFonts w:ascii="Garamond" w:hAnsi="Garamond"/>
          <w:sz w:val="24"/>
          <w:szCs w:val="24"/>
        </w:rPr>
        <w:fldChar w:fldCharType="end"/>
      </w:r>
    </w:p>
    <w:p w14:paraId="331BFA0C" w14:textId="3EE3ABD0" w:rsidR="00093755" w:rsidRPr="00404326" w:rsidRDefault="00093755">
      <w:pPr>
        <w:pStyle w:val="TOC2"/>
        <w:rPr>
          <w:rFonts w:ascii="Garamond" w:hAnsi="Garamond"/>
          <w:smallCaps w:val="0"/>
          <w:sz w:val="24"/>
          <w:szCs w:val="24"/>
        </w:rPr>
      </w:pPr>
      <w:r w:rsidRPr="008C76D9">
        <w:rPr>
          <w:rFonts w:ascii="Garamond" w:hAnsi="Garamond"/>
          <w:sz w:val="24"/>
          <w:szCs w:val="24"/>
        </w:rPr>
        <w:t>C.</w:t>
      </w:r>
      <w:r w:rsidRPr="00404326">
        <w:rPr>
          <w:rFonts w:ascii="Garamond" w:hAnsi="Garamond"/>
          <w:smallCaps w:val="0"/>
          <w:sz w:val="24"/>
          <w:szCs w:val="24"/>
        </w:rPr>
        <w:tab/>
      </w:r>
      <w:r w:rsidRPr="008C76D9">
        <w:rPr>
          <w:rFonts w:ascii="Garamond" w:hAnsi="Garamond"/>
          <w:sz w:val="24"/>
          <w:szCs w:val="24"/>
        </w:rPr>
        <w:t>Test Methods and Procedures</w:t>
      </w:r>
      <w:r w:rsidRPr="008C76D9">
        <w:rPr>
          <w:rFonts w:ascii="Garamond" w:hAnsi="Garamond"/>
          <w:sz w:val="24"/>
          <w:szCs w:val="24"/>
        </w:rPr>
        <w:tab/>
      </w:r>
      <w:r w:rsidRPr="008C76D9">
        <w:rPr>
          <w:rFonts w:ascii="Garamond" w:hAnsi="Garamond"/>
          <w:sz w:val="24"/>
          <w:szCs w:val="24"/>
        </w:rPr>
        <w:fldChar w:fldCharType="begin"/>
      </w:r>
      <w:r w:rsidRPr="008C76D9">
        <w:rPr>
          <w:rFonts w:ascii="Garamond" w:hAnsi="Garamond"/>
          <w:sz w:val="24"/>
          <w:szCs w:val="24"/>
        </w:rPr>
        <w:instrText xml:space="preserve"> PAGEREF _Toc411330021 \h </w:instrText>
      </w:r>
      <w:r w:rsidRPr="008C76D9">
        <w:rPr>
          <w:rFonts w:ascii="Garamond" w:hAnsi="Garamond"/>
          <w:sz w:val="24"/>
          <w:szCs w:val="24"/>
        </w:rPr>
      </w:r>
      <w:r w:rsidRPr="008C76D9">
        <w:rPr>
          <w:rFonts w:ascii="Garamond" w:hAnsi="Garamond"/>
          <w:sz w:val="24"/>
          <w:szCs w:val="24"/>
        </w:rPr>
        <w:fldChar w:fldCharType="separate"/>
      </w:r>
      <w:r w:rsidR="002D35B6">
        <w:rPr>
          <w:rFonts w:ascii="Garamond" w:hAnsi="Garamond"/>
          <w:sz w:val="24"/>
          <w:szCs w:val="24"/>
        </w:rPr>
        <w:t>9</w:t>
      </w:r>
      <w:r w:rsidRPr="008C76D9">
        <w:rPr>
          <w:rFonts w:ascii="Garamond" w:hAnsi="Garamond"/>
          <w:sz w:val="24"/>
          <w:szCs w:val="24"/>
        </w:rPr>
        <w:fldChar w:fldCharType="end"/>
      </w:r>
    </w:p>
    <w:p w14:paraId="53545FD9" w14:textId="1F57FD4A" w:rsidR="00093755" w:rsidRPr="00404326" w:rsidRDefault="00093755">
      <w:pPr>
        <w:pStyle w:val="TOC2"/>
        <w:rPr>
          <w:rFonts w:ascii="Garamond" w:hAnsi="Garamond"/>
          <w:smallCaps w:val="0"/>
          <w:sz w:val="24"/>
          <w:szCs w:val="24"/>
        </w:rPr>
      </w:pPr>
      <w:r w:rsidRPr="008C76D9">
        <w:rPr>
          <w:rFonts w:ascii="Garamond" w:hAnsi="Garamond"/>
          <w:sz w:val="24"/>
          <w:szCs w:val="24"/>
        </w:rPr>
        <w:t>D.</w:t>
      </w:r>
      <w:r w:rsidRPr="00404326">
        <w:rPr>
          <w:rFonts w:ascii="Garamond" w:hAnsi="Garamond"/>
          <w:smallCaps w:val="0"/>
          <w:sz w:val="24"/>
          <w:szCs w:val="24"/>
        </w:rPr>
        <w:tab/>
      </w:r>
      <w:r w:rsidRPr="008C76D9">
        <w:rPr>
          <w:rFonts w:ascii="Garamond" w:hAnsi="Garamond"/>
          <w:sz w:val="24"/>
          <w:szCs w:val="24"/>
        </w:rPr>
        <w:t>Recordkeeping Requirements</w:t>
      </w:r>
      <w:r w:rsidRPr="008C76D9">
        <w:rPr>
          <w:rFonts w:ascii="Garamond" w:hAnsi="Garamond"/>
          <w:sz w:val="24"/>
          <w:szCs w:val="24"/>
        </w:rPr>
        <w:tab/>
      </w:r>
      <w:r w:rsidRPr="008C76D9">
        <w:rPr>
          <w:rFonts w:ascii="Garamond" w:hAnsi="Garamond"/>
          <w:sz w:val="24"/>
          <w:szCs w:val="24"/>
        </w:rPr>
        <w:fldChar w:fldCharType="begin"/>
      </w:r>
      <w:r w:rsidRPr="008C76D9">
        <w:rPr>
          <w:rFonts w:ascii="Garamond" w:hAnsi="Garamond"/>
          <w:sz w:val="24"/>
          <w:szCs w:val="24"/>
        </w:rPr>
        <w:instrText xml:space="preserve"> PAGEREF _Toc411330022 \h </w:instrText>
      </w:r>
      <w:r w:rsidRPr="008C76D9">
        <w:rPr>
          <w:rFonts w:ascii="Garamond" w:hAnsi="Garamond"/>
          <w:sz w:val="24"/>
          <w:szCs w:val="24"/>
        </w:rPr>
      </w:r>
      <w:r w:rsidRPr="008C76D9">
        <w:rPr>
          <w:rFonts w:ascii="Garamond" w:hAnsi="Garamond"/>
          <w:sz w:val="24"/>
          <w:szCs w:val="24"/>
        </w:rPr>
        <w:fldChar w:fldCharType="separate"/>
      </w:r>
      <w:r w:rsidR="002D35B6">
        <w:rPr>
          <w:rFonts w:ascii="Garamond" w:hAnsi="Garamond"/>
          <w:sz w:val="24"/>
          <w:szCs w:val="24"/>
        </w:rPr>
        <w:t>10</w:t>
      </w:r>
      <w:r w:rsidRPr="008C76D9">
        <w:rPr>
          <w:rFonts w:ascii="Garamond" w:hAnsi="Garamond"/>
          <w:sz w:val="24"/>
          <w:szCs w:val="24"/>
        </w:rPr>
        <w:fldChar w:fldCharType="end"/>
      </w:r>
    </w:p>
    <w:p w14:paraId="66EDD83A" w14:textId="24B040A8" w:rsidR="00093755" w:rsidRPr="00404326" w:rsidRDefault="00093755">
      <w:pPr>
        <w:pStyle w:val="TOC2"/>
        <w:rPr>
          <w:rFonts w:ascii="Garamond" w:hAnsi="Garamond"/>
          <w:smallCaps w:val="0"/>
          <w:sz w:val="24"/>
          <w:szCs w:val="24"/>
        </w:rPr>
      </w:pPr>
      <w:r w:rsidRPr="008C76D9">
        <w:rPr>
          <w:rFonts w:ascii="Garamond" w:hAnsi="Garamond"/>
          <w:sz w:val="24"/>
          <w:szCs w:val="24"/>
        </w:rPr>
        <w:t>E.</w:t>
      </w:r>
      <w:r w:rsidRPr="00404326">
        <w:rPr>
          <w:rFonts w:ascii="Garamond" w:hAnsi="Garamond"/>
          <w:smallCaps w:val="0"/>
          <w:sz w:val="24"/>
          <w:szCs w:val="24"/>
        </w:rPr>
        <w:tab/>
      </w:r>
      <w:r w:rsidRPr="008C76D9">
        <w:rPr>
          <w:rFonts w:ascii="Garamond" w:hAnsi="Garamond"/>
          <w:sz w:val="24"/>
          <w:szCs w:val="24"/>
        </w:rPr>
        <w:t>Reporting Requirements</w:t>
      </w:r>
      <w:r w:rsidRPr="008C76D9">
        <w:rPr>
          <w:rFonts w:ascii="Garamond" w:hAnsi="Garamond"/>
          <w:sz w:val="24"/>
          <w:szCs w:val="24"/>
        </w:rPr>
        <w:tab/>
      </w:r>
      <w:r w:rsidRPr="008C76D9">
        <w:rPr>
          <w:rFonts w:ascii="Garamond" w:hAnsi="Garamond"/>
          <w:sz w:val="24"/>
          <w:szCs w:val="24"/>
        </w:rPr>
        <w:fldChar w:fldCharType="begin"/>
      </w:r>
      <w:r w:rsidRPr="008C76D9">
        <w:rPr>
          <w:rFonts w:ascii="Garamond" w:hAnsi="Garamond"/>
          <w:sz w:val="24"/>
          <w:szCs w:val="24"/>
        </w:rPr>
        <w:instrText xml:space="preserve"> PAGEREF _Toc411330023 \h </w:instrText>
      </w:r>
      <w:r w:rsidRPr="008C76D9">
        <w:rPr>
          <w:rFonts w:ascii="Garamond" w:hAnsi="Garamond"/>
          <w:sz w:val="24"/>
          <w:szCs w:val="24"/>
        </w:rPr>
      </w:r>
      <w:r w:rsidRPr="008C76D9">
        <w:rPr>
          <w:rFonts w:ascii="Garamond" w:hAnsi="Garamond"/>
          <w:sz w:val="24"/>
          <w:szCs w:val="24"/>
        </w:rPr>
        <w:fldChar w:fldCharType="separate"/>
      </w:r>
      <w:r w:rsidR="002D35B6">
        <w:rPr>
          <w:rFonts w:ascii="Garamond" w:hAnsi="Garamond"/>
          <w:sz w:val="24"/>
          <w:szCs w:val="24"/>
        </w:rPr>
        <w:t>10</w:t>
      </w:r>
      <w:r w:rsidRPr="008C76D9">
        <w:rPr>
          <w:rFonts w:ascii="Garamond" w:hAnsi="Garamond"/>
          <w:sz w:val="24"/>
          <w:szCs w:val="24"/>
        </w:rPr>
        <w:fldChar w:fldCharType="end"/>
      </w:r>
    </w:p>
    <w:p w14:paraId="4D8D2573" w14:textId="17A53288" w:rsidR="00093755" w:rsidRPr="00404326" w:rsidRDefault="00093755">
      <w:pPr>
        <w:pStyle w:val="TOC2"/>
        <w:rPr>
          <w:rFonts w:ascii="Garamond" w:hAnsi="Garamond"/>
          <w:smallCaps w:val="0"/>
          <w:sz w:val="24"/>
          <w:szCs w:val="24"/>
        </w:rPr>
      </w:pPr>
      <w:r w:rsidRPr="008C76D9">
        <w:rPr>
          <w:rFonts w:ascii="Garamond" w:hAnsi="Garamond"/>
          <w:sz w:val="24"/>
          <w:szCs w:val="24"/>
        </w:rPr>
        <w:t>F.</w:t>
      </w:r>
      <w:r w:rsidRPr="00404326">
        <w:rPr>
          <w:rFonts w:ascii="Garamond" w:hAnsi="Garamond"/>
          <w:smallCaps w:val="0"/>
          <w:sz w:val="24"/>
          <w:szCs w:val="24"/>
        </w:rPr>
        <w:tab/>
      </w:r>
      <w:r w:rsidRPr="008C76D9">
        <w:rPr>
          <w:rFonts w:ascii="Garamond" w:hAnsi="Garamond"/>
          <w:sz w:val="24"/>
          <w:szCs w:val="24"/>
        </w:rPr>
        <w:t>Public Notice</w:t>
      </w:r>
      <w:r w:rsidRPr="008C76D9">
        <w:rPr>
          <w:rFonts w:ascii="Garamond" w:hAnsi="Garamond"/>
          <w:sz w:val="24"/>
          <w:szCs w:val="24"/>
        </w:rPr>
        <w:tab/>
      </w:r>
      <w:r w:rsidRPr="008C76D9">
        <w:rPr>
          <w:rFonts w:ascii="Garamond" w:hAnsi="Garamond"/>
          <w:sz w:val="24"/>
          <w:szCs w:val="24"/>
        </w:rPr>
        <w:fldChar w:fldCharType="begin"/>
      </w:r>
      <w:r w:rsidRPr="008C76D9">
        <w:rPr>
          <w:rFonts w:ascii="Garamond" w:hAnsi="Garamond"/>
          <w:sz w:val="24"/>
          <w:szCs w:val="24"/>
        </w:rPr>
        <w:instrText xml:space="preserve"> PAGEREF _Toc411330024 \h </w:instrText>
      </w:r>
      <w:r w:rsidRPr="008C76D9">
        <w:rPr>
          <w:rFonts w:ascii="Garamond" w:hAnsi="Garamond"/>
          <w:sz w:val="24"/>
          <w:szCs w:val="24"/>
        </w:rPr>
      </w:r>
      <w:r w:rsidRPr="008C76D9">
        <w:rPr>
          <w:rFonts w:ascii="Garamond" w:hAnsi="Garamond"/>
          <w:sz w:val="24"/>
          <w:szCs w:val="24"/>
        </w:rPr>
        <w:fldChar w:fldCharType="separate"/>
      </w:r>
      <w:r w:rsidR="002D35B6">
        <w:rPr>
          <w:rFonts w:ascii="Garamond" w:hAnsi="Garamond"/>
          <w:sz w:val="24"/>
          <w:szCs w:val="24"/>
        </w:rPr>
        <w:t>10</w:t>
      </w:r>
      <w:r w:rsidRPr="008C76D9">
        <w:rPr>
          <w:rFonts w:ascii="Garamond" w:hAnsi="Garamond"/>
          <w:sz w:val="24"/>
          <w:szCs w:val="24"/>
        </w:rPr>
        <w:fldChar w:fldCharType="end"/>
      </w:r>
    </w:p>
    <w:p w14:paraId="3AE29AB3" w14:textId="2D82CCDA" w:rsidR="00093755" w:rsidRPr="00404326" w:rsidRDefault="00093755">
      <w:pPr>
        <w:pStyle w:val="TOC2"/>
        <w:rPr>
          <w:rFonts w:ascii="Garamond" w:hAnsi="Garamond"/>
          <w:smallCaps w:val="0"/>
          <w:sz w:val="24"/>
          <w:szCs w:val="24"/>
        </w:rPr>
      </w:pPr>
      <w:r w:rsidRPr="008C76D9">
        <w:rPr>
          <w:rFonts w:ascii="Garamond" w:hAnsi="Garamond"/>
          <w:sz w:val="24"/>
          <w:szCs w:val="24"/>
        </w:rPr>
        <w:t>G.</w:t>
      </w:r>
      <w:r w:rsidRPr="00404326">
        <w:rPr>
          <w:rFonts w:ascii="Garamond" w:hAnsi="Garamond"/>
          <w:smallCaps w:val="0"/>
          <w:sz w:val="24"/>
          <w:szCs w:val="24"/>
        </w:rPr>
        <w:tab/>
      </w:r>
      <w:r w:rsidRPr="008C76D9">
        <w:rPr>
          <w:rFonts w:ascii="Garamond" w:hAnsi="Garamond"/>
          <w:sz w:val="24"/>
          <w:szCs w:val="24"/>
        </w:rPr>
        <w:t>Draft Permit Comments</w:t>
      </w:r>
      <w:r w:rsidRPr="008C76D9">
        <w:rPr>
          <w:rFonts w:ascii="Garamond" w:hAnsi="Garamond"/>
          <w:sz w:val="24"/>
          <w:szCs w:val="24"/>
        </w:rPr>
        <w:tab/>
      </w:r>
      <w:r w:rsidRPr="008C76D9">
        <w:rPr>
          <w:rFonts w:ascii="Garamond" w:hAnsi="Garamond"/>
          <w:sz w:val="24"/>
          <w:szCs w:val="24"/>
        </w:rPr>
        <w:fldChar w:fldCharType="begin"/>
      </w:r>
      <w:r w:rsidRPr="008C76D9">
        <w:rPr>
          <w:rFonts w:ascii="Garamond" w:hAnsi="Garamond"/>
          <w:sz w:val="24"/>
          <w:szCs w:val="24"/>
        </w:rPr>
        <w:instrText xml:space="preserve"> PAGEREF _Toc411330025 \h </w:instrText>
      </w:r>
      <w:r w:rsidRPr="008C76D9">
        <w:rPr>
          <w:rFonts w:ascii="Garamond" w:hAnsi="Garamond"/>
          <w:sz w:val="24"/>
          <w:szCs w:val="24"/>
        </w:rPr>
      </w:r>
      <w:r w:rsidRPr="008C76D9">
        <w:rPr>
          <w:rFonts w:ascii="Garamond" w:hAnsi="Garamond"/>
          <w:sz w:val="24"/>
          <w:szCs w:val="24"/>
        </w:rPr>
        <w:fldChar w:fldCharType="separate"/>
      </w:r>
      <w:r w:rsidR="002D35B6">
        <w:rPr>
          <w:rFonts w:ascii="Garamond" w:hAnsi="Garamond"/>
          <w:sz w:val="24"/>
          <w:szCs w:val="24"/>
        </w:rPr>
        <w:t>11</w:t>
      </w:r>
      <w:r w:rsidRPr="008C76D9">
        <w:rPr>
          <w:rFonts w:ascii="Garamond" w:hAnsi="Garamond"/>
          <w:sz w:val="24"/>
          <w:szCs w:val="24"/>
        </w:rPr>
        <w:fldChar w:fldCharType="end"/>
      </w:r>
    </w:p>
    <w:p w14:paraId="22558A6A" w14:textId="58297A5B" w:rsidR="00093755" w:rsidRPr="00404326" w:rsidRDefault="00093755">
      <w:pPr>
        <w:pStyle w:val="TOC1"/>
        <w:rPr>
          <w:rFonts w:ascii="Garamond" w:hAnsi="Garamond"/>
          <w:b w:val="0"/>
          <w:caps w:val="0"/>
          <w:noProof/>
          <w:sz w:val="24"/>
          <w:szCs w:val="24"/>
        </w:rPr>
      </w:pPr>
      <w:r w:rsidRPr="008C76D9">
        <w:rPr>
          <w:rFonts w:ascii="Garamond" w:hAnsi="Garamond"/>
          <w:noProof/>
          <w:sz w:val="24"/>
          <w:szCs w:val="24"/>
        </w:rPr>
        <w:t>SECTION IV.   NON-APPLICABLE REQUIREMENT ANALYSIS</w:t>
      </w:r>
      <w:r w:rsidRPr="008C76D9">
        <w:rPr>
          <w:rFonts w:ascii="Garamond" w:hAnsi="Garamond"/>
          <w:noProof/>
          <w:sz w:val="24"/>
          <w:szCs w:val="24"/>
        </w:rPr>
        <w:tab/>
      </w:r>
      <w:r w:rsidRPr="008C76D9">
        <w:rPr>
          <w:rFonts w:ascii="Garamond" w:hAnsi="Garamond"/>
          <w:noProof/>
          <w:sz w:val="24"/>
          <w:szCs w:val="24"/>
        </w:rPr>
        <w:fldChar w:fldCharType="begin"/>
      </w:r>
      <w:r w:rsidRPr="008C76D9">
        <w:rPr>
          <w:rFonts w:ascii="Garamond" w:hAnsi="Garamond"/>
          <w:noProof/>
          <w:sz w:val="24"/>
          <w:szCs w:val="24"/>
        </w:rPr>
        <w:instrText xml:space="preserve"> PAGEREF _Toc411330026 \h </w:instrText>
      </w:r>
      <w:r w:rsidRPr="008C76D9">
        <w:rPr>
          <w:rFonts w:ascii="Garamond" w:hAnsi="Garamond"/>
          <w:noProof/>
          <w:sz w:val="24"/>
          <w:szCs w:val="24"/>
        </w:rPr>
      </w:r>
      <w:r w:rsidRPr="008C76D9">
        <w:rPr>
          <w:rFonts w:ascii="Garamond" w:hAnsi="Garamond"/>
          <w:noProof/>
          <w:sz w:val="24"/>
          <w:szCs w:val="24"/>
        </w:rPr>
        <w:fldChar w:fldCharType="separate"/>
      </w:r>
      <w:r w:rsidR="002D35B6">
        <w:rPr>
          <w:rFonts w:ascii="Garamond" w:hAnsi="Garamond"/>
          <w:noProof/>
          <w:sz w:val="24"/>
          <w:szCs w:val="24"/>
        </w:rPr>
        <w:t>12</w:t>
      </w:r>
      <w:r w:rsidRPr="008C76D9">
        <w:rPr>
          <w:rFonts w:ascii="Garamond" w:hAnsi="Garamond"/>
          <w:noProof/>
          <w:sz w:val="24"/>
          <w:szCs w:val="24"/>
        </w:rPr>
        <w:fldChar w:fldCharType="end"/>
      </w:r>
    </w:p>
    <w:p w14:paraId="46ABBFA0" w14:textId="3F6064A9" w:rsidR="00093755" w:rsidRPr="00404326" w:rsidRDefault="00093755">
      <w:pPr>
        <w:pStyle w:val="TOC1"/>
        <w:rPr>
          <w:rFonts w:ascii="Garamond" w:hAnsi="Garamond"/>
          <w:b w:val="0"/>
          <w:caps w:val="0"/>
          <w:noProof/>
          <w:sz w:val="24"/>
          <w:szCs w:val="24"/>
        </w:rPr>
      </w:pPr>
      <w:r w:rsidRPr="008C76D9">
        <w:rPr>
          <w:rFonts w:ascii="Garamond" w:hAnsi="Garamond"/>
          <w:noProof/>
          <w:sz w:val="24"/>
          <w:szCs w:val="24"/>
        </w:rPr>
        <w:t>SECTION V.   FUTURE PERMIT CONSIDERATIONS</w:t>
      </w:r>
      <w:r w:rsidRPr="008C76D9">
        <w:rPr>
          <w:rFonts w:ascii="Garamond" w:hAnsi="Garamond"/>
          <w:noProof/>
          <w:sz w:val="24"/>
          <w:szCs w:val="24"/>
        </w:rPr>
        <w:tab/>
      </w:r>
      <w:r w:rsidRPr="008C76D9">
        <w:rPr>
          <w:rFonts w:ascii="Garamond" w:hAnsi="Garamond"/>
          <w:noProof/>
          <w:sz w:val="24"/>
          <w:szCs w:val="24"/>
        </w:rPr>
        <w:fldChar w:fldCharType="begin"/>
      </w:r>
      <w:r w:rsidRPr="008C76D9">
        <w:rPr>
          <w:rFonts w:ascii="Garamond" w:hAnsi="Garamond"/>
          <w:noProof/>
          <w:sz w:val="24"/>
          <w:szCs w:val="24"/>
        </w:rPr>
        <w:instrText xml:space="preserve"> PAGEREF _Toc411330027 \h </w:instrText>
      </w:r>
      <w:r w:rsidRPr="008C76D9">
        <w:rPr>
          <w:rFonts w:ascii="Garamond" w:hAnsi="Garamond"/>
          <w:noProof/>
          <w:sz w:val="24"/>
          <w:szCs w:val="24"/>
        </w:rPr>
      </w:r>
      <w:r w:rsidRPr="008C76D9">
        <w:rPr>
          <w:rFonts w:ascii="Garamond" w:hAnsi="Garamond"/>
          <w:noProof/>
          <w:sz w:val="24"/>
          <w:szCs w:val="24"/>
        </w:rPr>
        <w:fldChar w:fldCharType="separate"/>
      </w:r>
      <w:r w:rsidR="002D35B6">
        <w:rPr>
          <w:rFonts w:ascii="Garamond" w:hAnsi="Garamond"/>
          <w:noProof/>
          <w:sz w:val="24"/>
          <w:szCs w:val="24"/>
        </w:rPr>
        <w:t>13</w:t>
      </w:r>
      <w:r w:rsidRPr="008C76D9">
        <w:rPr>
          <w:rFonts w:ascii="Garamond" w:hAnsi="Garamond"/>
          <w:noProof/>
          <w:sz w:val="24"/>
          <w:szCs w:val="24"/>
        </w:rPr>
        <w:fldChar w:fldCharType="end"/>
      </w:r>
    </w:p>
    <w:p w14:paraId="45E34307" w14:textId="2844CD94" w:rsidR="00093755" w:rsidRPr="00404326" w:rsidRDefault="00093755">
      <w:pPr>
        <w:pStyle w:val="TOC2"/>
        <w:rPr>
          <w:rFonts w:ascii="Garamond" w:hAnsi="Garamond"/>
          <w:smallCaps w:val="0"/>
          <w:sz w:val="24"/>
          <w:szCs w:val="24"/>
        </w:rPr>
      </w:pPr>
      <w:r w:rsidRPr="008C76D9">
        <w:rPr>
          <w:rFonts w:ascii="Garamond" w:hAnsi="Garamond"/>
          <w:sz w:val="24"/>
          <w:szCs w:val="24"/>
        </w:rPr>
        <w:t>A.</w:t>
      </w:r>
      <w:r w:rsidRPr="00404326">
        <w:rPr>
          <w:rFonts w:ascii="Garamond" w:hAnsi="Garamond"/>
          <w:smallCaps w:val="0"/>
          <w:sz w:val="24"/>
          <w:szCs w:val="24"/>
        </w:rPr>
        <w:tab/>
      </w:r>
      <w:r w:rsidRPr="008C76D9">
        <w:rPr>
          <w:rFonts w:ascii="Garamond" w:hAnsi="Garamond"/>
          <w:sz w:val="24"/>
          <w:szCs w:val="24"/>
        </w:rPr>
        <w:t>MACT Standards (Subpart 63)</w:t>
      </w:r>
      <w:r w:rsidRPr="008C76D9">
        <w:rPr>
          <w:rFonts w:ascii="Garamond" w:hAnsi="Garamond"/>
          <w:sz w:val="24"/>
          <w:szCs w:val="24"/>
        </w:rPr>
        <w:tab/>
      </w:r>
      <w:r w:rsidRPr="008C76D9">
        <w:rPr>
          <w:rFonts w:ascii="Garamond" w:hAnsi="Garamond"/>
          <w:sz w:val="24"/>
          <w:szCs w:val="24"/>
        </w:rPr>
        <w:fldChar w:fldCharType="begin"/>
      </w:r>
      <w:r w:rsidRPr="008C76D9">
        <w:rPr>
          <w:rFonts w:ascii="Garamond" w:hAnsi="Garamond"/>
          <w:sz w:val="24"/>
          <w:szCs w:val="24"/>
        </w:rPr>
        <w:instrText xml:space="preserve"> PAGEREF _Toc411330028 \h </w:instrText>
      </w:r>
      <w:r w:rsidRPr="008C76D9">
        <w:rPr>
          <w:rFonts w:ascii="Garamond" w:hAnsi="Garamond"/>
          <w:sz w:val="24"/>
          <w:szCs w:val="24"/>
        </w:rPr>
      </w:r>
      <w:r w:rsidRPr="008C76D9">
        <w:rPr>
          <w:rFonts w:ascii="Garamond" w:hAnsi="Garamond"/>
          <w:sz w:val="24"/>
          <w:szCs w:val="24"/>
        </w:rPr>
        <w:fldChar w:fldCharType="separate"/>
      </w:r>
      <w:r w:rsidR="002D35B6">
        <w:rPr>
          <w:rFonts w:ascii="Garamond" w:hAnsi="Garamond"/>
          <w:sz w:val="24"/>
          <w:szCs w:val="24"/>
        </w:rPr>
        <w:t>13</w:t>
      </w:r>
      <w:r w:rsidRPr="008C76D9">
        <w:rPr>
          <w:rFonts w:ascii="Garamond" w:hAnsi="Garamond"/>
          <w:sz w:val="24"/>
          <w:szCs w:val="24"/>
        </w:rPr>
        <w:fldChar w:fldCharType="end"/>
      </w:r>
    </w:p>
    <w:p w14:paraId="3A8F3E95" w14:textId="035A2D9C" w:rsidR="00093755" w:rsidRPr="00404326" w:rsidRDefault="00093755">
      <w:pPr>
        <w:pStyle w:val="TOC2"/>
        <w:rPr>
          <w:rFonts w:ascii="Garamond" w:hAnsi="Garamond"/>
          <w:smallCaps w:val="0"/>
          <w:sz w:val="24"/>
          <w:szCs w:val="24"/>
        </w:rPr>
      </w:pPr>
      <w:r w:rsidRPr="008C76D9">
        <w:rPr>
          <w:rFonts w:ascii="Garamond" w:hAnsi="Garamond"/>
          <w:sz w:val="24"/>
          <w:szCs w:val="24"/>
        </w:rPr>
        <w:t>B.</w:t>
      </w:r>
      <w:r w:rsidRPr="00404326">
        <w:rPr>
          <w:rFonts w:ascii="Garamond" w:hAnsi="Garamond"/>
          <w:smallCaps w:val="0"/>
          <w:sz w:val="24"/>
          <w:szCs w:val="24"/>
        </w:rPr>
        <w:tab/>
      </w:r>
      <w:r w:rsidRPr="008C76D9">
        <w:rPr>
          <w:rFonts w:ascii="Garamond" w:hAnsi="Garamond"/>
          <w:sz w:val="24"/>
          <w:szCs w:val="24"/>
        </w:rPr>
        <w:t>NESHAP Standards (Subpart 61)</w:t>
      </w:r>
      <w:r w:rsidRPr="008C76D9">
        <w:rPr>
          <w:rFonts w:ascii="Garamond" w:hAnsi="Garamond"/>
          <w:sz w:val="24"/>
          <w:szCs w:val="24"/>
        </w:rPr>
        <w:tab/>
      </w:r>
      <w:r w:rsidRPr="008C76D9">
        <w:rPr>
          <w:rFonts w:ascii="Garamond" w:hAnsi="Garamond"/>
          <w:sz w:val="24"/>
          <w:szCs w:val="24"/>
        </w:rPr>
        <w:fldChar w:fldCharType="begin"/>
      </w:r>
      <w:r w:rsidRPr="008C76D9">
        <w:rPr>
          <w:rFonts w:ascii="Garamond" w:hAnsi="Garamond"/>
          <w:sz w:val="24"/>
          <w:szCs w:val="24"/>
        </w:rPr>
        <w:instrText xml:space="preserve"> PAGEREF _Toc411330029 \h </w:instrText>
      </w:r>
      <w:r w:rsidRPr="008C76D9">
        <w:rPr>
          <w:rFonts w:ascii="Garamond" w:hAnsi="Garamond"/>
          <w:sz w:val="24"/>
          <w:szCs w:val="24"/>
        </w:rPr>
      </w:r>
      <w:r w:rsidRPr="008C76D9">
        <w:rPr>
          <w:rFonts w:ascii="Garamond" w:hAnsi="Garamond"/>
          <w:sz w:val="24"/>
          <w:szCs w:val="24"/>
        </w:rPr>
        <w:fldChar w:fldCharType="separate"/>
      </w:r>
      <w:r w:rsidR="002D35B6">
        <w:rPr>
          <w:rFonts w:ascii="Garamond" w:hAnsi="Garamond"/>
          <w:sz w:val="24"/>
          <w:szCs w:val="24"/>
        </w:rPr>
        <w:t>13</w:t>
      </w:r>
      <w:r w:rsidRPr="008C76D9">
        <w:rPr>
          <w:rFonts w:ascii="Garamond" w:hAnsi="Garamond"/>
          <w:sz w:val="24"/>
          <w:szCs w:val="24"/>
        </w:rPr>
        <w:fldChar w:fldCharType="end"/>
      </w:r>
    </w:p>
    <w:p w14:paraId="2460A835" w14:textId="19B921A7" w:rsidR="00093755" w:rsidRPr="00404326" w:rsidRDefault="00093755">
      <w:pPr>
        <w:pStyle w:val="TOC2"/>
        <w:rPr>
          <w:rFonts w:ascii="Garamond" w:hAnsi="Garamond"/>
          <w:smallCaps w:val="0"/>
          <w:sz w:val="24"/>
          <w:szCs w:val="24"/>
        </w:rPr>
      </w:pPr>
      <w:r w:rsidRPr="008C76D9">
        <w:rPr>
          <w:rFonts w:ascii="Garamond" w:hAnsi="Garamond"/>
          <w:sz w:val="24"/>
          <w:szCs w:val="24"/>
        </w:rPr>
        <w:t>C.</w:t>
      </w:r>
      <w:r w:rsidRPr="00404326">
        <w:rPr>
          <w:rFonts w:ascii="Garamond" w:hAnsi="Garamond"/>
          <w:smallCaps w:val="0"/>
          <w:sz w:val="24"/>
          <w:szCs w:val="24"/>
        </w:rPr>
        <w:tab/>
      </w:r>
      <w:r w:rsidRPr="008C76D9">
        <w:rPr>
          <w:rFonts w:ascii="Garamond" w:hAnsi="Garamond"/>
          <w:sz w:val="24"/>
          <w:szCs w:val="24"/>
        </w:rPr>
        <w:t>NSPS Standards</w:t>
      </w:r>
      <w:r w:rsidRPr="008C76D9">
        <w:rPr>
          <w:rFonts w:ascii="Garamond" w:hAnsi="Garamond"/>
          <w:sz w:val="24"/>
          <w:szCs w:val="24"/>
        </w:rPr>
        <w:tab/>
      </w:r>
      <w:r w:rsidRPr="008C76D9">
        <w:rPr>
          <w:rFonts w:ascii="Garamond" w:hAnsi="Garamond"/>
          <w:sz w:val="24"/>
          <w:szCs w:val="24"/>
        </w:rPr>
        <w:fldChar w:fldCharType="begin"/>
      </w:r>
      <w:r w:rsidRPr="008C76D9">
        <w:rPr>
          <w:rFonts w:ascii="Garamond" w:hAnsi="Garamond"/>
          <w:sz w:val="24"/>
          <w:szCs w:val="24"/>
        </w:rPr>
        <w:instrText xml:space="preserve"> PAGEREF _Toc411330030 \h </w:instrText>
      </w:r>
      <w:r w:rsidRPr="008C76D9">
        <w:rPr>
          <w:rFonts w:ascii="Garamond" w:hAnsi="Garamond"/>
          <w:sz w:val="24"/>
          <w:szCs w:val="24"/>
        </w:rPr>
      </w:r>
      <w:r w:rsidRPr="008C76D9">
        <w:rPr>
          <w:rFonts w:ascii="Garamond" w:hAnsi="Garamond"/>
          <w:sz w:val="24"/>
          <w:szCs w:val="24"/>
        </w:rPr>
        <w:fldChar w:fldCharType="separate"/>
      </w:r>
      <w:r w:rsidR="002D35B6">
        <w:rPr>
          <w:rFonts w:ascii="Garamond" w:hAnsi="Garamond"/>
          <w:sz w:val="24"/>
          <w:szCs w:val="24"/>
        </w:rPr>
        <w:t>13</w:t>
      </w:r>
      <w:r w:rsidRPr="008C76D9">
        <w:rPr>
          <w:rFonts w:ascii="Garamond" w:hAnsi="Garamond"/>
          <w:sz w:val="24"/>
          <w:szCs w:val="24"/>
        </w:rPr>
        <w:fldChar w:fldCharType="end"/>
      </w:r>
    </w:p>
    <w:p w14:paraId="2B21B712" w14:textId="11BE853C" w:rsidR="00093755" w:rsidRPr="00404326" w:rsidRDefault="00093755">
      <w:pPr>
        <w:pStyle w:val="TOC2"/>
        <w:rPr>
          <w:rFonts w:ascii="Garamond" w:hAnsi="Garamond"/>
          <w:smallCaps w:val="0"/>
          <w:sz w:val="24"/>
          <w:szCs w:val="24"/>
        </w:rPr>
      </w:pPr>
      <w:r w:rsidRPr="008C76D9">
        <w:rPr>
          <w:rFonts w:ascii="Garamond" w:hAnsi="Garamond"/>
          <w:sz w:val="24"/>
          <w:szCs w:val="24"/>
        </w:rPr>
        <w:t>D.</w:t>
      </w:r>
      <w:r w:rsidRPr="00404326">
        <w:rPr>
          <w:rFonts w:ascii="Garamond" w:hAnsi="Garamond"/>
          <w:smallCaps w:val="0"/>
          <w:sz w:val="24"/>
          <w:szCs w:val="24"/>
        </w:rPr>
        <w:tab/>
      </w:r>
      <w:r w:rsidRPr="008C76D9">
        <w:rPr>
          <w:rFonts w:ascii="Garamond" w:hAnsi="Garamond"/>
          <w:sz w:val="24"/>
          <w:szCs w:val="24"/>
        </w:rPr>
        <w:t>Risk Management Plan</w:t>
      </w:r>
      <w:r w:rsidRPr="008C76D9">
        <w:rPr>
          <w:rFonts w:ascii="Garamond" w:hAnsi="Garamond"/>
          <w:sz w:val="24"/>
          <w:szCs w:val="24"/>
        </w:rPr>
        <w:tab/>
      </w:r>
      <w:r w:rsidRPr="008C76D9">
        <w:rPr>
          <w:rFonts w:ascii="Garamond" w:hAnsi="Garamond"/>
          <w:sz w:val="24"/>
          <w:szCs w:val="24"/>
        </w:rPr>
        <w:fldChar w:fldCharType="begin"/>
      </w:r>
      <w:r w:rsidRPr="008C76D9">
        <w:rPr>
          <w:rFonts w:ascii="Garamond" w:hAnsi="Garamond"/>
          <w:sz w:val="24"/>
          <w:szCs w:val="24"/>
        </w:rPr>
        <w:instrText xml:space="preserve"> PAGEREF _Toc411330031 \h </w:instrText>
      </w:r>
      <w:r w:rsidRPr="008C76D9">
        <w:rPr>
          <w:rFonts w:ascii="Garamond" w:hAnsi="Garamond"/>
          <w:sz w:val="24"/>
          <w:szCs w:val="24"/>
        </w:rPr>
      </w:r>
      <w:r w:rsidRPr="008C76D9">
        <w:rPr>
          <w:rFonts w:ascii="Garamond" w:hAnsi="Garamond"/>
          <w:sz w:val="24"/>
          <w:szCs w:val="24"/>
        </w:rPr>
        <w:fldChar w:fldCharType="separate"/>
      </w:r>
      <w:r w:rsidR="002D35B6">
        <w:rPr>
          <w:rFonts w:ascii="Garamond" w:hAnsi="Garamond"/>
          <w:sz w:val="24"/>
          <w:szCs w:val="24"/>
        </w:rPr>
        <w:t>13</w:t>
      </w:r>
      <w:r w:rsidRPr="008C76D9">
        <w:rPr>
          <w:rFonts w:ascii="Garamond" w:hAnsi="Garamond"/>
          <w:sz w:val="24"/>
          <w:szCs w:val="24"/>
        </w:rPr>
        <w:fldChar w:fldCharType="end"/>
      </w:r>
    </w:p>
    <w:p w14:paraId="477901C2" w14:textId="7DC674EC" w:rsidR="00093755" w:rsidRPr="00404326" w:rsidRDefault="00093755">
      <w:pPr>
        <w:pStyle w:val="TOC2"/>
        <w:rPr>
          <w:rFonts w:ascii="Garamond" w:hAnsi="Garamond"/>
          <w:smallCaps w:val="0"/>
          <w:sz w:val="24"/>
          <w:szCs w:val="24"/>
        </w:rPr>
      </w:pPr>
      <w:r w:rsidRPr="008C76D9">
        <w:rPr>
          <w:rFonts w:ascii="Garamond" w:hAnsi="Garamond"/>
          <w:sz w:val="24"/>
          <w:szCs w:val="24"/>
        </w:rPr>
        <w:t>E.</w:t>
      </w:r>
      <w:r w:rsidRPr="00404326">
        <w:rPr>
          <w:rFonts w:ascii="Garamond" w:hAnsi="Garamond"/>
          <w:smallCaps w:val="0"/>
          <w:sz w:val="24"/>
          <w:szCs w:val="24"/>
        </w:rPr>
        <w:tab/>
      </w:r>
      <w:r w:rsidRPr="008C76D9">
        <w:rPr>
          <w:rFonts w:ascii="Garamond" w:hAnsi="Garamond"/>
          <w:sz w:val="24"/>
          <w:szCs w:val="24"/>
        </w:rPr>
        <w:t>Compliance Assurance Monitoring (CAM) Applicability</w:t>
      </w:r>
      <w:r w:rsidRPr="008C76D9">
        <w:rPr>
          <w:rFonts w:ascii="Garamond" w:hAnsi="Garamond"/>
          <w:sz w:val="24"/>
          <w:szCs w:val="24"/>
        </w:rPr>
        <w:tab/>
      </w:r>
      <w:r w:rsidRPr="008C76D9">
        <w:rPr>
          <w:rFonts w:ascii="Garamond" w:hAnsi="Garamond"/>
          <w:sz w:val="24"/>
          <w:szCs w:val="24"/>
        </w:rPr>
        <w:fldChar w:fldCharType="begin"/>
      </w:r>
      <w:r w:rsidRPr="008C76D9">
        <w:rPr>
          <w:rFonts w:ascii="Garamond" w:hAnsi="Garamond"/>
          <w:sz w:val="24"/>
          <w:szCs w:val="24"/>
        </w:rPr>
        <w:instrText xml:space="preserve"> PAGEREF _Toc411330032 \h </w:instrText>
      </w:r>
      <w:r w:rsidRPr="008C76D9">
        <w:rPr>
          <w:rFonts w:ascii="Garamond" w:hAnsi="Garamond"/>
          <w:sz w:val="24"/>
          <w:szCs w:val="24"/>
        </w:rPr>
      </w:r>
      <w:r w:rsidRPr="008C76D9">
        <w:rPr>
          <w:rFonts w:ascii="Garamond" w:hAnsi="Garamond"/>
          <w:sz w:val="24"/>
          <w:szCs w:val="24"/>
        </w:rPr>
        <w:fldChar w:fldCharType="separate"/>
      </w:r>
      <w:r w:rsidR="002D35B6">
        <w:rPr>
          <w:rFonts w:ascii="Garamond" w:hAnsi="Garamond"/>
          <w:sz w:val="24"/>
          <w:szCs w:val="24"/>
        </w:rPr>
        <w:t>13</w:t>
      </w:r>
      <w:r w:rsidRPr="008C76D9">
        <w:rPr>
          <w:rFonts w:ascii="Garamond" w:hAnsi="Garamond"/>
          <w:sz w:val="24"/>
          <w:szCs w:val="24"/>
        </w:rPr>
        <w:fldChar w:fldCharType="end"/>
      </w:r>
    </w:p>
    <w:p w14:paraId="08454F9D" w14:textId="7B58D6AC" w:rsidR="00093755" w:rsidRPr="00404326" w:rsidRDefault="00093755">
      <w:pPr>
        <w:pStyle w:val="TOC2"/>
        <w:rPr>
          <w:rFonts w:ascii="Garamond" w:hAnsi="Garamond"/>
          <w:smallCaps w:val="0"/>
          <w:sz w:val="24"/>
          <w:szCs w:val="24"/>
        </w:rPr>
      </w:pPr>
      <w:r w:rsidRPr="008C76D9">
        <w:rPr>
          <w:rFonts w:ascii="Garamond" w:hAnsi="Garamond"/>
          <w:sz w:val="24"/>
          <w:szCs w:val="24"/>
        </w:rPr>
        <w:t>F.</w:t>
      </w:r>
      <w:r w:rsidRPr="00404326">
        <w:rPr>
          <w:rFonts w:ascii="Garamond" w:hAnsi="Garamond"/>
          <w:smallCaps w:val="0"/>
          <w:sz w:val="24"/>
          <w:szCs w:val="24"/>
        </w:rPr>
        <w:tab/>
      </w:r>
      <w:r w:rsidRPr="008C76D9">
        <w:rPr>
          <w:rFonts w:ascii="Garamond" w:hAnsi="Garamond"/>
          <w:sz w:val="24"/>
          <w:szCs w:val="24"/>
        </w:rPr>
        <w:t>PSD and Title V Greenhouse Gas Tailoring Rule</w:t>
      </w:r>
      <w:r w:rsidRPr="008C76D9">
        <w:rPr>
          <w:rFonts w:ascii="Garamond" w:hAnsi="Garamond"/>
          <w:sz w:val="24"/>
          <w:szCs w:val="24"/>
        </w:rPr>
        <w:tab/>
      </w:r>
      <w:r w:rsidRPr="008C76D9">
        <w:rPr>
          <w:rFonts w:ascii="Garamond" w:hAnsi="Garamond"/>
          <w:sz w:val="24"/>
          <w:szCs w:val="24"/>
        </w:rPr>
        <w:fldChar w:fldCharType="begin"/>
      </w:r>
      <w:r w:rsidRPr="008C76D9">
        <w:rPr>
          <w:rFonts w:ascii="Garamond" w:hAnsi="Garamond"/>
          <w:sz w:val="24"/>
          <w:szCs w:val="24"/>
        </w:rPr>
        <w:instrText xml:space="preserve"> PAGEREF _Toc411330033 \h </w:instrText>
      </w:r>
      <w:r w:rsidRPr="008C76D9">
        <w:rPr>
          <w:rFonts w:ascii="Garamond" w:hAnsi="Garamond"/>
          <w:sz w:val="24"/>
          <w:szCs w:val="24"/>
        </w:rPr>
      </w:r>
      <w:r w:rsidRPr="008C76D9">
        <w:rPr>
          <w:rFonts w:ascii="Garamond" w:hAnsi="Garamond"/>
          <w:sz w:val="24"/>
          <w:szCs w:val="24"/>
        </w:rPr>
        <w:fldChar w:fldCharType="separate"/>
      </w:r>
      <w:r w:rsidR="002D35B6">
        <w:rPr>
          <w:rFonts w:ascii="Garamond" w:hAnsi="Garamond"/>
          <w:sz w:val="24"/>
          <w:szCs w:val="24"/>
        </w:rPr>
        <w:t>13</w:t>
      </w:r>
      <w:r w:rsidRPr="008C76D9">
        <w:rPr>
          <w:rFonts w:ascii="Garamond" w:hAnsi="Garamond"/>
          <w:sz w:val="24"/>
          <w:szCs w:val="24"/>
        </w:rPr>
        <w:fldChar w:fldCharType="end"/>
      </w:r>
    </w:p>
    <w:p w14:paraId="660BEF3B" w14:textId="77777777" w:rsidR="008168F2" w:rsidRPr="001C7287" w:rsidRDefault="00EE54A7" w:rsidP="001C7287">
      <w:pPr>
        <w:pStyle w:val="Heading1"/>
        <w:jc w:val="left"/>
        <w:rPr>
          <w:rFonts w:ascii="Garamond" w:hAnsi="Garamond"/>
          <w:sz w:val="24"/>
          <w:szCs w:val="24"/>
          <w:highlight w:val="cyan"/>
        </w:rPr>
      </w:pPr>
      <w:r w:rsidRPr="008C76D9">
        <w:rPr>
          <w:rFonts w:ascii="Garamond" w:hAnsi="Garamond"/>
          <w:sz w:val="24"/>
          <w:szCs w:val="24"/>
          <w:highlight w:val="cyan"/>
        </w:rPr>
        <w:fldChar w:fldCharType="end"/>
      </w:r>
    </w:p>
    <w:p w14:paraId="72E5A949" w14:textId="77777777" w:rsidR="008168F2" w:rsidRPr="008168F2" w:rsidRDefault="008168F2" w:rsidP="008168F2">
      <w:pPr>
        <w:tabs>
          <w:tab w:val="left" w:pos="855"/>
        </w:tabs>
        <w:rPr>
          <w:highlight w:val="cyan"/>
        </w:rPr>
        <w:sectPr w:rsidR="008168F2" w:rsidRPr="008168F2" w:rsidSect="00252F09">
          <w:footerReference w:type="even" r:id="rId11"/>
          <w:footerReference w:type="default" r:id="rId12"/>
          <w:pgSz w:w="12240" w:h="15840" w:code="1"/>
          <w:pgMar w:top="1152" w:right="1440" w:bottom="1008" w:left="1440" w:header="720" w:footer="720" w:gutter="0"/>
          <w:pgNumType w:start="1"/>
          <w:cols w:space="720"/>
        </w:sectPr>
      </w:pPr>
    </w:p>
    <w:p w14:paraId="6F9C4336" w14:textId="77777777" w:rsidR="00EE54A7" w:rsidRPr="001C6D71" w:rsidRDefault="00EE54A7">
      <w:pPr>
        <w:pStyle w:val="Heading1"/>
        <w:rPr>
          <w:rFonts w:ascii="Garamond" w:hAnsi="Garamond"/>
          <w:sz w:val="24"/>
          <w:szCs w:val="24"/>
        </w:rPr>
      </w:pPr>
      <w:bookmarkStart w:id="0" w:name="_Toc411330007"/>
      <w:r w:rsidRPr="001C6D71">
        <w:rPr>
          <w:rFonts w:ascii="Garamond" w:hAnsi="Garamond"/>
          <w:sz w:val="24"/>
          <w:szCs w:val="24"/>
        </w:rPr>
        <w:lastRenderedPageBreak/>
        <w:t xml:space="preserve">SECTION I. </w:t>
      </w:r>
      <w:r w:rsidR="00794867" w:rsidRPr="001C6D71">
        <w:rPr>
          <w:rFonts w:ascii="Garamond" w:hAnsi="Garamond"/>
          <w:sz w:val="24"/>
          <w:szCs w:val="24"/>
        </w:rPr>
        <w:t xml:space="preserve">  </w:t>
      </w:r>
      <w:r w:rsidRPr="001C6D71">
        <w:rPr>
          <w:rFonts w:ascii="Garamond" w:hAnsi="Garamond"/>
          <w:sz w:val="24"/>
          <w:szCs w:val="24"/>
        </w:rPr>
        <w:t>GENERAL INFORMATION</w:t>
      </w:r>
      <w:bookmarkEnd w:id="0"/>
    </w:p>
    <w:p w14:paraId="58CB6BD2" w14:textId="77777777" w:rsidR="00EE54A7" w:rsidRPr="00D77E6E" w:rsidRDefault="00EE54A7">
      <w:pPr>
        <w:rPr>
          <w:rFonts w:ascii="Garamond" w:hAnsi="Garamond"/>
        </w:rPr>
      </w:pPr>
    </w:p>
    <w:p w14:paraId="0EF44536" w14:textId="77777777" w:rsidR="00EE54A7" w:rsidRPr="001C6D71" w:rsidRDefault="00EE54A7">
      <w:pPr>
        <w:pStyle w:val="Heading2"/>
        <w:spacing w:before="0" w:beforeAutospacing="0" w:after="0" w:afterAutospacing="0"/>
        <w:rPr>
          <w:rFonts w:ascii="Garamond" w:hAnsi="Garamond"/>
          <w:sz w:val="24"/>
          <w:szCs w:val="24"/>
        </w:rPr>
      </w:pPr>
      <w:bookmarkStart w:id="1" w:name="_Toc411330008"/>
      <w:r w:rsidRPr="001C6D71">
        <w:rPr>
          <w:rFonts w:ascii="Garamond" w:hAnsi="Garamond"/>
          <w:sz w:val="24"/>
          <w:szCs w:val="24"/>
        </w:rPr>
        <w:t>Purpose</w:t>
      </w:r>
      <w:bookmarkEnd w:id="1"/>
    </w:p>
    <w:p w14:paraId="4C0FEE00" w14:textId="77777777" w:rsidR="00EE54A7" w:rsidRPr="00D77E6E" w:rsidRDefault="00EE54A7">
      <w:pPr>
        <w:rPr>
          <w:rFonts w:ascii="Garamond" w:hAnsi="Garamond"/>
        </w:rPr>
      </w:pPr>
    </w:p>
    <w:p w14:paraId="1A2A577C" w14:textId="269D9053" w:rsidR="00EE54A7" w:rsidRPr="001C6D71" w:rsidRDefault="00EE54A7">
      <w:pPr>
        <w:ind w:left="360"/>
        <w:rPr>
          <w:rFonts w:ascii="Garamond" w:hAnsi="Garamond"/>
          <w:sz w:val="24"/>
          <w:szCs w:val="24"/>
        </w:rPr>
      </w:pPr>
      <w:r w:rsidRPr="001C6D71">
        <w:rPr>
          <w:rFonts w:ascii="Garamond" w:hAnsi="Garamond"/>
          <w:sz w:val="24"/>
          <w:szCs w:val="24"/>
        </w:rPr>
        <w:t>This document establishes the basis for the decisions made regarding the applicable requirements, monitoring plan, and compliance status of emission units affected by the operating permit proposed for this facility.  The document is intended for reference during review of the proposed permit by the Environmental Protection Agency (EPA) and the public.  It is also intended to provide background information not included in the operating permit and to document issues that may become important during modifications or renewals of the permit.  Conclusions in this document are based on information provided in the original application submitted on June 12, 1996, the significant modification application submitted on October 17, 2002, the renewal application</w:t>
      </w:r>
      <w:r w:rsidR="00E31622" w:rsidRPr="001C6D71">
        <w:rPr>
          <w:rFonts w:ascii="Garamond" w:hAnsi="Garamond"/>
          <w:sz w:val="24"/>
          <w:szCs w:val="24"/>
        </w:rPr>
        <w:t>s</w:t>
      </w:r>
      <w:r w:rsidRPr="001C6D71">
        <w:rPr>
          <w:rFonts w:ascii="Garamond" w:hAnsi="Garamond"/>
          <w:sz w:val="24"/>
          <w:szCs w:val="24"/>
        </w:rPr>
        <w:t xml:space="preserve"> submitted on January 30, 2003</w:t>
      </w:r>
      <w:r w:rsidR="004C7CAE" w:rsidRPr="001C6D71">
        <w:rPr>
          <w:rFonts w:ascii="Garamond" w:hAnsi="Garamond"/>
          <w:sz w:val="24"/>
          <w:szCs w:val="24"/>
        </w:rPr>
        <w:t>,</w:t>
      </w:r>
      <w:r w:rsidR="00E31622" w:rsidRPr="001C6D71">
        <w:rPr>
          <w:rFonts w:ascii="Garamond" w:hAnsi="Garamond"/>
          <w:sz w:val="24"/>
          <w:szCs w:val="24"/>
        </w:rPr>
        <w:t xml:space="preserve"> January 31, 2008</w:t>
      </w:r>
      <w:r w:rsidR="0051037C" w:rsidRPr="001C6D71">
        <w:rPr>
          <w:rFonts w:ascii="Garamond" w:hAnsi="Garamond"/>
          <w:sz w:val="24"/>
          <w:szCs w:val="24"/>
        </w:rPr>
        <w:t>,</w:t>
      </w:r>
      <w:r w:rsidR="00BB2373">
        <w:rPr>
          <w:rFonts w:ascii="Garamond" w:hAnsi="Garamond"/>
          <w:sz w:val="24"/>
          <w:szCs w:val="24"/>
        </w:rPr>
        <w:t xml:space="preserve"> and November 4, 2013</w:t>
      </w:r>
      <w:r w:rsidR="00530DC4">
        <w:rPr>
          <w:rFonts w:ascii="Garamond" w:hAnsi="Garamond"/>
          <w:sz w:val="24"/>
          <w:szCs w:val="24"/>
        </w:rPr>
        <w:t>,</w:t>
      </w:r>
      <w:r w:rsidR="0051037C" w:rsidRPr="001C6D71">
        <w:rPr>
          <w:rFonts w:ascii="Garamond" w:hAnsi="Garamond"/>
          <w:sz w:val="24"/>
          <w:szCs w:val="24"/>
        </w:rPr>
        <w:t xml:space="preserve"> correspondence received December 10, 2012</w:t>
      </w:r>
      <w:r w:rsidR="004D3652">
        <w:rPr>
          <w:rFonts w:ascii="Garamond" w:hAnsi="Garamond"/>
          <w:sz w:val="24"/>
          <w:szCs w:val="24"/>
        </w:rPr>
        <w:t>,</w:t>
      </w:r>
      <w:r w:rsidR="003C17E0" w:rsidRPr="001C6D71">
        <w:rPr>
          <w:rFonts w:ascii="Garamond" w:hAnsi="Garamond"/>
          <w:sz w:val="24"/>
          <w:szCs w:val="24"/>
        </w:rPr>
        <w:t xml:space="preserve"> and October 17, 2013</w:t>
      </w:r>
      <w:r w:rsidR="00530DC4">
        <w:rPr>
          <w:rFonts w:ascii="Garamond" w:hAnsi="Garamond"/>
          <w:sz w:val="24"/>
          <w:szCs w:val="24"/>
        </w:rPr>
        <w:t>, and the renewal application submitted on September 30, 2019</w:t>
      </w:r>
      <w:r w:rsidRPr="001C6D71">
        <w:rPr>
          <w:rFonts w:ascii="Garamond" w:hAnsi="Garamond"/>
          <w:sz w:val="24"/>
          <w:szCs w:val="24"/>
        </w:rPr>
        <w:t>.</w:t>
      </w:r>
      <w:r w:rsidR="004D3652">
        <w:rPr>
          <w:rFonts w:ascii="Garamond" w:hAnsi="Garamond"/>
          <w:sz w:val="24"/>
          <w:szCs w:val="24"/>
        </w:rPr>
        <w:t xml:space="preserve"> As required, a</w:t>
      </w:r>
      <w:r w:rsidR="006711F6">
        <w:rPr>
          <w:rFonts w:ascii="Garamond" w:hAnsi="Garamond"/>
          <w:sz w:val="24"/>
          <w:szCs w:val="24"/>
        </w:rPr>
        <w:t xml:space="preserve"> renewal application was submitted on </w:t>
      </w:r>
      <w:r w:rsidR="006B627A">
        <w:rPr>
          <w:rFonts w:ascii="Garamond" w:hAnsi="Garamond"/>
          <w:sz w:val="24"/>
          <w:szCs w:val="24"/>
        </w:rPr>
        <w:t xml:space="preserve">August 1, 2025. </w:t>
      </w:r>
    </w:p>
    <w:p w14:paraId="656AEF96" w14:textId="77777777" w:rsidR="00EE54A7" w:rsidRPr="00D77E6E" w:rsidRDefault="00EE54A7">
      <w:pPr>
        <w:ind w:left="360"/>
        <w:rPr>
          <w:rFonts w:ascii="Garamond" w:hAnsi="Garamond"/>
        </w:rPr>
      </w:pPr>
    </w:p>
    <w:p w14:paraId="52762887" w14:textId="77777777" w:rsidR="00EE54A7" w:rsidRPr="001C6D71" w:rsidRDefault="00EE54A7">
      <w:pPr>
        <w:pStyle w:val="Heading2"/>
        <w:spacing w:before="0" w:beforeAutospacing="0" w:after="0" w:afterAutospacing="0"/>
        <w:rPr>
          <w:rFonts w:ascii="Garamond" w:hAnsi="Garamond"/>
          <w:sz w:val="24"/>
          <w:szCs w:val="24"/>
        </w:rPr>
      </w:pPr>
      <w:bookmarkStart w:id="2" w:name="_Toc411330009"/>
      <w:r w:rsidRPr="001C6D71">
        <w:rPr>
          <w:rFonts w:ascii="Garamond" w:hAnsi="Garamond"/>
          <w:sz w:val="24"/>
          <w:szCs w:val="24"/>
        </w:rPr>
        <w:t>Facility Location</w:t>
      </w:r>
      <w:bookmarkEnd w:id="2"/>
    </w:p>
    <w:p w14:paraId="19FDB77C" w14:textId="77777777" w:rsidR="00EE54A7" w:rsidRPr="00D77E6E" w:rsidRDefault="00EE54A7">
      <w:pPr>
        <w:rPr>
          <w:rFonts w:ascii="Garamond" w:hAnsi="Garamond"/>
          <w:highlight w:val="yellow"/>
        </w:rPr>
      </w:pPr>
    </w:p>
    <w:p w14:paraId="3574CDDD" w14:textId="77777777" w:rsidR="00EE54A7" w:rsidRPr="001C6D71" w:rsidRDefault="00EE54A7">
      <w:pPr>
        <w:ind w:left="360"/>
        <w:rPr>
          <w:rFonts w:ascii="Garamond" w:hAnsi="Garamond"/>
          <w:sz w:val="24"/>
          <w:szCs w:val="24"/>
          <w:highlight w:val="yellow"/>
        </w:rPr>
      </w:pPr>
      <w:r w:rsidRPr="001C6D71">
        <w:rPr>
          <w:rFonts w:ascii="Garamond" w:eastAsia="MS Mincho" w:hAnsi="Garamond"/>
          <w:sz w:val="24"/>
          <w:szCs w:val="24"/>
        </w:rPr>
        <w:t xml:space="preserve">WBI </w:t>
      </w:r>
      <w:r w:rsidR="003C17E0" w:rsidRPr="001C6D71">
        <w:rPr>
          <w:rFonts w:ascii="Garamond" w:eastAsia="MS Mincho" w:hAnsi="Garamond"/>
          <w:sz w:val="24"/>
          <w:szCs w:val="24"/>
        </w:rPr>
        <w:t xml:space="preserve">Energy Transmission, Inc. (WBI) </w:t>
      </w:r>
      <w:r w:rsidRPr="001C6D71">
        <w:rPr>
          <w:rFonts w:ascii="Garamond" w:eastAsia="MS Mincho" w:hAnsi="Garamond"/>
          <w:sz w:val="24"/>
          <w:szCs w:val="24"/>
        </w:rPr>
        <w:t>owns and operates a natural gas compressor station located in the Northeast ¼ of the Southeast ¼ of Section 34, Township 7 North, Range 45 East in Custer County, Montana.  The facility is known as the Hathaway Compressor Station.  Custer County is designated as an Unclassi</w:t>
      </w:r>
      <w:r w:rsidR="007064C7" w:rsidRPr="001C6D71">
        <w:rPr>
          <w:rFonts w:ascii="Garamond" w:eastAsia="MS Mincho" w:hAnsi="Garamond"/>
          <w:sz w:val="24"/>
          <w:szCs w:val="24"/>
        </w:rPr>
        <w:t>fi</w:t>
      </w:r>
      <w:r w:rsidRPr="001C6D71">
        <w:rPr>
          <w:rFonts w:ascii="Garamond" w:eastAsia="MS Mincho" w:hAnsi="Garamond"/>
          <w:sz w:val="24"/>
          <w:szCs w:val="24"/>
        </w:rPr>
        <w:t>able/Attainment area for National Ambient Air Quality Standards (NAAQS) for all criteria pollutants.</w:t>
      </w:r>
      <w:r w:rsidRPr="001C6D71">
        <w:rPr>
          <w:rFonts w:ascii="Garamond" w:hAnsi="Garamond"/>
          <w:sz w:val="24"/>
          <w:szCs w:val="24"/>
        </w:rPr>
        <w:t xml:space="preserve">  The facility is located approximately 12 miles southwest of Miles City, Montana</w:t>
      </w:r>
      <w:r w:rsidR="00816F2D">
        <w:rPr>
          <w:rFonts w:ascii="Garamond" w:hAnsi="Garamond"/>
          <w:sz w:val="24"/>
          <w:szCs w:val="24"/>
        </w:rPr>
        <w:t>.</w:t>
      </w:r>
    </w:p>
    <w:p w14:paraId="5D0A6B81" w14:textId="77777777" w:rsidR="00EE54A7" w:rsidRPr="00D77E6E" w:rsidRDefault="00EE54A7">
      <w:pPr>
        <w:rPr>
          <w:rFonts w:ascii="Garamond" w:hAnsi="Garamond"/>
          <w:highlight w:val="yellow"/>
        </w:rPr>
      </w:pPr>
    </w:p>
    <w:p w14:paraId="73CB13FE" w14:textId="77777777" w:rsidR="00EE54A7" w:rsidRPr="001C6D71" w:rsidRDefault="00EE54A7">
      <w:pPr>
        <w:pStyle w:val="Heading2"/>
        <w:spacing w:before="0" w:beforeAutospacing="0" w:after="0" w:afterAutospacing="0"/>
        <w:ind w:left="720" w:hanging="720"/>
        <w:rPr>
          <w:rFonts w:ascii="Garamond" w:hAnsi="Garamond"/>
          <w:b w:val="0"/>
          <w:sz w:val="24"/>
          <w:szCs w:val="24"/>
        </w:rPr>
      </w:pPr>
      <w:bookmarkStart w:id="3" w:name="_Toc411330010"/>
      <w:r w:rsidRPr="001C6D71">
        <w:rPr>
          <w:rFonts w:ascii="Garamond" w:hAnsi="Garamond"/>
          <w:sz w:val="24"/>
          <w:szCs w:val="24"/>
        </w:rPr>
        <w:t>Facility Background Information</w:t>
      </w:r>
      <w:bookmarkEnd w:id="3"/>
      <w:r w:rsidRPr="001C6D71">
        <w:rPr>
          <w:rFonts w:ascii="Garamond" w:hAnsi="Garamond"/>
          <w:sz w:val="24"/>
          <w:szCs w:val="24"/>
        </w:rPr>
        <w:t xml:space="preserve"> </w:t>
      </w:r>
    </w:p>
    <w:p w14:paraId="50CAF933" w14:textId="77777777" w:rsidR="00EE54A7" w:rsidRPr="00D77E6E" w:rsidRDefault="00EE54A7">
      <w:pPr>
        <w:rPr>
          <w:rFonts w:ascii="Garamond" w:hAnsi="Garamond"/>
          <w:highlight w:val="yellow"/>
        </w:rPr>
      </w:pPr>
    </w:p>
    <w:p w14:paraId="15C6F22C" w14:textId="77777777" w:rsidR="00EE54A7" w:rsidRPr="001C6D71" w:rsidRDefault="00E31622">
      <w:pPr>
        <w:ind w:left="360"/>
        <w:rPr>
          <w:rFonts w:ascii="Garamond" w:hAnsi="Garamond"/>
          <w:sz w:val="24"/>
          <w:szCs w:val="24"/>
          <w:highlight w:val="yellow"/>
          <w:u w:val="single"/>
        </w:rPr>
      </w:pPr>
      <w:r w:rsidRPr="001C6D71">
        <w:rPr>
          <w:rFonts w:ascii="Garamond" w:hAnsi="Garamond"/>
          <w:b/>
          <w:bCs/>
          <w:sz w:val="24"/>
          <w:szCs w:val="24"/>
          <w:u w:val="single"/>
        </w:rPr>
        <w:t>Montana Air Quality Permit (MAQP)</w:t>
      </w:r>
    </w:p>
    <w:p w14:paraId="0C4530E5" w14:textId="77777777" w:rsidR="00EE54A7" w:rsidRPr="00D77E6E" w:rsidRDefault="00EE54A7">
      <w:pPr>
        <w:pStyle w:val="Header"/>
        <w:tabs>
          <w:tab w:val="clear" w:pos="4320"/>
          <w:tab w:val="clear" w:pos="8640"/>
        </w:tabs>
        <w:rPr>
          <w:rFonts w:ascii="Garamond" w:hAnsi="Garamond"/>
          <w:highlight w:val="yellow"/>
        </w:rPr>
      </w:pPr>
    </w:p>
    <w:p w14:paraId="5571696D" w14:textId="31BE2D72" w:rsidR="00EE54A7" w:rsidRPr="001C6D71" w:rsidRDefault="00EE54A7">
      <w:pPr>
        <w:ind w:left="360"/>
        <w:rPr>
          <w:rFonts w:ascii="Garamond" w:hAnsi="Garamond"/>
          <w:sz w:val="24"/>
          <w:szCs w:val="24"/>
        </w:rPr>
      </w:pPr>
      <w:r w:rsidRPr="001C6D71">
        <w:rPr>
          <w:rFonts w:ascii="Garamond" w:hAnsi="Garamond"/>
          <w:sz w:val="24"/>
          <w:szCs w:val="24"/>
        </w:rPr>
        <w:t>On August 20, 1981, the Department of Environmental Quality (D</w:t>
      </w:r>
      <w:r w:rsidR="008305A0">
        <w:rPr>
          <w:rFonts w:ascii="Garamond" w:hAnsi="Garamond"/>
          <w:sz w:val="24"/>
          <w:szCs w:val="24"/>
        </w:rPr>
        <w:t>EQ</w:t>
      </w:r>
      <w:r w:rsidRPr="001C6D71">
        <w:rPr>
          <w:rFonts w:ascii="Garamond" w:hAnsi="Garamond"/>
          <w:sz w:val="24"/>
          <w:szCs w:val="24"/>
        </w:rPr>
        <w:t>) received an application from Montana Dakota Utilities (MDU) for the operation of two 3,370-Horsepower (</w:t>
      </w:r>
      <w:r w:rsidR="0086515A" w:rsidRPr="001C6D71">
        <w:rPr>
          <w:rFonts w:ascii="Garamond" w:hAnsi="Garamond"/>
          <w:sz w:val="24"/>
          <w:szCs w:val="24"/>
        </w:rPr>
        <w:t>h</w:t>
      </w:r>
      <w:r w:rsidRPr="001C6D71">
        <w:rPr>
          <w:rFonts w:ascii="Garamond" w:hAnsi="Garamond"/>
          <w:sz w:val="24"/>
          <w:szCs w:val="24"/>
        </w:rPr>
        <w:t xml:space="preserve">p) natural gas compressor engines to be located in Custer County, Montana.  The permit application was assigned </w:t>
      </w:r>
      <w:r w:rsidR="00D45103">
        <w:rPr>
          <w:rFonts w:ascii="Garamond" w:hAnsi="Garamond"/>
          <w:b/>
          <w:sz w:val="24"/>
          <w:szCs w:val="24"/>
        </w:rPr>
        <w:t>MAQP</w:t>
      </w:r>
      <w:r w:rsidR="00D45103" w:rsidRPr="001C6D71">
        <w:rPr>
          <w:rFonts w:ascii="Garamond" w:hAnsi="Garamond"/>
          <w:sz w:val="24"/>
          <w:szCs w:val="24"/>
        </w:rPr>
        <w:t xml:space="preserve"> </w:t>
      </w:r>
      <w:r w:rsidRPr="001C6D71">
        <w:rPr>
          <w:rFonts w:ascii="Garamond" w:hAnsi="Garamond"/>
          <w:b/>
          <w:sz w:val="24"/>
          <w:szCs w:val="24"/>
        </w:rPr>
        <w:t>#1628-00</w:t>
      </w:r>
      <w:r w:rsidRPr="001C6D71">
        <w:rPr>
          <w:rFonts w:ascii="Garamond" w:hAnsi="Garamond"/>
          <w:sz w:val="24"/>
          <w:szCs w:val="24"/>
        </w:rPr>
        <w:t xml:space="preserve">.  </w:t>
      </w:r>
      <w:r w:rsidR="00DD2D28">
        <w:rPr>
          <w:rFonts w:ascii="Garamond" w:hAnsi="Garamond"/>
          <w:sz w:val="24"/>
          <w:szCs w:val="24"/>
        </w:rPr>
        <w:t>MAQP</w:t>
      </w:r>
      <w:r w:rsidRPr="001C6D71">
        <w:rPr>
          <w:rFonts w:ascii="Garamond" w:hAnsi="Garamond"/>
          <w:sz w:val="24"/>
          <w:szCs w:val="24"/>
        </w:rPr>
        <w:t>#1628-00 became final on October 17, 1981.</w:t>
      </w:r>
    </w:p>
    <w:p w14:paraId="7AE66930" w14:textId="77777777" w:rsidR="00EE54A7" w:rsidRPr="00D77E6E" w:rsidRDefault="00EE54A7" w:rsidP="00220BD9">
      <w:pPr>
        <w:rPr>
          <w:rFonts w:ascii="Garamond" w:hAnsi="Garamond"/>
        </w:rPr>
      </w:pPr>
    </w:p>
    <w:p w14:paraId="745E5A89" w14:textId="779260E0" w:rsidR="00EE54A7" w:rsidRPr="001C6D71" w:rsidRDefault="00EE54A7">
      <w:pPr>
        <w:ind w:left="360"/>
        <w:rPr>
          <w:rFonts w:ascii="Garamond" w:hAnsi="Garamond"/>
          <w:sz w:val="24"/>
          <w:szCs w:val="24"/>
        </w:rPr>
      </w:pPr>
      <w:r w:rsidRPr="001C6D71">
        <w:rPr>
          <w:rFonts w:ascii="Garamond" w:hAnsi="Garamond"/>
          <w:sz w:val="24"/>
          <w:szCs w:val="24"/>
        </w:rPr>
        <w:t xml:space="preserve">On November 23, 1992, </w:t>
      </w:r>
      <w:r w:rsidR="004D3652">
        <w:rPr>
          <w:rFonts w:ascii="Garamond" w:hAnsi="Garamond"/>
          <w:sz w:val="24"/>
          <w:szCs w:val="24"/>
        </w:rPr>
        <w:t>DEQ</w:t>
      </w:r>
      <w:r w:rsidRPr="001C6D71">
        <w:rPr>
          <w:rFonts w:ascii="Garamond" w:hAnsi="Garamond"/>
          <w:sz w:val="24"/>
          <w:szCs w:val="24"/>
        </w:rPr>
        <w:t xml:space="preserve"> received a request from MDU and </w:t>
      </w:r>
      <w:r w:rsidR="00D4565E" w:rsidRPr="001C6D71">
        <w:rPr>
          <w:rFonts w:ascii="Garamond" w:hAnsi="Garamond"/>
          <w:sz w:val="24"/>
          <w:szCs w:val="24"/>
        </w:rPr>
        <w:t>Williston Basin Interstate Pipeline Company (</w:t>
      </w:r>
      <w:r w:rsidRPr="001C6D71">
        <w:rPr>
          <w:rFonts w:ascii="Garamond" w:hAnsi="Garamond"/>
          <w:sz w:val="24"/>
          <w:szCs w:val="24"/>
        </w:rPr>
        <w:t>WBI</w:t>
      </w:r>
      <w:r w:rsidR="00D4565E" w:rsidRPr="001C6D71">
        <w:rPr>
          <w:rFonts w:ascii="Garamond" w:hAnsi="Garamond"/>
          <w:sz w:val="24"/>
          <w:szCs w:val="24"/>
        </w:rPr>
        <w:t>PC)</w:t>
      </w:r>
      <w:r w:rsidRPr="001C6D71">
        <w:rPr>
          <w:rFonts w:ascii="Garamond" w:hAnsi="Garamond"/>
          <w:sz w:val="24"/>
          <w:szCs w:val="24"/>
        </w:rPr>
        <w:t xml:space="preserve"> to modify Permit #1628-00.  The modification transferred the permit from MDU to </w:t>
      </w:r>
      <w:r w:rsidR="00D4565E" w:rsidRPr="001C6D71">
        <w:rPr>
          <w:rFonts w:ascii="Garamond" w:hAnsi="Garamond"/>
          <w:sz w:val="24"/>
          <w:szCs w:val="24"/>
        </w:rPr>
        <w:t>WBIPC</w:t>
      </w:r>
      <w:r w:rsidRPr="001C6D71">
        <w:rPr>
          <w:rFonts w:ascii="Garamond" w:hAnsi="Garamond"/>
          <w:sz w:val="24"/>
          <w:szCs w:val="24"/>
        </w:rPr>
        <w:t xml:space="preserve">.  </w:t>
      </w:r>
      <w:r w:rsidR="00D45103">
        <w:rPr>
          <w:rFonts w:ascii="Garamond" w:hAnsi="Garamond"/>
          <w:b/>
          <w:sz w:val="24"/>
          <w:szCs w:val="24"/>
        </w:rPr>
        <w:t>MAQP</w:t>
      </w:r>
      <w:r w:rsidR="00D45103" w:rsidRPr="001C6D71">
        <w:rPr>
          <w:rFonts w:ascii="Garamond" w:hAnsi="Garamond"/>
          <w:b/>
          <w:sz w:val="24"/>
          <w:szCs w:val="24"/>
        </w:rPr>
        <w:t xml:space="preserve"> </w:t>
      </w:r>
      <w:r w:rsidRPr="001C6D71">
        <w:rPr>
          <w:rFonts w:ascii="Garamond" w:hAnsi="Garamond"/>
          <w:b/>
          <w:sz w:val="24"/>
          <w:szCs w:val="24"/>
        </w:rPr>
        <w:t>#1628-01</w:t>
      </w:r>
      <w:r w:rsidRPr="001C6D71">
        <w:rPr>
          <w:rFonts w:ascii="Garamond" w:hAnsi="Garamond"/>
          <w:sz w:val="24"/>
          <w:szCs w:val="24"/>
        </w:rPr>
        <w:t xml:space="preserve"> became final on January 22, 1993.  </w:t>
      </w:r>
      <w:r w:rsidR="00DD2D28">
        <w:rPr>
          <w:rFonts w:ascii="Garamond" w:hAnsi="Garamond"/>
          <w:sz w:val="24"/>
          <w:szCs w:val="24"/>
        </w:rPr>
        <w:t>MAQP</w:t>
      </w:r>
      <w:r w:rsidRPr="001C6D71">
        <w:rPr>
          <w:rFonts w:ascii="Garamond" w:hAnsi="Garamond"/>
          <w:sz w:val="24"/>
          <w:szCs w:val="24"/>
        </w:rPr>
        <w:t xml:space="preserve"> #1628-01 replaced </w:t>
      </w:r>
      <w:r w:rsidR="00DD2D28">
        <w:rPr>
          <w:rFonts w:ascii="Garamond" w:hAnsi="Garamond"/>
          <w:sz w:val="24"/>
          <w:szCs w:val="24"/>
        </w:rPr>
        <w:t>MAQP</w:t>
      </w:r>
      <w:r w:rsidRPr="001C6D71">
        <w:rPr>
          <w:rFonts w:ascii="Garamond" w:hAnsi="Garamond"/>
          <w:sz w:val="24"/>
          <w:szCs w:val="24"/>
        </w:rPr>
        <w:t xml:space="preserve"> #1628-00.</w:t>
      </w:r>
    </w:p>
    <w:p w14:paraId="62C41C99" w14:textId="77777777" w:rsidR="00EE54A7" w:rsidRPr="00D77E6E" w:rsidRDefault="00EE54A7" w:rsidP="00220BD9">
      <w:pPr>
        <w:rPr>
          <w:rFonts w:ascii="Garamond" w:hAnsi="Garamond"/>
        </w:rPr>
      </w:pPr>
    </w:p>
    <w:p w14:paraId="188A09E7" w14:textId="7697D590" w:rsidR="00EE54A7" w:rsidRPr="001C6D71" w:rsidRDefault="00EE54A7">
      <w:pPr>
        <w:ind w:left="360"/>
        <w:rPr>
          <w:rFonts w:ascii="Garamond" w:hAnsi="Garamond"/>
          <w:sz w:val="24"/>
          <w:szCs w:val="24"/>
        </w:rPr>
      </w:pPr>
      <w:r w:rsidRPr="001C6D71">
        <w:rPr>
          <w:rFonts w:ascii="Garamond" w:hAnsi="Garamond"/>
          <w:sz w:val="24"/>
          <w:szCs w:val="24"/>
        </w:rPr>
        <w:t xml:space="preserve">On February 26, 1993, </w:t>
      </w:r>
      <w:r w:rsidR="004D3652">
        <w:rPr>
          <w:rFonts w:ascii="Garamond" w:hAnsi="Garamond"/>
          <w:sz w:val="24"/>
          <w:szCs w:val="24"/>
        </w:rPr>
        <w:t>DEQ</w:t>
      </w:r>
      <w:r w:rsidRPr="001C6D71">
        <w:rPr>
          <w:rFonts w:ascii="Garamond" w:hAnsi="Garamond"/>
          <w:sz w:val="24"/>
          <w:szCs w:val="24"/>
        </w:rPr>
        <w:t xml:space="preserve"> received a letter from </w:t>
      </w:r>
      <w:r w:rsidR="00D4565E" w:rsidRPr="001C6D71">
        <w:rPr>
          <w:rFonts w:ascii="Garamond" w:hAnsi="Garamond"/>
          <w:sz w:val="24"/>
          <w:szCs w:val="24"/>
        </w:rPr>
        <w:t>WBIPC</w:t>
      </w:r>
      <w:r w:rsidRPr="001C6D71">
        <w:rPr>
          <w:rFonts w:ascii="Garamond" w:hAnsi="Garamond"/>
          <w:sz w:val="24"/>
          <w:szCs w:val="24"/>
        </w:rPr>
        <w:t xml:space="preserve"> requesting a modification to Permit #1628-01.  The modification correctly identified each of the two 3,730-</w:t>
      </w:r>
      <w:r w:rsidR="0086515A" w:rsidRPr="001C6D71">
        <w:rPr>
          <w:rFonts w:ascii="Garamond" w:hAnsi="Garamond"/>
          <w:sz w:val="24"/>
          <w:szCs w:val="24"/>
        </w:rPr>
        <w:t xml:space="preserve">hp </w:t>
      </w:r>
      <w:r w:rsidRPr="001C6D71">
        <w:rPr>
          <w:rFonts w:ascii="Garamond" w:hAnsi="Garamond"/>
          <w:sz w:val="24"/>
          <w:szCs w:val="24"/>
        </w:rPr>
        <w:t xml:space="preserve">units as turbines rather than reciprocating engines.  </w:t>
      </w:r>
      <w:r w:rsidR="00D45103">
        <w:rPr>
          <w:rFonts w:ascii="Garamond" w:hAnsi="Garamond"/>
          <w:b/>
          <w:sz w:val="24"/>
          <w:szCs w:val="24"/>
        </w:rPr>
        <w:t>MAQP</w:t>
      </w:r>
      <w:r w:rsidR="00D45103" w:rsidRPr="001C6D71">
        <w:rPr>
          <w:rFonts w:ascii="Garamond" w:hAnsi="Garamond"/>
          <w:sz w:val="24"/>
          <w:szCs w:val="24"/>
        </w:rPr>
        <w:t xml:space="preserve"> </w:t>
      </w:r>
      <w:r w:rsidRPr="001C6D71">
        <w:rPr>
          <w:rFonts w:ascii="Garamond" w:hAnsi="Garamond"/>
          <w:b/>
          <w:sz w:val="24"/>
          <w:szCs w:val="24"/>
        </w:rPr>
        <w:t>#1628-02</w:t>
      </w:r>
      <w:r w:rsidRPr="001C6D71">
        <w:rPr>
          <w:rFonts w:ascii="Garamond" w:hAnsi="Garamond"/>
          <w:sz w:val="24"/>
          <w:szCs w:val="24"/>
        </w:rPr>
        <w:t xml:space="preserve"> became final on May 7, 1993.  </w:t>
      </w:r>
      <w:r w:rsidR="00DD2D28">
        <w:rPr>
          <w:rFonts w:ascii="Garamond" w:hAnsi="Garamond"/>
          <w:sz w:val="24"/>
          <w:szCs w:val="24"/>
        </w:rPr>
        <w:t>MAQP</w:t>
      </w:r>
      <w:r w:rsidR="00DD2D28" w:rsidRPr="001C6D71">
        <w:rPr>
          <w:rFonts w:ascii="Garamond" w:hAnsi="Garamond"/>
          <w:sz w:val="24"/>
          <w:szCs w:val="24"/>
        </w:rPr>
        <w:t xml:space="preserve"> </w:t>
      </w:r>
      <w:r w:rsidRPr="001C6D71">
        <w:rPr>
          <w:rFonts w:ascii="Garamond" w:hAnsi="Garamond"/>
          <w:sz w:val="24"/>
          <w:szCs w:val="24"/>
        </w:rPr>
        <w:t xml:space="preserve">#1628-02 replaced </w:t>
      </w:r>
      <w:r w:rsidR="00DD2D28">
        <w:rPr>
          <w:rFonts w:ascii="Garamond" w:hAnsi="Garamond"/>
          <w:sz w:val="24"/>
          <w:szCs w:val="24"/>
        </w:rPr>
        <w:t>MAQP</w:t>
      </w:r>
      <w:r w:rsidR="00DD2D28" w:rsidRPr="001C6D71">
        <w:rPr>
          <w:rFonts w:ascii="Garamond" w:hAnsi="Garamond"/>
          <w:sz w:val="24"/>
          <w:szCs w:val="24"/>
        </w:rPr>
        <w:t xml:space="preserve"> </w:t>
      </w:r>
      <w:r w:rsidRPr="001C6D71">
        <w:rPr>
          <w:rFonts w:ascii="Garamond" w:hAnsi="Garamond"/>
          <w:sz w:val="24"/>
          <w:szCs w:val="24"/>
        </w:rPr>
        <w:t>#1628-01.</w:t>
      </w:r>
    </w:p>
    <w:p w14:paraId="02AAA11D" w14:textId="77777777" w:rsidR="00EE54A7" w:rsidRPr="00D77E6E" w:rsidRDefault="00EE54A7" w:rsidP="00220BD9">
      <w:pPr>
        <w:rPr>
          <w:rFonts w:ascii="Garamond" w:hAnsi="Garamond"/>
        </w:rPr>
      </w:pPr>
    </w:p>
    <w:p w14:paraId="66F37FDE" w14:textId="37568F30" w:rsidR="00EE54A7" w:rsidRDefault="00EE54A7">
      <w:pPr>
        <w:ind w:left="360"/>
        <w:rPr>
          <w:rFonts w:ascii="Garamond" w:hAnsi="Garamond"/>
          <w:sz w:val="24"/>
          <w:szCs w:val="24"/>
        </w:rPr>
      </w:pPr>
      <w:r w:rsidRPr="001C6D71">
        <w:rPr>
          <w:rFonts w:ascii="Garamond" w:eastAsia="MS Mincho" w:hAnsi="Garamond"/>
          <w:sz w:val="24"/>
          <w:szCs w:val="24"/>
        </w:rPr>
        <w:t xml:space="preserve">On October 17, 2002, </w:t>
      </w:r>
      <w:r w:rsidR="004D3652">
        <w:rPr>
          <w:rFonts w:ascii="Garamond" w:eastAsia="MS Mincho" w:hAnsi="Garamond"/>
          <w:sz w:val="24"/>
          <w:szCs w:val="24"/>
        </w:rPr>
        <w:t>DEQ</w:t>
      </w:r>
      <w:r w:rsidRPr="001C6D71">
        <w:rPr>
          <w:rFonts w:ascii="Garamond" w:eastAsia="MS Mincho" w:hAnsi="Garamond"/>
          <w:sz w:val="24"/>
          <w:szCs w:val="24"/>
        </w:rPr>
        <w:t xml:space="preserve"> received an application from </w:t>
      </w:r>
      <w:r w:rsidR="00D4565E" w:rsidRPr="001C6D71">
        <w:rPr>
          <w:rFonts w:ascii="Garamond" w:eastAsia="MS Mincho" w:hAnsi="Garamond"/>
          <w:sz w:val="24"/>
          <w:szCs w:val="24"/>
        </w:rPr>
        <w:t>WBIPC</w:t>
      </w:r>
      <w:r w:rsidRPr="001C6D71">
        <w:rPr>
          <w:rFonts w:ascii="Garamond" w:eastAsia="MS Mincho" w:hAnsi="Garamond"/>
          <w:sz w:val="24"/>
          <w:szCs w:val="24"/>
        </w:rPr>
        <w:t xml:space="preserve"> requesting a </w:t>
      </w:r>
      <w:r w:rsidR="00D4565E" w:rsidRPr="001C6D71">
        <w:rPr>
          <w:rFonts w:ascii="Garamond" w:eastAsia="MS Mincho" w:hAnsi="Garamond"/>
          <w:sz w:val="24"/>
          <w:szCs w:val="24"/>
        </w:rPr>
        <w:t>modification</w:t>
      </w:r>
      <w:r w:rsidRPr="001C6D71">
        <w:rPr>
          <w:rFonts w:ascii="Garamond" w:eastAsia="MS Mincho" w:hAnsi="Garamond"/>
          <w:sz w:val="24"/>
          <w:szCs w:val="24"/>
        </w:rPr>
        <w:t xml:space="preserve"> to Permit #1628-02.  The </w:t>
      </w:r>
      <w:r w:rsidR="00D4565E" w:rsidRPr="001C6D71">
        <w:rPr>
          <w:rFonts w:ascii="Garamond" w:eastAsia="MS Mincho" w:hAnsi="Garamond"/>
          <w:sz w:val="24"/>
          <w:szCs w:val="24"/>
        </w:rPr>
        <w:t>modification</w:t>
      </w:r>
      <w:r w:rsidRPr="001C6D71">
        <w:rPr>
          <w:rFonts w:ascii="Garamond" w:eastAsia="MS Mincho" w:hAnsi="Garamond"/>
          <w:sz w:val="24"/>
          <w:szCs w:val="24"/>
        </w:rPr>
        <w:t xml:space="preserve"> replaced the existing 3,730-</w:t>
      </w:r>
      <w:r w:rsidR="0086515A" w:rsidRPr="001C6D71">
        <w:rPr>
          <w:rFonts w:ascii="Garamond" w:eastAsia="MS Mincho" w:hAnsi="Garamond"/>
          <w:sz w:val="24"/>
          <w:szCs w:val="24"/>
        </w:rPr>
        <w:t xml:space="preserve">hp </w:t>
      </w:r>
      <w:r w:rsidRPr="001C6D71">
        <w:rPr>
          <w:rFonts w:ascii="Garamond" w:eastAsia="MS Mincho" w:hAnsi="Garamond"/>
          <w:sz w:val="24"/>
          <w:szCs w:val="24"/>
        </w:rPr>
        <w:t>Solar Centaur turbine (</w:t>
      </w:r>
      <w:r w:rsidR="00CF0783" w:rsidRPr="001C6D71">
        <w:rPr>
          <w:rFonts w:ascii="Garamond" w:eastAsia="MS Mincho" w:hAnsi="Garamond"/>
          <w:sz w:val="24"/>
          <w:szCs w:val="24"/>
        </w:rPr>
        <w:t>Unit</w:t>
      </w:r>
      <w:r w:rsidRPr="001C6D71">
        <w:rPr>
          <w:rFonts w:ascii="Garamond" w:eastAsia="MS Mincho" w:hAnsi="Garamond"/>
          <w:sz w:val="24"/>
          <w:szCs w:val="24"/>
        </w:rPr>
        <w:t xml:space="preserve"> #02) with a refurbished 3,730-</w:t>
      </w:r>
      <w:r w:rsidR="0086515A" w:rsidRPr="001C6D71">
        <w:rPr>
          <w:rFonts w:ascii="Garamond" w:eastAsia="MS Mincho" w:hAnsi="Garamond"/>
          <w:sz w:val="24"/>
          <w:szCs w:val="24"/>
        </w:rPr>
        <w:t xml:space="preserve">hp </w:t>
      </w:r>
      <w:r w:rsidRPr="001C6D71">
        <w:rPr>
          <w:rFonts w:ascii="Garamond" w:eastAsia="MS Mincho" w:hAnsi="Garamond"/>
          <w:sz w:val="24"/>
          <w:szCs w:val="24"/>
        </w:rPr>
        <w:t xml:space="preserve">Solar Centaur turbine (new </w:t>
      </w:r>
      <w:r w:rsidR="00CF0783" w:rsidRPr="001C6D71">
        <w:rPr>
          <w:rFonts w:ascii="Garamond" w:eastAsia="MS Mincho" w:hAnsi="Garamond"/>
          <w:sz w:val="24"/>
          <w:szCs w:val="24"/>
        </w:rPr>
        <w:t>Unit</w:t>
      </w:r>
      <w:r w:rsidRPr="001C6D71">
        <w:rPr>
          <w:rFonts w:ascii="Garamond" w:eastAsia="MS Mincho" w:hAnsi="Garamond"/>
          <w:sz w:val="24"/>
          <w:szCs w:val="24"/>
        </w:rPr>
        <w:t xml:space="preserve"> #</w:t>
      </w:r>
      <w:r w:rsidR="007064C7" w:rsidRPr="001C6D71">
        <w:rPr>
          <w:rFonts w:ascii="Garamond" w:eastAsia="MS Mincho" w:hAnsi="Garamond"/>
          <w:sz w:val="24"/>
          <w:szCs w:val="24"/>
        </w:rPr>
        <w:t>0</w:t>
      </w:r>
      <w:r w:rsidRPr="001C6D71">
        <w:rPr>
          <w:rFonts w:ascii="Garamond" w:eastAsia="MS Mincho" w:hAnsi="Garamond"/>
          <w:sz w:val="24"/>
          <w:szCs w:val="24"/>
        </w:rPr>
        <w:t>2).  In addition, emission limits and testing requirements were added to the permit for the refurbished 3,730-</w:t>
      </w:r>
      <w:r w:rsidR="0086515A" w:rsidRPr="001C6D71">
        <w:rPr>
          <w:rFonts w:ascii="Garamond" w:eastAsia="MS Mincho" w:hAnsi="Garamond"/>
          <w:sz w:val="24"/>
          <w:szCs w:val="24"/>
        </w:rPr>
        <w:t xml:space="preserve">hp </w:t>
      </w:r>
      <w:r w:rsidRPr="001C6D71">
        <w:rPr>
          <w:rFonts w:ascii="Garamond" w:eastAsia="MS Mincho" w:hAnsi="Garamond"/>
          <w:sz w:val="24"/>
          <w:szCs w:val="24"/>
        </w:rPr>
        <w:t>Solar Centaur turbine (</w:t>
      </w:r>
      <w:r w:rsidR="00CF0783" w:rsidRPr="001C6D71">
        <w:rPr>
          <w:rFonts w:ascii="Garamond" w:eastAsia="MS Mincho" w:hAnsi="Garamond"/>
          <w:sz w:val="24"/>
          <w:szCs w:val="24"/>
        </w:rPr>
        <w:t>Unit</w:t>
      </w:r>
      <w:r w:rsidRPr="001C6D71">
        <w:rPr>
          <w:rFonts w:ascii="Garamond" w:eastAsia="MS Mincho" w:hAnsi="Garamond"/>
          <w:sz w:val="24"/>
          <w:szCs w:val="24"/>
        </w:rPr>
        <w:t xml:space="preserve"> #</w:t>
      </w:r>
      <w:r w:rsidR="007064C7" w:rsidRPr="001C6D71">
        <w:rPr>
          <w:rFonts w:ascii="Garamond" w:eastAsia="MS Mincho" w:hAnsi="Garamond"/>
          <w:sz w:val="24"/>
          <w:szCs w:val="24"/>
        </w:rPr>
        <w:t>0</w:t>
      </w:r>
      <w:r w:rsidRPr="001C6D71">
        <w:rPr>
          <w:rFonts w:ascii="Garamond" w:eastAsia="MS Mincho" w:hAnsi="Garamond"/>
          <w:sz w:val="24"/>
          <w:szCs w:val="24"/>
        </w:rPr>
        <w:t xml:space="preserve">2) per </w:t>
      </w:r>
      <w:r w:rsidR="0086515A" w:rsidRPr="001C6D71">
        <w:rPr>
          <w:rFonts w:ascii="Garamond" w:eastAsia="MS Mincho" w:hAnsi="Garamond"/>
          <w:sz w:val="24"/>
          <w:szCs w:val="24"/>
        </w:rPr>
        <w:t>the Administrative Rules of Montana (</w:t>
      </w:r>
      <w:r w:rsidRPr="001C6D71">
        <w:rPr>
          <w:rFonts w:ascii="Garamond" w:eastAsia="MS Mincho" w:hAnsi="Garamond"/>
          <w:sz w:val="24"/>
          <w:szCs w:val="24"/>
        </w:rPr>
        <w:t>ARM</w:t>
      </w:r>
      <w:r w:rsidR="0086515A" w:rsidRPr="001C6D71">
        <w:rPr>
          <w:rFonts w:ascii="Garamond" w:eastAsia="MS Mincho" w:hAnsi="Garamond"/>
          <w:sz w:val="24"/>
          <w:szCs w:val="24"/>
        </w:rPr>
        <w:t>)</w:t>
      </w:r>
      <w:r w:rsidRPr="001C6D71">
        <w:rPr>
          <w:rFonts w:ascii="Garamond" w:eastAsia="MS Mincho" w:hAnsi="Garamond"/>
          <w:sz w:val="24"/>
          <w:szCs w:val="24"/>
        </w:rPr>
        <w:t xml:space="preserve"> 17.8.715, as well as the existing 3,370-</w:t>
      </w:r>
      <w:r w:rsidR="0086515A" w:rsidRPr="001C6D71">
        <w:rPr>
          <w:rFonts w:ascii="Garamond" w:eastAsia="MS Mincho" w:hAnsi="Garamond"/>
          <w:sz w:val="24"/>
          <w:szCs w:val="24"/>
        </w:rPr>
        <w:t>h</w:t>
      </w:r>
      <w:r w:rsidRPr="001C6D71">
        <w:rPr>
          <w:rFonts w:ascii="Garamond" w:eastAsia="MS Mincho" w:hAnsi="Garamond"/>
          <w:sz w:val="24"/>
          <w:szCs w:val="24"/>
        </w:rPr>
        <w:t>p Solar Centaur turbine (</w:t>
      </w:r>
      <w:r w:rsidR="00CF0783" w:rsidRPr="001C6D71">
        <w:rPr>
          <w:rFonts w:ascii="Garamond" w:eastAsia="MS Mincho" w:hAnsi="Garamond"/>
          <w:sz w:val="24"/>
          <w:szCs w:val="24"/>
        </w:rPr>
        <w:t>Unit</w:t>
      </w:r>
      <w:r w:rsidRPr="001C6D71">
        <w:rPr>
          <w:rFonts w:ascii="Garamond" w:eastAsia="MS Mincho" w:hAnsi="Garamond"/>
          <w:sz w:val="24"/>
          <w:szCs w:val="24"/>
        </w:rPr>
        <w:t xml:space="preserve"> #01) as requested by </w:t>
      </w:r>
      <w:r w:rsidR="00D4565E" w:rsidRPr="001C6D71">
        <w:rPr>
          <w:rFonts w:ascii="Garamond" w:eastAsia="MS Mincho" w:hAnsi="Garamond"/>
          <w:sz w:val="24"/>
          <w:szCs w:val="24"/>
        </w:rPr>
        <w:t>WBIPC</w:t>
      </w:r>
      <w:r w:rsidRPr="001C6D71">
        <w:rPr>
          <w:rFonts w:ascii="Garamond" w:eastAsia="MS Mincho" w:hAnsi="Garamond"/>
          <w:sz w:val="24"/>
          <w:szCs w:val="24"/>
        </w:rPr>
        <w:t xml:space="preserve">.  Further, </w:t>
      </w:r>
      <w:r w:rsidRPr="001C6D71">
        <w:rPr>
          <w:rFonts w:ascii="Garamond" w:hAnsi="Garamond"/>
          <w:sz w:val="24"/>
          <w:szCs w:val="24"/>
        </w:rPr>
        <w:t xml:space="preserve">the </w:t>
      </w:r>
      <w:r w:rsidRPr="001C6D71">
        <w:rPr>
          <w:rFonts w:ascii="Garamond" w:hAnsi="Garamond"/>
          <w:sz w:val="24"/>
          <w:szCs w:val="24"/>
        </w:rPr>
        <w:lastRenderedPageBreak/>
        <w:t xml:space="preserve">permit was updated to reflect current </w:t>
      </w:r>
      <w:r w:rsidR="008305A0">
        <w:rPr>
          <w:rFonts w:ascii="Garamond" w:hAnsi="Garamond"/>
          <w:sz w:val="24"/>
          <w:szCs w:val="24"/>
        </w:rPr>
        <w:t>DEQ</w:t>
      </w:r>
      <w:r w:rsidRPr="001C6D71">
        <w:rPr>
          <w:rFonts w:ascii="Garamond" w:hAnsi="Garamond"/>
          <w:sz w:val="24"/>
          <w:szCs w:val="24"/>
        </w:rPr>
        <w:t xml:space="preserve"> permit format and permit language.  On December 18, 2002, </w:t>
      </w:r>
      <w:r w:rsidR="00D45103">
        <w:rPr>
          <w:rFonts w:ascii="Garamond" w:hAnsi="Garamond"/>
          <w:b/>
          <w:sz w:val="24"/>
          <w:szCs w:val="24"/>
        </w:rPr>
        <w:t>MAQP</w:t>
      </w:r>
      <w:r w:rsidR="00D45103" w:rsidRPr="001C6D71">
        <w:rPr>
          <w:rFonts w:ascii="Garamond" w:hAnsi="Garamond"/>
          <w:sz w:val="24"/>
          <w:szCs w:val="24"/>
        </w:rPr>
        <w:t xml:space="preserve"> </w:t>
      </w:r>
      <w:r w:rsidRPr="001C6D71">
        <w:rPr>
          <w:rFonts w:ascii="Garamond" w:hAnsi="Garamond"/>
          <w:b/>
          <w:sz w:val="24"/>
          <w:szCs w:val="24"/>
        </w:rPr>
        <w:t>#1628-03</w:t>
      </w:r>
      <w:r w:rsidRPr="001C6D71">
        <w:rPr>
          <w:rFonts w:ascii="Garamond" w:hAnsi="Garamond"/>
          <w:sz w:val="24"/>
          <w:szCs w:val="24"/>
        </w:rPr>
        <w:t xml:space="preserve"> replaced </w:t>
      </w:r>
      <w:r w:rsidR="00DD2D28">
        <w:rPr>
          <w:rFonts w:ascii="Garamond" w:hAnsi="Garamond"/>
          <w:sz w:val="24"/>
          <w:szCs w:val="24"/>
        </w:rPr>
        <w:t>MAQP</w:t>
      </w:r>
      <w:r w:rsidR="00DD2D28" w:rsidRPr="001C6D71">
        <w:rPr>
          <w:rFonts w:ascii="Garamond" w:hAnsi="Garamond"/>
          <w:sz w:val="24"/>
          <w:szCs w:val="24"/>
        </w:rPr>
        <w:t xml:space="preserve"> </w:t>
      </w:r>
      <w:r w:rsidRPr="001C6D71">
        <w:rPr>
          <w:rFonts w:ascii="Garamond" w:hAnsi="Garamond"/>
          <w:sz w:val="24"/>
          <w:szCs w:val="24"/>
        </w:rPr>
        <w:t>#1628-02.</w:t>
      </w:r>
    </w:p>
    <w:p w14:paraId="267D598B" w14:textId="77777777" w:rsidR="00946F0F" w:rsidRDefault="00946F0F">
      <w:pPr>
        <w:ind w:left="360"/>
        <w:rPr>
          <w:rFonts w:ascii="Garamond" w:eastAsia="MS Mincho" w:hAnsi="Garamond"/>
          <w:sz w:val="24"/>
          <w:szCs w:val="24"/>
        </w:rPr>
      </w:pPr>
    </w:p>
    <w:p w14:paraId="31E0F793" w14:textId="53106297" w:rsidR="00DD2D28" w:rsidRPr="00DD2D28" w:rsidRDefault="00DD2D28">
      <w:pPr>
        <w:ind w:left="360"/>
        <w:rPr>
          <w:rFonts w:ascii="Garamond" w:hAnsi="Garamond"/>
          <w:sz w:val="24"/>
          <w:szCs w:val="24"/>
        </w:rPr>
      </w:pPr>
      <w:r w:rsidRPr="0095300F">
        <w:rPr>
          <w:rFonts w:ascii="Garamond" w:eastAsia="MS Mincho" w:hAnsi="Garamond"/>
          <w:sz w:val="24"/>
          <w:szCs w:val="24"/>
        </w:rPr>
        <w:t>On December 4, 2012, the Montana Department of Environmental Quality – Air Resources Management Bureau (</w:t>
      </w:r>
      <w:r w:rsidR="008305A0">
        <w:rPr>
          <w:rFonts w:ascii="Garamond" w:eastAsia="MS Mincho" w:hAnsi="Garamond"/>
          <w:sz w:val="24"/>
          <w:szCs w:val="24"/>
        </w:rPr>
        <w:t>DEQ</w:t>
      </w:r>
      <w:r w:rsidRPr="0095300F">
        <w:rPr>
          <w:rFonts w:ascii="Garamond" w:eastAsia="MS Mincho" w:hAnsi="Garamond"/>
          <w:sz w:val="24"/>
          <w:szCs w:val="24"/>
        </w:rPr>
        <w:t>) received correspondence from WBI as notification of a change in company name from Williston Basin Interstate Pipeline Company to WBI Energy</w:t>
      </w:r>
      <w:r>
        <w:rPr>
          <w:rFonts w:ascii="Garamond" w:eastAsia="MS Mincho" w:hAnsi="Garamond"/>
          <w:sz w:val="24"/>
          <w:szCs w:val="24"/>
        </w:rPr>
        <w:t xml:space="preserve"> Transmission, Inc.  This </w:t>
      </w:r>
      <w:r w:rsidRPr="0095300F">
        <w:rPr>
          <w:rFonts w:ascii="Garamond" w:eastAsia="MS Mincho" w:hAnsi="Garamond"/>
          <w:sz w:val="24"/>
          <w:szCs w:val="24"/>
        </w:rPr>
        <w:t>permit ac</w:t>
      </w:r>
      <w:r w:rsidRPr="00DD2D28">
        <w:rPr>
          <w:rFonts w:ascii="Garamond" w:eastAsia="MS Mincho" w:hAnsi="Garamond"/>
          <w:sz w:val="24"/>
          <w:szCs w:val="24"/>
        </w:rPr>
        <w:t>tion reflect</w:t>
      </w:r>
      <w:r>
        <w:rPr>
          <w:rFonts w:ascii="Garamond" w:eastAsia="MS Mincho" w:hAnsi="Garamond"/>
          <w:sz w:val="24"/>
          <w:szCs w:val="24"/>
        </w:rPr>
        <w:t>ed</w:t>
      </w:r>
      <w:r w:rsidRPr="0095300F">
        <w:rPr>
          <w:rFonts w:ascii="Garamond" w:eastAsia="MS Mincho" w:hAnsi="Garamond"/>
          <w:sz w:val="24"/>
          <w:szCs w:val="24"/>
        </w:rPr>
        <w:t xml:space="preserve"> this change in</w:t>
      </w:r>
      <w:r w:rsidRPr="00DD2D28">
        <w:rPr>
          <w:rFonts w:ascii="Garamond" w:eastAsia="MS Mincho" w:hAnsi="Garamond"/>
          <w:sz w:val="24"/>
          <w:szCs w:val="24"/>
        </w:rPr>
        <w:t xml:space="preserve"> company name as well as update</w:t>
      </w:r>
      <w:r>
        <w:rPr>
          <w:rFonts w:ascii="Garamond" w:eastAsia="MS Mincho" w:hAnsi="Garamond"/>
          <w:sz w:val="24"/>
          <w:szCs w:val="24"/>
        </w:rPr>
        <w:t>d</w:t>
      </w:r>
      <w:r w:rsidRPr="0095300F">
        <w:rPr>
          <w:rFonts w:ascii="Garamond" w:eastAsia="MS Mincho" w:hAnsi="Garamond"/>
          <w:sz w:val="24"/>
          <w:szCs w:val="24"/>
        </w:rPr>
        <w:t xml:space="preserve"> the MAQP </w:t>
      </w:r>
      <w:r w:rsidRPr="0095300F">
        <w:rPr>
          <w:rFonts w:ascii="Garamond" w:hAnsi="Garamond"/>
          <w:sz w:val="24"/>
          <w:szCs w:val="24"/>
        </w:rPr>
        <w:t xml:space="preserve">to reflect current </w:t>
      </w:r>
      <w:r w:rsidR="008305A0">
        <w:rPr>
          <w:rFonts w:ascii="Garamond" w:hAnsi="Garamond"/>
          <w:sz w:val="24"/>
          <w:szCs w:val="24"/>
        </w:rPr>
        <w:t>DEQ</w:t>
      </w:r>
      <w:r w:rsidRPr="0095300F">
        <w:rPr>
          <w:rFonts w:ascii="Garamond" w:hAnsi="Garamond"/>
          <w:sz w:val="24"/>
          <w:szCs w:val="24"/>
        </w:rPr>
        <w:t xml:space="preserve"> format, rule references, and language</w:t>
      </w:r>
      <w:r>
        <w:rPr>
          <w:rFonts w:ascii="Garamond" w:hAnsi="Garamond"/>
          <w:sz w:val="24"/>
          <w:szCs w:val="24"/>
        </w:rPr>
        <w:t xml:space="preserve">. </w:t>
      </w:r>
      <w:r>
        <w:rPr>
          <w:rFonts w:ascii="Garamond" w:eastAsia="MS Mincho" w:hAnsi="Garamond"/>
          <w:sz w:val="24"/>
          <w:szCs w:val="24"/>
        </w:rPr>
        <w:t xml:space="preserve">On February </w:t>
      </w:r>
      <w:r w:rsidR="007D5962">
        <w:rPr>
          <w:rFonts w:ascii="Garamond" w:eastAsia="MS Mincho" w:hAnsi="Garamond"/>
          <w:sz w:val="24"/>
          <w:szCs w:val="24"/>
        </w:rPr>
        <w:t>1</w:t>
      </w:r>
      <w:r>
        <w:rPr>
          <w:rFonts w:ascii="Garamond" w:eastAsia="MS Mincho" w:hAnsi="Garamond"/>
          <w:sz w:val="24"/>
          <w:szCs w:val="24"/>
        </w:rPr>
        <w:t xml:space="preserve">2, 2013, </w:t>
      </w:r>
      <w:r w:rsidRPr="0095300F">
        <w:rPr>
          <w:rFonts w:ascii="Garamond" w:eastAsia="MS Mincho" w:hAnsi="Garamond"/>
          <w:b/>
          <w:sz w:val="24"/>
          <w:szCs w:val="24"/>
        </w:rPr>
        <w:t>MAQP #1628-04</w:t>
      </w:r>
      <w:r>
        <w:rPr>
          <w:rFonts w:ascii="Garamond" w:eastAsia="MS Mincho" w:hAnsi="Garamond"/>
          <w:sz w:val="24"/>
          <w:szCs w:val="24"/>
        </w:rPr>
        <w:t xml:space="preserve"> replaced MAQP #1628-03.</w:t>
      </w:r>
    </w:p>
    <w:p w14:paraId="1E868038" w14:textId="77777777" w:rsidR="00690D2A" w:rsidRPr="001C6D71" w:rsidRDefault="00690D2A">
      <w:pPr>
        <w:rPr>
          <w:rFonts w:ascii="Garamond" w:hAnsi="Garamond"/>
          <w:sz w:val="24"/>
          <w:szCs w:val="24"/>
          <w:highlight w:val="yellow"/>
        </w:rPr>
      </w:pPr>
    </w:p>
    <w:p w14:paraId="28F1B891" w14:textId="77777777" w:rsidR="00EE54A7" w:rsidRPr="001C6D71" w:rsidRDefault="00EE54A7">
      <w:pPr>
        <w:ind w:left="360"/>
        <w:rPr>
          <w:rFonts w:ascii="Garamond" w:hAnsi="Garamond"/>
          <w:b/>
          <w:bCs/>
          <w:sz w:val="24"/>
          <w:szCs w:val="24"/>
          <w:highlight w:val="yellow"/>
        </w:rPr>
      </w:pPr>
      <w:r w:rsidRPr="001C6D71">
        <w:rPr>
          <w:rFonts w:ascii="Garamond" w:hAnsi="Garamond"/>
          <w:b/>
          <w:bCs/>
          <w:sz w:val="24"/>
          <w:szCs w:val="24"/>
          <w:u w:val="single"/>
        </w:rPr>
        <w:t xml:space="preserve">Title V Operating Permit </w:t>
      </w:r>
    </w:p>
    <w:p w14:paraId="5C424C72" w14:textId="77777777" w:rsidR="00EE54A7" w:rsidRPr="001C6D71" w:rsidRDefault="00EE54A7" w:rsidP="00220BD9">
      <w:pPr>
        <w:rPr>
          <w:rFonts w:ascii="Garamond" w:hAnsi="Garamond"/>
          <w:sz w:val="24"/>
          <w:szCs w:val="24"/>
        </w:rPr>
      </w:pPr>
    </w:p>
    <w:p w14:paraId="767B8CF9" w14:textId="76EF56EF" w:rsidR="00EE54A7" w:rsidRPr="001C6D71" w:rsidRDefault="00EE54A7">
      <w:pPr>
        <w:ind w:left="360"/>
        <w:rPr>
          <w:rFonts w:ascii="Garamond" w:hAnsi="Garamond"/>
          <w:sz w:val="24"/>
          <w:szCs w:val="24"/>
        </w:rPr>
      </w:pPr>
      <w:r w:rsidRPr="001C6D71">
        <w:rPr>
          <w:rFonts w:ascii="Garamond" w:hAnsi="Garamond"/>
          <w:sz w:val="24"/>
          <w:szCs w:val="24"/>
        </w:rPr>
        <w:t xml:space="preserve">On June 12, 1996, </w:t>
      </w:r>
      <w:r w:rsidR="004D3652">
        <w:rPr>
          <w:rFonts w:ascii="Garamond" w:hAnsi="Garamond"/>
          <w:sz w:val="24"/>
          <w:szCs w:val="24"/>
        </w:rPr>
        <w:t>DEQ</w:t>
      </w:r>
      <w:r w:rsidRPr="001C6D71">
        <w:rPr>
          <w:rFonts w:ascii="Garamond" w:hAnsi="Garamond"/>
          <w:sz w:val="24"/>
          <w:szCs w:val="24"/>
        </w:rPr>
        <w:t xml:space="preserve"> received an operating permit application for the Hathaway Station.  The permit application was deemed administratively complete on July 12, 1996, and the application was deemed technically complete on August 12, 1996.  </w:t>
      </w:r>
      <w:r w:rsidR="005B77E7" w:rsidRPr="001C6D71">
        <w:rPr>
          <w:rFonts w:ascii="Garamond" w:hAnsi="Garamond"/>
          <w:b/>
          <w:sz w:val="24"/>
          <w:szCs w:val="24"/>
        </w:rPr>
        <w:t xml:space="preserve">Operating </w:t>
      </w:r>
      <w:r w:rsidRPr="001C6D71">
        <w:rPr>
          <w:rFonts w:ascii="Garamond" w:hAnsi="Garamond"/>
          <w:b/>
          <w:sz w:val="24"/>
          <w:szCs w:val="24"/>
        </w:rPr>
        <w:t>Permit</w:t>
      </w:r>
      <w:r w:rsidRPr="001C6D71">
        <w:rPr>
          <w:rFonts w:ascii="Garamond" w:hAnsi="Garamond"/>
          <w:sz w:val="24"/>
          <w:szCs w:val="24"/>
        </w:rPr>
        <w:t xml:space="preserve"> </w:t>
      </w:r>
      <w:r w:rsidRPr="001C6D71">
        <w:rPr>
          <w:rFonts w:ascii="Garamond" w:hAnsi="Garamond"/>
          <w:b/>
          <w:sz w:val="24"/>
          <w:szCs w:val="24"/>
        </w:rPr>
        <w:t>#OP1628-00</w:t>
      </w:r>
      <w:r w:rsidRPr="001C6D71">
        <w:rPr>
          <w:rFonts w:ascii="Garamond" w:hAnsi="Garamond"/>
          <w:sz w:val="24"/>
          <w:szCs w:val="24"/>
        </w:rPr>
        <w:t xml:space="preserve"> became final and effective on September 9, 1998.</w:t>
      </w:r>
    </w:p>
    <w:p w14:paraId="7CDC2B4F" w14:textId="77777777" w:rsidR="00EE54A7" w:rsidRPr="001C6D71" w:rsidRDefault="00EE54A7" w:rsidP="00220BD9">
      <w:pPr>
        <w:rPr>
          <w:rFonts w:ascii="Garamond" w:hAnsi="Garamond"/>
          <w:sz w:val="24"/>
          <w:szCs w:val="24"/>
        </w:rPr>
      </w:pPr>
    </w:p>
    <w:p w14:paraId="25766379" w14:textId="56E717CB" w:rsidR="00EE54A7" w:rsidRPr="001C6D71" w:rsidRDefault="00EE54A7">
      <w:pPr>
        <w:ind w:left="360"/>
        <w:rPr>
          <w:rFonts w:ascii="Garamond" w:hAnsi="Garamond"/>
          <w:sz w:val="24"/>
          <w:szCs w:val="24"/>
        </w:rPr>
      </w:pPr>
      <w:r w:rsidRPr="001C6D71">
        <w:rPr>
          <w:rFonts w:ascii="Garamond" w:hAnsi="Garamond"/>
          <w:sz w:val="24"/>
          <w:szCs w:val="24"/>
        </w:rPr>
        <w:t xml:space="preserve">On February 4, 1999, </w:t>
      </w:r>
      <w:r w:rsidR="004D3652">
        <w:rPr>
          <w:rFonts w:ascii="Garamond" w:hAnsi="Garamond"/>
          <w:sz w:val="24"/>
          <w:szCs w:val="24"/>
        </w:rPr>
        <w:t>DEQ</w:t>
      </w:r>
      <w:r w:rsidRPr="001C6D71">
        <w:rPr>
          <w:rFonts w:ascii="Garamond" w:hAnsi="Garamond"/>
          <w:sz w:val="24"/>
          <w:szCs w:val="24"/>
        </w:rPr>
        <w:t xml:space="preserve"> received a letter from </w:t>
      </w:r>
      <w:r w:rsidR="00D4565E" w:rsidRPr="001C6D71">
        <w:rPr>
          <w:rFonts w:ascii="Garamond" w:hAnsi="Garamond"/>
          <w:sz w:val="24"/>
          <w:szCs w:val="24"/>
        </w:rPr>
        <w:t>WBIPC</w:t>
      </w:r>
      <w:r w:rsidRPr="001C6D71">
        <w:rPr>
          <w:rFonts w:ascii="Garamond" w:hAnsi="Garamond"/>
          <w:sz w:val="24"/>
          <w:szCs w:val="24"/>
        </w:rPr>
        <w:t xml:space="preserve"> requesting an administrative amendment to </w:t>
      </w:r>
      <w:r w:rsidR="006677E2" w:rsidRPr="001C6D71">
        <w:rPr>
          <w:rFonts w:ascii="Garamond" w:hAnsi="Garamond"/>
          <w:sz w:val="24"/>
          <w:szCs w:val="24"/>
        </w:rPr>
        <w:t xml:space="preserve">Operating </w:t>
      </w:r>
      <w:r w:rsidRPr="001C6D71">
        <w:rPr>
          <w:rFonts w:ascii="Garamond" w:hAnsi="Garamond"/>
          <w:sz w:val="24"/>
          <w:szCs w:val="24"/>
        </w:rPr>
        <w:t xml:space="preserve">Permit #OP1628-00.  </w:t>
      </w:r>
      <w:r w:rsidR="00D4565E" w:rsidRPr="001C6D71">
        <w:rPr>
          <w:rFonts w:ascii="Garamond" w:hAnsi="Garamond"/>
          <w:sz w:val="24"/>
          <w:szCs w:val="24"/>
        </w:rPr>
        <w:t>WBIPC</w:t>
      </w:r>
      <w:r w:rsidRPr="001C6D71">
        <w:rPr>
          <w:rFonts w:ascii="Garamond" w:hAnsi="Garamond"/>
          <w:sz w:val="24"/>
          <w:szCs w:val="24"/>
        </w:rPr>
        <w:t xml:space="preserve"> requested that </w:t>
      </w:r>
      <w:r w:rsidR="004D3652">
        <w:rPr>
          <w:rFonts w:ascii="Garamond" w:hAnsi="Garamond"/>
          <w:sz w:val="24"/>
          <w:szCs w:val="24"/>
        </w:rPr>
        <w:t>DEQ</w:t>
      </w:r>
      <w:r w:rsidRPr="001C6D71">
        <w:rPr>
          <w:rFonts w:ascii="Garamond" w:hAnsi="Garamond"/>
          <w:sz w:val="24"/>
          <w:szCs w:val="24"/>
        </w:rPr>
        <w:t xml:space="preserve"> remove the 40 CFR 60, Subpart GG,</w:t>
      </w:r>
      <w:r w:rsidR="00FF6B1C" w:rsidRPr="001C6D71">
        <w:rPr>
          <w:rFonts w:ascii="Garamond" w:hAnsi="Garamond"/>
          <w:sz w:val="24"/>
          <w:szCs w:val="24"/>
        </w:rPr>
        <w:t xml:space="preserve"> nitrogen oxides</w:t>
      </w:r>
      <w:r w:rsidRPr="001C6D71">
        <w:rPr>
          <w:rFonts w:ascii="Garamond" w:hAnsi="Garamond"/>
          <w:sz w:val="24"/>
          <w:szCs w:val="24"/>
        </w:rPr>
        <w:t xml:space="preserve"> </w:t>
      </w:r>
      <w:r w:rsidR="00FF6B1C" w:rsidRPr="001C6D71">
        <w:rPr>
          <w:rFonts w:ascii="Garamond" w:hAnsi="Garamond"/>
          <w:sz w:val="24"/>
          <w:szCs w:val="24"/>
        </w:rPr>
        <w:t>(</w:t>
      </w:r>
      <w:r w:rsidRPr="001C6D71">
        <w:rPr>
          <w:rFonts w:ascii="Garamond" w:hAnsi="Garamond"/>
          <w:sz w:val="24"/>
          <w:szCs w:val="24"/>
        </w:rPr>
        <w:t>NO</w:t>
      </w:r>
      <w:r w:rsidRPr="001C6D71">
        <w:rPr>
          <w:rFonts w:ascii="Garamond" w:hAnsi="Garamond"/>
          <w:sz w:val="24"/>
          <w:szCs w:val="24"/>
          <w:vertAlign w:val="subscript"/>
        </w:rPr>
        <w:t>x</w:t>
      </w:r>
      <w:r w:rsidR="00FF6B1C" w:rsidRPr="001C6D71">
        <w:rPr>
          <w:rFonts w:ascii="Garamond" w:hAnsi="Garamond"/>
          <w:sz w:val="24"/>
          <w:szCs w:val="24"/>
        </w:rPr>
        <w:t xml:space="preserve">) </w:t>
      </w:r>
      <w:r w:rsidRPr="001C6D71">
        <w:rPr>
          <w:rFonts w:ascii="Garamond" w:hAnsi="Garamond"/>
          <w:sz w:val="24"/>
          <w:szCs w:val="24"/>
        </w:rPr>
        <w:t xml:space="preserve">standard and corresponding compliance demonstration, recordkeeping and reporting requirements from the Title V permit.  </w:t>
      </w:r>
      <w:r w:rsidR="00D4565E" w:rsidRPr="001C6D71">
        <w:rPr>
          <w:rFonts w:ascii="Garamond" w:hAnsi="Garamond"/>
          <w:sz w:val="24"/>
          <w:szCs w:val="24"/>
        </w:rPr>
        <w:t>WBIPC</w:t>
      </w:r>
      <w:r w:rsidRPr="001C6D71">
        <w:rPr>
          <w:rFonts w:ascii="Garamond" w:hAnsi="Garamond"/>
          <w:sz w:val="24"/>
          <w:szCs w:val="24"/>
        </w:rPr>
        <w:t xml:space="preserve"> stated that because construction commenced prior to October 3, 1982, the NO</w:t>
      </w:r>
      <w:r w:rsidRPr="001C6D71">
        <w:rPr>
          <w:rFonts w:ascii="Garamond" w:hAnsi="Garamond"/>
          <w:sz w:val="24"/>
          <w:szCs w:val="24"/>
          <w:vertAlign w:val="subscript"/>
        </w:rPr>
        <w:t>x</w:t>
      </w:r>
      <w:r w:rsidRPr="001C6D71">
        <w:rPr>
          <w:rFonts w:ascii="Garamond" w:hAnsi="Garamond"/>
          <w:sz w:val="24"/>
          <w:szCs w:val="24"/>
        </w:rPr>
        <w:t xml:space="preserve"> requirement is not applicable to the Hathaway Station.  </w:t>
      </w:r>
      <w:r w:rsidR="004D3652">
        <w:rPr>
          <w:rFonts w:ascii="Garamond" w:hAnsi="Garamond"/>
          <w:sz w:val="24"/>
          <w:szCs w:val="24"/>
        </w:rPr>
        <w:t>DEQ</w:t>
      </w:r>
      <w:r w:rsidRPr="001C6D71">
        <w:rPr>
          <w:rFonts w:ascii="Garamond" w:hAnsi="Garamond"/>
          <w:sz w:val="24"/>
          <w:szCs w:val="24"/>
        </w:rPr>
        <w:t xml:space="preserve"> agreed with </w:t>
      </w:r>
      <w:r w:rsidR="00D4565E" w:rsidRPr="001C6D71">
        <w:rPr>
          <w:rFonts w:ascii="Garamond" w:hAnsi="Garamond"/>
          <w:sz w:val="24"/>
          <w:szCs w:val="24"/>
        </w:rPr>
        <w:t>WBIPC</w:t>
      </w:r>
      <w:r w:rsidRPr="001C6D71">
        <w:rPr>
          <w:rFonts w:ascii="Garamond" w:hAnsi="Garamond"/>
          <w:sz w:val="24"/>
          <w:szCs w:val="24"/>
        </w:rPr>
        <w:t xml:space="preserve"> and performed an administrative amendment to correct the error.  However, the permit number did not change in the permit; </w:t>
      </w:r>
      <w:r w:rsidR="00066ADB" w:rsidRPr="001C6D71">
        <w:rPr>
          <w:rFonts w:ascii="Garamond" w:hAnsi="Garamond"/>
          <w:sz w:val="24"/>
          <w:szCs w:val="24"/>
        </w:rPr>
        <w:t>but</w:t>
      </w:r>
      <w:r w:rsidRPr="001C6D71">
        <w:rPr>
          <w:rFonts w:ascii="Garamond" w:hAnsi="Garamond"/>
          <w:sz w:val="24"/>
          <w:szCs w:val="24"/>
        </w:rPr>
        <w:t xml:space="preserve"> the permit was saved as </w:t>
      </w:r>
      <w:r w:rsidR="004950C0" w:rsidRPr="001C6D71">
        <w:rPr>
          <w:rFonts w:ascii="Garamond" w:hAnsi="Garamond"/>
          <w:b/>
          <w:sz w:val="24"/>
          <w:szCs w:val="24"/>
        </w:rPr>
        <w:t xml:space="preserve">Operating </w:t>
      </w:r>
      <w:r w:rsidRPr="001C6D71">
        <w:rPr>
          <w:rFonts w:ascii="Garamond" w:hAnsi="Garamond"/>
          <w:b/>
          <w:sz w:val="24"/>
          <w:szCs w:val="24"/>
        </w:rPr>
        <w:t>Permit</w:t>
      </w:r>
      <w:r w:rsidRPr="001C6D71">
        <w:rPr>
          <w:rFonts w:ascii="Garamond" w:hAnsi="Garamond"/>
          <w:sz w:val="24"/>
          <w:szCs w:val="24"/>
        </w:rPr>
        <w:t xml:space="preserve"> </w:t>
      </w:r>
      <w:r w:rsidRPr="001C6D71">
        <w:rPr>
          <w:rFonts w:ascii="Garamond" w:hAnsi="Garamond"/>
          <w:b/>
          <w:bCs/>
          <w:sz w:val="24"/>
          <w:szCs w:val="24"/>
        </w:rPr>
        <w:t>#OP1628-01</w:t>
      </w:r>
      <w:r w:rsidRPr="001C6D71">
        <w:rPr>
          <w:rFonts w:ascii="Garamond" w:hAnsi="Garamond"/>
          <w:sz w:val="24"/>
          <w:szCs w:val="24"/>
        </w:rPr>
        <w:t xml:space="preserve"> in </w:t>
      </w:r>
      <w:r w:rsidR="004D3652">
        <w:rPr>
          <w:rFonts w:ascii="Garamond" w:hAnsi="Garamond"/>
          <w:sz w:val="24"/>
          <w:szCs w:val="24"/>
        </w:rPr>
        <w:t>DEQ</w:t>
      </w:r>
      <w:r w:rsidRPr="001C6D71">
        <w:rPr>
          <w:rFonts w:ascii="Garamond" w:hAnsi="Garamond"/>
          <w:sz w:val="24"/>
          <w:szCs w:val="24"/>
        </w:rPr>
        <w:t xml:space="preserve">’s electronic files.  Therefore, the next permit action will increase the permit number from </w:t>
      </w:r>
      <w:r w:rsidR="00E9346C" w:rsidRPr="001C6D71">
        <w:rPr>
          <w:rFonts w:ascii="Garamond" w:hAnsi="Garamond"/>
          <w:sz w:val="24"/>
          <w:szCs w:val="24"/>
        </w:rPr>
        <w:t xml:space="preserve">Operating </w:t>
      </w:r>
      <w:r w:rsidRPr="001C6D71">
        <w:rPr>
          <w:rFonts w:ascii="Garamond" w:hAnsi="Garamond"/>
          <w:sz w:val="24"/>
          <w:szCs w:val="24"/>
        </w:rPr>
        <w:t xml:space="preserve">Permit #OP1628-00 to </w:t>
      </w:r>
      <w:r w:rsidR="00E9346C" w:rsidRPr="004D3652">
        <w:rPr>
          <w:rFonts w:ascii="Garamond" w:hAnsi="Garamond"/>
          <w:b/>
          <w:bCs/>
          <w:sz w:val="24"/>
          <w:szCs w:val="24"/>
        </w:rPr>
        <w:t xml:space="preserve">Operating </w:t>
      </w:r>
      <w:r w:rsidRPr="004D3652">
        <w:rPr>
          <w:rFonts w:ascii="Garamond" w:hAnsi="Garamond"/>
          <w:b/>
          <w:bCs/>
          <w:sz w:val="24"/>
          <w:szCs w:val="24"/>
        </w:rPr>
        <w:t>Permit #OP1628-02</w:t>
      </w:r>
      <w:r w:rsidRPr="001C6D71">
        <w:rPr>
          <w:rFonts w:ascii="Garamond" w:hAnsi="Garamond"/>
          <w:sz w:val="24"/>
          <w:szCs w:val="24"/>
        </w:rPr>
        <w:t xml:space="preserve">.  On February 10, 1999, </w:t>
      </w:r>
      <w:r w:rsidR="004D3652">
        <w:rPr>
          <w:rFonts w:ascii="Garamond" w:hAnsi="Garamond"/>
          <w:sz w:val="24"/>
          <w:szCs w:val="24"/>
        </w:rPr>
        <w:t>DEQ</w:t>
      </w:r>
      <w:r w:rsidR="00946F0F">
        <w:rPr>
          <w:rFonts w:ascii="Garamond" w:hAnsi="Garamond"/>
          <w:sz w:val="24"/>
          <w:szCs w:val="24"/>
        </w:rPr>
        <w:t xml:space="preserve"> </w:t>
      </w:r>
      <w:r w:rsidR="0086515A" w:rsidRPr="001C6D71">
        <w:rPr>
          <w:rFonts w:ascii="Garamond" w:hAnsi="Garamond"/>
          <w:sz w:val="24"/>
          <w:szCs w:val="24"/>
        </w:rPr>
        <w:t xml:space="preserve">amended </w:t>
      </w:r>
      <w:r w:rsidR="00E9346C" w:rsidRPr="001C6D71">
        <w:rPr>
          <w:rFonts w:ascii="Garamond" w:hAnsi="Garamond"/>
          <w:sz w:val="24"/>
          <w:szCs w:val="24"/>
        </w:rPr>
        <w:t xml:space="preserve">Operating </w:t>
      </w:r>
      <w:r w:rsidRPr="001C6D71">
        <w:rPr>
          <w:rFonts w:ascii="Garamond" w:hAnsi="Garamond"/>
          <w:sz w:val="24"/>
          <w:szCs w:val="24"/>
        </w:rPr>
        <w:t xml:space="preserve">Permit </w:t>
      </w:r>
      <w:r w:rsidRPr="00FB16CC">
        <w:rPr>
          <w:rFonts w:ascii="Garamond" w:hAnsi="Garamond"/>
          <w:bCs/>
          <w:sz w:val="24"/>
          <w:szCs w:val="24"/>
        </w:rPr>
        <w:t>#</w:t>
      </w:r>
      <w:r w:rsidRPr="001C6D71">
        <w:rPr>
          <w:rFonts w:ascii="Garamond" w:hAnsi="Garamond"/>
          <w:bCs/>
          <w:sz w:val="24"/>
          <w:szCs w:val="24"/>
        </w:rPr>
        <w:t>OP1628-00</w:t>
      </w:r>
      <w:r w:rsidRPr="001C6D71">
        <w:rPr>
          <w:rFonts w:ascii="Garamond" w:hAnsi="Garamond"/>
          <w:sz w:val="24"/>
          <w:szCs w:val="24"/>
        </w:rPr>
        <w:t xml:space="preserve">.  </w:t>
      </w:r>
    </w:p>
    <w:p w14:paraId="49D2D07B" w14:textId="77777777" w:rsidR="00E31622" w:rsidRPr="001C6D71" w:rsidRDefault="00E31622" w:rsidP="00220BD9">
      <w:pPr>
        <w:rPr>
          <w:rFonts w:ascii="Garamond" w:hAnsi="Garamond"/>
          <w:sz w:val="24"/>
          <w:szCs w:val="24"/>
        </w:rPr>
      </w:pPr>
    </w:p>
    <w:p w14:paraId="3794C903" w14:textId="432F8340" w:rsidR="00E31622" w:rsidRPr="001C6D71" w:rsidRDefault="00E31622" w:rsidP="00E31622">
      <w:pPr>
        <w:pStyle w:val="BodyTextIndent"/>
        <w:rPr>
          <w:rFonts w:ascii="Garamond" w:hAnsi="Garamond"/>
          <w:sz w:val="24"/>
          <w:szCs w:val="24"/>
        </w:rPr>
      </w:pPr>
      <w:r w:rsidRPr="001C6D71">
        <w:rPr>
          <w:rFonts w:ascii="Garamond" w:hAnsi="Garamond"/>
          <w:sz w:val="24"/>
          <w:szCs w:val="24"/>
        </w:rPr>
        <w:t xml:space="preserve">On October 17, 2002, </w:t>
      </w:r>
      <w:r w:rsidR="004D3652">
        <w:rPr>
          <w:rFonts w:ascii="Garamond" w:hAnsi="Garamond"/>
          <w:sz w:val="24"/>
          <w:szCs w:val="24"/>
        </w:rPr>
        <w:t>DEQ</w:t>
      </w:r>
      <w:r w:rsidRPr="001C6D71">
        <w:rPr>
          <w:rFonts w:ascii="Garamond" w:hAnsi="Garamond"/>
          <w:sz w:val="24"/>
          <w:szCs w:val="24"/>
        </w:rPr>
        <w:t xml:space="preserve"> received an application from </w:t>
      </w:r>
      <w:r w:rsidR="00D4565E" w:rsidRPr="001C6D71">
        <w:rPr>
          <w:rFonts w:ascii="Garamond" w:hAnsi="Garamond"/>
          <w:sz w:val="24"/>
          <w:szCs w:val="24"/>
        </w:rPr>
        <w:t>WBIPC</w:t>
      </w:r>
      <w:r w:rsidRPr="001C6D71">
        <w:rPr>
          <w:rFonts w:ascii="Garamond" w:hAnsi="Garamond"/>
          <w:sz w:val="24"/>
          <w:szCs w:val="24"/>
        </w:rPr>
        <w:t xml:space="preserve"> requesting a </w:t>
      </w:r>
      <w:r w:rsidR="00D4565E" w:rsidRPr="001C6D71">
        <w:rPr>
          <w:rFonts w:ascii="Garamond" w:hAnsi="Garamond"/>
          <w:sz w:val="24"/>
          <w:szCs w:val="24"/>
        </w:rPr>
        <w:t>modification</w:t>
      </w:r>
      <w:r w:rsidRPr="001C6D71">
        <w:rPr>
          <w:rFonts w:ascii="Garamond" w:hAnsi="Garamond"/>
          <w:sz w:val="24"/>
          <w:szCs w:val="24"/>
        </w:rPr>
        <w:t xml:space="preserve"> to </w:t>
      </w:r>
      <w:r w:rsidR="00946F0F">
        <w:rPr>
          <w:rFonts w:ascii="Garamond" w:hAnsi="Garamond"/>
          <w:sz w:val="24"/>
          <w:szCs w:val="24"/>
        </w:rPr>
        <w:t>MAQP</w:t>
      </w:r>
      <w:r w:rsidRPr="001C6D71">
        <w:rPr>
          <w:rFonts w:ascii="Garamond" w:hAnsi="Garamond"/>
          <w:sz w:val="24"/>
          <w:szCs w:val="24"/>
        </w:rPr>
        <w:t xml:space="preserve"> #1628-02, as well as a modification to </w:t>
      </w:r>
      <w:r w:rsidR="00FD5200" w:rsidRPr="001C6D71">
        <w:rPr>
          <w:rFonts w:ascii="Garamond" w:hAnsi="Garamond"/>
          <w:sz w:val="24"/>
          <w:szCs w:val="24"/>
        </w:rPr>
        <w:t xml:space="preserve">Operating </w:t>
      </w:r>
      <w:r w:rsidRPr="001C6D71">
        <w:rPr>
          <w:rFonts w:ascii="Garamond" w:hAnsi="Garamond"/>
          <w:sz w:val="24"/>
          <w:szCs w:val="24"/>
        </w:rPr>
        <w:t xml:space="preserve">Permit #OP1628-00.  </w:t>
      </w:r>
      <w:r w:rsidR="00D4565E" w:rsidRPr="001C6D71">
        <w:rPr>
          <w:rFonts w:ascii="Garamond" w:hAnsi="Garamond"/>
          <w:sz w:val="24"/>
          <w:szCs w:val="24"/>
        </w:rPr>
        <w:t>WBIPC</w:t>
      </w:r>
      <w:r w:rsidRPr="001C6D71">
        <w:rPr>
          <w:rFonts w:ascii="Garamond" w:hAnsi="Garamond"/>
          <w:sz w:val="24"/>
          <w:szCs w:val="24"/>
        </w:rPr>
        <w:t xml:space="preserve"> requested </w:t>
      </w:r>
      <w:r w:rsidR="004D3652">
        <w:rPr>
          <w:rFonts w:ascii="Garamond" w:hAnsi="Garamond"/>
          <w:sz w:val="24"/>
          <w:szCs w:val="24"/>
        </w:rPr>
        <w:t>DEQ</w:t>
      </w:r>
      <w:r w:rsidRPr="001C6D71">
        <w:rPr>
          <w:rFonts w:ascii="Garamond" w:hAnsi="Garamond"/>
          <w:sz w:val="24"/>
          <w:szCs w:val="24"/>
        </w:rPr>
        <w:t xml:space="preserve"> to significantly modify </w:t>
      </w:r>
      <w:r w:rsidR="00FD5200" w:rsidRPr="001C6D71">
        <w:rPr>
          <w:rFonts w:ascii="Garamond" w:hAnsi="Garamond"/>
          <w:sz w:val="24"/>
          <w:szCs w:val="24"/>
        </w:rPr>
        <w:t xml:space="preserve">Operating </w:t>
      </w:r>
      <w:r w:rsidRPr="001C6D71">
        <w:rPr>
          <w:rFonts w:ascii="Garamond" w:hAnsi="Garamond"/>
          <w:sz w:val="24"/>
          <w:szCs w:val="24"/>
        </w:rPr>
        <w:t xml:space="preserve">Permit #OP1628-00 to include the changes at the facility that were incorporated into the MAQP #1628-03.  In addition, on January 30, 2003, </w:t>
      </w:r>
      <w:r w:rsidR="004D3652">
        <w:rPr>
          <w:rFonts w:ascii="Garamond" w:hAnsi="Garamond"/>
          <w:sz w:val="24"/>
          <w:szCs w:val="24"/>
        </w:rPr>
        <w:t>DEQ</w:t>
      </w:r>
      <w:r w:rsidRPr="001C6D71">
        <w:rPr>
          <w:rFonts w:ascii="Garamond" w:hAnsi="Garamond"/>
          <w:sz w:val="24"/>
          <w:szCs w:val="24"/>
        </w:rPr>
        <w:t xml:space="preserve"> received a Title V Operating Permit Renewal Application from </w:t>
      </w:r>
      <w:r w:rsidR="00D4565E" w:rsidRPr="001C6D71">
        <w:rPr>
          <w:rFonts w:ascii="Garamond" w:hAnsi="Garamond"/>
          <w:sz w:val="24"/>
          <w:szCs w:val="24"/>
        </w:rPr>
        <w:t>WBIPC</w:t>
      </w:r>
      <w:r w:rsidRPr="001C6D71">
        <w:rPr>
          <w:rFonts w:ascii="Garamond" w:hAnsi="Garamond"/>
          <w:sz w:val="24"/>
          <w:szCs w:val="24"/>
        </w:rPr>
        <w:t xml:space="preserve">.  The application notified </w:t>
      </w:r>
      <w:r w:rsidR="004D3652">
        <w:rPr>
          <w:rFonts w:ascii="Garamond" w:hAnsi="Garamond"/>
          <w:sz w:val="24"/>
          <w:szCs w:val="24"/>
        </w:rPr>
        <w:t>DEQ</w:t>
      </w:r>
      <w:r w:rsidRPr="001C6D71">
        <w:rPr>
          <w:rFonts w:ascii="Garamond" w:hAnsi="Garamond"/>
          <w:sz w:val="24"/>
          <w:szCs w:val="24"/>
        </w:rPr>
        <w:t xml:space="preserve"> that the only changes that have been made at the facility, since </w:t>
      </w:r>
      <w:r w:rsidR="00FD5200" w:rsidRPr="001C6D71">
        <w:rPr>
          <w:rFonts w:ascii="Garamond" w:hAnsi="Garamond"/>
          <w:sz w:val="24"/>
          <w:szCs w:val="24"/>
        </w:rPr>
        <w:t xml:space="preserve">Operating </w:t>
      </w:r>
      <w:r w:rsidRPr="001C6D71">
        <w:rPr>
          <w:rFonts w:ascii="Garamond" w:hAnsi="Garamond"/>
          <w:sz w:val="24"/>
          <w:szCs w:val="24"/>
        </w:rPr>
        <w:t>Permit #OP1628-00 was issued, were the changes requested in the significant modification application submitted on October 17, 2002.</w:t>
      </w:r>
    </w:p>
    <w:p w14:paraId="61F0591F" w14:textId="77777777" w:rsidR="00E31622" w:rsidRPr="001C6D71" w:rsidRDefault="00E31622" w:rsidP="00220BD9">
      <w:pPr>
        <w:pStyle w:val="BodyTextIndent"/>
        <w:ind w:left="0"/>
        <w:rPr>
          <w:rFonts w:ascii="Garamond" w:hAnsi="Garamond"/>
          <w:sz w:val="24"/>
          <w:szCs w:val="24"/>
        </w:rPr>
      </w:pPr>
    </w:p>
    <w:p w14:paraId="5C97DCB7" w14:textId="77777777" w:rsidR="00E31622" w:rsidRPr="001C6D71" w:rsidRDefault="00E31622" w:rsidP="00E31622">
      <w:pPr>
        <w:pStyle w:val="BodyTextIndent"/>
        <w:rPr>
          <w:rFonts w:ascii="Garamond" w:hAnsi="Garamond"/>
          <w:sz w:val="24"/>
          <w:szCs w:val="24"/>
        </w:rPr>
      </w:pPr>
      <w:r w:rsidRPr="001C6D71">
        <w:rPr>
          <w:rFonts w:ascii="Garamond" w:hAnsi="Garamond"/>
          <w:sz w:val="24"/>
          <w:szCs w:val="24"/>
        </w:rPr>
        <w:t xml:space="preserve">The </w:t>
      </w:r>
      <w:r w:rsidR="007064C7" w:rsidRPr="001C6D71">
        <w:rPr>
          <w:rFonts w:ascii="Garamond" w:hAnsi="Garamond"/>
          <w:sz w:val="24"/>
          <w:szCs w:val="24"/>
        </w:rPr>
        <w:t xml:space="preserve">next </w:t>
      </w:r>
      <w:r w:rsidRPr="001C6D71">
        <w:rPr>
          <w:rFonts w:ascii="Garamond" w:hAnsi="Garamond"/>
          <w:sz w:val="24"/>
          <w:szCs w:val="24"/>
        </w:rPr>
        <w:t>permit action replace</w:t>
      </w:r>
      <w:r w:rsidR="007064C7" w:rsidRPr="001C6D71">
        <w:rPr>
          <w:rFonts w:ascii="Garamond" w:hAnsi="Garamond"/>
          <w:sz w:val="24"/>
          <w:szCs w:val="24"/>
        </w:rPr>
        <w:t>d</w:t>
      </w:r>
      <w:r w:rsidRPr="001C6D71">
        <w:rPr>
          <w:rFonts w:ascii="Garamond" w:hAnsi="Garamond"/>
          <w:sz w:val="24"/>
          <w:szCs w:val="24"/>
        </w:rPr>
        <w:t xml:space="preserve"> an existing 3,730-</w:t>
      </w:r>
      <w:r w:rsidR="0086515A" w:rsidRPr="001C6D71">
        <w:rPr>
          <w:rFonts w:ascii="Garamond" w:hAnsi="Garamond"/>
          <w:sz w:val="24"/>
          <w:szCs w:val="24"/>
        </w:rPr>
        <w:t xml:space="preserve">hp </w:t>
      </w:r>
      <w:r w:rsidRPr="001C6D71">
        <w:rPr>
          <w:rFonts w:ascii="Garamond" w:hAnsi="Garamond"/>
          <w:sz w:val="24"/>
          <w:szCs w:val="24"/>
        </w:rPr>
        <w:t>Solar Centaur turbine with a refurbished 3,730-</w:t>
      </w:r>
      <w:r w:rsidR="0086515A" w:rsidRPr="001C6D71">
        <w:rPr>
          <w:rFonts w:ascii="Garamond" w:hAnsi="Garamond"/>
          <w:sz w:val="24"/>
          <w:szCs w:val="24"/>
        </w:rPr>
        <w:t xml:space="preserve">hp </w:t>
      </w:r>
      <w:r w:rsidRPr="001C6D71">
        <w:rPr>
          <w:rFonts w:ascii="Garamond" w:hAnsi="Garamond"/>
          <w:sz w:val="24"/>
          <w:szCs w:val="24"/>
        </w:rPr>
        <w:t>Solar Centaur turbine.  In addition, emission limits and testing requirements were added to the permit for the refurbished 3,730-</w:t>
      </w:r>
      <w:r w:rsidR="0086515A" w:rsidRPr="001C6D71">
        <w:rPr>
          <w:rFonts w:ascii="Garamond" w:hAnsi="Garamond"/>
          <w:sz w:val="24"/>
          <w:szCs w:val="24"/>
        </w:rPr>
        <w:t xml:space="preserve">hp </w:t>
      </w:r>
      <w:r w:rsidRPr="001C6D71">
        <w:rPr>
          <w:rFonts w:ascii="Garamond" w:hAnsi="Garamond"/>
          <w:sz w:val="24"/>
          <w:szCs w:val="24"/>
        </w:rPr>
        <w:t>Solar Centaur turbine (EU #02) per ARM 17.8.752, as well as the existing 3,370-</w:t>
      </w:r>
      <w:r w:rsidR="0086515A" w:rsidRPr="001C6D71">
        <w:rPr>
          <w:rFonts w:ascii="Garamond" w:hAnsi="Garamond"/>
          <w:sz w:val="24"/>
          <w:szCs w:val="24"/>
        </w:rPr>
        <w:t xml:space="preserve">hp </w:t>
      </w:r>
      <w:r w:rsidRPr="001C6D71">
        <w:rPr>
          <w:rFonts w:ascii="Garamond" w:hAnsi="Garamond"/>
          <w:sz w:val="24"/>
          <w:szCs w:val="24"/>
        </w:rPr>
        <w:t xml:space="preserve">Solar Centaur turbine (EU #01) as requested by </w:t>
      </w:r>
      <w:r w:rsidR="00D4565E" w:rsidRPr="001C6D71">
        <w:rPr>
          <w:rFonts w:ascii="Garamond" w:hAnsi="Garamond"/>
          <w:sz w:val="24"/>
          <w:szCs w:val="24"/>
        </w:rPr>
        <w:t>WBIPC</w:t>
      </w:r>
      <w:r w:rsidRPr="001C6D71">
        <w:rPr>
          <w:rFonts w:ascii="Garamond" w:hAnsi="Garamond"/>
          <w:sz w:val="24"/>
          <w:szCs w:val="24"/>
        </w:rPr>
        <w:t>.  Further, the oil and diesel fuel tanks identified as EU</w:t>
      </w:r>
      <w:r w:rsidR="00FF6B1C" w:rsidRPr="001C6D71">
        <w:rPr>
          <w:rFonts w:ascii="Garamond" w:hAnsi="Garamond"/>
          <w:sz w:val="24"/>
          <w:szCs w:val="24"/>
        </w:rPr>
        <w:t xml:space="preserve"> #0</w:t>
      </w:r>
      <w:r w:rsidRPr="001C6D71">
        <w:rPr>
          <w:rFonts w:ascii="Garamond" w:hAnsi="Garamond"/>
          <w:sz w:val="24"/>
          <w:szCs w:val="24"/>
        </w:rPr>
        <w:t xml:space="preserve">3 in </w:t>
      </w:r>
      <w:r w:rsidR="00A746DE" w:rsidRPr="001C6D71">
        <w:rPr>
          <w:rFonts w:ascii="Garamond" w:hAnsi="Garamond"/>
          <w:sz w:val="24"/>
          <w:szCs w:val="24"/>
        </w:rPr>
        <w:t xml:space="preserve">Operating </w:t>
      </w:r>
      <w:r w:rsidRPr="001C6D71">
        <w:rPr>
          <w:rFonts w:ascii="Garamond" w:hAnsi="Garamond"/>
          <w:sz w:val="24"/>
          <w:szCs w:val="24"/>
        </w:rPr>
        <w:t xml:space="preserve">Permit #OP1628-00, were removed from the permit and added to the insignificant emitting unit list.  The permit </w:t>
      </w:r>
      <w:r w:rsidR="007064C7" w:rsidRPr="001C6D71">
        <w:rPr>
          <w:rFonts w:ascii="Garamond" w:hAnsi="Garamond"/>
          <w:sz w:val="24"/>
          <w:szCs w:val="24"/>
        </w:rPr>
        <w:t>wa</w:t>
      </w:r>
      <w:r w:rsidRPr="001C6D71">
        <w:rPr>
          <w:rFonts w:ascii="Garamond" w:hAnsi="Garamond"/>
          <w:sz w:val="24"/>
          <w:szCs w:val="24"/>
        </w:rPr>
        <w:t xml:space="preserve">s a result of the significant modification application of October 17, 2002, as well as the renewal application of January 29, 2003.  </w:t>
      </w:r>
      <w:r w:rsidR="00A746DE" w:rsidRPr="001C6D71">
        <w:rPr>
          <w:rFonts w:ascii="Garamond" w:hAnsi="Garamond"/>
          <w:b/>
          <w:sz w:val="24"/>
          <w:szCs w:val="24"/>
        </w:rPr>
        <w:t xml:space="preserve">Operating </w:t>
      </w:r>
      <w:r w:rsidRPr="001C6D71">
        <w:rPr>
          <w:rFonts w:ascii="Garamond" w:hAnsi="Garamond"/>
          <w:b/>
          <w:sz w:val="24"/>
          <w:szCs w:val="24"/>
        </w:rPr>
        <w:t>Permit</w:t>
      </w:r>
      <w:r w:rsidRPr="001C6D71">
        <w:rPr>
          <w:rFonts w:ascii="Garamond" w:hAnsi="Garamond"/>
          <w:sz w:val="24"/>
          <w:szCs w:val="24"/>
        </w:rPr>
        <w:t xml:space="preserve"> </w:t>
      </w:r>
      <w:r w:rsidRPr="001C6D71">
        <w:rPr>
          <w:rFonts w:ascii="Garamond" w:hAnsi="Garamond"/>
          <w:b/>
          <w:sz w:val="24"/>
          <w:szCs w:val="24"/>
        </w:rPr>
        <w:t>#OP1628-02</w:t>
      </w:r>
      <w:r w:rsidRPr="001C6D71">
        <w:rPr>
          <w:rFonts w:ascii="Garamond" w:hAnsi="Garamond"/>
          <w:sz w:val="24"/>
          <w:szCs w:val="24"/>
        </w:rPr>
        <w:t xml:space="preserve"> replaced </w:t>
      </w:r>
      <w:r w:rsidR="00A746DE" w:rsidRPr="001C6D71">
        <w:rPr>
          <w:rFonts w:ascii="Garamond" w:hAnsi="Garamond"/>
          <w:sz w:val="24"/>
          <w:szCs w:val="24"/>
        </w:rPr>
        <w:t xml:space="preserve">Operating </w:t>
      </w:r>
      <w:r w:rsidRPr="001C6D71">
        <w:rPr>
          <w:rFonts w:ascii="Garamond" w:hAnsi="Garamond"/>
          <w:sz w:val="24"/>
          <w:szCs w:val="24"/>
        </w:rPr>
        <w:t>Permit #OP1628-00.</w:t>
      </w:r>
    </w:p>
    <w:p w14:paraId="48FB4C3F" w14:textId="77777777" w:rsidR="00F13CAF" w:rsidRPr="001C6D71" w:rsidRDefault="00F13CAF" w:rsidP="00220BD9">
      <w:pPr>
        <w:pStyle w:val="BodyTextIndent"/>
        <w:ind w:left="0"/>
        <w:rPr>
          <w:rFonts w:ascii="Garamond" w:hAnsi="Garamond"/>
          <w:sz w:val="24"/>
          <w:szCs w:val="24"/>
        </w:rPr>
      </w:pPr>
    </w:p>
    <w:p w14:paraId="6BA8D8B6" w14:textId="64C1CDDE" w:rsidR="00F13CAF" w:rsidRPr="001C6D71" w:rsidRDefault="00F13CAF" w:rsidP="00F13CAF">
      <w:pPr>
        <w:ind w:left="360"/>
        <w:rPr>
          <w:rFonts w:ascii="Garamond" w:eastAsia="MS Mincho" w:hAnsi="Garamond"/>
          <w:sz w:val="24"/>
          <w:szCs w:val="24"/>
        </w:rPr>
      </w:pPr>
      <w:r w:rsidRPr="001C6D71">
        <w:rPr>
          <w:rFonts w:ascii="Garamond" w:eastAsia="MS Mincho" w:hAnsi="Garamond"/>
          <w:sz w:val="24"/>
          <w:szCs w:val="24"/>
        </w:rPr>
        <w:lastRenderedPageBreak/>
        <w:t xml:space="preserve">On January 31, 2008, </w:t>
      </w:r>
      <w:r w:rsidR="004D3652">
        <w:rPr>
          <w:rFonts w:ascii="Garamond" w:eastAsia="MS Mincho" w:hAnsi="Garamond"/>
          <w:sz w:val="24"/>
          <w:szCs w:val="24"/>
        </w:rPr>
        <w:t>DEQ</w:t>
      </w:r>
      <w:r w:rsidRPr="001C6D71">
        <w:rPr>
          <w:rFonts w:ascii="Garamond" w:eastAsia="MS Mincho" w:hAnsi="Garamond"/>
          <w:sz w:val="24"/>
          <w:szCs w:val="24"/>
        </w:rPr>
        <w:t xml:space="preserve"> received a Title V operating permit renewal application from </w:t>
      </w:r>
      <w:r w:rsidR="00D4565E" w:rsidRPr="001C6D71">
        <w:rPr>
          <w:rFonts w:ascii="Garamond" w:eastAsia="MS Mincho" w:hAnsi="Garamond"/>
          <w:sz w:val="24"/>
          <w:szCs w:val="24"/>
        </w:rPr>
        <w:t>WBIPC</w:t>
      </w:r>
      <w:r w:rsidRPr="001C6D71">
        <w:rPr>
          <w:rFonts w:ascii="Garamond" w:eastAsia="MS Mincho" w:hAnsi="Garamond"/>
          <w:sz w:val="24"/>
          <w:szCs w:val="24"/>
        </w:rPr>
        <w:t xml:space="preserve">.  Since </w:t>
      </w:r>
      <w:proofErr w:type="gramStart"/>
      <w:r w:rsidRPr="001C6D71">
        <w:rPr>
          <w:rFonts w:ascii="Garamond" w:eastAsia="MS Mincho" w:hAnsi="Garamond"/>
          <w:sz w:val="24"/>
          <w:szCs w:val="24"/>
        </w:rPr>
        <w:t xml:space="preserve">both of the </w:t>
      </w:r>
      <w:r w:rsidR="00946F0F">
        <w:rPr>
          <w:rFonts w:ascii="Garamond" w:eastAsia="MS Mincho" w:hAnsi="Garamond"/>
          <w:sz w:val="24"/>
          <w:szCs w:val="24"/>
        </w:rPr>
        <w:t>turbine</w:t>
      </w:r>
      <w:proofErr w:type="gramEnd"/>
      <w:r w:rsidR="00946F0F">
        <w:rPr>
          <w:rFonts w:ascii="Garamond" w:eastAsia="MS Mincho" w:hAnsi="Garamond"/>
          <w:sz w:val="24"/>
          <w:szCs w:val="24"/>
        </w:rPr>
        <w:t xml:space="preserve"> </w:t>
      </w:r>
      <w:r w:rsidRPr="001C6D71">
        <w:rPr>
          <w:rFonts w:ascii="Garamond" w:eastAsia="MS Mincho" w:hAnsi="Garamond"/>
          <w:sz w:val="24"/>
          <w:szCs w:val="24"/>
        </w:rPr>
        <w:t xml:space="preserve">units had undergone recent refurbishment (2002 for EU #02 and 2005 for EU #01), </w:t>
      </w:r>
      <w:r w:rsidR="004D3652">
        <w:rPr>
          <w:rFonts w:ascii="Garamond" w:eastAsia="MS Mincho" w:hAnsi="Garamond"/>
          <w:sz w:val="24"/>
          <w:szCs w:val="24"/>
        </w:rPr>
        <w:t>DEQ</w:t>
      </w:r>
      <w:r w:rsidRPr="001C6D71">
        <w:rPr>
          <w:rFonts w:ascii="Garamond" w:eastAsia="MS Mincho" w:hAnsi="Garamond"/>
          <w:sz w:val="24"/>
          <w:szCs w:val="24"/>
        </w:rPr>
        <w:t xml:space="preserve"> requested </w:t>
      </w:r>
      <w:r w:rsidR="00D4565E" w:rsidRPr="001C6D71">
        <w:rPr>
          <w:rFonts w:ascii="Garamond" w:eastAsia="MS Mincho" w:hAnsi="Garamond"/>
          <w:sz w:val="24"/>
          <w:szCs w:val="24"/>
        </w:rPr>
        <w:t>WBIPC</w:t>
      </w:r>
      <w:r w:rsidRPr="001C6D71">
        <w:rPr>
          <w:rFonts w:ascii="Garamond" w:eastAsia="MS Mincho" w:hAnsi="Garamond"/>
          <w:sz w:val="24"/>
          <w:szCs w:val="24"/>
        </w:rPr>
        <w:t xml:space="preserve"> to confirm that the units have not been “constructed, reconstructed, or modified” since 1981.  </w:t>
      </w:r>
      <w:r w:rsidR="00D4565E" w:rsidRPr="001C6D71">
        <w:rPr>
          <w:rFonts w:ascii="Garamond" w:eastAsia="MS Mincho" w:hAnsi="Garamond"/>
          <w:sz w:val="24"/>
          <w:szCs w:val="24"/>
        </w:rPr>
        <w:t>WBIPC</w:t>
      </w:r>
      <w:r w:rsidRPr="001C6D71">
        <w:rPr>
          <w:rFonts w:ascii="Garamond" w:eastAsia="MS Mincho" w:hAnsi="Garamond"/>
          <w:sz w:val="24"/>
          <w:szCs w:val="24"/>
        </w:rPr>
        <w:t xml:space="preserve"> reviewed the activities and costs associated with the recent refurbishment of each turbine and concluded the units have undergone routine maintenance and have not exceeded the 50% cost threshold.  Therefore, the facility remained subject to 40 CFR 60, Subpart GG but exempted from the NO</w:t>
      </w:r>
      <w:r w:rsidRPr="001C6D71">
        <w:rPr>
          <w:rFonts w:ascii="Garamond" w:eastAsia="MS Mincho" w:hAnsi="Garamond"/>
          <w:sz w:val="24"/>
          <w:szCs w:val="24"/>
          <w:vertAlign w:val="subscript"/>
        </w:rPr>
        <w:t>x</w:t>
      </w:r>
      <w:r w:rsidRPr="001C6D71">
        <w:rPr>
          <w:rFonts w:ascii="Garamond" w:eastAsia="MS Mincho" w:hAnsi="Garamond"/>
          <w:sz w:val="24"/>
          <w:szCs w:val="24"/>
        </w:rPr>
        <w:t xml:space="preserve"> requirements of 40 CFR 60.332(a), as described under the exemption 40 CFR 60.332(e).  The NO</w:t>
      </w:r>
      <w:r w:rsidRPr="001C6D71">
        <w:rPr>
          <w:rFonts w:ascii="Garamond" w:eastAsia="MS Mincho" w:hAnsi="Garamond"/>
          <w:sz w:val="24"/>
          <w:szCs w:val="24"/>
          <w:vertAlign w:val="subscript"/>
        </w:rPr>
        <w:t>x</w:t>
      </w:r>
      <w:r w:rsidRPr="001C6D71">
        <w:rPr>
          <w:rFonts w:ascii="Garamond" w:eastAsia="MS Mincho" w:hAnsi="Garamond"/>
          <w:sz w:val="24"/>
          <w:szCs w:val="24"/>
        </w:rPr>
        <w:t xml:space="preserve"> and carbon monoxide (CO) testing requirements for both units were modified to reflect the 5-year testing requirements in MAQP #1628-03.  In addition, the semi-annual portable analyzer testing requirements were modified to reflect the testing waiver granted to </w:t>
      </w:r>
      <w:r w:rsidR="00D4565E" w:rsidRPr="001C6D71">
        <w:rPr>
          <w:rFonts w:ascii="Garamond" w:eastAsia="MS Mincho" w:hAnsi="Garamond"/>
          <w:sz w:val="24"/>
          <w:szCs w:val="24"/>
        </w:rPr>
        <w:t>WBIPC</w:t>
      </w:r>
      <w:r w:rsidRPr="001C6D71">
        <w:rPr>
          <w:rFonts w:ascii="Garamond" w:eastAsia="MS Mincho" w:hAnsi="Garamond"/>
          <w:sz w:val="24"/>
          <w:szCs w:val="24"/>
        </w:rPr>
        <w:t xml:space="preserve"> if the turbines operated less than 500 hours during any semi-annual period (January 1 to June 30 or July 1 to December 31).  The waiver was granted by </w:t>
      </w:r>
      <w:r w:rsidR="004D3652">
        <w:rPr>
          <w:rFonts w:ascii="Garamond" w:eastAsia="MS Mincho" w:hAnsi="Garamond"/>
          <w:sz w:val="24"/>
          <w:szCs w:val="24"/>
        </w:rPr>
        <w:t>DEQ</w:t>
      </w:r>
      <w:r w:rsidRPr="001C6D71">
        <w:rPr>
          <w:rFonts w:ascii="Garamond" w:eastAsia="MS Mincho" w:hAnsi="Garamond"/>
          <w:sz w:val="24"/>
          <w:szCs w:val="24"/>
        </w:rPr>
        <w:t xml:space="preserve"> in a letter dated October 13, 2006.  </w:t>
      </w:r>
      <w:r w:rsidR="00F2755A" w:rsidRPr="001C6D71">
        <w:rPr>
          <w:rFonts w:ascii="Garamond" w:eastAsia="MS Mincho" w:hAnsi="Garamond"/>
          <w:b/>
          <w:sz w:val="24"/>
          <w:szCs w:val="24"/>
        </w:rPr>
        <w:t xml:space="preserve">Operating </w:t>
      </w:r>
      <w:r w:rsidRPr="001C6D71">
        <w:rPr>
          <w:rFonts w:ascii="Garamond" w:eastAsia="MS Mincho" w:hAnsi="Garamond"/>
          <w:b/>
          <w:sz w:val="24"/>
          <w:szCs w:val="24"/>
        </w:rPr>
        <w:t>Permit</w:t>
      </w:r>
      <w:r w:rsidRPr="001C6D71">
        <w:rPr>
          <w:rFonts w:ascii="Garamond" w:eastAsia="MS Mincho" w:hAnsi="Garamond"/>
          <w:sz w:val="24"/>
          <w:szCs w:val="24"/>
        </w:rPr>
        <w:t xml:space="preserve"> </w:t>
      </w:r>
      <w:r w:rsidRPr="001C6D71">
        <w:rPr>
          <w:rFonts w:ascii="Garamond" w:eastAsia="MS Mincho" w:hAnsi="Garamond"/>
          <w:b/>
          <w:sz w:val="24"/>
          <w:szCs w:val="24"/>
        </w:rPr>
        <w:t>#OP1628-03</w:t>
      </w:r>
      <w:r w:rsidRPr="001C6D71">
        <w:rPr>
          <w:rFonts w:ascii="Garamond" w:eastAsia="MS Mincho" w:hAnsi="Garamond"/>
          <w:sz w:val="24"/>
          <w:szCs w:val="24"/>
        </w:rPr>
        <w:t xml:space="preserve"> replaced </w:t>
      </w:r>
      <w:r w:rsidR="00F2755A" w:rsidRPr="001C6D71">
        <w:rPr>
          <w:rFonts w:ascii="Garamond" w:eastAsia="MS Mincho" w:hAnsi="Garamond"/>
          <w:sz w:val="24"/>
          <w:szCs w:val="24"/>
        </w:rPr>
        <w:t xml:space="preserve">Operating </w:t>
      </w:r>
      <w:r w:rsidRPr="001C6D71">
        <w:rPr>
          <w:rFonts w:ascii="Garamond" w:eastAsia="MS Mincho" w:hAnsi="Garamond"/>
          <w:sz w:val="24"/>
          <w:szCs w:val="24"/>
        </w:rPr>
        <w:t>Permit #OP1628-02.</w:t>
      </w:r>
    </w:p>
    <w:p w14:paraId="478EB76D" w14:textId="77777777" w:rsidR="00EE54A7" w:rsidRPr="00B2641B" w:rsidRDefault="00EE54A7" w:rsidP="00220BD9">
      <w:pPr>
        <w:rPr>
          <w:rFonts w:ascii="Garamond" w:hAnsi="Garamond"/>
          <w:sz w:val="24"/>
          <w:szCs w:val="24"/>
        </w:rPr>
      </w:pPr>
    </w:p>
    <w:p w14:paraId="491FAD6F" w14:textId="7AAB9BFB" w:rsidR="00C54337" w:rsidRPr="001C6D71" w:rsidRDefault="00C54337" w:rsidP="00C54337">
      <w:pPr>
        <w:pStyle w:val="BodyTextIndent"/>
        <w:keepNext/>
        <w:rPr>
          <w:rFonts w:ascii="Garamond" w:hAnsi="Garamond"/>
          <w:sz w:val="24"/>
          <w:szCs w:val="24"/>
        </w:rPr>
      </w:pPr>
      <w:r w:rsidRPr="001C6D71">
        <w:rPr>
          <w:rFonts w:ascii="Garamond" w:hAnsi="Garamond"/>
          <w:sz w:val="24"/>
          <w:szCs w:val="24"/>
        </w:rPr>
        <w:t xml:space="preserve">On December 10, 2012, </w:t>
      </w:r>
      <w:r w:rsidR="004D3652">
        <w:rPr>
          <w:rFonts w:ascii="Garamond" w:hAnsi="Garamond"/>
          <w:sz w:val="24"/>
          <w:szCs w:val="24"/>
        </w:rPr>
        <w:t>DEQ</w:t>
      </w:r>
      <w:r w:rsidRPr="001C6D71">
        <w:rPr>
          <w:rFonts w:ascii="Garamond" w:hAnsi="Garamond"/>
          <w:sz w:val="24"/>
          <w:szCs w:val="24"/>
        </w:rPr>
        <w:t xml:space="preserve"> received correspondence from WBI as notification of a change in company name from Williston Basin Interstate Pipeline Company to WBI Energy Transmission, Inc.  </w:t>
      </w:r>
      <w:r w:rsidRPr="001C6D71">
        <w:rPr>
          <w:rFonts w:ascii="Garamond" w:hAnsi="Garamond"/>
          <w:b/>
          <w:sz w:val="24"/>
          <w:szCs w:val="24"/>
        </w:rPr>
        <w:t>Operating Permit #OP1628-04</w:t>
      </w:r>
      <w:r w:rsidRPr="001C6D71">
        <w:rPr>
          <w:rFonts w:ascii="Garamond" w:hAnsi="Garamond"/>
          <w:sz w:val="24"/>
          <w:szCs w:val="24"/>
        </w:rPr>
        <w:t xml:space="preserve"> replace</w:t>
      </w:r>
      <w:r w:rsidR="00D4565E" w:rsidRPr="001C6D71">
        <w:rPr>
          <w:rFonts w:ascii="Garamond" w:hAnsi="Garamond"/>
          <w:sz w:val="24"/>
          <w:szCs w:val="24"/>
        </w:rPr>
        <w:t>d</w:t>
      </w:r>
      <w:r w:rsidRPr="001C6D71">
        <w:rPr>
          <w:rFonts w:ascii="Garamond" w:hAnsi="Garamond"/>
          <w:sz w:val="24"/>
          <w:szCs w:val="24"/>
        </w:rPr>
        <w:t xml:space="preserve"> Operating Permit #OP1628-03.  </w:t>
      </w:r>
    </w:p>
    <w:p w14:paraId="5F4D572F" w14:textId="77777777" w:rsidR="00C54337" w:rsidRPr="00B2641B" w:rsidRDefault="00C54337" w:rsidP="00220BD9">
      <w:pPr>
        <w:rPr>
          <w:rFonts w:ascii="Garamond" w:hAnsi="Garamond"/>
          <w:sz w:val="24"/>
          <w:szCs w:val="24"/>
        </w:rPr>
      </w:pPr>
    </w:p>
    <w:p w14:paraId="35169A70" w14:textId="23498E22" w:rsidR="00DD2D28" w:rsidRDefault="00DD2D28" w:rsidP="008E60A0">
      <w:pPr>
        <w:pStyle w:val="BodyTextIndent"/>
        <w:keepNext/>
        <w:rPr>
          <w:rFonts w:ascii="Garamond" w:hAnsi="Garamond"/>
          <w:sz w:val="24"/>
          <w:szCs w:val="24"/>
        </w:rPr>
      </w:pPr>
      <w:r w:rsidRPr="001C6D71">
        <w:rPr>
          <w:rFonts w:ascii="Garamond" w:hAnsi="Garamond"/>
          <w:sz w:val="24"/>
          <w:szCs w:val="24"/>
        </w:rPr>
        <w:t xml:space="preserve">On October 17, 2013, </w:t>
      </w:r>
      <w:r w:rsidR="004D3652">
        <w:rPr>
          <w:rFonts w:ascii="Garamond" w:hAnsi="Garamond"/>
          <w:sz w:val="24"/>
          <w:szCs w:val="24"/>
        </w:rPr>
        <w:t>DEQ</w:t>
      </w:r>
      <w:r w:rsidRPr="001C6D71">
        <w:rPr>
          <w:rFonts w:ascii="Garamond" w:hAnsi="Garamond"/>
          <w:sz w:val="24"/>
          <w:szCs w:val="24"/>
        </w:rPr>
        <w:t xml:space="preserve"> received a letter from WBI requesting a Responsible Official change in which Mr. Marc Dempewolf replaces Mr. Scott Fradenburgh.</w:t>
      </w:r>
      <w:r w:rsidR="006C118F">
        <w:rPr>
          <w:rFonts w:ascii="Garamond" w:hAnsi="Garamond"/>
          <w:sz w:val="24"/>
          <w:szCs w:val="24"/>
        </w:rPr>
        <w:t xml:space="preserve"> </w:t>
      </w:r>
      <w:r w:rsidRPr="001C6D71">
        <w:rPr>
          <w:rFonts w:ascii="Garamond" w:hAnsi="Garamond"/>
          <w:sz w:val="24"/>
          <w:szCs w:val="24"/>
        </w:rPr>
        <w:t xml:space="preserve"> Mr. Fradenburgh is now considered the Alternate Responsible Official for WBI facilities in the State of Montana. </w:t>
      </w:r>
      <w:r w:rsidR="006C118F">
        <w:rPr>
          <w:rFonts w:ascii="Garamond" w:hAnsi="Garamond"/>
          <w:sz w:val="24"/>
          <w:szCs w:val="24"/>
        </w:rPr>
        <w:t xml:space="preserve"> </w:t>
      </w:r>
      <w:r w:rsidRPr="001C6D71">
        <w:rPr>
          <w:rFonts w:ascii="Garamond" w:hAnsi="Garamond"/>
          <w:sz w:val="24"/>
          <w:szCs w:val="24"/>
        </w:rPr>
        <w:t xml:space="preserve">As such, </w:t>
      </w:r>
      <w:r w:rsidRPr="001C6D71">
        <w:rPr>
          <w:rFonts w:ascii="Garamond" w:hAnsi="Garamond"/>
          <w:b/>
          <w:sz w:val="24"/>
          <w:szCs w:val="24"/>
        </w:rPr>
        <w:t>Operating Permit #OP1628-05</w:t>
      </w:r>
      <w:r w:rsidRPr="001C6D71">
        <w:rPr>
          <w:rFonts w:ascii="Garamond" w:hAnsi="Garamond"/>
          <w:sz w:val="24"/>
          <w:szCs w:val="24"/>
        </w:rPr>
        <w:t xml:space="preserve"> replaces Operating Permit #OP1628-04.</w:t>
      </w:r>
    </w:p>
    <w:p w14:paraId="3F2F97E6" w14:textId="77777777" w:rsidR="007C6E80" w:rsidRDefault="007C6E80" w:rsidP="008E60A0">
      <w:pPr>
        <w:pStyle w:val="BodyTextIndent"/>
        <w:keepNext/>
        <w:rPr>
          <w:rFonts w:ascii="Garamond" w:hAnsi="Garamond"/>
          <w:sz w:val="24"/>
          <w:szCs w:val="24"/>
        </w:rPr>
      </w:pPr>
    </w:p>
    <w:p w14:paraId="1FE32AE6" w14:textId="0BAED8EC" w:rsidR="007C6E80" w:rsidRDefault="007C6E80" w:rsidP="007C6E80">
      <w:pPr>
        <w:pStyle w:val="BodyTextIndent"/>
        <w:rPr>
          <w:rFonts w:ascii="Garamond" w:hAnsi="Garamond"/>
          <w:sz w:val="24"/>
          <w:szCs w:val="24"/>
        </w:rPr>
      </w:pPr>
      <w:r>
        <w:rPr>
          <w:rFonts w:ascii="Garamond" w:hAnsi="Garamond"/>
          <w:sz w:val="24"/>
          <w:szCs w:val="24"/>
        </w:rPr>
        <w:t xml:space="preserve">On November 4, 2013, </w:t>
      </w:r>
      <w:r w:rsidR="004D3652">
        <w:rPr>
          <w:rFonts w:ascii="Garamond" w:hAnsi="Garamond"/>
          <w:sz w:val="24"/>
          <w:szCs w:val="24"/>
        </w:rPr>
        <w:t>DEQ</w:t>
      </w:r>
      <w:r>
        <w:rPr>
          <w:rFonts w:ascii="Garamond" w:hAnsi="Garamond"/>
          <w:sz w:val="24"/>
          <w:szCs w:val="24"/>
        </w:rPr>
        <w:t xml:space="preserve"> received a renewal application for Title V </w:t>
      </w:r>
      <w:r w:rsidR="00946F0F">
        <w:rPr>
          <w:rFonts w:ascii="Garamond" w:hAnsi="Garamond"/>
          <w:sz w:val="24"/>
          <w:szCs w:val="24"/>
        </w:rPr>
        <w:t>O</w:t>
      </w:r>
      <w:r>
        <w:rPr>
          <w:rFonts w:ascii="Garamond" w:hAnsi="Garamond"/>
          <w:sz w:val="24"/>
          <w:szCs w:val="24"/>
        </w:rPr>
        <w:t xml:space="preserve">perating </w:t>
      </w:r>
      <w:r w:rsidR="00946F0F">
        <w:rPr>
          <w:rFonts w:ascii="Garamond" w:hAnsi="Garamond"/>
          <w:sz w:val="24"/>
          <w:szCs w:val="24"/>
        </w:rPr>
        <w:t>P</w:t>
      </w:r>
      <w:r>
        <w:rPr>
          <w:rFonts w:ascii="Garamond" w:hAnsi="Garamond"/>
          <w:sz w:val="24"/>
          <w:szCs w:val="24"/>
        </w:rPr>
        <w:t xml:space="preserve">ermit </w:t>
      </w:r>
      <w:r w:rsidRPr="001C6D71">
        <w:rPr>
          <w:rFonts w:ascii="Garamond" w:hAnsi="Garamond"/>
          <w:sz w:val="24"/>
          <w:szCs w:val="24"/>
        </w:rPr>
        <w:t>#OP1628-0</w:t>
      </w:r>
      <w:r>
        <w:rPr>
          <w:rFonts w:ascii="Garamond" w:hAnsi="Garamond"/>
          <w:sz w:val="24"/>
          <w:szCs w:val="24"/>
        </w:rPr>
        <w:t xml:space="preserve">5 from WBI. </w:t>
      </w:r>
      <w:r w:rsidRPr="008E60A0">
        <w:rPr>
          <w:rFonts w:ascii="Garamond" w:hAnsi="Garamond"/>
          <w:b/>
          <w:sz w:val="24"/>
          <w:szCs w:val="24"/>
        </w:rPr>
        <w:t>Operating Permit #OP1628-06</w:t>
      </w:r>
      <w:r>
        <w:rPr>
          <w:rFonts w:ascii="Garamond" w:hAnsi="Garamond"/>
          <w:sz w:val="24"/>
          <w:szCs w:val="24"/>
        </w:rPr>
        <w:t xml:space="preserve"> replace</w:t>
      </w:r>
      <w:r w:rsidR="00C63928">
        <w:rPr>
          <w:rFonts w:ascii="Garamond" w:hAnsi="Garamond"/>
          <w:sz w:val="24"/>
          <w:szCs w:val="24"/>
        </w:rPr>
        <w:t>d</w:t>
      </w:r>
      <w:r>
        <w:rPr>
          <w:rFonts w:ascii="Garamond" w:hAnsi="Garamond"/>
          <w:sz w:val="24"/>
          <w:szCs w:val="24"/>
        </w:rPr>
        <w:t xml:space="preserve"> Operating Permit # OP1628-05. </w:t>
      </w:r>
    </w:p>
    <w:p w14:paraId="4156E333" w14:textId="77777777" w:rsidR="008305A0" w:rsidRDefault="008305A0" w:rsidP="007C6E80">
      <w:pPr>
        <w:pStyle w:val="BodyTextIndent"/>
        <w:rPr>
          <w:rFonts w:ascii="Garamond" w:hAnsi="Garamond"/>
          <w:sz w:val="24"/>
          <w:szCs w:val="24"/>
        </w:rPr>
      </w:pPr>
    </w:p>
    <w:p w14:paraId="4AB13899" w14:textId="06639EB8" w:rsidR="008305A0" w:rsidRDefault="008305A0" w:rsidP="008305A0">
      <w:pPr>
        <w:pStyle w:val="BodyTextIndent"/>
        <w:rPr>
          <w:rFonts w:ascii="Garamond" w:hAnsi="Garamond"/>
          <w:sz w:val="24"/>
          <w:szCs w:val="24"/>
        </w:rPr>
      </w:pPr>
      <w:r>
        <w:rPr>
          <w:rFonts w:ascii="Garamond" w:hAnsi="Garamond"/>
          <w:sz w:val="24"/>
          <w:szCs w:val="24"/>
        </w:rPr>
        <w:t xml:space="preserve">On September 30, 2019, </w:t>
      </w:r>
      <w:r w:rsidR="004D3652">
        <w:rPr>
          <w:rFonts w:ascii="Garamond" w:hAnsi="Garamond"/>
          <w:sz w:val="24"/>
          <w:szCs w:val="24"/>
        </w:rPr>
        <w:t>DEQ</w:t>
      </w:r>
      <w:r>
        <w:rPr>
          <w:rFonts w:ascii="Garamond" w:hAnsi="Garamond"/>
          <w:sz w:val="24"/>
          <w:szCs w:val="24"/>
        </w:rPr>
        <w:t xml:space="preserve"> received a renewal application for Title V operating permit </w:t>
      </w:r>
      <w:r w:rsidRPr="001C6D71">
        <w:rPr>
          <w:rFonts w:ascii="Garamond" w:hAnsi="Garamond"/>
          <w:sz w:val="24"/>
          <w:szCs w:val="24"/>
        </w:rPr>
        <w:t>#OP1628-</w:t>
      </w:r>
      <w:r>
        <w:rPr>
          <w:rFonts w:ascii="Garamond" w:hAnsi="Garamond"/>
          <w:sz w:val="24"/>
          <w:szCs w:val="24"/>
        </w:rPr>
        <w:t xml:space="preserve">06 from WBI. </w:t>
      </w:r>
      <w:r w:rsidRPr="008E60A0">
        <w:rPr>
          <w:rFonts w:ascii="Garamond" w:hAnsi="Garamond"/>
          <w:b/>
          <w:sz w:val="24"/>
          <w:szCs w:val="24"/>
        </w:rPr>
        <w:t>Operating Permit #OP1628-0</w:t>
      </w:r>
      <w:r>
        <w:rPr>
          <w:rFonts w:ascii="Garamond" w:hAnsi="Garamond"/>
          <w:b/>
          <w:sz w:val="24"/>
          <w:szCs w:val="24"/>
        </w:rPr>
        <w:t>7</w:t>
      </w:r>
      <w:r>
        <w:rPr>
          <w:rFonts w:ascii="Garamond" w:hAnsi="Garamond"/>
          <w:sz w:val="24"/>
          <w:szCs w:val="24"/>
        </w:rPr>
        <w:t xml:space="preserve"> </w:t>
      </w:r>
      <w:r w:rsidR="00B410F5">
        <w:rPr>
          <w:rFonts w:ascii="Garamond" w:hAnsi="Garamond"/>
          <w:sz w:val="24"/>
          <w:szCs w:val="24"/>
        </w:rPr>
        <w:t xml:space="preserve">replaced </w:t>
      </w:r>
      <w:r>
        <w:rPr>
          <w:rFonts w:ascii="Garamond" w:hAnsi="Garamond"/>
          <w:sz w:val="24"/>
          <w:szCs w:val="24"/>
        </w:rPr>
        <w:t xml:space="preserve">Operating Permit # OP1628-06. </w:t>
      </w:r>
    </w:p>
    <w:p w14:paraId="68F172F3" w14:textId="77777777" w:rsidR="00DD2D28" w:rsidRPr="00B2641B" w:rsidRDefault="00DD2D28" w:rsidP="00220BD9">
      <w:pPr>
        <w:rPr>
          <w:rFonts w:ascii="Garamond" w:hAnsi="Garamond"/>
          <w:sz w:val="24"/>
          <w:szCs w:val="24"/>
        </w:rPr>
      </w:pPr>
    </w:p>
    <w:p w14:paraId="11D3B35D" w14:textId="77777777" w:rsidR="00EE54A7" w:rsidRPr="001C6D71" w:rsidRDefault="00EE54A7" w:rsidP="0051037C">
      <w:pPr>
        <w:pStyle w:val="Heading2"/>
        <w:spacing w:before="0" w:beforeAutospacing="0" w:after="0" w:afterAutospacing="0"/>
        <w:ind w:left="720" w:hanging="720"/>
        <w:rPr>
          <w:rFonts w:ascii="Garamond" w:hAnsi="Garamond"/>
          <w:b w:val="0"/>
          <w:sz w:val="24"/>
          <w:szCs w:val="24"/>
        </w:rPr>
      </w:pPr>
      <w:bookmarkStart w:id="4" w:name="_Toc411330011"/>
      <w:r w:rsidRPr="001C6D71">
        <w:rPr>
          <w:rFonts w:ascii="Garamond" w:hAnsi="Garamond"/>
          <w:sz w:val="24"/>
          <w:szCs w:val="24"/>
        </w:rPr>
        <w:t>Current Permit Action</w:t>
      </w:r>
      <w:bookmarkEnd w:id="4"/>
      <w:r w:rsidRPr="001C6D71">
        <w:rPr>
          <w:rFonts w:ascii="Garamond" w:hAnsi="Garamond"/>
          <w:sz w:val="24"/>
          <w:szCs w:val="24"/>
        </w:rPr>
        <w:t xml:space="preserve"> </w:t>
      </w:r>
    </w:p>
    <w:p w14:paraId="0194BD86" w14:textId="77777777" w:rsidR="00EE54A7" w:rsidRPr="00B2641B" w:rsidRDefault="00EE54A7" w:rsidP="0007772C">
      <w:pPr>
        <w:keepNext/>
        <w:rPr>
          <w:rFonts w:ascii="Garamond" w:eastAsia="MS Mincho" w:hAnsi="Garamond"/>
          <w:sz w:val="24"/>
          <w:szCs w:val="24"/>
        </w:rPr>
      </w:pPr>
    </w:p>
    <w:p w14:paraId="42375CC6" w14:textId="62DC4FE7" w:rsidR="00F13CAF" w:rsidRDefault="00980AFE" w:rsidP="00F13CAF">
      <w:pPr>
        <w:pStyle w:val="BodyTextIndent"/>
        <w:rPr>
          <w:rFonts w:ascii="Garamond" w:hAnsi="Garamond"/>
          <w:sz w:val="24"/>
          <w:szCs w:val="24"/>
        </w:rPr>
      </w:pPr>
      <w:r>
        <w:rPr>
          <w:rFonts w:ascii="Garamond" w:hAnsi="Garamond"/>
          <w:sz w:val="24"/>
          <w:szCs w:val="24"/>
        </w:rPr>
        <w:t xml:space="preserve">On </w:t>
      </w:r>
      <w:r w:rsidR="008305A0">
        <w:rPr>
          <w:rFonts w:ascii="Garamond" w:hAnsi="Garamond"/>
          <w:sz w:val="24"/>
          <w:szCs w:val="24"/>
        </w:rPr>
        <w:t>August 1, 2025</w:t>
      </w:r>
      <w:r>
        <w:rPr>
          <w:rFonts w:ascii="Garamond" w:hAnsi="Garamond"/>
          <w:sz w:val="24"/>
          <w:szCs w:val="24"/>
        </w:rPr>
        <w:t xml:space="preserve">, </w:t>
      </w:r>
      <w:r w:rsidR="004D3652">
        <w:rPr>
          <w:rFonts w:ascii="Garamond" w:hAnsi="Garamond"/>
          <w:sz w:val="24"/>
          <w:szCs w:val="24"/>
        </w:rPr>
        <w:t>DEQ</w:t>
      </w:r>
      <w:r>
        <w:rPr>
          <w:rFonts w:ascii="Garamond" w:hAnsi="Garamond"/>
          <w:sz w:val="24"/>
          <w:szCs w:val="24"/>
        </w:rPr>
        <w:t xml:space="preserve"> received a renewal application </w:t>
      </w:r>
      <w:r w:rsidR="002F1772">
        <w:rPr>
          <w:rFonts w:ascii="Garamond" w:hAnsi="Garamond"/>
          <w:sz w:val="24"/>
          <w:szCs w:val="24"/>
        </w:rPr>
        <w:t xml:space="preserve">for Title V operating permit </w:t>
      </w:r>
      <w:r w:rsidR="002F1772" w:rsidRPr="001C6D71">
        <w:rPr>
          <w:rFonts w:ascii="Garamond" w:hAnsi="Garamond"/>
          <w:sz w:val="24"/>
          <w:szCs w:val="24"/>
        </w:rPr>
        <w:t>#OP1628-</w:t>
      </w:r>
      <w:r w:rsidR="007C6E80">
        <w:rPr>
          <w:rFonts w:ascii="Garamond" w:hAnsi="Garamond"/>
          <w:sz w:val="24"/>
          <w:szCs w:val="24"/>
        </w:rPr>
        <w:t>0</w:t>
      </w:r>
      <w:r w:rsidR="00EF0EAD">
        <w:rPr>
          <w:rFonts w:ascii="Garamond" w:hAnsi="Garamond"/>
          <w:sz w:val="24"/>
          <w:szCs w:val="24"/>
        </w:rPr>
        <w:t>7</w:t>
      </w:r>
      <w:r w:rsidR="007C6E80">
        <w:rPr>
          <w:rFonts w:ascii="Garamond" w:hAnsi="Garamond"/>
          <w:sz w:val="24"/>
          <w:szCs w:val="24"/>
        </w:rPr>
        <w:t xml:space="preserve"> </w:t>
      </w:r>
      <w:r>
        <w:rPr>
          <w:rFonts w:ascii="Garamond" w:hAnsi="Garamond"/>
          <w:sz w:val="24"/>
          <w:szCs w:val="24"/>
        </w:rPr>
        <w:t>from WBI.</w:t>
      </w:r>
      <w:r w:rsidR="00B410F5" w:rsidRPr="00B410F5">
        <w:t xml:space="preserve"> </w:t>
      </w:r>
      <w:r w:rsidR="00B410F5" w:rsidRPr="00B410F5">
        <w:rPr>
          <w:rFonts w:ascii="Garamond" w:hAnsi="Garamond"/>
          <w:sz w:val="24"/>
          <w:szCs w:val="24"/>
        </w:rPr>
        <w:t>DEQ updated the contact list, merged insignificant Misc. Boilers and Heaters</w:t>
      </w:r>
      <w:r w:rsidR="0024214B">
        <w:rPr>
          <w:rFonts w:ascii="Garamond" w:hAnsi="Garamond"/>
          <w:sz w:val="24"/>
          <w:szCs w:val="24"/>
        </w:rPr>
        <w:t xml:space="preserve"> </w:t>
      </w:r>
      <w:r w:rsidR="00B410F5" w:rsidRPr="00B410F5">
        <w:rPr>
          <w:rFonts w:ascii="Garamond" w:hAnsi="Garamond"/>
          <w:sz w:val="24"/>
          <w:szCs w:val="24"/>
        </w:rPr>
        <w:t xml:space="preserve">DEQ </w:t>
      </w:r>
      <w:r w:rsidR="006711F6">
        <w:rPr>
          <w:rFonts w:ascii="Garamond" w:hAnsi="Garamond"/>
          <w:sz w:val="24"/>
          <w:szCs w:val="24"/>
        </w:rPr>
        <w:t xml:space="preserve">updated language for Emergency Provisions in the TRD and </w:t>
      </w:r>
      <w:r w:rsidR="00B410F5" w:rsidRPr="00B410F5">
        <w:rPr>
          <w:rFonts w:ascii="Garamond" w:hAnsi="Garamond"/>
          <w:sz w:val="24"/>
          <w:szCs w:val="24"/>
        </w:rPr>
        <w:t xml:space="preserve">replaced language referring to the “Department” with DEQ. </w:t>
      </w:r>
      <w:r w:rsidR="00B410F5">
        <w:rPr>
          <w:rFonts w:ascii="Garamond" w:hAnsi="Garamond"/>
          <w:sz w:val="24"/>
          <w:szCs w:val="24"/>
        </w:rPr>
        <w:t xml:space="preserve"> </w:t>
      </w:r>
      <w:r>
        <w:rPr>
          <w:rFonts w:ascii="Garamond" w:hAnsi="Garamond"/>
          <w:sz w:val="24"/>
          <w:szCs w:val="24"/>
        </w:rPr>
        <w:t xml:space="preserve"> </w:t>
      </w:r>
      <w:r w:rsidRPr="008E60A0">
        <w:rPr>
          <w:rFonts w:ascii="Garamond" w:hAnsi="Garamond"/>
          <w:b/>
          <w:sz w:val="24"/>
          <w:szCs w:val="24"/>
        </w:rPr>
        <w:t>Operating Permit #OP1628-</w:t>
      </w:r>
      <w:r w:rsidR="007C6E80" w:rsidRPr="008E60A0">
        <w:rPr>
          <w:rFonts w:ascii="Garamond" w:hAnsi="Garamond"/>
          <w:b/>
          <w:sz w:val="24"/>
          <w:szCs w:val="24"/>
        </w:rPr>
        <w:t>0</w:t>
      </w:r>
      <w:r w:rsidR="00EF0EAD">
        <w:rPr>
          <w:rFonts w:ascii="Garamond" w:hAnsi="Garamond"/>
          <w:b/>
          <w:sz w:val="24"/>
          <w:szCs w:val="24"/>
        </w:rPr>
        <w:t>8</w:t>
      </w:r>
      <w:r w:rsidR="007C6E80">
        <w:rPr>
          <w:rFonts w:ascii="Garamond" w:hAnsi="Garamond"/>
          <w:sz w:val="24"/>
          <w:szCs w:val="24"/>
        </w:rPr>
        <w:t xml:space="preserve"> </w:t>
      </w:r>
      <w:r>
        <w:rPr>
          <w:rFonts w:ascii="Garamond" w:hAnsi="Garamond"/>
          <w:sz w:val="24"/>
          <w:szCs w:val="24"/>
        </w:rPr>
        <w:t>replaces Operating Permit # OP1628-</w:t>
      </w:r>
      <w:r w:rsidR="007C6E80">
        <w:rPr>
          <w:rFonts w:ascii="Garamond" w:hAnsi="Garamond"/>
          <w:sz w:val="24"/>
          <w:szCs w:val="24"/>
        </w:rPr>
        <w:t>0</w:t>
      </w:r>
      <w:r w:rsidR="00EF0EAD">
        <w:rPr>
          <w:rFonts w:ascii="Garamond" w:hAnsi="Garamond"/>
          <w:sz w:val="24"/>
          <w:szCs w:val="24"/>
        </w:rPr>
        <w:t>7</w:t>
      </w:r>
      <w:r>
        <w:rPr>
          <w:rFonts w:ascii="Garamond" w:hAnsi="Garamond"/>
          <w:sz w:val="24"/>
          <w:szCs w:val="24"/>
        </w:rPr>
        <w:t xml:space="preserve">. </w:t>
      </w:r>
    </w:p>
    <w:p w14:paraId="6E61ADD6" w14:textId="77777777" w:rsidR="0024214B" w:rsidRDefault="0024214B" w:rsidP="00F13CAF">
      <w:pPr>
        <w:pStyle w:val="BodyTextIndent"/>
        <w:rPr>
          <w:rFonts w:ascii="Garamond" w:hAnsi="Garamond"/>
          <w:sz w:val="24"/>
          <w:szCs w:val="24"/>
        </w:rPr>
      </w:pPr>
    </w:p>
    <w:p w14:paraId="65AC4E7D" w14:textId="77777777" w:rsidR="0024214B" w:rsidRPr="0024214B" w:rsidRDefault="0024214B" w:rsidP="0024214B">
      <w:pPr>
        <w:spacing w:before="100" w:beforeAutospacing="1" w:after="120"/>
        <w:ind w:left="360"/>
        <w:rPr>
          <w:rFonts w:ascii="Garamond" w:hAnsi="Garamond"/>
          <w:sz w:val="24"/>
          <w:szCs w:val="24"/>
        </w:rPr>
      </w:pPr>
      <w:r w:rsidRPr="0024214B">
        <w:rPr>
          <w:rFonts w:ascii="Garamond" w:hAnsi="Garamond"/>
          <w:sz w:val="24"/>
          <w:szCs w:val="24"/>
        </w:rPr>
        <w:t xml:space="preserve">In July 2023, EPA rescinded the emergency affirmative defense in its Title V regulations. In response, Montana was required to remove the affected provisions from their operating permit program rules and from affected title V operating permits at renewal or during permit revisions. </w:t>
      </w:r>
      <w:r w:rsidRPr="0024214B">
        <w:rPr>
          <w:rFonts w:ascii="Garamond" w:eastAsia="Aptos" w:hAnsi="Garamond"/>
          <w:kern w:val="2"/>
          <w:sz w:val="24"/>
          <w:szCs w:val="24"/>
          <w14:ligatures w14:val="standardContextual"/>
        </w:rPr>
        <w:t>Subsequently, in September 2025, the D.C. Circuit Court of Appeals reinstated the Clean Air Act emergency affirmative defense, reversing the EPA's 2023 rescission of the rule that provides a defense against liability for excess emissions during sudden, unforeseeable emergencies. EPA will need to add the affirmative defense provisions back into its Title V, Part 70 regulations. If this reinstatement does occur, Montana will also add the affected provisions back into its Title V operating permit program and maintain the affected regulations in Title V operating permits</w:t>
      </w:r>
      <w:r w:rsidRPr="0024214B">
        <w:rPr>
          <w:rFonts w:ascii="Garamond" w:hAnsi="Garamond"/>
          <w:sz w:val="24"/>
          <w:szCs w:val="24"/>
        </w:rPr>
        <w:t>.</w:t>
      </w:r>
    </w:p>
    <w:p w14:paraId="4BEE767C" w14:textId="77777777" w:rsidR="00EE54A7" w:rsidRPr="001C6D71" w:rsidRDefault="00EE54A7" w:rsidP="00E05461">
      <w:pPr>
        <w:pStyle w:val="Heading2"/>
        <w:keepLines/>
        <w:spacing w:before="0" w:beforeAutospacing="0" w:after="0" w:afterAutospacing="0"/>
        <w:ind w:left="720" w:hanging="720"/>
        <w:rPr>
          <w:rFonts w:ascii="Garamond" w:hAnsi="Garamond"/>
          <w:sz w:val="24"/>
          <w:szCs w:val="24"/>
        </w:rPr>
      </w:pPr>
      <w:bookmarkStart w:id="5" w:name="_Toc411330012"/>
      <w:r w:rsidRPr="001C6D71">
        <w:rPr>
          <w:rFonts w:ascii="Garamond" w:hAnsi="Garamond"/>
          <w:sz w:val="24"/>
          <w:szCs w:val="24"/>
        </w:rPr>
        <w:lastRenderedPageBreak/>
        <w:t>Taking and Damaging Analysis</w:t>
      </w:r>
      <w:bookmarkEnd w:id="5"/>
      <w:r w:rsidRPr="001C6D71">
        <w:rPr>
          <w:rFonts w:ascii="Garamond" w:hAnsi="Garamond"/>
          <w:sz w:val="24"/>
          <w:szCs w:val="24"/>
        </w:rPr>
        <w:t xml:space="preserve"> </w:t>
      </w:r>
    </w:p>
    <w:p w14:paraId="16444672" w14:textId="77777777" w:rsidR="00EE54A7" w:rsidRPr="00B2641B" w:rsidRDefault="00EE54A7" w:rsidP="00E05461">
      <w:pPr>
        <w:keepNext/>
        <w:keepLines/>
        <w:rPr>
          <w:rFonts w:ascii="Garamond" w:hAnsi="Garamond"/>
          <w:sz w:val="24"/>
          <w:szCs w:val="24"/>
        </w:rPr>
      </w:pPr>
    </w:p>
    <w:p w14:paraId="544F3D42" w14:textId="65A04F99" w:rsidR="00561FF0" w:rsidRPr="001C6D71" w:rsidRDefault="00561FF0" w:rsidP="00561FF0">
      <w:pPr>
        <w:ind w:left="360"/>
        <w:rPr>
          <w:rFonts w:ascii="Garamond" w:hAnsi="Garamond"/>
          <w:sz w:val="24"/>
          <w:szCs w:val="24"/>
        </w:rPr>
      </w:pPr>
      <w:r w:rsidRPr="001C6D71">
        <w:rPr>
          <w:rFonts w:ascii="Garamond" w:hAnsi="Garamond"/>
          <w:sz w:val="24"/>
          <w:szCs w:val="24"/>
        </w:rPr>
        <w:t xml:space="preserve">HB 311, the Montana Private Property Assessment Act, requires analysis of every proposed state agency administrative rule, policy, permit condition or permit denial, pertaining to an environmental matter, to determine whether the state action constitutes a taking or damaging of private real property that requires compensation under the Montana or U.S. Constitution.  As part of issuing an operating permit, </w:t>
      </w:r>
      <w:r w:rsidR="004D3652">
        <w:rPr>
          <w:rFonts w:ascii="Garamond" w:hAnsi="Garamond"/>
          <w:sz w:val="24"/>
          <w:szCs w:val="24"/>
        </w:rPr>
        <w:t>DEQ</w:t>
      </w:r>
      <w:r w:rsidRPr="001C6D71">
        <w:rPr>
          <w:rFonts w:ascii="Garamond" w:hAnsi="Garamond"/>
          <w:sz w:val="24"/>
          <w:szCs w:val="24"/>
        </w:rPr>
        <w:t xml:space="preserve"> is required to complete a Taking and Damaging Checklist.  As required by 2-10-101 through 2-10-105, MCA, </w:t>
      </w:r>
      <w:r w:rsidR="004D3652">
        <w:rPr>
          <w:rFonts w:ascii="Garamond" w:hAnsi="Garamond"/>
          <w:sz w:val="24"/>
          <w:szCs w:val="24"/>
        </w:rPr>
        <w:t>DEQ</w:t>
      </w:r>
      <w:r w:rsidRPr="001C6D71">
        <w:rPr>
          <w:rFonts w:ascii="Garamond" w:hAnsi="Garamond"/>
          <w:sz w:val="24"/>
          <w:szCs w:val="24"/>
        </w:rPr>
        <w:t xml:space="preserve"> conducted the following private property taking and damaging assessment.</w:t>
      </w:r>
    </w:p>
    <w:p w14:paraId="7EEDEF81" w14:textId="77777777" w:rsidR="00561FF0" w:rsidRPr="00B2641B" w:rsidRDefault="00561FF0" w:rsidP="00561FF0">
      <w:pPr>
        <w:ind w:left="360"/>
        <w:rPr>
          <w:rFonts w:ascii="Garamond" w:hAnsi="Garamond"/>
          <w:sz w:val="24"/>
          <w:szCs w:val="24"/>
        </w:rPr>
      </w:pP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1"/>
        <w:gridCol w:w="655"/>
        <w:gridCol w:w="8047"/>
      </w:tblGrid>
      <w:tr w:rsidR="00561FF0" w:rsidRPr="00CC1EE1" w14:paraId="307A40EA" w14:textId="77777777" w:rsidTr="006C78F8">
        <w:trPr>
          <w:trHeight w:val="230"/>
          <w:tblHeader/>
        </w:trPr>
        <w:tc>
          <w:tcPr>
            <w:tcW w:w="671" w:type="dxa"/>
            <w:tcBorders>
              <w:bottom w:val="nil"/>
            </w:tcBorders>
            <w:shd w:val="clear" w:color="auto" w:fill="FFFFFF"/>
          </w:tcPr>
          <w:p w14:paraId="090A2299" w14:textId="77777777" w:rsidR="00561FF0" w:rsidRPr="00CC1EE1" w:rsidRDefault="00561FF0" w:rsidP="00F66349">
            <w:pPr>
              <w:rPr>
                <w:rFonts w:ascii="Garamond" w:hAnsi="Garamond"/>
                <w:b/>
                <w:sz w:val="22"/>
                <w:szCs w:val="22"/>
              </w:rPr>
            </w:pPr>
            <w:r w:rsidRPr="00CC1EE1">
              <w:rPr>
                <w:rFonts w:ascii="Garamond" w:hAnsi="Garamond"/>
                <w:b/>
                <w:sz w:val="22"/>
                <w:szCs w:val="22"/>
              </w:rPr>
              <w:t>YES</w:t>
            </w:r>
          </w:p>
        </w:tc>
        <w:tc>
          <w:tcPr>
            <w:tcW w:w="655" w:type="dxa"/>
            <w:shd w:val="clear" w:color="auto" w:fill="CCCCCC"/>
          </w:tcPr>
          <w:p w14:paraId="64DE0F70" w14:textId="77777777" w:rsidR="00561FF0" w:rsidRPr="00CC1EE1" w:rsidRDefault="00561FF0" w:rsidP="00F66349">
            <w:pPr>
              <w:rPr>
                <w:rFonts w:ascii="Garamond" w:hAnsi="Garamond"/>
                <w:b/>
                <w:sz w:val="22"/>
                <w:szCs w:val="22"/>
              </w:rPr>
            </w:pPr>
            <w:r w:rsidRPr="00CC1EE1">
              <w:rPr>
                <w:rFonts w:ascii="Garamond" w:hAnsi="Garamond"/>
                <w:b/>
                <w:sz w:val="22"/>
                <w:szCs w:val="22"/>
              </w:rPr>
              <w:t>NO</w:t>
            </w:r>
          </w:p>
        </w:tc>
        <w:tc>
          <w:tcPr>
            <w:tcW w:w="8047" w:type="dxa"/>
          </w:tcPr>
          <w:p w14:paraId="36031CF2" w14:textId="77777777" w:rsidR="00561FF0" w:rsidRPr="00CC1EE1" w:rsidRDefault="00561FF0" w:rsidP="00F66349">
            <w:pPr>
              <w:rPr>
                <w:rFonts w:ascii="Garamond" w:hAnsi="Garamond"/>
                <w:sz w:val="22"/>
                <w:szCs w:val="22"/>
              </w:rPr>
            </w:pPr>
          </w:p>
        </w:tc>
      </w:tr>
      <w:tr w:rsidR="00561FF0" w:rsidRPr="00CC1EE1" w14:paraId="0A53E6BA" w14:textId="77777777" w:rsidTr="006C78F8">
        <w:trPr>
          <w:trHeight w:val="495"/>
        </w:trPr>
        <w:tc>
          <w:tcPr>
            <w:tcW w:w="671" w:type="dxa"/>
            <w:tcBorders>
              <w:bottom w:val="nil"/>
            </w:tcBorders>
            <w:shd w:val="clear" w:color="auto" w:fill="FFFFFF"/>
          </w:tcPr>
          <w:p w14:paraId="5D19120B" w14:textId="77777777" w:rsidR="00561FF0" w:rsidRPr="00CC1EE1" w:rsidRDefault="00561FF0" w:rsidP="00F66349">
            <w:pPr>
              <w:jc w:val="center"/>
              <w:rPr>
                <w:rFonts w:ascii="Garamond" w:hAnsi="Garamond"/>
                <w:sz w:val="22"/>
                <w:szCs w:val="22"/>
              </w:rPr>
            </w:pPr>
            <w:r w:rsidRPr="00CC1EE1">
              <w:rPr>
                <w:rFonts w:ascii="Garamond" w:hAnsi="Garamond"/>
                <w:sz w:val="22"/>
                <w:szCs w:val="22"/>
              </w:rPr>
              <w:t>X</w:t>
            </w:r>
          </w:p>
        </w:tc>
        <w:tc>
          <w:tcPr>
            <w:tcW w:w="655" w:type="dxa"/>
            <w:shd w:val="clear" w:color="auto" w:fill="CCCCCC"/>
          </w:tcPr>
          <w:p w14:paraId="25D62350" w14:textId="77777777" w:rsidR="00561FF0" w:rsidRPr="00CC1EE1" w:rsidRDefault="00561FF0" w:rsidP="00F66349">
            <w:pPr>
              <w:jc w:val="center"/>
              <w:rPr>
                <w:rFonts w:ascii="Garamond" w:hAnsi="Garamond"/>
                <w:sz w:val="22"/>
                <w:szCs w:val="22"/>
              </w:rPr>
            </w:pPr>
          </w:p>
        </w:tc>
        <w:tc>
          <w:tcPr>
            <w:tcW w:w="8047" w:type="dxa"/>
          </w:tcPr>
          <w:p w14:paraId="23157C72" w14:textId="77777777" w:rsidR="00561FF0" w:rsidRPr="00CC1EE1" w:rsidRDefault="00561FF0" w:rsidP="00F66349">
            <w:pPr>
              <w:rPr>
                <w:rFonts w:ascii="Garamond" w:hAnsi="Garamond"/>
                <w:sz w:val="22"/>
                <w:szCs w:val="22"/>
              </w:rPr>
            </w:pPr>
            <w:r w:rsidRPr="00CC1EE1">
              <w:rPr>
                <w:rFonts w:ascii="Garamond" w:hAnsi="Garamond"/>
                <w:sz w:val="22"/>
                <w:szCs w:val="22"/>
              </w:rPr>
              <w:t>1. Does the action pertain to land or water management or environmental regulation affecting private real property or water rights?</w:t>
            </w:r>
          </w:p>
        </w:tc>
      </w:tr>
      <w:tr w:rsidR="00561FF0" w:rsidRPr="00CC1EE1" w14:paraId="617512A8" w14:textId="77777777" w:rsidTr="006C78F8">
        <w:trPr>
          <w:trHeight w:val="230"/>
        </w:trPr>
        <w:tc>
          <w:tcPr>
            <w:tcW w:w="671" w:type="dxa"/>
            <w:shd w:val="pct15" w:color="auto" w:fill="FFFFFF"/>
          </w:tcPr>
          <w:p w14:paraId="4FC721B8" w14:textId="77777777" w:rsidR="00561FF0" w:rsidRPr="00CC1EE1" w:rsidRDefault="00561FF0" w:rsidP="00F66349">
            <w:pPr>
              <w:jc w:val="center"/>
              <w:rPr>
                <w:rFonts w:ascii="Garamond" w:hAnsi="Garamond"/>
                <w:sz w:val="22"/>
                <w:szCs w:val="22"/>
              </w:rPr>
            </w:pPr>
          </w:p>
        </w:tc>
        <w:tc>
          <w:tcPr>
            <w:tcW w:w="655" w:type="dxa"/>
          </w:tcPr>
          <w:p w14:paraId="256579DF" w14:textId="77777777" w:rsidR="00561FF0" w:rsidRPr="00CC1EE1" w:rsidRDefault="00561FF0" w:rsidP="00F66349">
            <w:pPr>
              <w:jc w:val="center"/>
              <w:rPr>
                <w:rFonts w:ascii="Garamond" w:hAnsi="Garamond"/>
                <w:sz w:val="22"/>
                <w:szCs w:val="22"/>
              </w:rPr>
            </w:pPr>
            <w:r w:rsidRPr="00CC1EE1">
              <w:rPr>
                <w:rFonts w:ascii="Garamond" w:hAnsi="Garamond"/>
                <w:sz w:val="22"/>
                <w:szCs w:val="22"/>
              </w:rPr>
              <w:t>X</w:t>
            </w:r>
          </w:p>
        </w:tc>
        <w:tc>
          <w:tcPr>
            <w:tcW w:w="8047" w:type="dxa"/>
          </w:tcPr>
          <w:p w14:paraId="41011450" w14:textId="77777777" w:rsidR="00561FF0" w:rsidRPr="00CC1EE1" w:rsidRDefault="00561FF0" w:rsidP="00F66349">
            <w:pPr>
              <w:rPr>
                <w:rFonts w:ascii="Garamond" w:hAnsi="Garamond"/>
                <w:sz w:val="22"/>
                <w:szCs w:val="22"/>
              </w:rPr>
            </w:pPr>
            <w:r w:rsidRPr="00CC1EE1">
              <w:rPr>
                <w:rFonts w:ascii="Garamond" w:hAnsi="Garamond"/>
                <w:sz w:val="22"/>
                <w:szCs w:val="22"/>
              </w:rPr>
              <w:t>2.  Does the action result in either a permanent or indefinite physical occupation of private property?</w:t>
            </w:r>
          </w:p>
        </w:tc>
      </w:tr>
      <w:tr w:rsidR="00561FF0" w:rsidRPr="00CC1EE1" w14:paraId="6E05ABB3" w14:textId="77777777" w:rsidTr="006C78F8">
        <w:trPr>
          <w:trHeight w:val="479"/>
        </w:trPr>
        <w:tc>
          <w:tcPr>
            <w:tcW w:w="671" w:type="dxa"/>
            <w:shd w:val="pct15" w:color="auto" w:fill="FFFFFF"/>
          </w:tcPr>
          <w:p w14:paraId="6359AFD0" w14:textId="77777777" w:rsidR="00561FF0" w:rsidRPr="00CC1EE1" w:rsidRDefault="00561FF0" w:rsidP="00F66349">
            <w:pPr>
              <w:jc w:val="center"/>
              <w:rPr>
                <w:rFonts w:ascii="Garamond" w:hAnsi="Garamond"/>
                <w:sz w:val="22"/>
                <w:szCs w:val="22"/>
              </w:rPr>
            </w:pPr>
          </w:p>
        </w:tc>
        <w:tc>
          <w:tcPr>
            <w:tcW w:w="655" w:type="dxa"/>
          </w:tcPr>
          <w:p w14:paraId="02BAB747" w14:textId="77777777" w:rsidR="00561FF0" w:rsidRPr="00CC1EE1" w:rsidRDefault="00561FF0" w:rsidP="00F66349">
            <w:pPr>
              <w:jc w:val="center"/>
              <w:rPr>
                <w:rFonts w:ascii="Garamond" w:hAnsi="Garamond"/>
                <w:sz w:val="22"/>
                <w:szCs w:val="22"/>
              </w:rPr>
            </w:pPr>
            <w:r w:rsidRPr="00CC1EE1">
              <w:rPr>
                <w:rFonts w:ascii="Garamond" w:hAnsi="Garamond"/>
                <w:sz w:val="22"/>
                <w:szCs w:val="22"/>
              </w:rPr>
              <w:t>X</w:t>
            </w:r>
          </w:p>
        </w:tc>
        <w:tc>
          <w:tcPr>
            <w:tcW w:w="8047" w:type="dxa"/>
          </w:tcPr>
          <w:p w14:paraId="5015C3CF" w14:textId="77777777" w:rsidR="00561FF0" w:rsidRPr="00CC1EE1" w:rsidRDefault="00561FF0" w:rsidP="00F66349">
            <w:pPr>
              <w:rPr>
                <w:rFonts w:ascii="Garamond" w:hAnsi="Garamond"/>
                <w:sz w:val="22"/>
                <w:szCs w:val="22"/>
              </w:rPr>
            </w:pPr>
            <w:r w:rsidRPr="00CC1EE1">
              <w:rPr>
                <w:rFonts w:ascii="Garamond" w:hAnsi="Garamond"/>
                <w:sz w:val="22"/>
                <w:szCs w:val="22"/>
              </w:rPr>
              <w:t>3.  Does the action deny a fundamental attribute of ownership? (ex.:  right to exclude others, disposal of property)</w:t>
            </w:r>
          </w:p>
        </w:tc>
      </w:tr>
      <w:tr w:rsidR="00561FF0" w:rsidRPr="00CC1EE1" w14:paraId="45927215" w14:textId="77777777" w:rsidTr="006C78F8">
        <w:trPr>
          <w:trHeight w:val="230"/>
        </w:trPr>
        <w:tc>
          <w:tcPr>
            <w:tcW w:w="671" w:type="dxa"/>
            <w:shd w:val="pct15" w:color="auto" w:fill="FFFFFF"/>
          </w:tcPr>
          <w:p w14:paraId="6A98D827" w14:textId="77777777" w:rsidR="00561FF0" w:rsidRPr="00CC1EE1" w:rsidRDefault="00561FF0" w:rsidP="00F66349">
            <w:pPr>
              <w:jc w:val="center"/>
              <w:rPr>
                <w:rFonts w:ascii="Garamond" w:hAnsi="Garamond"/>
                <w:sz w:val="22"/>
                <w:szCs w:val="22"/>
              </w:rPr>
            </w:pPr>
          </w:p>
        </w:tc>
        <w:tc>
          <w:tcPr>
            <w:tcW w:w="655" w:type="dxa"/>
          </w:tcPr>
          <w:p w14:paraId="04A94031" w14:textId="77777777" w:rsidR="00561FF0" w:rsidRPr="00CC1EE1" w:rsidRDefault="00561FF0" w:rsidP="00F66349">
            <w:pPr>
              <w:jc w:val="center"/>
              <w:rPr>
                <w:rFonts w:ascii="Garamond" w:hAnsi="Garamond"/>
                <w:sz w:val="22"/>
                <w:szCs w:val="22"/>
              </w:rPr>
            </w:pPr>
            <w:r w:rsidRPr="00CC1EE1">
              <w:rPr>
                <w:rFonts w:ascii="Garamond" w:hAnsi="Garamond"/>
                <w:sz w:val="22"/>
                <w:szCs w:val="22"/>
              </w:rPr>
              <w:t>X</w:t>
            </w:r>
          </w:p>
        </w:tc>
        <w:tc>
          <w:tcPr>
            <w:tcW w:w="8047" w:type="dxa"/>
          </w:tcPr>
          <w:p w14:paraId="6C103A1E" w14:textId="77777777" w:rsidR="00561FF0" w:rsidRPr="00CC1EE1" w:rsidRDefault="00561FF0" w:rsidP="00F66349">
            <w:pPr>
              <w:rPr>
                <w:rFonts w:ascii="Garamond" w:hAnsi="Garamond"/>
                <w:sz w:val="22"/>
                <w:szCs w:val="22"/>
              </w:rPr>
            </w:pPr>
            <w:r w:rsidRPr="00CC1EE1">
              <w:rPr>
                <w:rFonts w:ascii="Garamond" w:hAnsi="Garamond"/>
                <w:sz w:val="22"/>
                <w:szCs w:val="22"/>
              </w:rPr>
              <w:t>4.  Does the action deprive the owner of all economically viable uses of the property?</w:t>
            </w:r>
          </w:p>
        </w:tc>
      </w:tr>
      <w:tr w:rsidR="00561FF0" w:rsidRPr="00CC1EE1" w14:paraId="50CE405D" w14:textId="77777777" w:rsidTr="006C78F8">
        <w:trPr>
          <w:trHeight w:val="495"/>
        </w:trPr>
        <w:tc>
          <w:tcPr>
            <w:tcW w:w="671" w:type="dxa"/>
          </w:tcPr>
          <w:p w14:paraId="1E2F59BC" w14:textId="77777777" w:rsidR="00561FF0" w:rsidRPr="00CC1EE1" w:rsidRDefault="00561FF0" w:rsidP="00F66349">
            <w:pPr>
              <w:jc w:val="center"/>
              <w:rPr>
                <w:rFonts w:ascii="Garamond" w:hAnsi="Garamond"/>
                <w:sz w:val="22"/>
                <w:szCs w:val="22"/>
              </w:rPr>
            </w:pPr>
          </w:p>
        </w:tc>
        <w:tc>
          <w:tcPr>
            <w:tcW w:w="655" w:type="dxa"/>
          </w:tcPr>
          <w:p w14:paraId="19924D6D" w14:textId="77777777" w:rsidR="00561FF0" w:rsidRPr="00CC1EE1" w:rsidRDefault="00561FF0" w:rsidP="00F66349">
            <w:pPr>
              <w:jc w:val="center"/>
              <w:rPr>
                <w:rFonts w:ascii="Garamond" w:hAnsi="Garamond"/>
                <w:sz w:val="22"/>
                <w:szCs w:val="22"/>
              </w:rPr>
            </w:pPr>
            <w:r w:rsidRPr="00CC1EE1">
              <w:rPr>
                <w:rFonts w:ascii="Garamond" w:hAnsi="Garamond"/>
                <w:sz w:val="22"/>
                <w:szCs w:val="22"/>
              </w:rPr>
              <w:t>X</w:t>
            </w:r>
          </w:p>
        </w:tc>
        <w:tc>
          <w:tcPr>
            <w:tcW w:w="8047" w:type="dxa"/>
          </w:tcPr>
          <w:p w14:paraId="1CB1170E" w14:textId="77777777" w:rsidR="00561FF0" w:rsidRPr="00CC1EE1" w:rsidRDefault="00561FF0" w:rsidP="00F66349">
            <w:pPr>
              <w:rPr>
                <w:rFonts w:ascii="Garamond" w:hAnsi="Garamond"/>
                <w:sz w:val="22"/>
                <w:szCs w:val="22"/>
              </w:rPr>
            </w:pPr>
            <w:r w:rsidRPr="00CC1EE1">
              <w:rPr>
                <w:rFonts w:ascii="Garamond" w:hAnsi="Garamond"/>
                <w:sz w:val="22"/>
                <w:szCs w:val="22"/>
              </w:rPr>
              <w:t>5.  Does the action require a property owner to dedicate a portion of property or to grant an easement? [If no, go to (6)].</w:t>
            </w:r>
          </w:p>
        </w:tc>
      </w:tr>
      <w:tr w:rsidR="00561FF0" w:rsidRPr="00CC1EE1" w14:paraId="56840266" w14:textId="77777777" w:rsidTr="006C78F8">
        <w:trPr>
          <w:trHeight w:val="479"/>
        </w:trPr>
        <w:tc>
          <w:tcPr>
            <w:tcW w:w="671" w:type="dxa"/>
          </w:tcPr>
          <w:p w14:paraId="1388062E" w14:textId="77777777" w:rsidR="00561FF0" w:rsidRPr="00CC1EE1" w:rsidRDefault="00561FF0" w:rsidP="00F66349">
            <w:pPr>
              <w:jc w:val="center"/>
              <w:rPr>
                <w:rFonts w:ascii="Garamond" w:hAnsi="Garamond"/>
                <w:sz w:val="22"/>
                <w:szCs w:val="22"/>
              </w:rPr>
            </w:pPr>
          </w:p>
        </w:tc>
        <w:tc>
          <w:tcPr>
            <w:tcW w:w="655" w:type="dxa"/>
            <w:shd w:val="pct15" w:color="auto" w:fill="FFFFFF"/>
          </w:tcPr>
          <w:p w14:paraId="6461D6BE" w14:textId="77777777" w:rsidR="00561FF0" w:rsidRPr="00CC1EE1" w:rsidRDefault="00561FF0" w:rsidP="00F66349">
            <w:pPr>
              <w:jc w:val="center"/>
              <w:rPr>
                <w:rFonts w:ascii="Garamond" w:hAnsi="Garamond"/>
                <w:sz w:val="22"/>
                <w:szCs w:val="22"/>
              </w:rPr>
            </w:pPr>
          </w:p>
        </w:tc>
        <w:tc>
          <w:tcPr>
            <w:tcW w:w="8047" w:type="dxa"/>
          </w:tcPr>
          <w:p w14:paraId="18783488" w14:textId="77777777" w:rsidR="00561FF0" w:rsidRPr="00CC1EE1" w:rsidRDefault="00561FF0" w:rsidP="00F66349">
            <w:pPr>
              <w:rPr>
                <w:rFonts w:ascii="Garamond" w:hAnsi="Garamond"/>
                <w:sz w:val="22"/>
                <w:szCs w:val="22"/>
              </w:rPr>
            </w:pPr>
            <w:r w:rsidRPr="00CC1EE1">
              <w:rPr>
                <w:rFonts w:ascii="Garamond" w:hAnsi="Garamond"/>
                <w:sz w:val="22"/>
                <w:szCs w:val="22"/>
              </w:rPr>
              <w:t>5a</w:t>
            </w:r>
            <w:r w:rsidR="00F13CAF" w:rsidRPr="00CC1EE1">
              <w:rPr>
                <w:rFonts w:ascii="Garamond" w:hAnsi="Garamond"/>
                <w:sz w:val="22"/>
                <w:szCs w:val="22"/>
              </w:rPr>
              <w:t>. Is</w:t>
            </w:r>
            <w:r w:rsidRPr="00CC1EE1">
              <w:rPr>
                <w:rFonts w:ascii="Garamond" w:hAnsi="Garamond"/>
                <w:sz w:val="22"/>
                <w:szCs w:val="22"/>
              </w:rPr>
              <w:t xml:space="preserve"> there a reasonable, specific connection between the government requirement and legitimate state interests?</w:t>
            </w:r>
          </w:p>
        </w:tc>
      </w:tr>
      <w:tr w:rsidR="00561FF0" w:rsidRPr="00CC1EE1" w14:paraId="56A69E6D" w14:textId="77777777" w:rsidTr="006C78F8">
        <w:trPr>
          <w:trHeight w:val="726"/>
        </w:trPr>
        <w:tc>
          <w:tcPr>
            <w:tcW w:w="671" w:type="dxa"/>
          </w:tcPr>
          <w:p w14:paraId="215CD75A" w14:textId="77777777" w:rsidR="00561FF0" w:rsidRPr="00CC1EE1" w:rsidRDefault="00561FF0" w:rsidP="00F66349">
            <w:pPr>
              <w:jc w:val="center"/>
              <w:rPr>
                <w:rFonts w:ascii="Garamond" w:hAnsi="Garamond"/>
                <w:sz w:val="22"/>
                <w:szCs w:val="22"/>
              </w:rPr>
            </w:pPr>
          </w:p>
        </w:tc>
        <w:tc>
          <w:tcPr>
            <w:tcW w:w="655" w:type="dxa"/>
            <w:shd w:val="pct15" w:color="auto" w:fill="FFFFFF"/>
          </w:tcPr>
          <w:p w14:paraId="01BE5870" w14:textId="77777777" w:rsidR="00561FF0" w:rsidRPr="00CC1EE1" w:rsidRDefault="00561FF0" w:rsidP="00F66349">
            <w:pPr>
              <w:jc w:val="center"/>
              <w:rPr>
                <w:rFonts w:ascii="Garamond" w:hAnsi="Garamond"/>
                <w:sz w:val="22"/>
                <w:szCs w:val="22"/>
              </w:rPr>
            </w:pPr>
          </w:p>
        </w:tc>
        <w:tc>
          <w:tcPr>
            <w:tcW w:w="8047" w:type="dxa"/>
          </w:tcPr>
          <w:p w14:paraId="7E5371C3" w14:textId="77777777" w:rsidR="00561FF0" w:rsidRDefault="00561FF0" w:rsidP="00F66349">
            <w:pPr>
              <w:rPr>
                <w:rFonts w:ascii="Garamond" w:hAnsi="Garamond"/>
                <w:sz w:val="22"/>
                <w:szCs w:val="22"/>
              </w:rPr>
            </w:pPr>
            <w:r w:rsidRPr="00CC1EE1">
              <w:rPr>
                <w:rFonts w:ascii="Garamond" w:hAnsi="Garamond"/>
                <w:sz w:val="22"/>
                <w:szCs w:val="22"/>
              </w:rPr>
              <w:t>5b</w:t>
            </w:r>
            <w:r w:rsidR="00F13CAF" w:rsidRPr="00CC1EE1">
              <w:rPr>
                <w:rFonts w:ascii="Garamond" w:hAnsi="Garamond"/>
                <w:sz w:val="22"/>
                <w:szCs w:val="22"/>
              </w:rPr>
              <w:t>. Is</w:t>
            </w:r>
            <w:r w:rsidRPr="00CC1EE1">
              <w:rPr>
                <w:rFonts w:ascii="Garamond" w:hAnsi="Garamond"/>
                <w:sz w:val="22"/>
                <w:szCs w:val="22"/>
              </w:rPr>
              <w:t xml:space="preserve"> the government requirement roughly proportional to the impact of the proposed use of the property?</w:t>
            </w:r>
          </w:p>
          <w:p w14:paraId="62404512" w14:textId="77777777" w:rsidR="00CC1EE1" w:rsidRPr="00CC1EE1" w:rsidRDefault="00CC1EE1" w:rsidP="00F66349">
            <w:pPr>
              <w:rPr>
                <w:rFonts w:ascii="Garamond" w:hAnsi="Garamond"/>
                <w:sz w:val="22"/>
                <w:szCs w:val="22"/>
              </w:rPr>
            </w:pPr>
          </w:p>
        </w:tc>
      </w:tr>
      <w:tr w:rsidR="00561FF0" w:rsidRPr="00CC1EE1" w14:paraId="3918990E" w14:textId="77777777" w:rsidTr="006C78F8">
        <w:trPr>
          <w:trHeight w:val="479"/>
        </w:trPr>
        <w:tc>
          <w:tcPr>
            <w:tcW w:w="671" w:type="dxa"/>
            <w:shd w:val="pct15" w:color="auto" w:fill="FFFFFF"/>
          </w:tcPr>
          <w:p w14:paraId="5118A219" w14:textId="77777777" w:rsidR="00561FF0" w:rsidRPr="00CC1EE1" w:rsidRDefault="00561FF0" w:rsidP="00F66349">
            <w:pPr>
              <w:jc w:val="center"/>
              <w:rPr>
                <w:rFonts w:ascii="Garamond" w:hAnsi="Garamond"/>
                <w:sz w:val="22"/>
                <w:szCs w:val="22"/>
              </w:rPr>
            </w:pPr>
          </w:p>
        </w:tc>
        <w:tc>
          <w:tcPr>
            <w:tcW w:w="655" w:type="dxa"/>
          </w:tcPr>
          <w:p w14:paraId="390F8581" w14:textId="77777777" w:rsidR="00561FF0" w:rsidRPr="00CC1EE1" w:rsidRDefault="00561FF0" w:rsidP="00F66349">
            <w:pPr>
              <w:jc w:val="center"/>
              <w:rPr>
                <w:rFonts w:ascii="Garamond" w:hAnsi="Garamond"/>
                <w:sz w:val="22"/>
                <w:szCs w:val="22"/>
              </w:rPr>
            </w:pPr>
            <w:r w:rsidRPr="00CC1EE1">
              <w:rPr>
                <w:rFonts w:ascii="Garamond" w:hAnsi="Garamond"/>
                <w:sz w:val="22"/>
                <w:szCs w:val="22"/>
              </w:rPr>
              <w:t>X</w:t>
            </w:r>
          </w:p>
        </w:tc>
        <w:tc>
          <w:tcPr>
            <w:tcW w:w="8047" w:type="dxa"/>
          </w:tcPr>
          <w:p w14:paraId="23817956" w14:textId="77777777" w:rsidR="00561FF0" w:rsidRPr="00CC1EE1" w:rsidRDefault="00561FF0" w:rsidP="00F66349">
            <w:pPr>
              <w:rPr>
                <w:rFonts w:ascii="Garamond" w:hAnsi="Garamond"/>
                <w:sz w:val="22"/>
                <w:szCs w:val="22"/>
              </w:rPr>
            </w:pPr>
            <w:r w:rsidRPr="00CC1EE1">
              <w:rPr>
                <w:rFonts w:ascii="Garamond" w:hAnsi="Garamond"/>
                <w:sz w:val="22"/>
                <w:szCs w:val="22"/>
              </w:rPr>
              <w:t>6.  Does the action have a severe impact on the value of the property?  (consider economic impact, investment-backed expectations, character of government action)</w:t>
            </w:r>
          </w:p>
        </w:tc>
      </w:tr>
      <w:tr w:rsidR="00561FF0" w:rsidRPr="00CC1EE1" w14:paraId="4C6E0778" w14:textId="77777777" w:rsidTr="006C78F8">
        <w:trPr>
          <w:trHeight w:val="479"/>
        </w:trPr>
        <w:tc>
          <w:tcPr>
            <w:tcW w:w="671" w:type="dxa"/>
          </w:tcPr>
          <w:p w14:paraId="7FB48C7E" w14:textId="77777777" w:rsidR="00561FF0" w:rsidRPr="00CC1EE1" w:rsidRDefault="00561FF0" w:rsidP="00F66349">
            <w:pPr>
              <w:jc w:val="center"/>
              <w:rPr>
                <w:rFonts w:ascii="Garamond" w:hAnsi="Garamond"/>
                <w:sz w:val="22"/>
                <w:szCs w:val="22"/>
              </w:rPr>
            </w:pPr>
          </w:p>
        </w:tc>
        <w:tc>
          <w:tcPr>
            <w:tcW w:w="655" w:type="dxa"/>
          </w:tcPr>
          <w:p w14:paraId="4C7EB8E1" w14:textId="77777777" w:rsidR="00561FF0" w:rsidRPr="00CC1EE1" w:rsidRDefault="00561FF0" w:rsidP="00F66349">
            <w:pPr>
              <w:jc w:val="center"/>
              <w:rPr>
                <w:rFonts w:ascii="Garamond" w:hAnsi="Garamond"/>
                <w:sz w:val="22"/>
                <w:szCs w:val="22"/>
              </w:rPr>
            </w:pPr>
            <w:r w:rsidRPr="00CC1EE1">
              <w:rPr>
                <w:rFonts w:ascii="Garamond" w:hAnsi="Garamond"/>
                <w:sz w:val="22"/>
                <w:szCs w:val="22"/>
              </w:rPr>
              <w:t>X</w:t>
            </w:r>
          </w:p>
        </w:tc>
        <w:tc>
          <w:tcPr>
            <w:tcW w:w="8047" w:type="dxa"/>
          </w:tcPr>
          <w:p w14:paraId="34877A5D" w14:textId="77777777" w:rsidR="00561FF0" w:rsidRPr="00CC1EE1" w:rsidRDefault="00561FF0" w:rsidP="00F66349">
            <w:pPr>
              <w:rPr>
                <w:rFonts w:ascii="Garamond" w:hAnsi="Garamond"/>
                <w:sz w:val="22"/>
                <w:szCs w:val="22"/>
              </w:rPr>
            </w:pPr>
            <w:r w:rsidRPr="00CC1EE1">
              <w:rPr>
                <w:rFonts w:ascii="Garamond" w:hAnsi="Garamond"/>
                <w:sz w:val="22"/>
                <w:szCs w:val="22"/>
              </w:rPr>
              <w:t>7</w:t>
            </w:r>
            <w:proofErr w:type="gramStart"/>
            <w:r w:rsidRPr="00CC1EE1">
              <w:rPr>
                <w:rFonts w:ascii="Garamond" w:hAnsi="Garamond"/>
                <w:sz w:val="22"/>
                <w:szCs w:val="22"/>
              </w:rPr>
              <w:t>.  Does</w:t>
            </w:r>
            <w:proofErr w:type="gramEnd"/>
            <w:r w:rsidRPr="00CC1EE1">
              <w:rPr>
                <w:rFonts w:ascii="Garamond" w:hAnsi="Garamond"/>
                <w:sz w:val="22"/>
                <w:szCs w:val="22"/>
              </w:rPr>
              <w:t xml:space="preserve"> the action damage the property by causing some physical disturbance with respect to the property </w:t>
            </w:r>
            <w:proofErr w:type="gramStart"/>
            <w:r w:rsidRPr="00CC1EE1">
              <w:rPr>
                <w:rFonts w:ascii="Garamond" w:hAnsi="Garamond"/>
                <w:sz w:val="22"/>
                <w:szCs w:val="22"/>
              </w:rPr>
              <w:t>in excess of</w:t>
            </w:r>
            <w:proofErr w:type="gramEnd"/>
            <w:r w:rsidRPr="00CC1EE1">
              <w:rPr>
                <w:rFonts w:ascii="Garamond" w:hAnsi="Garamond"/>
                <w:sz w:val="22"/>
                <w:szCs w:val="22"/>
              </w:rPr>
              <w:t xml:space="preserve"> that sustained by the public generally?</w:t>
            </w:r>
          </w:p>
        </w:tc>
      </w:tr>
      <w:tr w:rsidR="00561FF0" w:rsidRPr="00CC1EE1" w14:paraId="2053EE24" w14:textId="77777777" w:rsidTr="006C78F8">
        <w:trPr>
          <w:trHeight w:val="230"/>
        </w:trPr>
        <w:tc>
          <w:tcPr>
            <w:tcW w:w="671" w:type="dxa"/>
            <w:shd w:val="pct15" w:color="auto" w:fill="FFFFFF"/>
          </w:tcPr>
          <w:p w14:paraId="34215D96" w14:textId="77777777" w:rsidR="00561FF0" w:rsidRPr="00CC1EE1" w:rsidRDefault="00561FF0" w:rsidP="00F66349">
            <w:pPr>
              <w:jc w:val="center"/>
              <w:rPr>
                <w:rFonts w:ascii="Garamond" w:hAnsi="Garamond"/>
                <w:sz w:val="22"/>
                <w:szCs w:val="22"/>
              </w:rPr>
            </w:pPr>
          </w:p>
        </w:tc>
        <w:tc>
          <w:tcPr>
            <w:tcW w:w="655" w:type="dxa"/>
          </w:tcPr>
          <w:p w14:paraId="7F1018E8" w14:textId="77777777" w:rsidR="00561FF0" w:rsidRPr="00CC1EE1" w:rsidRDefault="00561FF0" w:rsidP="00F66349">
            <w:pPr>
              <w:jc w:val="center"/>
              <w:rPr>
                <w:rFonts w:ascii="Garamond" w:hAnsi="Garamond"/>
                <w:sz w:val="22"/>
                <w:szCs w:val="22"/>
              </w:rPr>
            </w:pPr>
            <w:r w:rsidRPr="00CC1EE1">
              <w:rPr>
                <w:rFonts w:ascii="Garamond" w:hAnsi="Garamond"/>
                <w:sz w:val="22"/>
                <w:szCs w:val="22"/>
              </w:rPr>
              <w:t>X</w:t>
            </w:r>
          </w:p>
        </w:tc>
        <w:tc>
          <w:tcPr>
            <w:tcW w:w="8047" w:type="dxa"/>
          </w:tcPr>
          <w:p w14:paraId="27987F2F" w14:textId="77777777" w:rsidR="00561FF0" w:rsidRPr="00CC1EE1" w:rsidRDefault="00561FF0" w:rsidP="00F66349">
            <w:pPr>
              <w:rPr>
                <w:rFonts w:ascii="Garamond" w:hAnsi="Garamond"/>
                <w:sz w:val="22"/>
                <w:szCs w:val="22"/>
              </w:rPr>
            </w:pPr>
            <w:r w:rsidRPr="00CC1EE1">
              <w:rPr>
                <w:rFonts w:ascii="Garamond" w:hAnsi="Garamond"/>
                <w:sz w:val="22"/>
                <w:szCs w:val="22"/>
              </w:rPr>
              <w:t>7a</w:t>
            </w:r>
            <w:r w:rsidR="00070CEB" w:rsidRPr="00CC1EE1">
              <w:rPr>
                <w:rFonts w:ascii="Garamond" w:hAnsi="Garamond"/>
                <w:sz w:val="22"/>
                <w:szCs w:val="22"/>
              </w:rPr>
              <w:t>. Is</w:t>
            </w:r>
            <w:r w:rsidRPr="00CC1EE1">
              <w:rPr>
                <w:rFonts w:ascii="Garamond" w:hAnsi="Garamond"/>
                <w:sz w:val="22"/>
                <w:szCs w:val="22"/>
              </w:rPr>
              <w:t xml:space="preserve"> the impact of government action direct, peculiar, and significant?  </w:t>
            </w:r>
          </w:p>
        </w:tc>
      </w:tr>
      <w:tr w:rsidR="00561FF0" w:rsidRPr="00CC1EE1" w14:paraId="4E3C83CD" w14:textId="77777777" w:rsidTr="006C78F8">
        <w:trPr>
          <w:trHeight w:val="495"/>
        </w:trPr>
        <w:tc>
          <w:tcPr>
            <w:tcW w:w="671" w:type="dxa"/>
            <w:shd w:val="pct15" w:color="auto" w:fill="FFFFFF"/>
          </w:tcPr>
          <w:p w14:paraId="4EE39A2B" w14:textId="77777777" w:rsidR="00561FF0" w:rsidRPr="00CC1EE1" w:rsidRDefault="00561FF0" w:rsidP="00F66349">
            <w:pPr>
              <w:jc w:val="center"/>
              <w:rPr>
                <w:rFonts w:ascii="Garamond" w:hAnsi="Garamond"/>
                <w:sz w:val="22"/>
                <w:szCs w:val="22"/>
              </w:rPr>
            </w:pPr>
          </w:p>
        </w:tc>
        <w:tc>
          <w:tcPr>
            <w:tcW w:w="655" w:type="dxa"/>
          </w:tcPr>
          <w:p w14:paraId="0C9E3B37" w14:textId="77777777" w:rsidR="00561FF0" w:rsidRPr="00CC1EE1" w:rsidRDefault="00561FF0" w:rsidP="00F66349">
            <w:pPr>
              <w:jc w:val="center"/>
              <w:rPr>
                <w:rFonts w:ascii="Garamond" w:hAnsi="Garamond"/>
                <w:sz w:val="22"/>
                <w:szCs w:val="22"/>
              </w:rPr>
            </w:pPr>
            <w:r w:rsidRPr="00CC1EE1">
              <w:rPr>
                <w:rFonts w:ascii="Garamond" w:hAnsi="Garamond"/>
                <w:sz w:val="22"/>
                <w:szCs w:val="22"/>
              </w:rPr>
              <w:t>X</w:t>
            </w:r>
          </w:p>
        </w:tc>
        <w:tc>
          <w:tcPr>
            <w:tcW w:w="8047" w:type="dxa"/>
          </w:tcPr>
          <w:p w14:paraId="2D526D6C" w14:textId="77777777" w:rsidR="00561FF0" w:rsidRPr="00CC1EE1" w:rsidRDefault="00561FF0" w:rsidP="00F66349">
            <w:pPr>
              <w:rPr>
                <w:rFonts w:ascii="Garamond" w:hAnsi="Garamond"/>
                <w:sz w:val="22"/>
                <w:szCs w:val="22"/>
              </w:rPr>
            </w:pPr>
            <w:r w:rsidRPr="00CC1EE1">
              <w:rPr>
                <w:rFonts w:ascii="Garamond" w:hAnsi="Garamond"/>
                <w:sz w:val="22"/>
                <w:szCs w:val="22"/>
              </w:rPr>
              <w:t>7b</w:t>
            </w:r>
            <w:r w:rsidR="00070CEB" w:rsidRPr="00CC1EE1">
              <w:rPr>
                <w:rFonts w:ascii="Garamond" w:hAnsi="Garamond"/>
                <w:sz w:val="22"/>
                <w:szCs w:val="22"/>
              </w:rPr>
              <w:t>. Has</w:t>
            </w:r>
            <w:r w:rsidRPr="00CC1EE1">
              <w:rPr>
                <w:rFonts w:ascii="Garamond" w:hAnsi="Garamond"/>
                <w:sz w:val="22"/>
                <w:szCs w:val="22"/>
              </w:rPr>
              <w:t xml:space="preserve"> government action resulted in the property becoming practically inaccessible, waterlogged or flooded?</w:t>
            </w:r>
          </w:p>
        </w:tc>
      </w:tr>
      <w:tr w:rsidR="00561FF0" w:rsidRPr="00CC1EE1" w14:paraId="03167B24" w14:textId="77777777" w:rsidTr="006C78F8">
        <w:trPr>
          <w:trHeight w:val="479"/>
        </w:trPr>
        <w:tc>
          <w:tcPr>
            <w:tcW w:w="671" w:type="dxa"/>
            <w:shd w:val="pct15" w:color="auto" w:fill="FFFFFF"/>
          </w:tcPr>
          <w:p w14:paraId="029938D3" w14:textId="77777777" w:rsidR="00561FF0" w:rsidRPr="00CC1EE1" w:rsidRDefault="00561FF0" w:rsidP="00F66349">
            <w:pPr>
              <w:jc w:val="center"/>
              <w:rPr>
                <w:rFonts w:ascii="Garamond" w:hAnsi="Garamond"/>
                <w:sz w:val="22"/>
                <w:szCs w:val="22"/>
              </w:rPr>
            </w:pPr>
          </w:p>
        </w:tc>
        <w:tc>
          <w:tcPr>
            <w:tcW w:w="655" w:type="dxa"/>
          </w:tcPr>
          <w:p w14:paraId="4B25B8F7" w14:textId="77777777" w:rsidR="00561FF0" w:rsidRPr="00CC1EE1" w:rsidRDefault="00561FF0" w:rsidP="00F66349">
            <w:pPr>
              <w:jc w:val="center"/>
              <w:rPr>
                <w:rFonts w:ascii="Garamond" w:hAnsi="Garamond"/>
                <w:sz w:val="22"/>
                <w:szCs w:val="22"/>
              </w:rPr>
            </w:pPr>
            <w:r w:rsidRPr="00CC1EE1">
              <w:rPr>
                <w:rFonts w:ascii="Garamond" w:hAnsi="Garamond"/>
                <w:sz w:val="22"/>
                <w:szCs w:val="22"/>
              </w:rPr>
              <w:t>X</w:t>
            </w:r>
          </w:p>
        </w:tc>
        <w:tc>
          <w:tcPr>
            <w:tcW w:w="8047" w:type="dxa"/>
          </w:tcPr>
          <w:p w14:paraId="0135AC0F" w14:textId="77777777" w:rsidR="00561FF0" w:rsidRPr="00CC1EE1" w:rsidRDefault="00561FF0" w:rsidP="00F66349">
            <w:pPr>
              <w:rPr>
                <w:rFonts w:ascii="Garamond" w:hAnsi="Garamond"/>
                <w:sz w:val="22"/>
                <w:szCs w:val="22"/>
              </w:rPr>
            </w:pPr>
            <w:r w:rsidRPr="00CC1EE1">
              <w:rPr>
                <w:rFonts w:ascii="Garamond" w:hAnsi="Garamond"/>
                <w:sz w:val="22"/>
                <w:szCs w:val="22"/>
              </w:rPr>
              <w:t>7c</w:t>
            </w:r>
            <w:r w:rsidR="00070CEB" w:rsidRPr="00CC1EE1">
              <w:rPr>
                <w:rFonts w:ascii="Garamond" w:hAnsi="Garamond"/>
                <w:sz w:val="22"/>
                <w:szCs w:val="22"/>
              </w:rPr>
              <w:t>. Has</w:t>
            </w:r>
            <w:r w:rsidRPr="00CC1EE1">
              <w:rPr>
                <w:rFonts w:ascii="Garamond" w:hAnsi="Garamond"/>
                <w:sz w:val="22"/>
                <w:szCs w:val="22"/>
              </w:rPr>
              <w:t xml:space="preserve"> government action lowered property values by more than 30% and necessitated the physical taking of adjacent property or property across a public way from the property in question?</w:t>
            </w:r>
          </w:p>
        </w:tc>
      </w:tr>
      <w:tr w:rsidR="00561FF0" w:rsidRPr="00CC1EE1" w14:paraId="0C95604B" w14:textId="77777777" w:rsidTr="006C78F8">
        <w:trPr>
          <w:trHeight w:val="709"/>
        </w:trPr>
        <w:tc>
          <w:tcPr>
            <w:tcW w:w="671" w:type="dxa"/>
          </w:tcPr>
          <w:p w14:paraId="107ED6B2" w14:textId="77777777" w:rsidR="00561FF0" w:rsidRPr="00CC1EE1" w:rsidRDefault="00561FF0" w:rsidP="00F66349">
            <w:pPr>
              <w:jc w:val="center"/>
              <w:rPr>
                <w:rFonts w:ascii="Garamond" w:hAnsi="Garamond"/>
                <w:sz w:val="22"/>
                <w:szCs w:val="22"/>
              </w:rPr>
            </w:pPr>
          </w:p>
        </w:tc>
        <w:tc>
          <w:tcPr>
            <w:tcW w:w="655" w:type="dxa"/>
          </w:tcPr>
          <w:p w14:paraId="6CFF15A1" w14:textId="77777777" w:rsidR="00561FF0" w:rsidRPr="00CC1EE1" w:rsidRDefault="00561FF0" w:rsidP="00F66349">
            <w:pPr>
              <w:jc w:val="center"/>
              <w:rPr>
                <w:rFonts w:ascii="Garamond" w:hAnsi="Garamond"/>
                <w:sz w:val="22"/>
                <w:szCs w:val="22"/>
              </w:rPr>
            </w:pPr>
            <w:r w:rsidRPr="00CC1EE1">
              <w:rPr>
                <w:rFonts w:ascii="Garamond" w:hAnsi="Garamond"/>
                <w:sz w:val="22"/>
                <w:szCs w:val="22"/>
              </w:rPr>
              <w:t>X</w:t>
            </w:r>
          </w:p>
        </w:tc>
        <w:tc>
          <w:tcPr>
            <w:tcW w:w="8047" w:type="dxa"/>
          </w:tcPr>
          <w:p w14:paraId="10EDC46E" w14:textId="77777777" w:rsidR="00561FF0" w:rsidRPr="00CC1EE1" w:rsidRDefault="00561FF0" w:rsidP="00F66349">
            <w:pPr>
              <w:rPr>
                <w:rFonts w:ascii="Garamond" w:hAnsi="Garamond"/>
                <w:sz w:val="22"/>
                <w:szCs w:val="22"/>
              </w:rPr>
            </w:pPr>
            <w:r w:rsidRPr="00CC1EE1">
              <w:rPr>
                <w:rFonts w:ascii="Garamond" w:hAnsi="Garamond"/>
                <w:sz w:val="22"/>
                <w:szCs w:val="22"/>
              </w:rPr>
              <w:t xml:space="preserve">Takings or damaging implications?  (Taking or damaging implications exist if YES is checked in response to question 1 </w:t>
            </w:r>
            <w:proofErr w:type="gramStart"/>
            <w:r w:rsidRPr="00CC1EE1">
              <w:rPr>
                <w:rFonts w:ascii="Garamond" w:hAnsi="Garamond"/>
                <w:sz w:val="22"/>
                <w:szCs w:val="22"/>
              </w:rPr>
              <w:t>and also</w:t>
            </w:r>
            <w:proofErr w:type="gramEnd"/>
            <w:r w:rsidRPr="00CC1EE1">
              <w:rPr>
                <w:rFonts w:ascii="Garamond" w:hAnsi="Garamond"/>
                <w:sz w:val="22"/>
                <w:szCs w:val="22"/>
              </w:rPr>
              <w:t xml:space="preserve"> to any one or more of the following questions</w:t>
            </w:r>
            <w:proofErr w:type="gramStart"/>
            <w:r w:rsidRPr="00CC1EE1">
              <w:rPr>
                <w:rFonts w:ascii="Garamond" w:hAnsi="Garamond"/>
                <w:sz w:val="22"/>
                <w:szCs w:val="22"/>
              </w:rPr>
              <w:t>:  2</w:t>
            </w:r>
            <w:proofErr w:type="gramEnd"/>
            <w:r w:rsidRPr="00CC1EE1">
              <w:rPr>
                <w:rFonts w:ascii="Garamond" w:hAnsi="Garamond"/>
                <w:sz w:val="22"/>
                <w:szCs w:val="22"/>
              </w:rPr>
              <w:t>, 3, 4, 6, 7a, 7b, 7c; or if NO is checked in response to questions 5a or 5b; the shaded areas)</w:t>
            </w:r>
          </w:p>
        </w:tc>
      </w:tr>
    </w:tbl>
    <w:p w14:paraId="599BD6CA" w14:textId="77777777" w:rsidR="00561FF0" w:rsidRPr="001C6D71" w:rsidRDefault="00561FF0" w:rsidP="00220BD9">
      <w:pPr>
        <w:pStyle w:val="BodyTextIndent2"/>
        <w:ind w:left="0"/>
        <w:rPr>
          <w:rFonts w:ascii="Garamond" w:hAnsi="Garamond"/>
          <w:sz w:val="24"/>
          <w:szCs w:val="24"/>
        </w:rPr>
      </w:pPr>
    </w:p>
    <w:p w14:paraId="4A8BF067" w14:textId="6254F3AA" w:rsidR="00561FF0" w:rsidRPr="001C6D71" w:rsidRDefault="00561FF0" w:rsidP="00561FF0">
      <w:pPr>
        <w:pStyle w:val="BodyTextIndent2"/>
        <w:rPr>
          <w:rFonts w:ascii="Garamond" w:hAnsi="Garamond"/>
          <w:sz w:val="24"/>
          <w:szCs w:val="24"/>
        </w:rPr>
      </w:pPr>
      <w:r w:rsidRPr="001C6D71">
        <w:rPr>
          <w:rFonts w:ascii="Garamond" w:hAnsi="Garamond"/>
          <w:sz w:val="24"/>
          <w:szCs w:val="24"/>
        </w:rPr>
        <w:t xml:space="preserve">Based on this analysis, </w:t>
      </w:r>
      <w:r w:rsidR="004D3652">
        <w:rPr>
          <w:rFonts w:ascii="Garamond" w:hAnsi="Garamond"/>
          <w:sz w:val="24"/>
          <w:szCs w:val="24"/>
        </w:rPr>
        <w:t>DEQ</w:t>
      </w:r>
      <w:r w:rsidRPr="001C6D71">
        <w:rPr>
          <w:rFonts w:ascii="Garamond" w:hAnsi="Garamond"/>
          <w:sz w:val="24"/>
          <w:szCs w:val="24"/>
        </w:rPr>
        <w:t xml:space="preserve"> determined there are no taking or damaging implications associated with this permit action.</w:t>
      </w:r>
    </w:p>
    <w:p w14:paraId="75928445" w14:textId="77777777" w:rsidR="00561FF0" w:rsidRPr="001C6D71" w:rsidRDefault="00561FF0" w:rsidP="00561FF0">
      <w:pPr>
        <w:rPr>
          <w:rFonts w:ascii="Garamond" w:hAnsi="Garamond"/>
          <w:sz w:val="24"/>
          <w:szCs w:val="24"/>
        </w:rPr>
      </w:pPr>
    </w:p>
    <w:p w14:paraId="10E937A4" w14:textId="77777777" w:rsidR="00EE54A7" w:rsidRPr="001C6D71" w:rsidRDefault="00EE54A7" w:rsidP="0051037C">
      <w:pPr>
        <w:pStyle w:val="Heading2"/>
        <w:spacing w:before="0" w:beforeAutospacing="0" w:after="0" w:afterAutospacing="0"/>
        <w:rPr>
          <w:rFonts w:ascii="Garamond" w:hAnsi="Garamond"/>
          <w:sz w:val="24"/>
          <w:szCs w:val="24"/>
        </w:rPr>
      </w:pPr>
      <w:bookmarkStart w:id="6" w:name="_Toc411330013"/>
      <w:r w:rsidRPr="001C6D71">
        <w:rPr>
          <w:rFonts w:ascii="Garamond" w:hAnsi="Garamond"/>
          <w:sz w:val="24"/>
          <w:szCs w:val="24"/>
        </w:rPr>
        <w:t>Compliance Designation</w:t>
      </w:r>
      <w:bookmarkEnd w:id="6"/>
    </w:p>
    <w:p w14:paraId="5E0849B2" w14:textId="77777777" w:rsidR="00EE54A7" w:rsidRPr="001C6D71" w:rsidRDefault="00EE54A7" w:rsidP="0007772C">
      <w:pPr>
        <w:keepNext/>
        <w:rPr>
          <w:rFonts w:ascii="Garamond" w:hAnsi="Garamond"/>
          <w:sz w:val="24"/>
          <w:szCs w:val="24"/>
        </w:rPr>
      </w:pPr>
    </w:p>
    <w:p w14:paraId="7F001790" w14:textId="641F32DC" w:rsidR="009718F6" w:rsidRPr="001C6D71" w:rsidRDefault="004D3652" w:rsidP="0007772C">
      <w:pPr>
        <w:pStyle w:val="BodyTextIndent"/>
        <w:keepNext/>
        <w:rPr>
          <w:rFonts w:ascii="Garamond" w:hAnsi="Garamond"/>
          <w:b/>
          <w:sz w:val="24"/>
          <w:szCs w:val="24"/>
        </w:rPr>
      </w:pPr>
      <w:r>
        <w:rPr>
          <w:rFonts w:ascii="Garamond" w:eastAsia="Times New Roman" w:hAnsi="Garamond"/>
          <w:sz w:val="24"/>
          <w:szCs w:val="24"/>
        </w:rPr>
        <w:t>DEQ</w:t>
      </w:r>
      <w:r w:rsidR="009718F6" w:rsidRPr="001C6D71">
        <w:rPr>
          <w:rFonts w:ascii="Garamond" w:eastAsia="Times New Roman" w:hAnsi="Garamond"/>
          <w:sz w:val="24"/>
          <w:szCs w:val="24"/>
        </w:rPr>
        <w:t xml:space="preserve"> conducted an inspection and a Full Compliance Evaluation, with the report sent </w:t>
      </w:r>
      <w:r w:rsidR="00F11189">
        <w:rPr>
          <w:rFonts w:ascii="Garamond" w:eastAsia="Times New Roman" w:hAnsi="Garamond"/>
          <w:sz w:val="24"/>
          <w:szCs w:val="24"/>
        </w:rPr>
        <w:t>March 23</w:t>
      </w:r>
      <w:r w:rsidR="00D52E61">
        <w:rPr>
          <w:rFonts w:ascii="Garamond" w:eastAsia="Times New Roman" w:hAnsi="Garamond"/>
          <w:sz w:val="24"/>
          <w:szCs w:val="24"/>
        </w:rPr>
        <w:t>, 20</w:t>
      </w:r>
      <w:r w:rsidR="00571DEA">
        <w:rPr>
          <w:rFonts w:ascii="Garamond" w:eastAsia="Times New Roman" w:hAnsi="Garamond"/>
          <w:sz w:val="24"/>
          <w:szCs w:val="24"/>
        </w:rPr>
        <w:t>2</w:t>
      </w:r>
      <w:r w:rsidR="00F11189">
        <w:rPr>
          <w:rFonts w:ascii="Garamond" w:eastAsia="Times New Roman" w:hAnsi="Garamond"/>
          <w:sz w:val="24"/>
          <w:szCs w:val="24"/>
        </w:rPr>
        <w:t>6</w:t>
      </w:r>
      <w:r w:rsidR="009718F6" w:rsidRPr="001C6D71">
        <w:rPr>
          <w:rFonts w:ascii="Garamond" w:eastAsia="Times New Roman" w:hAnsi="Garamond"/>
          <w:sz w:val="24"/>
          <w:szCs w:val="24"/>
        </w:rPr>
        <w:t xml:space="preserve">.  At the time of this report, the facility appeared to </w:t>
      </w:r>
      <w:proofErr w:type="gramStart"/>
      <w:r w:rsidR="009718F6" w:rsidRPr="001C6D71">
        <w:rPr>
          <w:rFonts w:ascii="Garamond" w:eastAsia="Times New Roman" w:hAnsi="Garamond"/>
          <w:sz w:val="24"/>
          <w:szCs w:val="24"/>
        </w:rPr>
        <w:t>be in compliance with</w:t>
      </w:r>
      <w:proofErr w:type="gramEnd"/>
      <w:r w:rsidR="009718F6" w:rsidRPr="001C6D71">
        <w:rPr>
          <w:rFonts w:ascii="Garamond" w:eastAsia="Times New Roman" w:hAnsi="Garamond"/>
          <w:sz w:val="24"/>
          <w:szCs w:val="24"/>
        </w:rPr>
        <w:t xml:space="preserve"> the applicable permit conditions.</w:t>
      </w:r>
    </w:p>
    <w:p w14:paraId="4194F0B7" w14:textId="77777777" w:rsidR="009718F6" w:rsidRPr="001C6D71" w:rsidRDefault="009718F6" w:rsidP="009718F6">
      <w:pPr>
        <w:rPr>
          <w:rFonts w:ascii="Garamond" w:hAnsi="Garamond"/>
          <w:b/>
          <w:sz w:val="24"/>
          <w:szCs w:val="24"/>
        </w:rPr>
      </w:pPr>
    </w:p>
    <w:p w14:paraId="09E36AA2" w14:textId="77777777" w:rsidR="009718F6" w:rsidRPr="001C6D71" w:rsidRDefault="009718F6" w:rsidP="009718F6">
      <w:pPr>
        <w:rPr>
          <w:rFonts w:ascii="Garamond" w:hAnsi="Garamond"/>
          <w:sz w:val="24"/>
          <w:szCs w:val="24"/>
        </w:rPr>
        <w:sectPr w:rsidR="009718F6" w:rsidRPr="001C6D71" w:rsidSect="00252F09">
          <w:pgSz w:w="12240" w:h="15840" w:code="1"/>
          <w:pgMar w:top="1152" w:right="1440" w:bottom="1008" w:left="1440" w:header="720" w:footer="720" w:gutter="0"/>
          <w:cols w:space="720"/>
        </w:sectPr>
      </w:pPr>
    </w:p>
    <w:p w14:paraId="747E8DA2" w14:textId="77777777" w:rsidR="00EE54A7" w:rsidRPr="001C6D71" w:rsidRDefault="00EE54A7">
      <w:pPr>
        <w:pStyle w:val="Heading1"/>
        <w:rPr>
          <w:rFonts w:ascii="Garamond" w:hAnsi="Garamond"/>
          <w:sz w:val="24"/>
          <w:szCs w:val="24"/>
        </w:rPr>
      </w:pPr>
      <w:bookmarkStart w:id="7" w:name="_Toc411330014"/>
      <w:r w:rsidRPr="001C6D71">
        <w:rPr>
          <w:rFonts w:ascii="Garamond" w:hAnsi="Garamond"/>
          <w:sz w:val="24"/>
          <w:szCs w:val="24"/>
        </w:rPr>
        <w:lastRenderedPageBreak/>
        <w:t xml:space="preserve">SECTION II. </w:t>
      </w:r>
      <w:r w:rsidR="003715B1" w:rsidRPr="001C6D71">
        <w:rPr>
          <w:rFonts w:ascii="Garamond" w:hAnsi="Garamond"/>
          <w:sz w:val="24"/>
          <w:szCs w:val="24"/>
        </w:rPr>
        <w:t xml:space="preserve">  </w:t>
      </w:r>
      <w:r w:rsidRPr="001C6D71">
        <w:rPr>
          <w:rFonts w:ascii="Garamond" w:hAnsi="Garamond"/>
          <w:sz w:val="24"/>
          <w:szCs w:val="24"/>
        </w:rPr>
        <w:t>SUMMARY OF EMISSION UNITS</w:t>
      </w:r>
      <w:bookmarkEnd w:id="7"/>
    </w:p>
    <w:p w14:paraId="360C7650" w14:textId="77777777" w:rsidR="00EE54A7" w:rsidRPr="001C6D71" w:rsidRDefault="00EE54A7">
      <w:pPr>
        <w:rPr>
          <w:rFonts w:ascii="Garamond" w:hAnsi="Garamond"/>
          <w:sz w:val="24"/>
          <w:szCs w:val="24"/>
        </w:rPr>
      </w:pPr>
    </w:p>
    <w:p w14:paraId="1723BBA6" w14:textId="77777777" w:rsidR="00EE54A7" w:rsidRPr="001C6D71" w:rsidRDefault="00EE54A7">
      <w:pPr>
        <w:pStyle w:val="Heading2"/>
        <w:numPr>
          <w:ilvl w:val="0"/>
          <w:numId w:val="21"/>
        </w:numPr>
        <w:spacing w:before="0" w:beforeAutospacing="0" w:after="0" w:afterAutospacing="0"/>
        <w:rPr>
          <w:rFonts w:ascii="Garamond" w:hAnsi="Garamond"/>
          <w:sz w:val="24"/>
          <w:szCs w:val="24"/>
        </w:rPr>
      </w:pPr>
      <w:bookmarkStart w:id="8" w:name="_Toc411330015"/>
      <w:r w:rsidRPr="001C6D71">
        <w:rPr>
          <w:rFonts w:ascii="Garamond" w:hAnsi="Garamond"/>
          <w:sz w:val="24"/>
          <w:szCs w:val="24"/>
        </w:rPr>
        <w:t>Facility Process Description</w:t>
      </w:r>
      <w:bookmarkEnd w:id="8"/>
    </w:p>
    <w:p w14:paraId="50E287F3" w14:textId="77777777" w:rsidR="00EE54A7" w:rsidRPr="001C6D71" w:rsidRDefault="00EE54A7">
      <w:pPr>
        <w:rPr>
          <w:rFonts w:ascii="Garamond" w:hAnsi="Garamond"/>
          <w:sz w:val="24"/>
          <w:szCs w:val="24"/>
        </w:rPr>
      </w:pPr>
    </w:p>
    <w:p w14:paraId="1D865B68" w14:textId="77777777" w:rsidR="00EE54A7" w:rsidRPr="001C6D71" w:rsidRDefault="00EE54A7">
      <w:pPr>
        <w:pStyle w:val="BodyTextIndent2"/>
        <w:rPr>
          <w:rFonts w:ascii="Garamond" w:hAnsi="Garamond"/>
          <w:sz w:val="24"/>
          <w:szCs w:val="24"/>
        </w:rPr>
      </w:pPr>
      <w:r w:rsidRPr="001C6D71">
        <w:rPr>
          <w:rFonts w:ascii="Garamond" w:hAnsi="Garamond"/>
          <w:sz w:val="24"/>
          <w:szCs w:val="24"/>
        </w:rPr>
        <w:t>WBI’s Hathaway Compressor Station is a natural gas pipeline booster station that utilizes two natural gas turbines to drive compressors that boost the pressure in the natural gas pipeline to allow the transmission of natural gas.  The Hathaway Compressor Station transmits natural gas either east to WBI’s Cabin Creek Compressor Station or west to WBI’s Hardin Compressor Station.</w:t>
      </w:r>
    </w:p>
    <w:p w14:paraId="466D6E5C" w14:textId="77777777" w:rsidR="00EE54A7" w:rsidRPr="001C6D71" w:rsidRDefault="00EE54A7">
      <w:pPr>
        <w:rPr>
          <w:rFonts w:ascii="Garamond" w:hAnsi="Garamond"/>
          <w:sz w:val="24"/>
          <w:szCs w:val="24"/>
        </w:rPr>
      </w:pPr>
    </w:p>
    <w:p w14:paraId="6F2FA77F" w14:textId="77777777" w:rsidR="00EE54A7" w:rsidRPr="001C6D71" w:rsidRDefault="00EE54A7">
      <w:pPr>
        <w:pStyle w:val="Heading2"/>
        <w:spacing w:before="0" w:beforeAutospacing="0" w:after="0" w:afterAutospacing="0"/>
        <w:rPr>
          <w:rFonts w:ascii="Garamond" w:hAnsi="Garamond"/>
          <w:sz w:val="24"/>
          <w:szCs w:val="24"/>
        </w:rPr>
      </w:pPr>
      <w:bookmarkStart w:id="9" w:name="_Toc411330016"/>
      <w:r w:rsidRPr="001C6D71">
        <w:rPr>
          <w:rFonts w:ascii="Garamond" w:hAnsi="Garamond"/>
          <w:sz w:val="24"/>
          <w:szCs w:val="24"/>
        </w:rPr>
        <w:t>Emission Units and Pollution Control Device Identification</w:t>
      </w:r>
      <w:bookmarkEnd w:id="9"/>
    </w:p>
    <w:p w14:paraId="12399871" w14:textId="77777777" w:rsidR="00EE54A7" w:rsidRPr="001C6D71" w:rsidRDefault="00EE54A7" w:rsidP="00220BD9">
      <w:pPr>
        <w:rPr>
          <w:rFonts w:ascii="Garamond" w:hAnsi="Garamond"/>
          <w:sz w:val="24"/>
          <w:szCs w:val="24"/>
        </w:rPr>
      </w:pP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1249"/>
        <w:gridCol w:w="2408"/>
        <w:gridCol w:w="1278"/>
        <w:gridCol w:w="1612"/>
        <w:gridCol w:w="1406"/>
        <w:gridCol w:w="1377"/>
      </w:tblGrid>
      <w:tr w:rsidR="00A30A19" w:rsidRPr="00E4774F" w14:paraId="7E883D25" w14:textId="77777777" w:rsidTr="0007772C">
        <w:trPr>
          <w:cantSplit/>
          <w:trHeight w:val="285"/>
        </w:trPr>
        <w:tc>
          <w:tcPr>
            <w:tcW w:w="728" w:type="pct"/>
            <w:tcBorders>
              <w:top w:val="double" w:sz="4" w:space="0" w:color="auto"/>
              <w:bottom w:val="double" w:sz="4" w:space="0" w:color="auto"/>
            </w:tcBorders>
            <w:shd w:val="clear" w:color="auto" w:fill="F3F3F3"/>
            <w:vAlign w:val="center"/>
          </w:tcPr>
          <w:p w14:paraId="4699F0B5" w14:textId="77777777" w:rsidR="00A30A19" w:rsidRPr="00E4774F" w:rsidRDefault="00A30A19">
            <w:pPr>
              <w:jc w:val="center"/>
              <w:rPr>
                <w:rFonts w:ascii="Garamond" w:hAnsi="Garamond"/>
                <w:b/>
                <w:bCs/>
                <w:sz w:val="22"/>
                <w:szCs w:val="22"/>
              </w:rPr>
            </w:pPr>
            <w:r w:rsidRPr="00E4774F">
              <w:rPr>
                <w:rFonts w:ascii="Garamond" w:hAnsi="Garamond"/>
                <w:b/>
                <w:bCs/>
                <w:sz w:val="22"/>
                <w:szCs w:val="22"/>
              </w:rPr>
              <w:t>Emissions Unit I.D.</w:t>
            </w:r>
          </w:p>
        </w:tc>
        <w:tc>
          <w:tcPr>
            <w:tcW w:w="1349" w:type="pct"/>
            <w:tcBorders>
              <w:top w:val="double" w:sz="4" w:space="0" w:color="auto"/>
              <w:bottom w:val="double" w:sz="4" w:space="0" w:color="auto"/>
            </w:tcBorders>
            <w:shd w:val="clear" w:color="auto" w:fill="F3F3F3"/>
            <w:vAlign w:val="center"/>
          </w:tcPr>
          <w:p w14:paraId="1AB41870" w14:textId="77777777" w:rsidR="00A30A19" w:rsidRPr="00E4774F" w:rsidRDefault="00A30A19">
            <w:pPr>
              <w:jc w:val="center"/>
              <w:rPr>
                <w:rFonts w:ascii="Garamond" w:hAnsi="Garamond"/>
                <w:b/>
                <w:bCs/>
                <w:sz w:val="22"/>
                <w:szCs w:val="22"/>
              </w:rPr>
            </w:pPr>
            <w:r w:rsidRPr="00E4774F">
              <w:rPr>
                <w:rFonts w:ascii="Garamond" w:hAnsi="Garamond"/>
                <w:b/>
                <w:bCs/>
                <w:sz w:val="22"/>
                <w:szCs w:val="22"/>
              </w:rPr>
              <w:t>Description</w:t>
            </w:r>
          </w:p>
        </w:tc>
        <w:tc>
          <w:tcPr>
            <w:tcW w:w="659" w:type="pct"/>
            <w:tcBorders>
              <w:top w:val="double" w:sz="4" w:space="0" w:color="auto"/>
              <w:bottom w:val="double" w:sz="4" w:space="0" w:color="auto"/>
            </w:tcBorders>
            <w:shd w:val="clear" w:color="auto" w:fill="F3F3F3"/>
            <w:vAlign w:val="center"/>
          </w:tcPr>
          <w:p w14:paraId="0A1A3B83" w14:textId="77777777" w:rsidR="00A30A19" w:rsidRPr="00E4774F" w:rsidRDefault="00A30A19">
            <w:pPr>
              <w:jc w:val="center"/>
              <w:rPr>
                <w:rFonts w:ascii="Garamond" w:hAnsi="Garamond"/>
                <w:b/>
                <w:bCs/>
                <w:sz w:val="22"/>
                <w:szCs w:val="22"/>
              </w:rPr>
            </w:pPr>
            <w:r w:rsidRPr="00E4774F">
              <w:rPr>
                <w:rFonts w:ascii="Garamond" w:hAnsi="Garamond"/>
                <w:b/>
                <w:bCs/>
                <w:sz w:val="22"/>
                <w:szCs w:val="22"/>
              </w:rPr>
              <w:t>Installation Date</w:t>
            </w:r>
          </w:p>
        </w:tc>
        <w:tc>
          <w:tcPr>
            <w:tcW w:w="808" w:type="pct"/>
            <w:tcBorders>
              <w:top w:val="double" w:sz="4" w:space="0" w:color="auto"/>
              <w:bottom w:val="double" w:sz="4" w:space="0" w:color="auto"/>
            </w:tcBorders>
            <w:shd w:val="clear" w:color="auto" w:fill="F3F3F3"/>
          </w:tcPr>
          <w:p w14:paraId="2B69B442" w14:textId="77777777" w:rsidR="00A30A19" w:rsidRPr="00E4774F" w:rsidRDefault="00A30A19">
            <w:pPr>
              <w:jc w:val="center"/>
              <w:rPr>
                <w:rFonts w:ascii="Garamond" w:hAnsi="Garamond"/>
                <w:b/>
                <w:bCs/>
                <w:sz w:val="22"/>
                <w:szCs w:val="22"/>
              </w:rPr>
            </w:pPr>
            <w:r w:rsidRPr="00E4774F">
              <w:rPr>
                <w:rFonts w:ascii="Garamond" w:hAnsi="Garamond"/>
                <w:b/>
                <w:bCs/>
                <w:sz w:val="22"/>
                <w:szCs w:val="22"/>
              </w:rPr>
              <w:t>Last Refurbishment</w:t>
            </w:r>
          </w:p>
        </w:tc>
        <w:tc>
          <w:tcPr>
            <w:tcW w:w="660" w:type="pct"/>
            <w:tcBorders>
              <w:top w:val="double" w:sz="4" w:space="0" w:color="auto"/>
              <w:bottom w:val="double" w:sz="4" w:space="0" w:color="auto"/>
            </w:tcBorders>
            <w:shd w:val="clear" w:color="auto" w:fill="F3F3F3"/>
          </w:tcPr>
          <w:p w14:paraId="11350D23" w14:textId="77777777" w:rsidR="00A30A19" w:rsidRPr="00E4774F" w:rsidRDefault="00A30A19">
            <w:pPr>
              <w:jc w:val="center"/>
              <w:rPr>
                <w:rFonts w:ascii="Garamond" w:hAnsi="Garamond"/>
                <w:b/>
                <w:bCs/>
                <w:sz w:val="22"/>
                <w:szCs w:val="22"/>
              </w:rPr>
            </w:pPr>
            <w:r w:rsidRPr="00E4774F">
              <w:rPr>
                <w:rFonts w:ascii="Garamond" w:hAnsi="Garamond"/>
                <w:b/>
                <w:bCs/>
                <w:sz w:val="22"/>
                <w:szCs w:val="22"/>
              </w:rPr>
              <w:t>NSPS Applicability</w:t>
            </w:r>
          </w:p>
        </w:tc>
        <w:tc>
          <w:tcPr>
            <w:tcW w:w="797" w:type="pct"/>
            <w:tcBorders>
              <w:top w:val="double" w:sz="4" w:space="0" w:color="auto"/>
              <w:bottom w:val="double" w:sz="4" w:space="0" w:color="auto"/>
            </w:tcBorders>
            <w:shd w:val="clear" w:color="auto" w:fill="F3F3F3"/>
            <w:vAlign w:val="center"/>
          </w:tcPr>
          <w:p w14:paraId="3B45C44B" w14:textId="77777777" w:rsidR="00A30A19" w:rsidRPr="00E4774F" w:rsidRDefault="00A30A19">
            <w:pPr>
              <w:jc w:val="center"/>
              <w:rPr>
                <w:rFonts w:ascii="Garamond" w:hAnsi="Garamond"/>
                <w:b/>
                <w:bCs/>
                <w:sz w:val="22"/>
                <w:szCs w:val="22"/>
              </w:rPr>
            </w:pPr>
            <w:r w:rsidRPr="00E4774F">
              <w:rPr>
                <w:rFonts w:ascii="Garamond" w:hAnsi="Garamond"/>
                <w:b/>
                <w:bCs/>
                <w:sz w:val="22"/>
                <w:szCs w:val="22"/>
              </w:rPr>
              <w:t>Pollution Control Device</w:t>
            </w:r>
          </w:p>
        </w:tc>
      </w:tr>
      <w:tr w:rsidR="00A30A19" w:rsidRPr="00E4774F" w14:paraId="51E67C83" w14:textId="77777777" w:rsidTr="0007772C">
        <w:trPr>
          <w:cantSplit/>
          <w:trHeight w:val="285"/>
        </w:trPr>
        <w:tc>
          <w:tcPr>
            <w:tcW w:w="728" w:type="pct"/>
            <w:tcBorders>
              <w:top w:val="double" w:sz="4" w:space="0" w:color="auto"/>
            </w:tcBorders>
            <w:vAlign w:val="center"/>
          </w:tcPr>
          <w:p w14:paraId="4B9EB4B8" w14:textId="77777777" w:rsidR="00A30A19" w:rsidRPr="00E4774F" w:rsidRDefault="00A30A19">
            <w:pPr>
              <w:jc w:val="center"/>
              <w:rPr>
                <w:rFonts w:ascii="Garamond" w:hAnsi="Garamond"/>
                <w:sz w:val="22"/>
                <w:szCs w:val="22"/>
              </w:rPr>
            </w:pPr>
            <w:r w:rsidRPr="00E4774F">
              <w:rPr>
                <w:rFonts w:ascii="Garamond" w:hAnsi="Garamond"/>
                <w:sz w:val="22"/>
                <w:szCs w:val="22"/>
              </w:rPr>
              <w:t>EU001</w:t>
            </w:r>
          </w:p>
        </w:tc>
        <w:tc>
          <w:tcPr>
            <w:tcW w:w="1349" w:type="pct"/>
            <w:tcBorders>
              <w:top w:val="double" w:sz="4" w:space="0" w:color="auto"/>
            </w:tcBorders>
            <w:vAlign w:val="center"/>
          </w:tcPr>
          <w:p w14:paraId="2287CF7C" w14:textId="77777777" w:rsidR="00A30A19" w:rsidRPr="00E4774F" w:rsidRDefault="00A30A19">
            <w:pPr>
              <w:jc w:val="center"/>
              <w:rPr>
                <w:rFonts w:ascii="Garamond" w:hAnsi="Garamond"/>
                <w:sz w:val="22"/>
                <w:szCs w:val="22"/>
              </w:rPr>
            </w:pPr>
            <w:r w:rsidRPr="00E4774F">
              <w:rPr>
                <w:rFonts w:ascii="Garamond" w:hAnsi="Garamond"/>
                <w:sz w:val="22"/>
                <w:szCs w:val="22"/>
              </w:rPr>
              <w:t>3,730-</w:t>
            </w:r>
            <w:r w:rsidR="0086515A" w:rsidRPr="00E4774F">
              <w:rPr>
                <w:rFonts w:ascii="Garamond" w:hAnsi="Garamond"/>
                <w:sz w:val="22"/>
                <w:szCs w:val="22"/>
              </w:rPr>
              <w:t xml:space="preserve">hp </w:t>
            </w:r>
            <w:r w:rsidRPr="00E4774F">
              <w:rPr>
                <w:rFonts w:ascii="Garamond" w:hAnsi="Garamond"/>
                <w:sz w:val="22"/>
                <w:szCs w:val="22"/>
              </w:rPr>
              <w:t>Solar Centaur Turbine</w:t>
            </w:r>
          </w:p>
        </w:tc>
        <w:tc>
          <w:tcPr>
            <w:tcW w:w="659" w:type="pct"/>
            <w:tcBorders>
              <w:top w:val="double" w:sz="4" w:space="0" w:color="auto"/>
            </w:tcBorders>
            <w:vAlign w:val="center"/>
          </w:tcPr>
          <w:p w14:paraId="4F2F9D51" w14:textId="77777777" w:rsidR="00A30A19" w:rsidRPr="00E4774F" w:rsidRDefault="00A30A19">
            <w:pPr>
              <w:jc w:val="center"/>
              <w:rPr>
                <w:rFonts w:ascii="Garamond" w:hAnsi="Garamond"/>
                <w:sz w:val="22"/>
                <w:szCs w:val="22"/>
              </w:rPr>
            </w:pPr>
            <w:r w:rsidRPr="00E4774F">
              <w:rPr>
                <w:rFonts w:ascii="Garamond" w:hAnsi="Garamond"/>
                <w:sz w:val="22"/>
                <w:szCs w:val="22"/>
              </w:rPr>
              <w:t>12/18/81</w:t>
            </w:r>
          </w:p>
        </w:tc>
        <w:tc>
          <w:tcPr>
            <w:tcW w:w="808" w:type="pct"/>
            <w:tcBorders>
              <w:top w:val="double" w:sz="4" w:space="0" w:color="auto"/>
            </w:tcBorders>
          </w:tcPr>
          <w:p w14:paraId="70B2FB06" w14:textId="77777777" w:rsidR="00A30A19" w:rsidRPr="00E4774F" w:rsidRDefault="00A30A19">
            <w:pPr>
              <w:jc w:val="center"/>
              <w:rPr>
                <w:rFonts w:ascii="Garamond" w:hAnsi="Garamond"/>
                <w:sz w:val="22"/>
                <w:szCs w:val="22"/>
              </w:rPr>
            </w:pPr>
            <w:r w:rsidRPr="00E4774F">
              <w:rPr>
                <w:rFonts w:ascii="Garamond" w:hAnsi="Garamond"/>
                <w:sz w:val="22"/>
                <w:szCs w:val="22"/>
              </w:rPr>
              <w:t>2005</w:t>
            </w:r>
          </w:p>
        </w:tc>
        <w:tc>
          <w:tcPr>
            <w:tcW w:w="660" w:type="pct"/>
            <w:tcBorders>
              <w:top w:val="double" w:sz="4" w:space="0" w:color="auto"/>
            </w:tcBorders>
          </w:tcPr>
          <w:p w14:paraId="1D5503C7" w14:textId="77777777" w:rsidR="00A30A19" w:rsidRPr="00E4774F" w:rsidRDefault="0086515A">
            <w:pPr>
              <w:jc w:val="center"/>
              <w:rPr>
                <w:rFonts w:ascii="Garamond" w:hAnsi="Garamond"/>
                <w:sz w:val="22"/>
                <w:szCs w:val="22"/>
              </w:rPr>
            </w:pPr>
            <w:r w:rsidRPr="00E4774F">
              <w:rPr>
                <w:rFonts w:ascii="Garamond" w:hAnsi="Garamond"/>
                <w:sz w:val="22"/>
                <w:szCs w:val="22"/>
              </w:rPr>
              <w:t xml:space="preserve">Subpart </w:t>
            </w:r>
            <w:r w:rsidR="00A30A19" w:rsidRPr="00E4774F">
              <w:rPr>
                <w:rFonts w:ascii="Garamond" w:hAnsi="Garamond"/>
                <w:sz w:val="22"/>
                <w:szCs w:val="22"/>
              </w:rPr>
              <w:t>GG*</w:t>
            </w:r>
          </w:p>
        </w:tc>
        <w:tc>
          <w:tcPr>
            <w:tcW w:w="797" w:type="pct"/>
            <w:tcBorders>
              <w:top w:val="double" w:sz="4" w:space="0" w:color="auto"/>
            </w:tcBorders>
            <w:vAlign w:val="center"/>
          </w:tcPr>
          <w:p w14:paraId="617EA0AA" w14:textId="77777777" w:rsidR="00A30A19" w:rsidRPr="00E4774F" w:rsidRDefault="00A30A19">
            <w:pPr>
              <w:jc w:val="center"/>
              <w:rPr>
                <w:rFonts w:ascii="Garamond" w:hAnsi="Garamond"/>
                <w:sz w:val="22"/>
                <w:szCs w:val="22"/>
              </w:rPr>
            </w:pPr>
            <w:r w:rsidRPr="00E4774F">
              <w:rPr>
                <w:rFonts w:ascii="Garamond" w:hAnsi="Garamond"/>
                <w:sz w:val="22"/>
                <w:szCs w:val="22"/>
              </w:rPr>
              <w:t>None</w:t>
            </w:r>
          </w:p>
        </w:tc>
      </w:tr>
      <w:tr w:rsidR="00A30A19" w:rsidRPr="00E4774F" w14:paraId="3DDA15BD" w14:textId="77777777" w:rsidTr="0007772C">
        <w:trPr>
          <w:cantSplit/>
          <w:trHeight w:val="285"/>
        </w:trPr>
        <w:tc>
          <w:tcPr>
            <w:tcW w:w="728" w:type="pct"/>
            <w:vAlign w:val="center"/>
          </w:tcPr>
          <w:p w14:paraId="124396DE" w14:textId="77777777" w:rsidR="00A30A19" w:rsidRPr="00E4774F" w:rsidRDefault="00A30A19">
            <w:pPr>
              <w:jc w:val="center"/>
              <w:rPr>
                <w:rFonts w:ascii="Garamond" w:hAnsi="Garamond"/>
                <w:sz w:val="22"/>
                <w:szCs w:val="22"/>
              </w:rPr>
            </w:pPr>
            <w:r w:rsidRPr="00E4774F">
              <w:rPr>
                <w:rFonts w:ascii="Garamond" w:hAnsi="Garamond"/>
                <w:sz w:val="22"/>
                <w:szCs w:val="22"/>
              </w:rPr>
              <w:t>EU002</w:t>
            </w:r>
          </w:p>
        </w:tc>
        <w:tc>
          <w:tcPr>
            <w:tcW w:w="1349" w:type="pct"/>
            <w:vAlign w:val="center"/>
          </w:tcPr>
          <w:p w14:paraId="45FF7DFE" w14:textId="77777777" w:rsidR="00A30A19" w:rsidRPr="00E4774F" w:rsidRDefault="00A30A19">
            <w:pPr>
              <w:jc w:val="center"/>
              <w:rPr>
                <w:rFonts w:ascii="Garamond" w:hAnsi="Garamond"/>
                <w:sz w:val="22"/>
                <w:szCs w:val="22"/>
              </w:rPr>
            </w:pPr>
            <w:r w:rsidRPr="00E4774F">
              <w:rPr>
                <w:rFonts w:ascii="Garamond" w:hAnsi="Garamond"/>
                <w:sz w:val="22"/>
                <w:szCs w:val="22"/>
              </w:rPr>
              <w:t>3,730-</w:t>
            </w:r>
            <w:r w:rsidR="0086515A" w:rsidRPr="00E4774F">
              <w:rPr>
                <w:rFonts w:ascii="Garamond" w:hAnsi="Garamond"/>
                <w:sz w:val="22"/>
                <w:szCs w:val="22"/>
              </w:rPr>
              <w:t>h</w:t>
            </w:r>
            <w:r w:rsidRPr="00E4774F">
              <w:rPr>
                <w:rFonts w:ascii="Garamond" w:hAnsi="Garamond"/>
                <w:sz w:val="22"/>
                <w:szCs w:val="22"/>
              </w:rPr>
              <w:t>p Solar Centaur Turbine</w:t>
            </w:r>
          </w:p>
        </w:tc>
        <w:tc>
          <w:tcPr>
            <w:tcW w:w="659" w:type="pct"/>
            <w:vAlign w:val="center"/>
          </w:tcPr>
          <w:p w14:paraId="75914DB7" w14:textId="77777777" w:rsidR="00A30A19" w:rsidRPr="00E4774F" w:rsidRDefault="00A465E3">
            <w:pPr>
              <w:jc w:val="center"/>
              <w:rPr>
                <w:rFonts w:ascii="Garamond" w:hAnsi="Garamond"/>
                <w:sz w:val="22"/>
                <w:szCs w:val="22"/>
              </w:rPr>
            </w:pPr>
            <w:r w:rsidRPr="00E4774F">
              <w:rPr>
                <w:rFonts w:ascii="Garamond" w:hAnsi="Garamond"/>
                <w:sz w:val="22"/>
                <w:szCs w:val="22"/>
              </w:rPr>
              <w:t>9/4</w:t>
            </w:r>
            <w:r w:rsidR="00A30A19" w:rsidRPr="00E4774F">
              <w:rPr>
                <w:rFonts w:ascii="Garamond" w:hAnsi="Garamond"/>
                <w:sz w:val="22"/>
                <w:szCs w:val="22"/>
              </w:rPr>
              <w:t>/81</w:t>
            </w:r>
          </w:p>
        </w:tc>
        <w:tc>
          <w:tcPr>
            <w:tcW w:w="808" w:type="pct"/>
          </w:tcPr>
          <w:p w14:paraId="625F5A84" w14:textId="77777777" w:rsidR="00A30A19" w:rsidRPr="00E4774F" w:rsidRDefault="00A30A19">
            <w:pPr>
              <w:jc w:val="center"/>
              <w:rPr>
                <w:rFonts w:ascii="Garamond" w:hAnsi="Garamond"/>
                <w:sz w:val="22"/>
                <w:szCs w:val="22"/>
              </w:rPr>
            </w:pPr>
            <w:r w:rsidRPr="00E4774F">
              <w:rPr>
                <w:rFonts w:ascii="Garamond" w:hAnsi="Garamond"/>
                <w:sz w:val="22"/>
                <w:szCs w:val="22"/>
              </w:rPr>
              <w:t>2002</w:t>
            </w:r>
          </w:p>
        </w:tc>
        <w:tc>
          <w:tcPr>
            <w:tcW w:w="660" w:type="pct"/>
          </w:tcPr>
          <w:p w14:paraId="7F206FA9" w14:textId="77777777" w:rsidR="00A30A19" w:rsidRPr="00E4774F" w:rsidRDefault="0086515A">
            <w:pPr>
              <w:jc w:val="center"/>
              <w:rPr>
                <w:rFonts w:ascii="Garamond" w:hAnsi="Garamond"/>
                <w:sz w:val="22"/>
                <w:szCs w:val="22"/>
              </w:rPr>
            </w:pPr>
            <w:r w:rsidRPr="00E4774F">
              <w:rPr>
                <w:rFonts w:ascii="Garamond" w:hAnsi="Garamond"/>
                <w:sz w:val="22"/>
                <w:szCs w:val="22"/>
              </w:rPr>
              <w:t xml:space="preserve">Subpart </w:t>
            </w:r>
            <w:r w:rsidR="00A30A19" w:rsidRPr="00E4774F">
              <w:rPr>
                <w:rFonts w:ascii="Garamond" w:hAnsi="Garamond"/>
                <w:sz w:val="22"/>
                <w:szCs w:val="22"/>
              </w:rPr>
              <w:t>GG*</w:t>
            </w:r>
          </w:p>
        </w:tc>
        <w:tc>
          <w:tcPr>
            <w:tcW w:w="797" w:type="pct"/>
            <w:vAlign w:val="center"/>
          </w:tcPr>
          <w:p w14:paraId="1A68B450" w14:textId="77777777" w:rsidR="00A30A19" w:rsidRPr="00E4774F" w:rsidRDefault="00A30A19">
            <w:pPr>
              <w:jc w:val="center"/>
              <w:rPr>
                <w:rFonts w:ascii="Garamond" w:hAnsi="Garamond"/>
                <w:sz w:val="22"/>
                <w:szCs w:val="22"/>
              </w:rPr>
            </w:pPr>
            <w:r w:rsidRPr="00E4774F">
              <w:rPr>
                <w:rFonts w:ascii="Garamond" w:hAnsi="Garamond"/>
                <w:sz w:val="22"/>
                <w:szCs w:val="22"/>
              </w:rPr>
              <w:t>None</w:t>
            </w:r>
          </w:p>
        </w:tc>
      </w:tr>
    </w:tbl>
    <w:p w14:paraId="7280C1BC" w14:textId="77777777" w:rsidR="00EE54A7" w:rsidRPr="001C6D71" w:rsidRDefault="00A30A19">
      <w:pPr>
        <w:ind w:left="360"/>
        <w:rPr>
          <w:rFonts w:ascii="Garamond" w:hAnsi="Garamond"/>
          <w:sz w:val="24"/>
          <w:szCs w:val="24"/>
        </w:rPr>
      </w:pPr>
      <w:r w:rsidRPr="001C6D71">
        <w:rPr>
          <w:rFonts w:ascii="Garamond" w:hAnsi="Garamond"/>
          <w:i/>
          <w:sz w:val="24"/>
          <w:szCs w:val="24"/>
        </w:rPr>
        <w:t>Note:</w:t>
      </w:r>
      <w:r w:rsidRPr="001C6D71">
        <w:rPr>
          <w:rFonts w:ascii="Garamond" w:hAnsi="Garamond"/>
          <w:sz w:val="24"/>
          <w:szCs w:val="24"/>
        </w:rPr>
        <w:t xml:space="preserve">  The units are subject to 40 CFR 60, Subpart GG, but are exempt from the NOx requirements in 40 CFR 60.332(a) due to an exemption under 40 CFR 60.332(e).</w:t>
      </w:r>
    </w:p>
    <w:p w14:paraId="50952D7A" w14:textId="77777777" w:rsidR="00A30A19" w:rsidRPr="001C6D71" w:rsidRDefault="00A30A19" w:rsidP="00220BD9">
      <w:pPr>
        <w:rPr>
          <w:rFonts w:ascii="Garamond" w:hAnsi="Garamond"/>
          <w:sz w:val="24"/>
          <w:szCs w:val="24"/>
        </w:rPr>
      </w:pPr>
    </w:p>
    <w:p w14:paraId="05FE759E" w14:textId="77777777" w:rsidR="00EE54A7" w:rsidRPr="001C6D71" w:rsidRDefault="00EE54A7">
      <w:pPr>
        <w:pStyle w:val="Heading2"/>
        <w:spacing w:before="0" w:beforeAutospacing="0" w:after="0" w:afterAutospacing="0"/>
        <w:rPr>
          <w:rFonts w:ascii="Garamond" w:hAnsi="Garamond"/>
          <w:sz w:val="24"/>
          <w:szCs w:val="24"/>
        </w:rPr>
      </w:pPr>
      <w:bookmarkStart w:id="10" w:name="_Toc411330017"/>
      <w:r w:rsidRPr="001C6D71">
        <w:rPr>
          <w:rFonts w:ascii="Garamond" w:hAnsi="Garamond"/>
          <w:sz w:val="24"/>
          <w:szCs w:val="24"/>
        </w:rPr>
        <w:t>Categorically Insignificant Sources/Activities</w:t>
      </w:r>
      <w:bookmarkEnd w:id="10"/>
    </w:p>
    <w:p w14:paraId="0DF2EF24" w14:textId="77777777" w:rsidR="00EE54A7" w:rsidRPr="001C6D71" w:rsidRDefault="00EE54A7" w:rsidP="00220BD9">
      <w:pPr>
        <w:rPr>
          <w:rFonts w:ascii="Garamond" w:hAnsi="Garamond"/>
          <w:sz w:val="24"/>
          <w:szCs w:val="24"/>
        </w:rPr>
      </w:pPr>
    </w:p>
    <w:p w14:paraId="3BCCE928" w14:textId="77777777" w:rsidR="00EE54A7" w:rsidRPr="001C6D71" w:rsidRDefault="00EE54A7">
      <w:pPr>
        <w:ind w:left="360"/>
        <w:rPr>
          <w:rFonts w:ascii="Garamond" w:hAnsi="Garamond"/>
          <w:sz w:val="24"/>
          <w:szCs w:val="24"/>
        </w:rPr>
      </w:pPr>
      <w:r w:rsidRPr="001C6D71">
        <w:rPr>
          <w:rFonts w:ascii="Garamond" w:hAnsi="Garamond"/>
          <w:sz w:val="24"/>
          <w:szCs w:val="24"/>
        </w:rPr>
        <w:t xml:space="preserve">The Administrative Rules of Montana (ARM) 17.8.1201(22)(a) defines an insignificant emissions unit as one that emits less than </w:t>
      </w:r>
      <w:r w:rsidR="00050E6E">
        <w:rPr>
          <w:rFonts w:ascii="Garamond" w:hAnsi="Garamond"/>
          <w:sz w:val="24"/>
          <w:szCs w:val="24"/>
        </w:rPr>
        <w:t>five</w:t>
      </w:r>
      <w:r w:rsidR="00050E6E" w:rsidRPr="001C6D71">
        <w:rPr>
          <w:rFonts w:ascii="Garamond" w:hAnsi="Garamond"/>
          <w:sz w:val="24"/>
          <w:szCs w:val="24"/>
        </w:rPr>
        <w:t xml:space="preserve"> </w:t>
      </w:r>
      <w:r w:rsidRPr="001C6D71">
        <w:rPr>
          <w:rFonts w:ascii="Garamond" w:hAnsi="Garamond"/>
          <w:sz w:val="24"/>
          <w:szCs w:val="24"/>
        </w:rPr>
        <w:t xml:space="preserve">tons per year of any regulated pollutant, has the potential to emit less than 500 pounds per year of lead or any hazardous air pollutant, and is not regulated by any applicable requirement other than a generally applicable requirement.  The insignificant emitting units </w:t>
      </w:r>
      <w:r w:rsidR="00595965">
        <w:rPr>
          <w:rFonts w:ascii="Garamond" w:hAnsi="Garamond"/>
          <w:sz w:val="24"/>
          <w:szCs w:val="24"/>
        </w:rPr>
        <w:t>identified by</w:t>
      </w:r>
      <w:r w:rsidRPr="001C6D71">
        <w:rPr>
          <w:rFonts w:ascii="Garamond" w:hAnsi="Garamond"/>
          <w:sz w:val="24"/>
          <w:szCs w:val="24"/>
        </w:rPr>
        <w:t xml:space="preserve"> WBI </w:t>
      </w:r>
      <w:r w:rsidR="00595965">
        <w:rPr>
          <w:rFonts w:ascii="Garamond" w:hAnsi="Garamond"/>
          <w:sz w:val="24"/>
          <w:szCs w:val="24"/>
        </w:rPr>
        <w:t xml:space="preserve">in their renewal application </w:t>
      </w:r>
      <w:r w:rsidRPr="001C6D71">
        <w:rPr>
          <w:rFonts w:ascii="Garamond" w:hAnsi="Garamond"/>
          <w:sz w:val="24"/>
          <w:szCs w:val="24"/>
        </w:rPr>
        <w:t>are summarized in the following table.</w:t>
      </w:r>
    </w:p>
    <w:p w14:paraId="3F197C66" w14:textId="77777777" w:rsidR="00EE54A7" w:rsidRPr="001C6D71" w:rsidRDefault="00EE54A7" w:rsidP="00220BD9">
      <w:pPr>
        <w:rPr>
          <w:rFonts w:ascii="Garamond" w:hAnsi="Garamond"/>
          <w:sz w:val="24"/>
          <w:szCs w:val="24"/>
        </w:rPr>
      </w:pPr>
    </w:p>
    <w:tbl>
      <w:tblPr>
        <w:tblW w:w="0" w:type="auto"/>
        <w:tblInd w:w="108" w:type="dxa"/>
        <w:tblBorders>
          <w:top w:val="double" w:sz="4" w:space="0" w:color="auto"/>
          <w:left w:val="double" w:sz="4" w:space="0" w:color="auto"/>
          <w:bottom w:val="double" w:sz="4" w:space="0" w:color="auto"/>
          <w:right w:val="double" w:sz="4" w:space="0" w:color="auto"/>
        </w:tblBorders>
        <w:tblLayout w:type="fixed"/>
        <w:tblLook w:val="00A0" w:firstRow="1" w:lastRow="0" w:firstColumn="1" w:lastColumn="0" w:noHBand="0" w:noVBand="0"/>
      </w:tblPr>
      <w:tblGrid>
        <w:gridCol w:w="2250"/>
        <w:gridCol w:w="6498"/>
      </w:tblGrid>
      <w:tr w:rsidR="007D5962" w:rsidRPr="003D5783" w14:paraId="1A0BD3D3" w14:textId="77777777" w:rsidTr="005875CB">
        <w:tc>
          <w:tcPr>
            <w:tcW w:w="2250" w:type="dxa"/>
            <w:tcBorders>
              <w:top w:val="double" w:sz="4" w:space="0" w:color="auto"/>
              <w:bottom w:val="single" w:sz="4" w:space="0" w:color="auto"/>
            </w:tcBorders>
            <w:shd w:val="clear" w:color="auto" w:fill="F3F3F3"/>
          </w:tcPr>
          <w:p w14:paraId="4FC618DD" w14:textId="77777777" w:rsidR="007D5962" w:rsidRPr="003D5783" w:rsidRDefault="007D5962" w:rsidP="00A86F2E">
            <w:pPr>
              <w:pStyle w:val="BodyTextIndent2"/>
              <w:ind w:left="0"/>
              <w:jc w:val="center"/>
              <w:rPr>
                <w:rFonts w:ascii="Garamond" w:hAnsi="Garamond"/>
                <w:b/>
                <w:sz w:val="22"/>
                <w:szCs w:val="22"/>
              </w:rPr>
            </w:pPr>
            <w:r w:rsidRPr="003D5783">
              <w:rPr>
                <w:rFonts w:ascii="Garamond" w:hAnsi="Garamond"/>
                <w:b/>
                <w:sz w:val="22"/>
                <w:szCs w:val="22"/>
              </w:rPr>
              <w:t>Emissions Unit ID</w:t>
            </w:r>
          </w:p>
        </w:tc>
        <w:tc>
          <w:tcPr>
            <w:tcW w:w="6498" w:type="dxa"/>
            <w:tcBorders>
              <w:top w:val="double" w:sz="4" w:space="0" w:color="auto"/>
              <w:bottom w:val="single" w:sz="4" w:space="0" w:color="auto"/>
            </w:tcBorders>
            <w:shd w:val="clear" w:color="auto" w:fill="F3F3F3"/>
          </w:tcPr>
          <w:p w14:paraId="7DB4BEE2" w14:textId="77777777" w:rsidR="007D5962" w:rsidRPr="003D5783" w:rsidRDefault="007D5962" w:rsidP="00A86F2E">
            <w:pPr>
              <w:pStyle w:val="BodyTextIndent2"/>
              <w:ind w:left="0"/>
              <w:jc w:val="center"/>
              <w:rPr>
                <w:rFonts w:ascii="Garamond" w:hAnsi="Garamond"/>
                <w:b/>
                <w:sz w:val="22"/>
                <w:szCs w:val="22"/>
              </w:rPr>
            </w:pPr>
            <w:r w:rsidRPr="003D5783">
              <w:rPr>
                <w:rFonts w:ascii="Garamond" w:hAnsi="Garamond"/>
                <w:b/>
                <w:sz w:val="22"/>
                <w:szCs w:val="22"/>
              </w:rPr>
              <w:t>Description</w:t>
            </w:r>
          </w:p>
        </w:tc>
      </w:tr>
      <w:tr w:rsidR="007D5962" w:rsidRPr="003D5783" w14:paraId="0FC11E69" w14:textId="77777777" w:rsidTr="005875CB">
        <w:tc>
          <w:tcPr>
            <w:tcW w:w="2250" w:type="dxa"/>
            <w:tcBorders>
              <w:top w:val="single" w:sz="4" w:space="0" w:color="auto"/>
              <w:bottom w:val="single" w:sz="4" w:space="0" w:color="auto"/>
              <w:right w:val="single" w:sz="4" w:space="0" w:color="auto"/>
            </w:tcBorders>
            <w:vAlign w:val="center"/>
          </w:tcPr>
          <w:p w14:paraId="52C9F289" w14:textId="77777777" w:rsidR="007D5962" w:rsidRPr="000737D1" w:rsidRDefault="00595965" w:rsidP="00A86F2E">
            <w:pPr>
              <w:pStyle w:val="BodyTextIndent2"/>
              <w:ind w:left="0"/>
              <w:jc w:val="center"/>
              <w:rPr>
                <w:rFonts w:ascii="Garamond" w:hAnsi="Garamond"/>
                <w:sz w:val="22"/>
                <w:szCs w:val="22"/>
              </w:rPr>
            </w:pPr>
            <w:r>
              <w:rPr>
                <w:rFonts w:ascii="Garamond" w:hAnsi="Garamond"/>
                <w:sz w:val="22"/>
                <w:szCs w:val="22"/>
              </w:rPr>
              <w:t>Misc 1</w:t>
            </w:r>
          </w:p>
        </w:tc>
        <w:tc>
          <w:tcPr>
            <w:tcW w:w="6498" w:type="dxa"/>
            <w:tcBorders>
              <w:top w:val="single" w:sz="4" w:space="0" w:color="auto"/>
              <w:left w:val="single" w:sz="4" w:space="0" w:color="auto"/>
              <w:bottom w:val="single" w:sz="4" w:space="0" w:color="auto"/>
            </w:tcBorders>
            <w:vAlign w:val="center"/>
          </w:tcPr>
          <w:p w14:paraId="286A440B" w14:textId="6D9BB5A3" w:rsidR="007D5962" w:rsidRPr="003D5783" w:rsidRDefault="00EF0EAD" w:rsidP="00A86F2E">
            <w:pPr>
              <w:pStyle w:val="BodyTextIndent2"/>
              <w:ind w:left="0"/>
              <w:jc w:val="center"/>
              <w:rPr>
                <w:rFonts w:ascii="Garamond" w:hAnsi="Garamond"/>
                <w:sz w:val="22"/>
                <w:szCs w:val="22"/>
              </w:rPr>
            </w:pPr>
            <w:r>
              <w:rPr>
                <w:rFonts w:ascii="Garamond" w:hAnsi="Garamond"/>
                <w:sz w:val="22"/>
                <w:szCs w:val="22"/>
              </w:rPr>
              <w:t>Misc. Boilers and Heaters</w:t>
            </w:r>
          </w:p>
        </w:tc>
      </w:tr>
      <w:tr w:rsidR="007D5962" w:rsidRPr="003D5783" w14:paraId="02C57070" w14:textId="77777777" w:rsidTr="005875CB">
        <w:tc>
          <w:tcPr>
            <w:tcW w:w="2250" w:type="dxa"/>
            <w:tcBorders>
              <w:top w:val="single" w:sz="4" w:space="0" w:color="auto"/>
              <w:bottom w:val="single" w:sz="4" w:space="0" w:color="auto"/>
              <w:right w:val="single" w:sz="4" w:space="0" w:color="auto"/>
            </w:tcBorders>
            <w:vAlign w:val="center"/>
          </w:tcPr>
          <w:p w14:paraId="7D45A539" w14:textId="7731944D" w:rsidR="005875CB" w:rsidRPr="000737D1" w:rsidRDefault="008168F2" w:rsidP="005875CB">
            <w:pPr>
              <w:pStyle w:val="BodyTextIndent2"/>
              <w:ind w:left="0"/>
              <w:jc w:val="center"/>
              <w:rPr>
                <w:rFonts w:ascii="Garamond" w:hAnsi="Garamond"/>
                <w:sz w:val="22"/>
                <w:szCs w:val="22"/>
              </w:rPr>
            </w:pPr>
            <w:r>
              <w:rPr>
                <w:rFonts w:ascii="Garamond" w:hAnsi="Garamond"/>
                <w:sz w:val="22"/>
                <w:szCs w:val="22"/>
              </w:rPr>
              <w:t>FUG</w:t>
            </w:r>
          </w:p>
        </w:tc>
        <w:tc>
          <w:tcPr>
            <w:tcW w:w="6498" w:type="dxa"/>
            <w:tcBorders>
              <w:top w:val="single" w:sz="4" w:space="0" w:color="auto"/>
              <w:left w:val="single" w:sz="4" w:space="0" w:color="auto"/>
              <w:bottom w:val="single" w:sz="4" w:space="0" w:color="auto"/>
            </w:tcBorders>
            <w:vAlign w:val="center"/>
          </w:tcPr>
          <w:p w14:paraId="73E06667" w14:textId="124795BB" w:rsidR="005875CB" w:rsidRPr="003D5783" w:rsidRDefault="008168F2" w:rsidP="005875CB">
            <w:pPr>
              <w:pStyle w:val="BodyTextIndent2"/>
              <w:ind w:left="0"/>
              <w:jc w:val="center"/>
              <w:rPr>
                <w:rFonts w:ascii="Garamond" w:hAnsi="Garamond"/>
                <w:sz w:val="22"/>
                <w:szCs w:val="22"/>
              </w:rPr>
            </w:pPr>
            <w:r>
              <w:rPr>
                <w:rFonts w:ascii="Garamond" w:hAnsi="Garamond"/>
                <w:sz w:val="22"/>
                <w:szCs w:val="22"/>
              </w:rPr>
              <w:t>Fugitive Emissions from valves, flanges, open ended lines, etc.</w:t>
            </w:r>
          </w:p>
        </w:tc>
      </w:tr>
      <w:tr w:rsidR="005875CB" w:rsidRPr="003D5783" w14:paraId="04942DA3" w14:textId="77777777" w:rsidTr="005875CB">
        <w:tc>
          <w:tcPr>
            <w:tcW w:w="2250" w:type="dxa"/>
            <w:tcBorders>
              <w:top w:val="single" w:sz="4" w:space="0" w:color="auto"/>
              <w:bottom w:val="double" w:sz="4" w:space="0" w:color="auto"/>
              <w:right w:val="single" w:sz="4" w:space="0" w:color="auto"/>
            </w:tcBorders>
            <w:vAlign w:val="center"/>
          </w:tcPr>
          <w:p w14:paraId="286A8547" w14:textId="07F67C39" w:rsidR="005875CB" w:rsidRPr="002E6E9A" w:rsidRDefault="005875CB" w:rsidP="005875CB">
            <w:pPr>
              <w:pStyle w:val="BodyTextIndent2"/>
              <w:ind w:left="0"/>
              <w:jc w:val="center"/>
              <w:rPr>
                <w:rFonts w:ascii="Garamond" w:hAnsi="Garamond"/>
                <w:sz w:val="22"/>
                <w:szCs w:val="22"/>
              </w:rPr>
            </w:pPr>
            <w:r w:rsidRPr="002E6E9A">
              <w:rPr>
                <w:rFonts w:ascii="Garamond" w:hAnsi="Garamond"/>
                <w:sz w:val="22"/>
                <w:szCs w:val="22"/>
              </w:rPr>
              <w:t>IEU015</w:t>
            </w:r>
          </w:p>
        </w:tc>
        <w:tc>
          <w:tcPr>
            <w:tcW w:w="6498" w:type="dxa"/>
            <w:tcBorders>
              <w:top w:val="single" w:sz="4" w:space="0" w:color="auto"/>
              <w:left w:val="single" w:sz="4" w:space="0" w:color="auto"/>
              <w:bottom w:val="double" w:sz="4" w:space="0" w:color="auto"/>
            </w:tcBorders>
            <w:vAlign w:val="center"/>
          </w:tcPr>
          <w:p w14:paraId="1987AA12" w14:textId="5EBD1778" w:rsidR="005875CB" w:rsidRPr="002E6E9A" w:rsidRDefault="005875CB" w:rsidP="005875CB">
            <w:pPr>
              <w:pStyle w:val="BodyTextIndent2"/>
              <w:ind w:left="0"/>
              <w:jc w:val="center"/>
              <w:rPr>
                <w:rFonts w:ascii="Garamond" w:hAnsi="Garamond"/>
                <w:sz w:val="22"/>
                <w:szCs w:val="22"/>
              </w:rPr>
            </w:pPr>
            <w:r w:rsidRPr="002E6E9A">
              <w:rPr>
                <w:rFonts w:ascii="Garamond" w:hAnsi="Garamond"/>
                <w:sz w:val="22"/>
                <w:szCs w:val="22"/>
              </w:rPr>
              <w:t>Fugitive Emissions from in plant vehicle traffic</w:t>
            </w:r>
          </w:p>
        </w:tc>
      </w:tr>
    </w:tbl>
    <w:p w14:paraId="6B772544" w14:textId="77777777" w:rsidR="00EE54A7" w:rsidRPr="001C6D71" w:rsidRDefault="00EE54A7">
      <w:pPr>
        <w:rPr>
          <w:rFonts w:ascii="Garamond" w:hAnsi="Garamond"/>
          <w:sz w:val="24"/>
          <w:szCs w:val="24"/>
        </w:rPr>
      </w:pPr>
    </w:p>
    <w:p w14:paraId="54DDA4D4" w14:textId="77777777" w:rsidR="00EE54A7" w:rsidRPr="001C6D71" w:rsidRDefault="00EE54A7">
      <w:pPr>
        <w:pStyle w:val="Heading1"/>
        <w:rPr>
          <w:rFonts w:ascii="Garamond" w:hAnsi="Garamond"/>
          <w:sz w:val="24"/>
          <w:szCs w:val="24"/>
        </w:rPr>
        <w:sectPr w:rsidR="00EE54A7" w:rsidRPr="001C6D71" w:rsidSect="00252F09">
          <w:pgSz w:w="12240" w:h="15840" w:code="1"/>
          <w:pgMar w:top="1152" w:right="1440" w:bottom="1008" w:left="1440" w:header="720" w:footer="720" w:gutter="0"/>
          <w:cols w:space="720"/>
        </w:sectPr>
      </w:pPr>
    </w:p>
    <w:p w14:paraId="560944FC" w14:textId="77777777" w:rsidR="00EE54A7" w:rsidRPr="001C6D71" w:rsidRDefault="00EE54A7">
      <w:pPr>
        <w:pStyle w:val="Heading1"/>
        <w:rPr>
          <w:rFonts w:ascii="Garamond" w:hAnsi="Garamond"/>
          <w:sz w:val="24"/>
          <w:szCs w:val="24"/>
        </w:rPr>
      </w:pPr>
      <w:bookmarkStart w:id="11" w:name="_Toc411330018"/>
      <w:r w:rsidRPr="001C6D71">
        <w:rPr>
          <w:rFonts w:ascii="Garamond" w:hAnsi="Garamond"/>
          <w:sz w:val="24"/>
          <w:szCs w:val="24"/>
        </w:rPr>
        <w:lastRenderedPageBreak/>
        <w:t xml:space="preserve">SECTION III. </w:t>
      </w:r>
      <w:r w:rsidR="0036043E" w:rsidRPr="001C6D71">
        <w:rPr>
          <w:rFonts w:ascii="Garamond" w:hAnsi="Garamond"/>
          <w:sz w:val="24"/>
          <w:szCs w:val="24"/>
        </w:rPr>
        <w:t xml:space="preserve">  </w:t>
      </w:r>
      <w:r w:rsidRPr="001C6D71">
        <w:rPr>
          <w:rFonts w:ascii="Garamond" w:hAnsi="Garamond"/>
          <w:sz w:val="24"/>
          <w:szCs w:val="24"/>
        </w:rPr>
        <w:t>PERMIT CONDITIONS</w:t>
      </w:r>
      <w:bookmarkEnd w:id="11"/>
    </w:p>
    <w:p w14:paraId="3CA86DEF" w14:textId="77777777" w:rsidR="00EE54A7" w:rsidRPr="000A0A49" w:rsidRDefault="00EE54A7">
      <w:pPr>
        <w:rPr>
          <w:rFonts w:ascii="Garamond" w:hAnsi="Garamond"/>
          <w:sz w:val="21"/>
          <w:szCs w:val="21"/>
        </w:rPr>
      </w:pPr>
    </w:p>
    <w:p w14:paraId="248E435E" w14:textId="77777777" w:rsidR="00EE54A7" w:rsidRPr="001C6D71" w:rsidRDefault="00EE54A7">
      <w:pPr>
        <w:pStyle w:val="Heading2"/>
        <w:numPr>
          <w:ilvl w:val="0"/>
          <w:numId w:val="22"/>
        </w:numPr>
        <w:spacing w:before="0" w:beforeAutospacing="0" w:after="0" w:afterAutospacing="0"/>
        <w:rPr>
          <w:rFonts w:ascii="Garamond" w:hAnsi="Garamond"/>
          <w:sz w:val="24"/>
          <w:szCs w:val="24"/>
        </w:rPr>
      </w:pPr>
      <w:bookmarkStart w:id="12" w:name="_Toc411330019"/>
      <w:r w:rsidRPr="001C6D71">
        <w:rPr>
          <w:rFonts w:ascii="Garamond" w:hAnsi="Garamond"/>
          <w:sz w:val="24"/>
          <w:szCs w:val="24"/>
        </w:rPr>
        <w:t>Emission Limits and Standards</w:t>
      </w:r>
      <w:bookmarkEnd w:id="12"/>
    </w:p>
    <w:p w14:paraId="00BB22F3" w14:textId="77777777" w:rsidR="00EE54A7" w:rsidRPr="000A0A49" w:rsidRDefault="00EE54A7">
      <w:pPr>
        <w:rPr>
          <w:rFonts w:ascii="Garamond" w:hAnsi="Garamond"/>
          <w:sz w:val="21"/>
          <w:szCs w:val="21"/>
        </w:rPr>
      </w:pPr>
    </w:p>
    <w:p w14:paraId="263887CA" w14:textId="3E87481C" w:rsidR="00EE54A7" w:rsidRPr="001C6D71" w:rsidRDefault="00EE54A7">
      <w:pPr>
        <w:ind w:left="360"/>
        <w:rPr>
          <w:rFonts w:ascii="Garamond" w:hAnsi="Garamond"/>
          <w:sz w:val="24"/>
          <w:szCs w:val="24"/>
        </w:rPr>
      </w:pPr>
      <w:r w:rsidRPr="001C6D71">
        <w:rPr>
          <w:rFonts w:ascii="Garamond" w:hAnsi="Garamond"/>
          <w:sz w:val="24"/>
          <w:szCs w:val="24"/>
        </w:rPr>
        <w:t>Each of the two 3,730-</w:t>
      </w:r>
      <w:r w:rsidR="00667135" w:rsidRPr="001C6D71">
        <w:rPr>
          <w:rFonts w:ascii="Garamond" w:hAnsi="Garamond"/>
          <w:sz w:val="24"/>
          <w:szCs w:val="24"/>
        </w:rPr>
        <w:t xml:space="preserve">hp </w:t>
      </w:r>
      <w:r w:rsidRPr="001C6D71">
        <w:rPr>
          <w:rFonts w:ascii="Garamond" w:hAnsi="Garamond"/>
          <w:sz w:val="24"/>
          <w:szCs w:val="24"/>
        </w:rPr>
        <w:t>Solar Centaur turbines is limited to 16.45</w:t>
      </w:r>
      <w:r w:rsidR="00561FF0" w:rsidRPr="001C6D71">
        <w:rPr>
          <w:rFonts w:ascii="Garamond" w:hAnsi="Garamond"/>
          <w:sz w:val="24"/>
          <w:szCs w:val="24"/>
        </w:rPr>
        <w:t xml:space="preserve"> pound per hour</w:t>
      </w:r>
      <w:r w:rsidRPr="001C6D71">
        <w:rPr>
          <w:rFonts w:ascii="Garamond" w:hAnsi="Garamond"/>
          <w:sz w:val="24"/>
          <w:szCs w:val="24"/>
        </w:rPr>
        <w:t xml:space="preserve"> </w:t>
      </w:r>
      <w:r w:rsidR="00561FF0" w:rsidRPr="001C6D71">
        <w:rPr>
          <w:rFonts w:ascii="Garamond" w:hAnsi="Garamond"/>
          <w:sz w:val="24"/>
          <w:szCs w:val="24"/>
        </w:rPr>
        <w:t>(</w:t>
      </w:r>
      <w:r w:rsidRPr="001C6D71">
        <w:rPr>
          <w:rFonts w:ascii="Garamond" w:hAnsi="Garamond"/>
          <w:sz w:val="24"/>
          <w:szCs w:val="24"/>
        </w:rPr>
        <w:t>lb/hr</w:t>
      </w:r>
      <w:r w:rsidR="00561FF0" w:rsidRPr="001C6D71">
        <w:rPr>
          <w:rFonts w:ascii="Garamond" w:hAnsi="Garamond"/>
          <w:sz w:val="24"/>
          <w:szCs w:val="24"/>
        </w:rPr>
        <w:t>)</w:t>
      </w:r>
      <w:r w:rsidRPr="001C6D71">
        <w:rPr>
          <w:rFonts w:ascii="Garamond" w:hAnsi="Garamond"/>
          <w:sz w:val="24"/>
          <w:szCs w:val="24"/>
        </w:rPr>
        <w:t xml:space="preserve"> for NO</w:t>
      </w:r>
      <w:r w:rsidRPr="001C6D71">
        <w:rPr>
          <w:rFonts w:ascii="Garamond" w:hAnsi="Garamond"/>
          <w:sz w:val="24"/>
          <w:szCs w:val="24"/>
          <w:vertAlign w:val="subscript"/>
        </w:rPr>
        <w:t>x</w:t>
      </w:r>
      <w:r w:rsidRPr="001C6D71">
        <w:rPr>
          <w:rFonts w:ascii="Garamond" w:hAnsi="Garamond"/>
          <w:sz w:val="24"/>
          <w:szCs w:val="24"/>
        </w:rPr>
        <w:t xml:space="preserve">, 24.67 lb/hr for CO, and 8.22 lb/hr for </w:t>
      </w:r>
      <w:r w:rsidR="00FF6B1C" w:rsidRPr="001C6D71">
        <w:rPr>
          <w:rFonts w:ascii="Garamond" w:hAnsi="Garamond"/>
          <w:sz w:val="24"/>
          <w:szCs w:val="24"/>
        </w:rPr>
        <w:t>volatile organic compounds (</w:t>
      </w:r>
      <w:r w:rsidRPr="001C6D71">
        <w:rPr>
          <w:rFonts w:ascii="Garamond" w:hAnsi="Garamond"/>
          <w:sz w:val="24"/>
          <w:szCs w:val="24"/>
        </w:rPr>
        <w:t>VOC</w:t>
      </w:r>
      <w:r w:rsidR="00FF6B1C" w:rsidRPr="001C6D71">
        <w:rPr>
          <w:rFonts w:ascii="Garamond" w:hAnsi="Garamond"/>
          <w:sz w:val="24"/>
          <w:szCs w:val="24"/>
        </w:rPr>
        <w:t>)</w:t>
      </w:r>
      <w:r w:rsidRPr="001C6D71">
        <w:rPr>
          <w:rFonts w:ascii="Garamond" w:hAnsi="Garamond"/>
          <w:sz w:val="24"/>
          <w:szCs w:val="24"/>
        </w:rPr>
        <w:t xml:space="preserve">.  The emission limits are based on Best Available Control Technology (BACT) determinations that were established by </w:t>
      </w:r>
      <w:r w:rsidR="004D3652">
        <w:rPr>
          <w:rFonts w:ascii="Garamond" w:hAnsi="Garamond"/>
          <w:sz w:val="24"/>
          <w:szCs w:val="24"/>
        </w:rPr>
        <w:t>DEQ</w:t>
      </w:r>
      <w:r w:rsidRPr="001C6D71">
        <w:rPr>
          <w:rFonts w:ascii="Garamond" w:hAnsi="Garamond"/>
          <w:sz w:val="24"/>
          <w:szCs w:val="24"/>
        </w:rPr>
        <w:t xml:space="preserve">.  In addition, the natural gas is limited to a sulfur </w:t>
      </w:r>
      <w:r w:rsidR="00FF6B1C" w:rsidRPr="001C6D71">
        <w:rPr>
          <w:rFonts w:ascii="Garamond" w:hAnsi="Garamond"/>
          <w:sz w:val="24"/>
          <w:szCs w:val="24"/>
        </w:rPr>
        <w:t>content of 0.8% by weight and a sulfur dioxide</w:t>
      </w:r>
      <w:r w:rsidRPr="001C6D71">
        <w:rPr>
          <w:rFonts w:ascii="Garamond" w:hAnsi="Garamond"/>
          <w:sz w:val="24"/>
          <w:szCs w:val="24"/>
        </w:rPr>
        <w:t xml:space="preserve"> </w:t>
      </w:r>
      <w:r w:rsidR="00FF6B1C" w:rsidRPr="001C6D71">
        <w:rPr>
          <w:rFonts w:ascii="Garamond" w:hAnsi="Garamond"/>
          <w:sz w:val="24"/>
          <w:szCs w:val="24"/>
        </w:rPr>
        <w:t>(</w:t>
      </w:r>
      <w:r w:rsidRPr="001C6D71">
        <w:rPr>
          <w:rFonts w:ascii="Garamond" w:hAnsi="Garamond"/>
          <w:sz w:val="24"/>
          <w:szCs w:val="24"/>
        </w:rPr>
        <w:t>SO</w:t>
      </w:r>
      <w:r w:rsidRPr="001C6D71">
        <w:rPr>
          <w:rFonts w:ascii="Garamond" w:hAnsi="Garamond"/>
          <w:sz w:val="24"/>
          <w:szCs w:val="24"/>
          <w:vertAlign w:val="subscript"/>
        </w:rPr>
        <w:t>2</w:t>
      </w:r>
      <w:r w:rsidR="00FF6B1C" w:rsidRPr="001C6D71">
        <w:rPr>
          <w:rFonts w:ascii="Garamond" w:hAnsi="Garamond"/>
          <w:sz w:val="24"/>
          <w:szCs w:val="24"/>
        </w:rPr>
        <w:t xml:space="preserve">) </w:t>
      </w:r>
      <w:r w:rsidRPr="001C6D71">
        <w:rPr>
          <w:rFonts w:ascii="Garamond" w:hAnsi="Garamond"/>
          <w:sz w:val="24"/>
          <w:szCs w:val="24"/>
        </w:rPr>
        <w:t xml:space="preserve">content of 0.015 % by volume at 15% </w:t>
      </w:r>
      <w:r w:rsidR="00FF6B1C" w:rsidRPr="001C6D71">
        <w:rPr>
          <w:rFonts w:ascii="Garamond" w:hAnsi="Garamond"/>
          <w:sz w:val="24"/>
          <w:szCs w:val="24"/>
        </w:rPr>
        <w:t>oxygen (O</w:t>
      </w:r>
      <w:r w:rsidR="00FF6B1C" w:rsidRPr="001C6D71">
        <w:rPr>
          <w:rFonts w:ascii="Garamond" w:hAnsi="Garamond"/>
          <w:sz w:val="24"/>
          <w:szCs w:val="24"/>
          <w:vertAlign w:val="subscript"/>
        </w:rPr>
        <w:t>2</w:t>
      </w:r>
      <w:r w:rsidR="00FF6B1C" w:rsidRPr="001C6D71">
        <w:rPr>
          <w:rFonts w:ascii="Garamond" w:hAnsi="Garamond"/>
          <w:sz w:val="24"/>
          <w:szCs w:val="24"/>
        </w:rPr>
        <w:t>)</w:t>
      </w:r>
      <w:r w:rsidR="00BA2270" w:rsidRPr="001C6D71">
        <w:rPr>
          <w:rFonts w:ascii="Garamond" w:hAnsi="Garamond"/>
          <w:sz w:val="24"/>
          <w:szCs w:val="24"/>
        </w:rPr>
        <w:t xml:space="preserve"> as required under 40 CFR 60, Subpart GG.</w:t>
      </w:r>
    </w:p>
    <w:p w14:paraId="61BE1D1C" w14:textId="77777777" w:rsidR="00EE54A7" w:rsidRPr="000A0A49" w:rsidRDefault="00EE54A7">
      <w:pPr>
        <w:rPr>
          <w:rFonts w:ascii="Garamond" w:hAnsi="Garamond"/>
          <w:sz w:val="21"/>
          <w:szCs w:val="21"/>
        </w:rPr>
      </w:pPr>
    </w:p>
    <w:p w14:paraId="556FA083" w14:textId="77777777" w:rsidR="00EE54A7" w:rsidRPr="001C6D71" w:rsidRDefault="00EE54A7">
      <w:pPr>
        <w:pStyle w:val="Heading2"/>
        <w:spacing w:before="0" w:beforeAutospacing="0" w:after="0" w:afterAutospacing="0"/>
        <w:rPr>
          <w:rFonts w:ascii="Garamond" w:hAnsi="Garamond"/>
          <w:sz w:val="24"/>
          <w:szCs w:val="24"/>
        </w:rPr>
      </w:pPr>
      <w:bookmarkStart w:id="13" w:name="_Toc411330020"/>
      <w:r w:rsidRPr="001C6D71">
        <w:rPr>
          <w:rFonts w:ascii="Garamond" w:hAnsi="Garamond"/>
          <w:sz w:val="24"/>
          <w:szCs w:val="24"/>
        </w:rPr>
        <w:t>Monitoring Requirements</w:t>
      </w:r>
      <w:bookmarkEnd w:id="13"/>
    </w:p>
    <w:p w14:paraId="366DA1F3" w14:textId="77777777" w:rsidR="00EE54A7" w:rsidRPr="000A0A49" w:rsidRDefault="00EE54A7">
      <w:pPr>
        <w:rPr>
          <w:rFonts w:ascii="Garamond" w:hAnsi="Garamond"/>
          <w:sz w:val="21"/>
          <w:szCs w:val="21"/>
        </w:rPr>
      </w:pPr>
    </w:p>
    <w:p w14:paraId="26EAB162" w14:textId="77777777" w:rsidR="00EE54A7" w:rsidRPr="001C6D71" w:rsidRDefault="00EE54A7">
      <w:pPr>
        <w:pStyle w:val="BodyText"/>
        <w:ind w:left="360"/>
        <w:rPr>
          <w:rFonts w:ascii="Garamond" w:hAnsi="Garamond"/>
          <w:sz w:val="24"/>
          <w:szCs w:val="24"/>
        </w:rPr>
      </w:pPr>
      <w:r w:rsidRPr="001C6D71">
        <w:rPr>
          <w:rFonts w:ascii="Garamond" w:hAnsi="Garamond"/>
          <w:sz w:val="24"/>
          <w:szCs w:val="24"/>
        </w:rPr>
        <w:t>ARM 17.8.1212(1) requires that all monitoring and analysis procedures or test methods required under applicable requirements are contained in operating permits.  In addition, when the applicable requirement does not require periodic testing or monitoring, periodic monitoring must be prescribed that is sufficient to yield reliable data from the relevant time period that is representative of the source's compliance with the permit.</w:t>
      </w:r>
    </w:p>
    <w:p w14:paraId="14A3C8BB" w14:textId="77777777" w:rsidR="00EE54A7" w:rsidRPr="000A0A49" w:rsidRDefault="00EE54A7">
      <w:pPr>
        <w:rPr>
          <w:rFonts w:ascii="Garamond" w:hAnsi="Garamond"/>
          <w:sz w:val="21"/>
          <w:szCs w:val="21"/>
        </w:rPr>
      </w:pPr>
    </w:p>
    <w:p w14:paraId="6A587663" w14:textId="77777777" w:rsidR="00EE54A7" w:rsidRPr="001C6D71" w:rsidRDefault="00EE54A7">
      <w:pPr>
        <w:ind w:left="360"/>
        <w:rPr>
          <w:rFonts w:ascii="Garamond" w:hAnsi="Garamond"/>
          <w:sz w:val="24"/>
          <w:szCs w:val="24"/>
        </w:rPr>
      </w:pPr>
      <w:r w:rsidRPr="001C6D71">
        <w:rPr>
          <w:rFonts w:ascii="Garamond" w:hAnsi="Garamond"/>
          <w:sz w:val="24"/>
          <w:szCs w:val="24"/>
        </w:rPr>
        <w:t xml:space="preserve">The requirements for testing, monitoring, recordkeeping, reporting, and compliance certification sufficient to assure compliance do not require the permit to impose the same level of rigor for all emission units.  Furthermore, </w:t>
      </w:r>
      <w:r w:rsidR="00050E6E">
        <w:rPr>
          <w:rFonts w:ascii="Garamond" w:hAnsi="Garamond"/>
          <w:sz w:val="24"/>
          <w:szCs w:val="24"/>
        </w:rPr>
        <w:t>they</w:t>
      </w:r>
      <w:r w:rsidR="00050E6E" w:rsidRPr="001C6D71">
        <w:rPr>
          <w:rFonts w:ascii="Garamond" w:hAnsi="Garamond"/>
          <w:sz w:val="24"/>
          <w:szCs w:val="24"/>
        </w:rPr>
        <w:t xml:space="preserve"> </w:t>
      </w:r>
      <w:r w:rsidRPr="001C6D71">
        <w:rPr>
          <w:rFonts w:ascii="Garamond" w:hAnsi="Garamond"/>
          <w:sz w:val="24"/>
          <w:szCs w:val="24"/>
        </w:rPr>
        <w:t>do not require extensive testing or monitoring to assure compliance with the applicable requirements for emission units that do not have significant potential to violate emission limitations or other requirements under normal operating conditions.  When compliance with the underlying applicable requirement for a</w:t>
      </w:r>
      <w:r w:rsidR="00EC5A67" w:rsidRPr="001C6D71">
        <w:rPr>
          <w:rFonts w:ascii="Garamond" w:hAnsi="Garamond"/>
          <w:sz w:val="24"/>
          <w:szCs w:val="24"/>
        </w:rPr>
        <w:t>n</w:t>
      </w:r>
      <w:r w:rsidRPr="001C6D71">
        <w:rPr>
          <w:rFonts w:ascii="Garamond" w:hAnsi="Garamond"/>
          <w:sz w:val="24"/>
          <w:szCs w:val="24"/>
        </w:rPr>
        <w:t xml:space="preserve"> insignificant emission</w:t>
      </w:r>
      <w:r w:rsidR="00EC5A67" w:rsidRPr="001C6D71">
        <w:rPr>
          <w:rFonts w:ascii="Garamond" w:hAnsi="Garamond"/>
          <w:sz w:val="24"/>
          <w:szCs w:val="24"/>
        </w:rPr>
        <w:t>s</w:t>
      </w:r>
      <w:r w:rsidRPr="001C6D71">
        <w:rPr>
          <w:rFonts w:ascii="Garamond" w:hAnsi="Garamond"/>
          <w:sz w:val="24"/>
          <w:szCs w:val="24"/>
        </w:rPr>
        <w:t xml:space="preserve"> unit is not threatened by lack of regular monitoring and when periodic testing or monitoring is not otherwise required by the applicable requirement, the status quo </w:t>
      </w:r>
      <w:r w:rsidRPr="001C6D71">
        <w:rPr>
          <w:rFonts w:ascii="Garamond" w:hAnsi="Garamond"/>
          <w:b/>
          <w:sz w:val="24"/>
          <w:szCs w:val="24"/>
        </w:rPr>
        <w:t>(i.e., no monitoring)</w:t>
      </w:r>
      <w:r w:rsidRPr="001C6D71">
        <w:rPr>
          <w:rFonts w:ascii="Garamond" w:hAnsi="Garamond"/>
          <w:sz w:val="24"/>
          <w:szCs w:val="24"/>
        </w:rPr>
        <w:t xml:space="preserve"> will meet the requirements of ARM 17.8.1212(1).  Therefore, the permit does not include monitoring for insignificant emission units.</w:t>
      </w:r>
    </w:p>
    <w:p w14:paraId="5EC2A69B" w14:textId="77777777" w:rsidR="00EE54A7" w:rsidRPr="000A0A49" w:rsidRDefault="00EE54A7">
      <w:pPr>
        <w:rPr>
          <w:rFonts w:ascii="Garamond" w:hAnsi="Garamond"/>
          <w:sz w:val="21"/>
          <w:szCs w:val="21"/>
        </w:rPr>
      </w:pPr>
    </w:p>
    <w:p w14:paraId="6C7E5EB3" w14:textId="28212BDE" w:rsidR="00EE54A7" w:rsidRPr="001C6D71" w:rsidRDefault="00EE54A7">
      <w:pPr>
        <w:ind w:left="360"/>
        <w:rPr>
          <w:rFonts w:ascii="Garamond" w:hAnsi="Garamond"/>
          <w:sz w:val="24"/>
          <w:szCs w:val="24"/>
        </w:rPr>
      </w:pPr>
      <w:r w:rsidRPr="001C6D71">
        <w:rPr>
          <w:rFonts w:ascii="Garamond" w:hAnsi="Garamond"/>
          <w:sz w:val="24"/>
          <w:szCs w:val="24"/>
        </w:rPr>
        <w:t xml:space="preserve">The permit includes periodic monitoring or recordkeeping for each applicable requirement.  The information obtained from the monitoring and recordkeeping will be used by the permittee to periodically certify compliance with the emission limits and standards.  However, </w:t>
      </w:r>
      <w:r w:rsidR="004D3652">
        <w:rPr>
          <w:rFonts w:ascii="Garamond" w:hAnsi="Garamond"/>
          <w:sz w:val="24"/>
          <w:szCs w:val="24"/>
        </w:rPr>
        <w:t>DEQ</w:t>
      </w:r>
      <w:r w:rsidRPr="001C6D71">
        <w:rPr>
          <w:rFonts w:ascii="Garamond" w:hAnsi="Garamond"/>
          <w:sz w:val="24"/>
          <w:szCs w:val="24"/>
        </w:rPr>
        <w:t xml:space="preserve"> may request additional testing to </w:t>
      </w:r>
      <w:r w:rsidR="00050E6E">
        <w:rPr>
          <w:rFonts w:ascii="Garamond" w:hAnsi="Garamond"/>
          <w:sz w:val="24"/>
          <w:szCs w:val="24"/>
        </w:rPr>
        <w:t>determine</w:t>
      </w:r>
      <w:r w:rsidR="00050E6E" w:rsidRPr="001C6D71">
        <w:rPr>
          <w:rFonts w:ascii="Garamond" w:hAnsi="Garamond"/>
          <w:sz w:val="24"/>
          <w:szCs w:val="24"/>
        </w:rPr>
        <w:t xml:space="preserve"> </w:t>
      </w:r>
      <w:r w:rsidRPr="001C6D71">
        <w:rPr>
          <w:rFonts w:ascii="Garamond" w:hAnsi="Garamond"/>
          <w:sz w:val="24"/>
          <w:szCs w:val="24"/>
        </w:rPr>
        <w:t>compliance with the emission limits and standards.</w:t>
      </w:r>
    </w:p>
    <w:p w14:paraId="4703E36D" w14:textId="77777777" w:rsidR="00EE54A7" w:rsidRPr="000A0A49" w:rsidRDefault="00EE54A7">
      <w:pPr>
        <w:rPr>
          <w:rFonts w:ascii="Garamond" w:hAnsi="Garamond"/>
          <w:sz w:val="21"/>
          <w:szCs w:val="21"/>
        </w:rPr>
      </w:pPr>
    </w:p>
    <w:p w14:paraId="7B38A3BC" w14:textId="77777777" w:rsidR="00EE54A7" w:rsidRPr="001C6D71" w:rsidRDefault="00EE54A7">
      <w:pPr>
        <w:pStyle w:val="Heading2"/>
        <w:spacing w:before="0" w:beforeAutospacing="0" w:after="0" w:afterAutospacing="0"/>
        <w:rPr>
          <w:rFonts w:ascii="Garamond" w:hAnsi="Garamond"/>
          <w:sz w:val="24"/>
          <w:szCs w:val="24"/>
        </w:rPr>
      </w:pPr>
      <w:bookmarkStart w:id="14" w:name="_Toc411330021"/>
      <w:r w:rsidRPr="001C6D71">
        <w:rPr>
          <w:rFonts w:ascii="Garamond" w:hAnsi="Garamond"/>
          <w:sz w:val="24"/>
          <w:szCs w:val="24"/>
        </w:rPr>
        <w:t>Test Methods and Procedures</w:t>
      </w:r>
      <w:bookmarkEnd w:id="14"/>
    </w:p>
    <w:p w14:paraId="46EE6D04" w14:textId="77777777" w:rsidR="00EE54A7" w:rsidRPr="000A0A49" w:rsidRDefault="00EE54A7">
      <w:pPr>
        <w:rPr>
          <w:rFonts w:ascii="Garamond" w:hAnsi="Garamond"/>
          <w:sz w:val="21"/>
          <w:szCs w:val="21"/>
        </w:rPr>
      </w:pPr>
    </w:p>
    <w:p w14:paraId="43D906E6" w14:textId="77777777" w:rsidR="00EE54A7" w:rsidRPr="001C6D71" w:rsidRDefault="00EE54A7">
      <w:pPr>
        <w:ind w:left="360"/>
        <w:rPr>
          <w:rFonts w:ascii="Garamond" w:hAnsi="Garamond"/>
          <w:sz w:val="24"/>
          <w:szCs w:val="24"/>
          <w:highlight w:val="green"/>
        </w:rPr>
      </w:pPr>
      <w:r w:rsidRPr="001C6D71">
        <w:rPr>
          <w:rFonts w:ascii="Garamond" w:hAnsi="Garamond"/>
          <w:sz w:val="24"/>
          <w:szCs w:val="24"/>
        </w:rPr>
        <w:t xml:space="preserve">Compliance with the opacity, particulate from fuel combustion, sulfur compounds in fuel (gaseous), and VOC limitations in the permit may be demonstrated by burning pipeline quality natural gas on a continuous basis.  In addition, WBI is required to </w:t>
      </w:r>
      <w:r w:rsidR="005D35F0" w:rsidRPr="001C6D71">
        <w:rPr>
          <w:rFonts w:ascii="Garamond" w:hAnsi="Garamond"/>
          <w:sz w:val="24"/>
          <w:szCs w:val="24"/>
        </w:rPr>
        <w:t>conform with the requirements in 40 CFR 60, Subpart GG</w:t>
      </w:r>
      <w:r w:rsidRPr="001C6D71">
        <w:rPr>
          <w:rFonts w:ascii="Garamond" w:hAnsi="Garamond"/>
          <w:sz w:val="24"/>
          <w:szCs w:val="24"/>
        </w:rPr>
        <w:t xml:space="preserve"> to demonstrate that the sulfur content of the natural gas is less than 0.8% by weight and the SO</w:t>
      </w:r>
      <w:r w:rsidRPr="001C6D71">
        <w:rPr>
          <w:rFonts w:ascii="Garamond" w:hAnsi="Garamond"/>
          <w:sz w:val="24"/>
          <w:szCs w:val="24"/>
          <w:vertAlign w:val="subscript"/>
        </w:rPr>
        <w:t>2</w:t>
      </w:r>
      <w:r w:rsidRPr="001C6D71">
        <w:rPr>
          <w:rFonts w:ascii="Garamond" w:hAnsi="Garamond"/>
          <w:sz w:val="24"/>
          <w:szCs w:val="24"/>
        </w:rPr>
        <w:t xml:space="preserve"> content of the natural gas is less than 0.015 % by volume at 15% O</w:t>
      </w:r>
      <w:r w:rsidRPr="001C6D71">
        <w:rPr>
          <w:rFonts w:ascii="Garamond" w:hAnsi="Garamond"/>
          <w:sz w:val="24"/>
          <w:szCs w:val="24"/>
          <w:vertAlign w:val="subscript"/>
        </w:rPr>
        <w:t>2</w:t>
      </w:r>
      <w:r w:rsidRPr="001C6D71">
        <w:rPr>
          <w:rFonts w:ascii="Garamond" w:hAnsi="Garamond"/>
          <w:sz w:val="24"/>
          <w:szCs w:val="24"/>
        </w:rPr>
        <w:t xml:space="preserve"> on a dry basis.</w:t>
      </w:r>
    </w:p>
    <w:p w14:paraId="77EA743A" w14:textId="77777777" w:rsidR="00EE54A7" w:rsidRPr="000A0A49" w:rsidRDefault="00EE54A7" w:rsidP="000A0A49">
      <w:pPr>
        <w:rPr>
          <w:rFonts w:ascii="Garamond" w:hAnsi="Garamond"/>
          <w:sz w:val="21"/>
          <w:szCs w:val="21"/>
          <w:highlight w:val="green"/>
        </w:rPr>
      </w:pPr>
    </w:p>
    <w:p w14:paraId="7879CAA1" w14:textId="77777777" w:rsidR="00B26E36" w:rsidRPr="001C6D71" w:rsidRDefault="004747C5" w:rsidP="004747C5">
      <w:pPr>
        <w:ind w:left="360"/>
        <w:rPr>
          <w:rFonts w:ascii="Garamond" w:hAnsi="Garamond"/>
          <w:sz w:val="24"/>
          <w:szCs w:val="24"/>
        </w:rPr>
      </w:pPr>
      <w:r w:rsidRPr="001C6D71">
        <w:rPr>
          <w:rFonts w:ascii="Garamond" w:hAnsi="Garamond"/>
          <w:sz w:val="24"/>
          <w:szCs w:val="24"/>
        </w:rPr>
        <w:t>MAQP #1628-0</w:t>
      </w:r>
      <w:r w:rsidR="00980AFE">
        <w:rPr>
          <w:rFonts w:ascii="Garamond" w:hAnsi="Garamond"/>
          <w:sz w:val="24"/>
          <w:szCs w:val="24"/>
        </w:rPr>
        <w:t>4</w:t>
      </w:r>
      <w:r w:rsidRPr="001C6D71">
        <w:rPr>
          <w:rFonts w:ascii="Garamond" w:hAnsi="Garamond"/>
          <w:sz w:val="24"/>
          <w:szCs w:val="24"/>
        </w:rPr>
        <w:t xml:space="preserve"> requires WBI to test each of the two 3,730-</w:t>
      </w:r>
      <w:r w:rsidR="00C811CE" w:rsidRPr="001C6D71">
        <w:rPr>
          <w:rFonts w:ascii="Garamond" w:hAnsi="Garamond"/>
          <w:sz w:val="24"/>
          <w:szCs w:val="24"/>
        </w:rPr>
        <w:t>h</w:t>
      </w:r>
      <w:r w:rsidRPr="001C6D71">
        <w:rPr>
          <w:rFonts w:ascii="Garamond" w:hAnsi="Garamond"/>
          <w:sz w:val="24"/>
          <w:szCs w:val="24"/>
        </w:rPr>
        <w:t>p Solar Centaur turbines for NO</w:t>
      </w:r>
      <w:r w:rsidRPr="001C6D71">
        <w:rPr>
          <w:rFonts w:ascii="Garamond" w:hAnsi="Garamond"/>
          <w:sz w:val="24"/>
          <w:szCs w:val="24"/>
          <w:vertAlign w:val="subscript"/>
        </w:rPr>
        <w:t>x</w:t>
      </w:r>
      <w:r w:rsidRPr="001C6D71">
        <w:rPr>
          <w:rFonts w:ascii="Garamond" w:hAnsi="Garamond"/>
          <w:sz w:val="24"/>
          <w:szCs w:val="24"/>
        </w:rPr>
        <w:t xml:space="preserve"> and CO, concurrently, </w:t>
      </w:r>
      <w:r w:rsidR="00B26E36" w:rsidRPr="001C6D71">
        <w:rPr>
          <w:rFonts w:ascii="Garamond" w:hAnsi="Garamond"/>
          <w:sz w:val="24"/>
          <w:szCs w:val="24"/>
        </w:rPr>
        <w:t xml:space="preserve">on an every 5-year basis </w:t>
      </w:r>
      <w:r w:rsidRPr="001C6D71">
        <w:rPr>
          <w:rFonts w:ascii="Garamond" w:hAnsi="Garamond"/>
          <w:sz w:val="24"/>
          <w:szCs w:val="24"/>
        </w:rPr>
        <w:t xml:space="preserve">to demonstrate compliance with the emission limitations in the permit.  The permit demands that the tests be performed according to the EPA methods in Appendix A of 40 CFR 60.  </w:t>
      </w:r>
      <w:r w:rsidR="00EE54A7" w:rsidRPr="001C6D71">
        <w:rPr>
          <w:rFonts w:ascii="Garamond" w:hAnsi="Garamond"/>
          <w:sz w:val="24"/>
          <w:szCs w:val="24"/>
        </w:rPr>
        <w:t xml:space="preserve">This operating permit </w:t>
      </w:r>
      <w:r w:rsidR="00B26E36" w:rsidRPr="001C6D71">
        <w:rPr>
          <w:rFonts w:ascii="Garamond" w:hAnsi="Garamond"/>
          <w:sz w:val="24"/>
          <w:szCs w:val="24"/>
        </w:rPr>
        <w:t xml:space="preserve">also </w:t>
      </w:r>
      <w:r w:rsidR="00EE54A7" w:rsidRPr="001C6D71">
        <w:rPr>
          <w:rFonts w:ascii="Garamond" w:hAnsi="Garamond"/>
          <w:sz w:val="24"/>
          <w:szCs w:val="24"/>
        </w:rPr>
        <w:t>contains requirements for semi-annual testing with a portable analyzer for each of the two 3,730-</w:t>
      </w:r>
      <w:r w:rsidR="00C811CE" w:rsidRPr="001C6D71">
        <w:rPr>
          <w:rFonts w:ascii="Garamond" w:hAnsi="Garamond"/>
          <w:sz w:val="24"/>
          <w:szCs w:val="24"/>
        </w:rPr>
        <w:t>h</w:t>
      </w:r>
      <w:r w:rsidR="00EE54A7" w:rsidRPr="001C6D71">
        <w:rPr>
          <w:rFonts w:ascii="Garamond" w:hAnsi="Garamond"/>
          <w:sz w:val="24"/>
          <w:szCs w:val="24"/>
        </w:rPr>
        <w:t>p Solar Centaur turbines.  Th</w:t>
      </w:r>
      <w:r w:rsidRPr="001C6D71">
        <w:rPr>
          <w:rFonts w:ascii="Garamond" w:hAnsi="Garamond"/>
          <w:sz w:val="24"/>
          <w:szCs w:val="24"/>
        </w:rPr>
        <w:t>is</w:t>
      </w:r>
      <w:r w:rsidR="00EE54A7" w:rsidRPr="001C6D71">
        <w:rPr>
          <w:rFonts w:ascii="Garamond" w:hAnsi="Garamond"/>
          <w:sz w:val="24"/>
          <w:szCs w:val="24"/>
        </w:rPr>
        <w:t xml:space="preserve"> permit stipulates that the portable analyzer shall be capable of achieving </w:t>
      </w:r>
      <w:r w:rsidR="00EE54A7" w:rsidRPr="001C6D71">
        <w:rPr>
          <w:rFonts w:ascii="Garamond" w:hAnsi="Garamond"/>
          <w:sz w:val="24"/>
          <w:szCs w:val="24"/>
        </w:rPr>
        <w:lastRenderedPageBreak/>
        <w:t>performance specifications equivalent to the traditional test methods in 40 CFR 60, Appendix A or shall be capable of meeting the requirements of EPA Conditional Test Method 022 for the “Determination of Nitric Oxide, Nitrogen Dioxide and NO</w:t>
      </w:r>
      <w:r w:rsidR="00EE54A7" w:rsidRPr="001C6D71">
        <w:rPr>
          <w:rFonts w:ascii="Garamond" w:hAnsi="Garamond"/>
          <w:sz w:val="24"/>
          <w:szCs w:val="24"/>
          <w:vertAlign w:val="subscript"/>
        </w:rPr>
        <w:t>x</w:t>
      </w:r>
      <w:r w:rsidR="00EE54A7" w:rsidRPr="001C6D71">
        <w:rPr>
          <w:rFonts w:ascii="Garamond" w:hAnsi="Garamond"/>
          <w:sz w:val="24"/>
          <w:szCs w:val="24"/>
        </w:rPr>
        <w:t xml:space="preserve"> from Stationary Sources by Electrochemical Analyzer.” </w:t>
      </w:r>
    </w:p>
    <w:p w14:paraId="735F828A" w14:textId="77777777" w:rsidR="006B7CA5" w:rsidRPr="00173F0F" w:rsidRDefault="006B7CA5" w:rsidP="00980AFE">
      <w:pPr>
        <w:rPr>
          <w:rFonts w:ascii="Garamond" w:hAnsi="Garamond"/>
          <w:sz w:val="22"/>
          <w:szCs w:val="22"/>
        </w:rPr>
      </w:pPr>
    </w:p>
    <w:p w14:paraId="321FD24F" w14:textId="64A012CA" w:rsidR="005D35F0" w:rsidRPr="001C6D71" w:rsidRDefault="00B26E36" w:rsidP="004747C5">
      <w:pPr>
        <w:ind w:left="360"/>
        <w:rPr>
          <w:rFonts w:ascii="Garamond" w:hAnsi="Garamond"/>
          <w:sz w:val="24"/>
          <w:szCs w:val="24"/>
        </w:rPr>
      </w:pPr>
      <w:r w:rsidRPr="001C6D71">
        <w:rPr>
          <w:rFonts w:ascii="Garamond" w:hAnsi="Garamond"/>
          <w:sz w:val="24"/>
          <w:szCs w:val="24"/>
        </w:rPr>
        <w:t xml:space="preserve">In addition, in a letter dated October 12, 2006, </w:t>
      </w:r>
      <w:r w:rsidR="004D3652">
        <w:rPr>
          <w:rFonts w:ascii="Garamond" w:hAnsi="Garamond"/>
          <w:sz w:val="24"/>
          <w:szCs w:val="24"/>
        </w:rPr>
        <w:t>DEQ</w:t>
      </w:r>
      <w:r w:rsidRPr="001C6D71">
        <w:rPr>
          <w:rFonts w:ascii="Garamond" w:hAnsi="Garamond"/>
          <w:sz w:val="24"/>
          <w:szCs w:val="24"/>
        </w:rPr>
        <w:t xml:space="preserve"> approved a testing waiver </w:t>
      </w:r>
      <w:r w:rsidR="004E7710" w:rsidRPr="001C6D71">
        <w:rPr>
          <w:rFonts w:ascii="Garamond" w:hAnsi="Garamond"/>
          <w:sz w:val="24"/>
          <w:szCs w:val="24"/>
        </w:rPr>
        <w:t>if a turbine operates less than 500 hours in a semiannual period (January 1 to June 30 or July 1 to December 31).  The letter specifies that the semiannual test will still be performed regardless of hours of operation if any changes are made that may affect emissions.  It also requires that hours of operation be documented and records kept for at least 5 years.</w:t>
      </w:r>
    </w:p>
    <w:p w14:paraId="09D3E304" w14:textId="77777777" w:rsidR="00B26E36" w:rsidRPr="00173F0F" w:rsidRDefault="00B26E36" w:rsidP="00220BD9">
      <w:pPr>
        <w:rPr>
          <w:rFonts w:ascii="Garamond" w:hAnsi="Garamond"/>
          <w:sz w:val="22"/>
          <w:szCs w:val="22"/>
        </w:rPr>
      </w:pPr>
    </w:p>
    <w:p w14:paraId="20B8BA6A" w14:textId="02200A08" w:rsidR="005D35F0" w:rsidRPr="001C6D71" w:rsidRDefault="00EE54A7" w:rsidP="004747C5">
      <w:pPr>
        <w:ind w:left="360"/>
        <w:rPr>
          <w:rFonts w:ascii="Garamond" w:hAnsi="Garamond"/>
          <w:sz w:val="24"/>
          <w:szCs w:val="24"/>
        </w:rPr>
      </w:pPr>
      <w:r w:rsidRPr="001C6D71">
        <w:rPr>
          <w:rFonts w:ascii="Garamond" w:hAnsi="Garamond"/>
          <w:sz w:val="24"/>
          <w:szCs w:val="24"/>
        </w:rPr>
        <w:t xml:space="preserve">WBI may use another testing procedure as approved in advance by </w:t>
      </w:r>
      <w:r w:rsidR="004D3652">
        <w:rPr>
          <w:rFonts w:ascii="Garamond" w:hAnsi="Garamond"/>
          <w:sz w:val="24"/>
          <w:szCs w:val="24"/>
        </w:rPr>
        <w:t>DEQ</w:t>
      </w:r>
      <w:r w:rsidRPr="001C6D71">
        <w:rPr>
          <w:rFonts w:ascii="Garamond" w:hAnsi="Garamond"/>
          <w:sz w:val="24"/>
          <w:szCs w:val="24"/>
        </w:rPr>
        <w:t xml:space="preserve">.  All compliance tests must be conducted in accordance with the Montana Source Test Protocol and Procedures Manual (ARM 17.8.106).  </w:t>
      </w:r>
    </w:p>
    <w:p w14:paraId="69D4438E" w14:textId="77777777" w:rsidR="005D35F0" w:rsidRPr="00173F0F" w:rsidRDefault="005D35F0" w:rsidP="00220BD9">
      <w:pPr>
        <w:rPr>
          <w:rFonts w:ascii="Garamond" w:hAnsi="Garamond"/>
          <w:sz w:val="22"/>
          <w:szCs w:val="22"/>
        </w:rPr>
      </w:pPr>
    </w:p>
    <w:p w14:paraId="0F3090A1" w14:textId="77777777" w:rsidR="00EE54A7" w:rsidRPr="001C6D71" w:rsidRDefault="00EE54A7" w:rsidP="004747C5">
      <w:pPr>
        <w:ind w:left="360"/>
        <w:rPr>
          <w:rFonts w:ascii="Garamond" w:hAnsi="Garamond"/>
          <w:sz w:val="24"/>
          <w:szCs w:val="24"/>
        </w:rPr>
      </w:pPr>
      <w:r w:rsidRPr="001C6D71">
        <w:rPr>
          <w:rFonts w:ascii="Garamond" w:hAnsi="Garamond"/>
          <w:sz w:val="24"/>
          <w:szCs w:val="24"/>
        </w:rPr>
        <w:t>WBI will then convert the NO</w:t>
      </w:r>
      <w:r w:rsidRPr="001C6D71">
        <w:rPr>
          <w:rFonts w:ascii="Garamond" w:hAnsi="Garamond"/>
          <w:sz w:val="24"/>
          <w:szCs w:val="24"/>
          <w:vertAlign w:val="subscript"/>
        </w:rPr>
        <w:t>x</w:t>
      </w:r>
      <w:r w:rsidRPr="001C6D71">
        <w:rPr>
          <w:rFonts w:ascii="Garamond" w:hAnsi="Garamond"/>
          <w:sz w:val="24"/>
          <w:szCs w:val="24"/>
        </w:rPr>
        <w:t xml:space="preserve"> and CO emissions test results from a “</w:t>
      </w:r>
      <w:r w:rsidR="00561FF0" w:rsidRPr="001C6D71">
        <w:rPr>
          <w:rFonts w:ascii="Garamond" w:hAnsi="Garamond"/>
          <w:sz w:val="24"/>
          <w:szCs w:val="24"/>
        </w:rPr>
        <w:t>part per million (</w:t>
      </w:r>
      <w:r w:rsidRPr="001C6D71">
        <w:rPr>
          <w:rFonts w:ascii="Garamond" w:hAnsi="Garamond"/>
          <w:sz w:val="24"/>
          <w:szCs w:val="24"/>
        </w:rPr>
        <w:t>ppm</w:t>
      </w:r>
      <w:r w:rsidR="00561FF0" w:rsidRPr="001C6D71">
        <w:rPr>
          <w:rFonts w:ascii="Garamond" w:hAnsi="Garamond"/>
          <w:sz w:val="24"/>
          <w:szCs w:val="24"/>
        </w:rPr>
        <w:t>)</w:t>
      </w:r>
      <w:r w:rsidRPr="001C6D71">
        <w:rPr>
          <w:rFonts w:ascii="Garamond" w:hAnsi="Garamond"/>
          <w:sz w:val="24"/>
          <w:szCs w:val="24"/>
        </w:rPr>
        <w:t>” value to a “lb/hr” number.  Stack gas flow rates shall be determined using EPA Test Methods in 40 CFR 60, Appendix A in order to monitor compliance with the emissions limitations in the permit.</w:t>
      </w:r>
    </w:p>
    <w:p w14:paraId="5529357F" w14:textId="77777777" w:rsidR="00EE54A7" w:rsidRPr="00173F0F" w:rsidRDefault="00EE54A7" w:rsidP="00220BD9">
      <w:pPr>
        <w:rPr>
          <w:rFonts w:ascii="Garamond" w:hAnsi="Garamond"/>
          <w:sz w:val="22"/>
          <w:szCs w:val="22"/>
        </w:rPr>
      </w:pPr>
    </w:p>
    <w:p w14:paraId="28F62E24" w14:textId="32386F6F" w:rsidR="00EE54A7" w:rsidRPr="001C6D71" w:rsidRDefault="004D3652">
      <w:pPr>
        <w:ind w:left="360"/>
        <w:rPr>
          <w:rFonts w:ascii="Garamond" w:hAnsi="Garamond"/>
          <w:sz w:val="24"/>
          <w:szCs w:val="24"/>
        </w:rPr>
      </w:pPr>
      <w:r>
        <w:rPr>
          <w:rFonts w:ascii="Garamond" w:hAnsi="Garamond"/>
          <w:sz w:val="24"/>
          <w:szCs w:val="24"/>
        </w:rPr>
        <w:t>DEQ</w:t>
      </w:r>
      <w:r w:rsidR="00EE54A7" w:rsidRPr="001C6D71">
        <w:rPr>
          <w:rFonts w:ascii="Garamond" w:hAnsi="Garamond"/>
          <w:sz w:val="24"/>
          <w:szCs w:val="24"/>
        </w:rPr>
        <w:t xml:space="preserve"> will use the portable analyzer testing results as a direct measure of compliance.  The operating permit may not require testing for all sources if routine monitoring is used to </w:t>
      </w:r>
      <w:r w:rsidR="00050E6E">
        <w:rPr>
          <w:rFonts w:ascii="Garamond" w:hAnsi="Garamond"/>
          <w:sz w:val="24"/>
          <w:szCs w:val="24"/>
        </w:rPr>
        <w:t>determine</w:t>
      </w:r>
      <w:r w:rsidR="00050E6E" w:rsidRPr="001C6D71">
        <w:rPr>
          <w:rFonts w:ascii="Garamond" w:hAnsi="Garamond"/>
          <w:sz w:val="24"/>
          <w:szCs w:val="24"/>
        </w:rPr>
        <w:t xml:space="preserve"> </w:t>
      </w:r>
      <w:r w:rsidR="00EE54A7" w:rsidRPr="001C6D71">
        <w:rPr>
          <w:rFonts w:ascii="Garamond" w:hAnsi="Garamond"/>
          <w:sz w:val="24"/>
          <w:szCs w:val="24"/>
        </w:rPr>
        <w:t xml:space="preserve">compliance, but </w:t>
      </w:r>
      <w:r>
        <w:rPr>
          <w:rFonts w:ascii="Garamond" w:hAnsi="Garamond"/>
          <w:sz w:val="24"/>
          <w:szCs w:val="24"/>
        </w:rPr>
        <w:t>DEQ</w:t>
      </w:r>
      <w:r w:rsidR="00EE54A7" w:rsidRPr="001C6D71">
        <w:rPr>
          <w:rFonts w:ascii="Garamond" w:hAnsi="Garamond"/>
          <w:sz w:val="24"/>
          <w:szCs w:val="24"/>
        </w:rPr>
        <w:t xml:space="preserve"> has the authority to require testing if deemed necessary to </w:t>
      </w:r>
      <w:r w:rsidR="00050E6E">
        <w:rPr>
          <w:rFonts w:ascii="Garamond" w:hAnsi="Garamond"/>
          <w:sz w:val="24"/>
          <w:szCs w:val="24"/>
        </w:rPr>
        <w:t>determine</w:t>
      </w:r>
      <w:r w:rsidR="00050E6E" w:rsidRPr="001C6D71">
        <w:rPr>
          <w:rFonts w:ascii="Garamond" w:hAnsi="Garamond"/>
          <w:sz w:val="24"/>
          <w:szCs w:val="24"/>
        </w:rPr>
        <w:t xml:space="preserve"> </w:t>
      </w:r>
      <w:r w:rsidR="00EE54A7" w:rsidRPr="001C6D71">
        <w:rPr>
          <w:rFonts w:ascii="Garamond" w:hAnsi="Garamond"/>
          <w:sz w:val="24"/>
          <w:szCs w:val="24"/>
        </w:rPr>
        <w:t xml:space="preserve">compliance with an emission limit or standard.  In addition, the permittee may elect to voluntarily conduct compliance testing to </w:t>
      </w:r>
      <w:r w:rsidR="00050E6E">
        <w:rPr>
          <w:rFonts w:ascii="Garamond" w:hAnsi="Garamond"/>
          <w:sz w:val="24"/>
          <w:szCs w:val="24"/>
        </w:rPr>
        <w:t>confirm its</w:t>
      </w:r>
      <w:r w:rsidR="00050E6E" w:rsidRPr="001C6D71">
        <w:rPr>
          <w:rFonts w:ascii="Garamond" w:hAnsi="Garamond"/>
          <w:sz w:val="24"/>
          <w:szCs w:val="24"/>
        </w:rPr>
        <w:t xml:space="preserve"> </w:t>
      </w:r>
      <w:r w:rsidR="00EE54A7" w:rsidRPr="001C6D71">
        <w:rPr>
          <w:rFonts w:ascii="Garamond" w:hAnsi="Garamond"/>
          <w:sz w:val="24"/>
          <w:szCs w:val="24"/>
        </w:rPr>
        <w:t>compliance status.</w:t>
      </w:r>
    </w:p>
    <w:p w14:paraId="0754EF3A" w14:textId="77777777" w:rsidR="00EE54A7" w:rsidRPr="00173F0F" w:rsidRDefault="00EE54A7" w:rsidP="00220BD9">
      <w:pPr>
        <w:rPr>
          <w:rFonts w:ascii="Garamond" w:hAnsi="Garamond"/>
          <w:sz w:val="22"/>
          <w:szCs w:val="22"/>
          <w:highlight w:val="green"/>
        </w:rPr>
      </w:pPr>
    </w:p>
    <w:p w14:paraId="606A36DF" w14:textId="77777777" w:rsidR="00EE54A7" w:rsidRPr="001C6D71" w:rsidRDefault="00EE54A7">
      <w:pPr>
        <w:pStyle w:val="Heading2"/>
        <w:spacing w:before="0" w:beforeAutospacing="0" w:after="0" w:afterAutospacing="0"/>
        <w:rPr>
          <w:rFonts w:ascii="Garamond" w:hAnsi="Garamond"/>
          <w:sz w:val="24"/>
          <w:szCs w:val="24"/>
        </w:rPr>
      </w:pPr>
      <w:bookmarkStart w:id="15" w:name="_Toc411330022"/>
      <w:r w:rsidRPr="001C6D71">
        <w:rPr>
          <w:rFonts w:ascii="Garamond" w:hAnsi="Garamond"/>
          <w:sz w:val="24"/>
          <w:szCs w:val="24"/>
        </w:rPr>
        <w:t>Recordkeeping Requirements</w:t>
      </w:r>
      <w:bookmarkEnd w:id="15"/>
    </w:p>
    <w:p w14:paraId="65C7E8B1" w14:textId="77777777" w:rsidR="00EE54A7" w:rsidRPr="00173F0F" w:rsidRDefault="00EE54A7">
      <w:pPr>
        <w:rPr>
          <w:rFonts w:ascii="Garamond" w:hAnsi="Garamond"/>
          <w:sz w:val="22"/>
          <w:szCs w:val="22"/>
        </w:rPr>
      </w:pPr>
    </w:p>
    <w:p w14:paraId="4136CCC8" w14:textId="77777777" w:rsidR="00EE54A7" w:rsidRPr="001C6D71" w:rsidRDefault="00EE54A7">
      <w:pPr>
        <w:pStyle w:val="BodyText"/>
        <w:ind w:left="360"/>
        <w:rPr>
          <w:rFonts w:ascii="Garamond" w:hAnsi="Garamond"/>
          <w:sz w:val="24"/>
          <w:szCs w:val="24"/>
        </w:rPr>
      </w:pPr>
      <w:r w:rsidRPr="001C6D71">
        <w:rPr>
          <w:rFonts w:ascii="Garamond" w:hAnsi="Garamond"/>
          <w:sz w:val="24"/>
          <w:szCs w:val="24"/>
        </w:rPr>
        <w:t xml:space="preserve">The permittee is required to keep all records listed in the operating permit as a permanent business record for at least </w:t>
      </w:r>
      <w:r w:rsidR="00050E6E">
        <w:rPr>
          <w:rFonts w:ascii="Garamond" w:hAnsi="Garamond"/>
          <w:sz w:val="24"/>
          <w:szCs w:val="24"/>
        </w:rPr>
        <w:t>five</w:t>
      </w:r>
      <w:r w:rsidR="00050E6E" w:rsidRPr="001C6D71">
        <w:rPr>
          <w:rFonts w:ascii="Garamond" w:hAnsi="Garamond"/>
          <w:sz w:val="24"/>
          <w:szCs w:val="24"/>
        </w:rPr>
        <w:t xml:space="preserve"> </w:t>
      </w:r>
      <w:r w:rsidRPr="001C6D71">
        <w:rPr>
          <w:rFonts w:ascii="Garamond" w:hAnsi="Garamond"/>
          <w:sz w:val="24"/>
          <w:szCs w:val="24"/>
        </w:rPr>
        <w:t>years following the date of the generation of the record.</w:t>
      </w:r>
    </w:p>
    <w:p w14:paraId="6E5ADF82" w14:textId="77777777" w:rsidR="00EE54A7" w:rsidRPr="00173F0F" w:rsidRDefault="00EE54A7">
      <w:pPr>
        <w:rPr>
          <w:rFonts w:ascii="Garamond" w:hAnsi="Garamond"/>
          <w:sz w:val="22"/>
          <w:szCs w:val="22"/>
        </w:rPr>
      </w:pPr>
    </w:p>
    <w:p w14:paraId="2F3D69AD" w14:textId="77777777" w:rsidR="00EE54A7" w:rsidRPr="001C6D71" w:rsidRDefault="00EE54A7">
      <w:pPr>
        <w:pStyle w:val="Heading2"/>
        <w:spacing w:before="0" w:beforeAutospacing="0" w:after="0" w:afterAutospacing="0"/>
        <w:rPr>
          <w:rFonts w:ascii="Garamond" w:hAnsi="Garamond"/>
          <w:sz w:val="24"/>
          <w:szCs w:val="24"/>
        </w:rPr>
      </w:pPr>
      <w:bookmarkStart w:id="16" w:name="_Toc411330023"/>
      <w:r w:rsidRPr="001C6D71">
        <w:rPr>
          <w:rFonts w:ascii="Garamond" w:hAnsi="Garamond"/>
          <w:sz w:val="24"/>
          <w:szCs w:val="24"/>
        </w:rPr>
        <w:t>Reporting Requirements</w:t>
      </w:r>
      <w:bookmarkEnd w:id="16"/>
    </w:p>
    <w:p w14:paraId="620BD79B" w14:textId="77777777" w:rsidR="00EE54A7" w:rsidRPr="00173F0F" w:rsidRDefault="00EE54A7">
      <w:pPr>
        <w:rPr>
          <w:rFonts w:ascii="Garamond" w:hAnsi="Garamond"/>
          <w:sz w:val="22"/>
          <w:szCs w:val="22"/>
        </w:rPr>
      </w:pPr>
    </w:p>
    <w:p w14:paraId="7B5B3344" w14:textId="3DFD753C" w:rsidR="00EE54A7" w:rsidRPr="001C6D71" w:rsidRDefault="00EE54A7">
      <w:pPr>
        <w:ind w:left="360"/>
        <w:rPr>
          <w:rFonts w:ascii="Garamond" w:hAnsi="Garamond"/>
          <w:sz w:val="24"/>
          <w:szCs w:val="24"/>
        </w:rPr>
      </w:pPr>
      <w:r w:rsidRPr="001C6D71">
        <w:rPr>
          <w:rFonts w:ascii="Garamond" w:hAnsi="Garamond"/>
          <w:sz w:val="24"/>
          <w:szCs w:val="24"/>
        </w:rPr>
        <w:t xml:space="preserve">Reporting requirements are included in the permit for each emissions unit and Section V of the operating permit "General Conditions" explains the reporting requirements.  However, the permittee is required to submit semi-annual monitoring reports to </w:t>
      </w:r>
      <w:r w:rsidR="004D3652">
        <w:rPr>
          <w:rFonts w:ascii="Garamond" w:hAnsi="Garamond"/>
          <w:sz w:val="24"/>
          <w:szCs w:val="24"/>
        </w:rPr>
        <w:t>DEQ</w:t>
      </w:r>
      <w:r w:rsidRPr="001C6D71">
        <w:rPr>
          <w:rFonts w:ascii="Garamond" w:hAnsi="Garamond"/>
          <w:sz w:val="24"/>
          <w:szCs w:val="24"/>
        </w:rPr>
        <w:t xml:space="preserve"> and to annually certify compliance with the applicable requirements contained in the permit.  The reports must include a list of all emission limit and monitoring deviations, the reason for any deviation, and the corrective action taken as a result of any deviation.</w:t>
      </w:r>
    </w:p>
    <w:p w14:paraId="74CAAF5C" w14:textId="77777777" w:rsidR="00EE54A7" w:rsidRPr="00173F0F" w:rsidRDefault="00EE54A7">
      <w:pPr>
        <w:rPr>
          <w:rFonts w:ascii="Garamond" w:hAnsi="Garamond"/>
          <w:sz w:val="22"/>
          <w:szCs w:val="22"/>
        </w:rPr>
      </w:pPr>
    </w:p>
    <w:p w14:paraId="1EB65FC6" w14:textId="77777777" w:rsidR="00EE54A7" w:rsidRPr="001C6D71" w:rsidRDefault="00EE54A7">
      <w:pPr>
        <w:pStyle w:val="Heading2"/>
        <w:spacing w:before="0" w:beforeAutospacing="0" w:after="0" w:afterAutospacing="0"/>
        <w:rPr>
          <w:rFonts w:ascii="Garamond" w:hAnsi="Garamond"/>
          <w:b w:val="0"/>
          <w:sz w:val="24"/>
          <w:szCs w:val="24"/>
        </w:rPr>
      </w:pPr>
      <w:bookmarkStart w:id="17" w:name="_Toc411330024"/>
      <w:r w:rsidRPr="001C6D71">
        <w:rPr>
          <w:rFonts w:ascii="Garamond" w:hAnsi="Garamond"/>
          <w:sz w:val="24"/>
          <w:szCs w:val="24"/>
        </w:rPr>
        <w:t>Public Notice</w:t>
      </w:r>
      <w:bookmarkEnd w:id="17"/>
      <w:r w:rsidRPr="001C6D71">
        <w:rPr>
          <w:rFonts w:ascii="Garamond" w:hAnsi="Garamond"/>
          <w:sz w:val="24"/>
          <w:szCs w:val="24"/>
        </w:rPr>
        <w:t xml:space="preserve"> </w:t>
      </w:r>
    </w:p>
    <w:p w14:paraId="5584F270" w14:textId="77777777" w:rsidR="00EE54A7" w:rsidRPr="00173F0F" w:rsidRDefault="00EE54A7">
      <w:pPr>
        <w:rPr>
          <w:rFonts w:ascii="Garamond" w:hAnsi="Garamond"/>
          <w:sz w:val="22"/>
          <w:szCs w:val="22"/>
        </w:rPr>
      </w:pPr>
    </w:p>
    <w:p w14:paraId="38C59D22" w14:textId="40524FE1" w:rsidR="00D7377B" w:rsidRPr="004D3652" w:rsidRDefault="00050E6E" w:rsidP="004D3652">
      <w:pPr>
        <w:ind w:left="360"/>
        <w:rPr>
          <w:rFonts w:ascii="Garamond" w:hAnsi="Garamond"/>
          <w:sz w:val="24"/>
        </w:rPr>
      </w:pPr>
      <w:r w:rsidRPr="00943718">
        <w:rPr>
          <w:rFonts w:ascii="Garamond" w:hAnsi="Garamond"/>
          <w:sz w:val="24"/>
        </w:rPr>
        <w:t>In accordance with ARM 17.8.1232, a public notice was published in the</w:t>
      </w:r>
      <w:r w:rsidR="00332B27" w:rsidRPr="00943718">
        <w:rPr>
          <w:rFonts w:ascii="Garamond" w:hAnsi="Garamond"/>
          <w:i/>
          <w:sz w:val="24"/>
        </w:rPr>
        <w:t xml:space="preserve"> Miles City Star</w:t>
      </w:r>
      <w:r w:rsidRPr="00943718">
        <w:rPr>
          <w:rFonts w:ascii="Garamond" w:hAnsi="Garamond"/>
          <w:sz w:val="24"/>
        </w:rPr>
        <w:t xml:space="preserve"> newspaper on or before </w:t>
      </w:r>
      <w:r w:rsidR="00712689" w:rsidRPr="00943718">
        <w:rPr>
          <w:rFonts w:ascii="Garamond" w:hAnsi="Garamond"/>
          <w:sz w:val="24"/>
        </w:rPr>
        <w:t>May 1</w:t>
      </w:r>
      <w:r w:rsidR="00943718" w:rsidRPr="00943718">
        <w:rPr>
          <w:rFonts w:ascii="Garamond" w:hAnsi="Garamond"/>
          <w:sz w:val="24"/>
        </w:rPr>
        <w:t>3</w:t>
      </w:r>
      <w:r w:rsidR="00712689" w:rsidRPr="00943718">
        <w:rPr>
          <w:rFonts w:ascii="Garamond" w:hAnsi="Garamond"/>
          <w:sz w:val="24"/>
        </w:rPr>
        <w:t>,</w:t>
      </w:r>
      <w:r w:rsidRPr="00943718">
        <w:rPr>
          <w:rFonts w:ascii="Garamond" w:hAnsi="Garamond"/>
          <w:sz w:val="24"/>
        </w:rPr>
        <w:t xml:space="preserve"> </w:t>
      </w:r>
      <w:r w:rsidR="00801AB3" w:rsidRPr="00943718">
        <w:rPr>
          <w:rFonts w:ascii="Garamond" w:hAnsi="Garamond"/>
          <w:sz w:val="24"/>
        </w:rPr>
        <w:t>202</w:t>
      </w:r>
      <w:r w:rsidR="007D6D84" w:rsidRPr="00943718">
        <w:rPr>
          <w:rFonts w:ascii="Garamond" w:hAnsi="Garamond"/>
          <w:sz w:val="24"/>
        </w:rPr>
        <w:t>6</w:t>
      </w:r>
      <w:r w:rsidRPr="00943718">
        <w:rPr>
          <w:rFonts w:ascii="Garamond" w:hAnsi="Garamond"/>
          <w:sz w:val="24"/>
        </w:rPr>
        <w:t xml:space="preserve">.  </w:t>
      </w:r>
      <w:r w:rsidR="004D3652">
        <w:rPr>
          <w:rFonts w:ascii="Garamond" w:hAnsi="Garamond"/>
          <w:sz w:val="24"/>
        </w:rPr>
        <w:t>DEQ</w:t>
      </w:r>
      <w:r w:rsidRPr="00943718">
        <w:rPr>
          <w:rFonts w:ascii="Garamond" w:hAnsi="Garamond"/>
          <w:sz w:val="24"/>
        </w:rPr>
        <w:t xml:space="preserve"> provided a 30-day public comment period on the draft operating permit from </w:t>
      </w:r>
      <w:r w:rsidR="00712689" w:rsidRPr="00943718">
        <w:rPr>
          <w:rFonts w:ascii="Garamond" w:hAnsi="Garamond"/>
          <w:sz w:val="24"/>
        </w:rPr>
        <w:t>May 1</w:t>
      </w:r>
      <w:r w:rsidR="00943718" w:rsidRPr="00943718">
        <w:rPr>
          <w:rFonts w:ascii="Garamond" w:hAnsi="Garamond"/>
          <w:sz w:val="24"/>
        </w:rPr>
        <w:t>3</w:t>
      </w:r>
      <w:r w:rsidR="007D6D84" w:rsidRPr="00943718">
        <w:rPr>
          <w:rFonts w:ascii="Garamond" w:hAnsi="Garamond"/>
          <w:sz w:val="24"/>
        </w:rPr>
        <w:t xml:space="preserve">, </w:t>
      </w:r>
      <w:r w:rsidR="00712689" w:rsidRPr="00943718">
        <w:rPr>
          <w:rFonts w:ascii="Garamond" w:hAnsi="Garamond"/>
          <w:sz w:val="24"/>
        </w:rPr>
        <w:t>2026</w:t>
      </w:r>
      <w:r w:rsidR="00CD4FC5" w:rsidRPr="00943718">
        <w:rPr>
          <w:rFonts w:ascii="Garamond" w:hAnsi="Garamond"/>
          <w:sz w:val="24"/>
        </w:rPr>
        <w:t>,</w:t>
      </w:r>
      <w:r w:rsidRPr="00943718">
        <w:rPr>
          <w:rFonts w:ascii="Garamond" w:hAnsi="Garamond"/>
          <w:sz w:val="24"/>
        </w:rPr>
        <w:t xml:space="preserve"> to </w:t>
      </w:r>
      <w:r w:rsidR="00712689" w:rsidRPr="00943718">
        <w:rPr>
          <w:rFonts w:ascii="Garamond" w:hAnsi="Garamond"/>
          <w:sz w:val="24"/>
        </w:rPr>
        <w:t>June 1</w:t>
      </w:r>
      <w:r w:rsidR="00943718" w:rsidRPr="00943718">
        <w:rPr>
          <w:rFonts w:ascii="Garamond" w:hAnsi="Garamond"/>
          <w:sz w:val="24"/>
        </w:rPr>
        <w:t>2</w:t>
      </w:r>
      <w:r w:rsidR="00712689" w:rsidRPr="00943718">
        <w:rPr>
          <w:rFonts w:ascii="Garamond" w:hAnsi="Garamond"/>
          <w:sz w:val="24"/>
        </w:rPr>
        <w:t>, 2026</w:t>
      </w:r>
      <w:r w:rsidRPr="00943718">
        <w:rPr>
          <w:rFonts w:ascii="Garamond" w:hAnsi="Garamond"/>
          <w:sz w:val="24"/>
        </w:rPr>
        <w:t xml:space="preserve">.  ARM 17.8.1232 requires </w:t>
      </w:r>
      <w:r w:rsidR="004D3652">
        <w:rPr>
          <w:rFonts w:ascii="Garamond" w:hAnsi="Garamond"/>
          <w:sz w:val="24"/>
        </w:rPr>
        <w:t>DEQ</w:t>
      </w:r>
      <w:r w:rsidRPr="00943718">
        <w:rPr>
          <w:rFonts w:ascii="Garamond" w:hAnsi="Garamond"/>
          <w:sz w:val="24"/>
        </w:rPr>
        <w:t xml:space="preserve"> to keep a record of both comments and issues raised during the public participation process.  The comments and issues received by </w:t>
      </w:r>
      <w:r w:rsidR="00943718" w:rsidRPr="00943718">
        <w:rPr>
          <w:rFonts w:ascii="Garamond" w:hAnsi="Garamond"/>
          <w:sz w:val="24"/>
        </w:rPr>
        <w:t>June 12</w:t>
      </w:r>
      <w:r w:rsidR="00801AB3" w:rsidRPr="00943718">
        <w:rPr>
          <w:rFonts w:ascii="Garamond" w:hAnsi="Garamond"/>
          <w:sz w:val="24"/>
        </w:rPr>
        <w:t>, 202</w:t>
      </w:r>
      <w:r w:rsidR="00943718" w:rsidRPr="00943718">
        <w:rPr>
          <w:rFonts w:ascii="Garamond" w:hAnsi="Garamond"/>
          <w:sz w:val="24"/>
        </w:rPr>
        <w:t>6</w:t>
      </w:r>
      <w:r w:rsidR="001B2C3E" w:rsidRPr="00943718">
        <w:rPr>
          <w:rFonts w:ascii="Garamond" w:hAnsi="Garamond"/>
          <w:sz w:val="24"/>
        </w:rPr>
        <w:t>,</w:t>
      </w:r>
      <w:r w:rsidRPr="00943718">
        <w:rPr>
          <w:rFonts w:ascii="Garamond" w:hAnsi="Garamond"/>
          <w:sz w:val="24"/>
        </w:rPr>
        <w:t xml:space="preserve"> will be summarized, along with </w:t>
      </w:r>
      <w:r w:rsidR="004D3652">
        <w:rPr>
          <w:rFonts w:ascii="Garamond" w:hAnsi="Garamond"/>
          <w:sz w:val="24"/>
        </w:rPr>
        <w:t>DEQ</w:t>
      </w:r>
      <w:r w:rsidRPr="00943718">
        <w:rPr>
          <w:rFonts w:ascii="Garamond" w:hAnsi="Garamond"/>
          <w:sz w:val="24"/>
        </w:rPr>
        <w:t>'s responses, in the following table.  All comments received during the public comment period will be promptly forwarded to WBI so they may have an opportunity to respond to these comments as well.</w:t>
      </w:r>
    </w:p>
    <w:p w14:paraId="1029F307" w14:textId="77777777" w:rsidR="00D7377B" w:rsidRPr="00A23765" w:rsidRDefault="00D7377B" w:rsidP="00D7377B">
      <w:pPr>
        <w:pStyle w:val="Heading3"/>
        <w:jc w:val="center"/>
        <w:rPr>
          <w:rFonts w:ascii="Garamond" w:hAnsi="Garamond"/>
          <w:sz w:val="24"/>
          <w:szCs w:val="24"/>
        </w:rPr>
      </w:pPr>
      <w:r w:rsidRPr="00D513C1">
        <w:rPr>
          <w:rFonts w:ascii="Garamond" w:hAnsi="Garamond"/>
          <w:sz w:val="24"/>
          <w:szCs w:val="24"/>
        </w:rPr>
        <w:lastRenderedPageBreak/>
        <w:t>Summary of Public Comments</w:t>
      </w:r>
    </w:p>
    <w:p w14:paraId="345D0692" w14:textId="77777777" w:rsidR="00D7377B" w:rsidRPr="000A0A49" w:rsidRDefault="00D7377B" w:rsidP="00D7377B">
      <w:pPr>
        <w:rPr>
          <w:rFonts w:ascii="Garamond" w:hAnsi="Garamond"/>
          <w:b/>
          <w:sz w:val="24"/>
          <w:szCs w:val="24"/>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3510"/>
        <w:gridCol w:w="3240"/>
      </w:tblGrid>
      <w:tr w:rsidR="00EA3F54" w:rsidRPr="00EA3F54" w14:paraId="0177E071" w14:textId="77777777" w:rsidTr="009F7393">
        <w:tc>
          <w:tcPr>
            <w:tcW w:w="1980" w:type="dxa"/>
            <w:tcBorders>
              <w:top w:val="double" w:sz="4" w:space="0" w:color="auto"/>
              <w:left w:val="double" w:sz="4" w:space="0" w:color="auto"/>
            </w:tcBorders>
            <w:shd w:val="clear" w:color="auto" w:fill="F2F2F2"/>
          </w:tcPr>
          <w:p w14:paraId="6FD1DD43" w14:textId="77777777" w:rsidR="00EA3F54" w:rsidRPr="00EA3F54" w:rsidRDefault="00EA3F54" w:rsidP="00A86F2E">
            <w:pPr>
              <w:keepNext/>
              <w:jc w:val="center"/>
              <w:outlineLvl w:val="2"/>
              <w:rPr>
                <w:rFonts w:ascii="Garamond" w:hAnsi="Garamond"/>
                <w:sz w:val="24"/>
                <w:szCs w:val="24"/>
              </w:rPr>
            </w:pPr>
            <w:r w:rsidRPr="00EA3F54">
              <w:rPr>
                <w:rFonts w:ascii="Garamond" w:hAnsi="Garamond"/>
                <w:sz w:val="24"/>
                <w:szCs w:val="24"/>
              </w:rPr>
              <w:t>Summary of Public Comments</w:t>
            </w:r>
          </w:p>
        </w:tc>
        <w:tc>
          <w:tcPr>
            <w:tcW w:w="3510" w:type="dxa"/>
            <w:tcBorders>
              <w:top w:val="double" w:sz="4" w:space="0" w:color="auto"/>
            </w:tcBorders>
            <w:shd w:val="clear" w:color="auto" w:fill="F2F2F2"/>
          </w:tcPr>
          <w:p w14:paraId="61224574" w14:textId="77777777" w:rsidR="00EA3F54" w:rsidRPr="00EA3F54" w:rsidRDefault="00EA3F54" w:rsidP="00A86F2E">
            <w:pPr>
              <w:keepNext/>
              <w:jc w:val="center"/>
              <w:outlineLvl w:val="2"/>
              <w:rPr>
                <w:rFonts w:ascii="Garamond" w:hAnsi="Garamond"/>
                <w:sz w:val="24"/>
                <w:szCs w:val="24"/>
              </w:rPr>
            </w:pPr>
            <w:r w:rsidRPr="00EA3F54">
              <w:rPr>
                <w:rFonts w:ascii="Garamond" w:hAnsi="Garamond"/>
                <w:sz w:val="24"/>
                <w:szCs w:val="24"/>
              </w:rPr>
              <w:t>Summary of Public Comments</w:t>
            </w:r>
          </w:p>
        </w:tc>
        <w:tc>
          <w:tcPr>
            <w:tcW w:w="3240" w:type="dxa"/>
            <w:tcBorders>
              <w:top w:val="double" w:sz="4" w:space="0" w:color="auto"/>
              <w:right w:val="double" w:sz="4" w:space="0" w:color="auto"/>
            </w:tcBorders>
            <w:shd w:val="clear" w:color="auto" w:fill="F2F2F2"/>
          </w:tcPr>
          <w:p w14:paraId="7ACF658E" w14:textId="77777777" w:rsidR="00EA3F54" w:rsidRPr="00EA3F54" w:rsidRDefault="00EA3F54" w:rsidP="00A86F2E">
            <w:pPr>
              <w:keepNext/>
              <w:jc w:val="center"/>
              <w:outlineLvl w:val="2"/>
              <w:rPr>
                <w:rFonts w:ascii="Garamond" w:hAnsi="Garamond"/>
                <w:sz w:val="24"/>
                <w:szCs w:val="24"/>
              </w:rPr>
            </w:pPr>
            <w:r w:rsidRPr="00EA3F54">
              <w:rPr>
                <w:rFonts w:ascii="Garamond" w:hAnsi="Garamond"/>
                <w:sz w:val="24"/>
                <w:szCs w:val="24"/>
              </w:rPr>
              <w:t>Summary of Public Comments</w:t>
            </w:r>
          </w:p>
        </w:tc>
      </w:tr>
      <w:tr w:rsidR="00867741" w:rsidRPr="00EA3F54" w14:paraId="210B56C1" w14:textId="77777777" w:rsidTr="00867741">
        <w:trPr>
          <w:trHeight w:val="323"/>
        </w:trPr>
        <w:tc>
          <w:tcPr>
            <w:tcW w:w="8730" w:type="dxa"/>
            <w:gridSpan w:val="3"/>
            <w:tcBorders>
              <w:left w:val="double" w:sz="4" w:space="0" w:color="auto"/>
              <w:bottom w:val="double" w:sz="4" w:space="0" w:color="auto"/>
              <w:right w:val="double" w:sz="4" w:space="0" w:color="auto"/>
            </w:tcBorders>
          </w:tcPr>
          <w:p w14:paraId="6EE9F93C" w14:textId="39D2E222" w:rsidR="00867741" w:rsidRPr="00EA3F54" w:rsidRDefault="00867741" w:rsidP="00867741">
            <w:pPr>
              <w:jc w:val="center"/>
              <w:rPr>
                <w:rFonts w:ascii="Garamond" w:hAnsi="Garamond"/>
                <w:sz w:val="24"/>
                <w:szCs w:val="24"/>
              </w:rPr>
            </w:pPr>
          </w:p>
        </w:tc>
      </w:tr>
    </w:tbl>
    <w:p w14:paraId="4B0BF4F7" w14:textId="77777777" w:rsidR="00D7377B" w:rsidRPr="000A0A49" w:rsidRDefault="00D7377B" w:rsidP="00D7377B">
      <w:pPr>
        <w:rPr>
          <w:rFonts w:ascii="Garamond" w:hAnsi="Garamond"/>
          <w:b/>
          <w:sz w:val="24"/>
          <w:szCs w:val="24"/>
        </w:rPr>
      </w:pPr>
    </w:p>
    <w:p w14:paraId="24C1932E" w14:textId="77777777" w:rsidR="00D7377B" w:rsidRDefault="00EA3F54" w:rsidP="00093755">
      <w:pPr>
        <w:pStyle w:val="Heading2"/>
        <w:spacing w:before="0" w:beforeAutospacing="0" w:after="0" w:afterAutospacing="0"/>
      </w:pPr>
      <w:bookmarkStart w:id="18" w:name="_Toc411330025"/>
      <w:r>
        <w:t>Draft Permit Comments</w:t>
      </w:r>
      <w:bookmarkEnd w:id="18"/>
    </w:p>
    <w:p w14:paraId="31381152" w14:textId="77777777" w:rsidR="00EA3F54" w:rsidRPr="000A0A49" w:rsidRDefault="00EA3F54" w:rsidP="00EA3F54">
      <w:pPr>
        <w:rPr>
          <w:rFonts w:ascii="Garamond" w:hAnsi="Garamond"/>
          <w:sz w:val="24"/>
          <w:szCs w:val="24"/>
        </w:rPr>
      </w:pPr>
    </w:p>
    <w:p w14:paraId="4EFD46D0" w14:textId="77777777" w:rsidR="00EA3F54" w:rsidRPr="00EA3F54" w:rsidRDefault="00EA3F54" w:rsidP="00EA3F54">
      <w:pPr>
        <w:jc w:val="center"/>
        <w:rPr>
          <w:rFonts w:ascii="Garamond" w:hAnsi="Garamond"/>
          <w:b/>
          <w:sz w:val="24"/>
          <w:szCs w:val="24"/>
        </w:rPr>
      </w:pPr>
      <w:r w:rsidRPr="00EA3F54">
        <w:rPr>
          <w:rFonts w:ascii="Garamond" w:hAnsi="Garamond"/>
          <w:b/>
          <w:sz w:val="24"/>
          <w:szCs w:val="24"/>
        </w:rPr>
        <w:t>Summary of Permittee Comments</w:t>
      </w:r>
    </w:p>
    <w:p w14:paraId="6592731A" w14:textId="77777777" w:rsidR="00D7377B" w:rsidRPr="000A0A49" w:rsidRDefault="00D7377B" w:rsidP="00220BD9">
      <w:pPr>
        <w:rPr>
          <w:rFonts w:ascii="Garamond" w:hAnsi="Garamond"/>
          <w:b/>
          <w:sz w:val="24"/>
          <w:szCs w:val="24"/>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3420"/>
        <w:gridCol w:w="3330"/>
      </w:tblGrid>
      <w:tr w:rsidR="00EA3F54" w:rsidRPr="00EA3F54" w14:paraId="272F9950" w14:textId="77777777" w:rsidTr="009F7393">
        <w:tc>
          <w:tcPr>
            <w:tcW w:w="1980" w:type="dxa"/>
            <w:tcBorders>
              <w:top w:val="double" w:sz="4" w:space="0" w:color="auto"/>
              <w:left w:val="double" w:sz="4" w:space="0" w:color="auto"/>
              <w:bottom w:val="single" w:sz="4" w:space="0" w:color="auto"/>
            </w:tcBorders>
            <w:shd w:val="clear" w:color="auto" w:fill="F2F2F2"/>
          </w:tcPr>
          <w:p w14:paraId="3E56889C" w14:textId="77777777" w:rsidR="00EA3F54" w:rsidRPr="00EA3F54" w:rsidRDefault="00EA3F54" w:rsidP="00A86F2E">
            <w:pPr>
              <w:jc w:val="center"/>
              <w:rPr>
                <w:rFonts w:ascii="Garamond" w:hAnsi="Garamond"/>
                <w:sz w:val="24"/>
                <w:szCs w:val="24"/>
              </w:rPr>
            </w:pPr>
            <w:r w:rsidRPr="00EA3F54">
              <w:rPr>
                <w:rFonts w:ascii="Garamond" w:hAnsi="Garamond"/>
                <w:sz w:val="24"/>
                <w:szCs w:val="24"/>
              </w:rPr>
              <w:t>Permit Reference</w:t>
            </w:r>
          </w:p>
        </w:tc>
        <w:tc>
          <w:tcPr>
            <w:tcW w:w="3420" w:type="dxa"/>
            <w:tcBorders>
              <w:top w:val="double" w:sz="4" w:space="0" w:color="auto"/>
              <w:bottom w:val="single" w:sz="4" w:space="0" w:color="auto"/>
            </w:tcBorders>
            <w:shd w:val="clear" w:color="auto" w:fill="F2F2F2"/>
          </w:tcPr>
          <w:p w14:paraId="18C38C2F" w14:textId="77777777" w:rsidR="00EA3F54" w:rsidRPr="00EA3F54" w:rsidRDefault="00EA3F54" w:rsidP="00A86F2E">
            <w:pPr>
              <w:jc w:val="center"/>
              <w:rPr>
                <w:rFonts w:ascii="Garamond" w:hAnsi="Garamond"/>
                <w:sz w:val="24"/>
                <w:szCs w:val="24"/>
              </w:rPr>
            </w:pPr>
            <w:r w:rsidRPr="00EA3F54">
              <w:rPr>
                <w:rFonts w:ascii="Garamond" w:hAnsi="Garamond"/>
                <w:sz w:val="24"/>
                <w:szCs w:val="24"/>
              </w:rPr>
              <w:t>Permittee Comment</w:t>
            </w:r>
          </w:p>
        </w:tc>
        <w:tc>
          <w:tcPr>
            <w:tcW w:w="3330" w:type="dxa"/>
            <w:tcBorders>
              <w:top w:val="double" w:sz="4" w:space="0" w:color="auto"/>
              <w:bottom w:val="single" w:sz="4" w:space="0" w:color="auto"/>
              <w:right w:val="double" w:sz="4" w:space="0" w:color="auto"/>
            </w:tcBorders>
            <w:shd w:val="clear" w:color="auto" w:fill="F2F2F2"/>
          </w:tcPr>
          <w:p w14:paraId="20E5B3CE" w14:textId="77777777" w:rsidR="00EA3F54" w:rsidRPr="00EA3F54" w:rsidRDefault="00EA3F54" w:rsidP="00A86F2E">
            <w:pPr>
              <w:jc w:val="center"/>
              <w:rPr>
                <w:rFonts w:ascii="Garamond" w:hAnsi="Garamond"/>
                <w:sz w:val="24"/>
                <w:szCs w:val="24"/>
              </w:rPr>
            </w:pPr>
            <w:r w:rsidRPr="00EA3F54">
              <w:rPr>
                <w:rFonts w:ascii="Garamond" w:hAnsi="Garamond"/>
                <w:sz w:val="24"/>
                <w:szCs w:val="24"/>
              </w:rPr>
              <w:t>Department Response</w:t>
            </w:r>
          </w:p>
        </w:tc>
      </w:tr>
      <w:tr w:rsidR="00867741" w:rsidRPr="00EA3F54" w14:paraId="3113FCB0" w14:textId="77777777" w:rsidTr="00F85E14">
        <w:tc>
          <w:tcPr>
            <w:tcW w:w="8730" w:type="dxa"/>
            <w:gridSpan w:val="3"/>
            <w:tcBorders>
              <w:left w:val="double" w:sz="4" w:space="0" w:color="auto"/>
              <w:bottom w:val="double" w:sz="4" w:space="0" w:color="auto"/>
              <w:right w:val="double" w:sz="4" w:space="0" w:color="auto"/>
            </w:tcBorders>
          </w:tcPr>
          <w:p w14:paraId="681963BB" w14:textId="6A3A0692" w:rsidR="00867741" w:rsidRPr="006A10F3" w:rsidRDefault="00867741" w:rsidP="00867741">
            <w:pPr>
              <w:jc w:val="center"/>
              <w:rPr>
                <w:rFonts w:ascii="Garamond" w:hAnsi="Garamond"/>
                <w:sz w:val="22"/>
                <w:szCs w:val="22"/>
              </w:rPr>
            </w:pPr>
          </w:p>
        </w:tc>
      </w:tr>
    </w:tbl>
    <w:p w14:paraId="66D1BA29" w14:textId="77777777" w:rsidR="00936E45" w:rsidRDefault="00936E45" w:rsidP="00936E45">
      <w:pPr>
        <w:pStyle w:val="Heading3"/>
        <w:jc w:val="center"/>
        <w:rPr>
          <w:rFonts w:ascii="Garamond" w:hAnsi="Garamond"/>
          <w:sz w:val="24"/>
          <w:szCs w:val="24"/>
        </w:rPr>
      </w:pPr>
    </w:p>
    <w:p w14:paraId="16DFA903" w14:textId="77777777" w:rsidR="00936E45" w:rsidRPr="00F82CFD" w:rsidRDefault="00936E45" w:rsidP="00936E45">
      <w:pPr>
        <w:pStyle w:val="Heading3"/>
        <w:jc w:val="center"/>
        <w:rPr>
          <w:rFonts w:ascii="Garamond" w:hAnsi="Garamond"/>
          <w:sz w:val="24"/>
          <w:szCs w:val="24"/>
        </w:rPr>
      </w:pPr>
      <w:r w:rsidRPr="00F82CFD">
        <w:rPr>
          <w:rFonts w:ascii="Garamond" w:hAnsi="Garamond"/>
          <w:sz w:val="24"/>
          <w:szCs w:val="24"/>
        </w:rPr>
        <w:t>Summary of EPA Comments</w:t>
      </w:r>
    </w:p>
    <w:p w14:paraId="1D63A412" w14:textId="77777777" w:rsidR="00936E45" w:rsidRPr="00F82CFD" w:rsidRDefault="00936E45" w:rsidP="00936E45">
      <w:pPr>
        <w:rPr>
          <w:rFonts w:ascii="Garamond" w:hAnsi="Garamond"/>
          <w:sz w:val="24"/>
          <w:szCs w:val="24"/>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3420"/>
        <w:gridCol w:w="3330"/>
      </w:tblGrid>
      <w:tr w:rsidR="00936E45" w:rsidRPr="00F82CFD" w14:paraId="75D3B0BC" w14:textId="77777777" w:rsidTr="009F7393">
        <w:tc>
          <w:tcPr>
            <w:tcW w:w="1980" w:type="dxa"/>
            <w:tcBorders>
              <w:top w:val="double" w:sz="4" w:space="0" w:color="auto"/>
              <w:left w:val="double" w:sz="4" w:space="0" w:color="auto"/>
            </w:tcBorders>
            <w:shd w:val="clear" w:color="auto" w:fill="F2F2F2"/>
          </w:tcPr>
          <w:p w14:paraId="129A0110" w14:textId="77777777" w:rsidR="00936E45" w:rsidRPr="00F82CFD" w:rsidRDefault="00936E45" w:rsidP="009F7393">
            <w:pPr>
              <w:jc w:val="center"/>
              <w:rPr>
                <w:rFonts w:ascii="Garamond" w:hAnsi="Garamond"/>
                <w:sz w:val="22"/>
                <w:szCs w:val="22"/>
              </w:rPr>
            </w:pPr>
            <w:r w:rsidRPr="00F82CFD">
              <w:rPr>
                <w:rFonts w:ascii="Garamond" w:hAnsi="Garamond"/>
                <w:sz w:val="22"/>
                <w:szCs w:val="22"/>
              </w:rPr>
              <w:t>Permit Reference</w:t>
            </w:r>
          </w:p>
        </w:tc>
        <w:tc>
          <w:tcPr>
            <w:tcW w:w="3420" w:type="dxa"/>
            <w:tcBorders>
              <w:top w:val="double" w:sz="4" w:space="0" w:color="auto"/>
            </w:tcBorders>
            <w:shd w:val="clear" w:color="auto" w:fill="F2F2F2"/>
          </w:tcPr>
          <w:p w14:paraId="392770F8" w14:textId="77777777" w:rsidR="00936E45" w:rsidRPr="00F82CFD" w:rsidRDefault="00936E45" w:rsidP="009F7393">
            <w:pPr>
              <w:jc w:val="center"/>
              <w:rPr>
                <w:rFonts w:ascii="Garamond" w:hAnsi="Garamond"/>
                <w:sz w:val="22"/>
                <w:szCs w:val="22"/>
              </w:rPr>
            </w:pPr>
            <w:r w:rsidRPr="00F82CFD">
              <w:rPr>
                <w:rFonts w:ascii="Garamond" w:hAnsi="Garamond"/>
                <w:sz w:val="22"/>
                <w:szCs w:val="22"/>
              </w:rPr>
              <w:t>EPA Comment</w:t>
            </w:r>
          </w:p>
        </w:tc>
        <w:tc>
          <w:tcPr>
            <w:tcW w:w="3330" w:type="dxa"/>
            <w:tcBorders>
              <w:top w:val="double" w:sz="4" w:space="0" w:color="auto"/>
              <w:right w:val="double" w:sz="4" w:space="0" w:color="auto"/>
            </w:tcBorders>
            <w:shd w:val="clear" w:color="auto" w:fill="F2F2F2"/>
          </w:tcPr>
          <w:p w14:paraId="3925AFBD" w14:textId="77777777" w:rsidR="00936E45" w:rsidRPr="00F82CFD" w:rsidRDefault="00936E45" w:rsidP="009F7393">
            <w:pPr>
              <w:jc w:val="center"/>
              <w:rPr>
                <w:rFonts w:ascii="Garamond" w:hAnsi="Garamond"/>
                <w:sz w:val="22"/>
                <w:szCs w:val="22"/>
              </w:rPr>
            </w:pPr>
            <w:r w:rsidRPr="00F82CFD">
              <w:rPr>
                <w:rFonts w:ascii="Garamond" w:hAnsi="Garamond"/>
                <w:sz w:val="22"/>
                <w:szCs w:val="22"/>
              </w:rPr>
              <w:t>Department Response</w:t>
            </w:r>
          </w:p>
        </w:tc>
      </w:tr>
      <w:tr w:rsidR="00867741" w:rsidRPr="00F82CFD" w14:paraId="31C7EBFD" w14:textId="77777777" w:rsidTr="00F85E14">
        <w:tc>
          <w:tcPr>
            <w:tcW w:w="8730" w:type="dxa"/>
            <w:gridSpan w:val="3"/>
            <w:tcBorders>
              <w:left w:val="double" w:sz="4" w:space="0" w:color="auto"/>
              <w:bottom w:val="double" w:sz="4" w:space="0" w:color="auto"/>
              <w:right w:val="double" w:sz="4" w:space="0" w:color="auto"/>
            </w:tcBorders>
          </w:tcPr>
          <w:p w14:paraId="55301CA6" w14:textId="4F1AEF2C" w:rsidR="00867741" w:rsidRPr="00F82CFD" w:rsidRDefault="00867741" w:rsidP="00867741">
            <w:pPr>
              <w:jc w:val="center"/>
              <w:rPr>
                <w:rFonts w:ascii="Garamond" w:hAnsi="Garamond"/>
                <w:sz w:val="22"/>
                <w:szCs w:val="22"/>
              </w:rPr>
            </w:pPr>
          </w:p>
        </w:tc>
      </w:tr>
    </w:tbl>
    <w:p w14:paraId="5DB52106" w14:textId="77777777" w:rsidR="00EE54A7" w:rsidRPr="001C6D71" w:rsidRDefault="00CB562D">
      <w:pPr>
        <w:pStyle w:val="Heading1"/>
        <w:rPr>
          <w:rFonts w:ascii="Garamond" w:hAnsi="Garamond"/>
          <w:sz w:val="24"/>
          <w:szCs w:val="24"/>
        </w:rPr>
      </w:pPr>
      <w:r w:rsidRPr="001C6D71">
        <w:rPr>
          <w:rFonts w:ascii="Garamond" w:hAnsi="Garamond"/>
          <w:sz w:val="24"/>
          <w:szCs w:val="24"/>
        </w:rPr>
        <w:br w:type="page"/>
      </w:r>
      <w:bookmarkStart w:id="19" w:name="_Toc411330026"/>
      <w:r w:rsidR="00EE54A7" w:rsidRPr="001C6D71">
        <w:rPr>
          <w:rFonts w:ascii="Garamond" w:hAnsi="Garamond"/>
          <w:sz w:val="24"/>
          <w:szCs w:val="24"/>
        </w:rPr>
        <w:lastRenderedPageBreak/>
        <w:t xml:space="preserve">SECTION IV. </w:t>
      </w:r>
      <w:r w:rsidRPr="001C6D71">
        <w:rPr>
          <w:rFonts w:ascii="Garamond" w:hAnsi="Garamond"/>
          <w:sz w:val="24"/>
          <w:szCs w:val="24"/>
        </w:rPr>
        <w:t xml:space="preserve">  </w:t>
      </w:r>
      <w:r w:rsidR="00EE54A7" w:rsidRPr="001C6D71">
        <w:rPr>
          <w:rFonts w:ascii="Garamond" w:hAnsi="Garamond"/>
          <w:sz w:val="24"/>
          <w:szCs w:val="24"/>
        </w:rPr>
        <w:t>NON-APPLICABLE REQUIREMENT ANALYSIS</w:t>
      </w:r>
      <w:bookmarkEnd w:id="19"/>
    </w:p>
    <w:p w14:paraId="08C0D466" w14:textId="77777777" w:rsidR="00EE54A7" w:rsidRPr="001C6D71" w:rsidRDefault="00EE54A7">
      <w:pPr>
        <w:rPr>
          <w:rFonts w:ascii="Garamond" w:hAnsi="Garamond"/>
          <w:sz w:val="24"/>
          <w:szCs w:val="24"/>
        </w:rPr>
      </w:pPr>
    </w:p>
    <w:p w14:paraId="68A11223" w14:textId="50FB6D91" w:rsidR="00EE54A7" w:rsidRPr="001C6D71" w:rsidRDefault="00EE54A7">
      <w:pPr>
        <w:rPr>
          <w:rFonts w:ascii="Garamond" w:hAnsi="Garamond"/>
          <w:sz w:val="24"/>
          <w:szCs w:val="24"/>
        </w:rPr>
      </w:pPr>
      <w:r w:rsidRPr="001C6D71">
        <w:rPr>
          <w:rFonts w:ascii="Garamond" w:hAnsi="Garamond"/>
          <w:sz w:val="24"/>
          <w:szCs w:val="24"/>
        </w:rPr>
        <w:t xml:space="preserve">Section IV of the operating permit “Non-Applicable Requirements” contains the requirements that </w:t>
      </w:r>
      <w:r w:rsidR="004D3652">
        <w:rPr>
          <w:rFonts w:ascii="Garamond" w:hAnsi="Garamond"/>
          <w:sz w:val="24"/>
          <w:szCs w:val="24"/>
        </w:rPr>
        <w:t>DEQ</w:t>
      </w:r>
      <w:r w:rsidRPr="001C6D71">
        <w:rPr>
          <w:rFonts w:ascii="Garamond" w:hAnsi="Garamond"/>
          <w:sz w:val="24"/>
          <w:szCs w:val="24"/>
        </w:rPr>
        <w:t xml:space="preserve"> determined were non-applicable.  The following table summarizes the requirements that WBI identified as non-applicable and contains the reasons that </w:t>
      </w:r>
      <w:r w:rsidR="004D3652">
        <w:rPr>
          <w:rFonts w:ascii="Garamond" w:hAnsi="Garamond"/>
          <w:sz w:val="24"/>
          <w:szCs w:val="24"/>
        </w:rPr>
        <w:t>DEQ</w:t>
      </w:r>
      <w:r w:rsidRPr="001C6D71">
        <w:rPr>
          <w:rFonts w:ascii="Garamond" w:hAnsi="Garamond"/>
          <w:sz w:val="24"/>
          <w:szCs w:val="24"/>
        </w:rPr>
        <w:t xml:space="preserve"> did not include these requirements as non-applicable in the permit.</w:t>
      </w:r>
    </w:p>
    <w:p w14:paraId="0641B4B1" w14:textId="77777777" w:rsidR="00EE54A7" w:rsidRPr="001C6D71" w:rsidRDefault="00EE54A7">
      <w:pPr>
        <w:rPr>
          <w:rFonts w:ascii="Garamond" w:hAnsi="Garamond"/>
          <w:sz w:val="24"/>
          <w:szCs w:val="24"/>
        </w:rPr>
      </w:pPr>
    </w:p>
    <w:tbl>
      <w:tblPr>
        <w:tblW w:w="9090"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70"/>
        <w:gridCol w:w="4320"/>
      </w:tblGrid>
      <w:tr w:rsidR="00EE54A7" w:rsidRPr="00997ADF" w14:paraId="7DA22971" w14:textId="77777777" w:rsidTr="00EB059E">
        <w:trPr>
          <w:cantSplit/>
        </w:trPr>
        <w:tc>
          <w:tcPr>
            <w:tcW w:w="4770" w:type="dxa"/>
            <w:tcBorders>
              <w:top w:val="double" w:sz="4" w:space="0" w:color="auto"/>
              <w:left w:val="double" w:sz="4" w:space="0" w:color="auto"/>
              <w:bottom w:val="double" w:sz="4" w:space="0" w:color="auto"/>
            </w:tcBorders>
            <w:shd w:val="clear" w:color="auto" w:fill="F2F2F2"/>
            <w:vAlign w:val="center"/>
          </w:tcPr>
          <w:p w14:paraId="21BD93F7" w14:textId="77777777" w:rsidR="00EE54A7" w:rsidRPr="00997ADF" w:rsidRDefault="00EE54A7">
            <w:pPr>
              <w:jc w:val="center"/>
              <w:rPr>
                <w:rFonts w:ascii="Garamond" w:hAnsi="Garamond"/>
                <w:b/>
                <w:bCs/>
                <w:sz w:val="22"/>
                <w:szCs w:val="22"/>
              </w:rPr>
            </w:pPr>
            <w:r w:rsidRPr="00997ADF">
              <w:rPr>
                <w:rFonts w:ascii="Garamond" w:hAnsi="Garamond"/>
                <w:b/>
                <w:bCs/>
                <w:sz w:val="22"/>
                <w:szCs w:val="22"/>
              </w:rPr>
              <w:t>Applicable Requirement</w:t>
            </w:r>
          </w:p>
        </w:tc>
        <w:tc>
          <w:tcPr>
            <w:tcW w:w="4320" w:type="dxa"/>
            <w:tcBorders>
              <w:top w:val="double" w:sz="4" w:space="0" w:color="auto"/>
              <w:bottom w:val="double" w:sz="4" w:space="0" w:color="auto"/>
              <w:right w:val="double" w:sz="4" w:space="0" w:color="auto"/>
            </w:tcBorders>
            <w:shd w:val="clear" w:color="auto" w:fill="F2F2F2"/>
            <w:vAlign w:val="center"/>
          </w:tcPr>
          <w:p w14:paraId="00E21DE9" w14:textId="77777777" w:rsidR="00EE54A7" w:rsidRPr="00997ADF" w:rsidRDefault="00EE54A7">
            <w:pPr>
              <w:jc w:val="center"/>
              <w:rPr>
                <w:rFonts w:ascii="Garamond" w:hAnsi="Garamond"/>
                <w:b/>
                <w:bCs/>
                <w:sz w:val="22"/>
                <w:szCs w:val="22"/>
              </w:rPr>
            </w:pPr>
            <w:r w:rsidRPr="00997ADF">
              <w:rPr>
                <w:rFonts w:ascii="Garamond" w:hAnsi="Garamond"/>
                <w:b/>
                <w:bCs/>
                <w:sz w:val="22"/>
                <w:szCs w:val="22"/>
              </w:rPr>
              <w:t>Reason Not Included in Permit</w:t>
            </w:r>
          </w:p>
        </w:tc>
      </w:tr>
      <w:tr w:rsidR="00EE54A7" w:rsidRPr="00997ADF" w14:paraId="13707973" w14:textId="77777777" w:rsidTr="00EB059E">
        <w:trPr>
          <w:cantSplit/>
        </w:trPr>
        <w:tc>
          <w:tcPr>
            <w:tcW w:w="4770" w:type="dxa"/>
            <w:tcBorders>
              <w:top w:val="double" w:sz="4" w:space="0" w:color="auto"/>
              <w:left w:val="double" w:sz="4" w:space="0" w:color="auto"/>
              <w:bottom w:val="double" w:sz="4" w:space="0" w:color="auto"/>
            </w:tcBorders>
            <w:vAlign w:val="center"/>
          </w:tcPr>
          <w:p w14:paraId="511CBDED" w14:textId="77777777" w:rsidR="00EE54A7" w:rsidRPr="00997ADF" w:rsidRDefault="00EE54A7">
            <w:pPr>
              <w:tabs>
                <w:tab w:val="left" w:pos="-1440"/>
              </w:tabs>
              <w:spacing w:after="58"/>
              <w:rPr>
                <w:rFonts w:ascii="Garamond" w:hAnsi="Garamond"/>
                <w:sz w:val="22"/>
                <w:szCs w:val="22"/>
              </w:rPr>
            </w:pPr>
            <w:r w:rsidRPr="00997ADF">
              <w:rPr>
                <w:rFonts w:ascii="Garamond" w:hAnsi="Garamond"/>
                <w:sz w:val="22"/>
                <w:szCs w:val="22"/>
              </w:rPr>
              <w:t>40 CFR 61, Subpart M National Emissions Standards for Hazardous Air Pollutants - Asbestos</w:t>
            </w:r>
          </w:p>
        </w:tc>
        <w:tc>
          <w:tcPr>
            <w:tcW w:w="4320" w:type="dxa"/>
            <w:tcBorders>
              <w:top w:val="double" w:sz="4" w:space="0" w:color="auto"/>
              <w:bottom w:val="double" w:sz="4" w:space="0" w:color="auto"/>
              <w:right w:val="double" w:sz="4" w:space="0" w:color="auto"/>
            </w:tcBorders>
            <w:vAlign w:val="center"/>
          </w:tcPr>
          <w:p w14:paraId="56AF0570" w14:textId="77777777" w:rsidR="00EE54A7" w:rsidRPr="00997ADF" w:rsidRDefault="00EE54A7">
            <w:pPr>
              <w:spacing w:after="58"/>
              <w:rPr>
                <w:rFonts w:ascii="Garamond" w:hAnsi="Garamond"/>
                <w:sz w:val="22"/>
                <w:szCs w:val="22"/>
              </w:rPr>
            </w:pPr>
            <w:r w:rsidRPr="00997ADF">
              <w:rPr>
                <w:rFonts w:ascii="Garamond" w:hAnsi="Garamond"/>
                <w:sz w:val="22"/>
                <w:szCs w:val="22"/>
              </w:rPr>
              <w:t>This is a federal regulation that has specific procedural requirements that may become relevant to the major source during the permit term.</w:t>
            </w:r>
          </w:p>
        </w:tc>
      </w:tr>
    </w:tbl>
    <w:p w14:paraId="5CEFE97F" w14:textId="77777777" w:rsidR="00EE54A7" w:rsidRPr="001C6D71" w:rsidRDefault="00EE54A7">
      <w:pPr>
        <w:rPr>
          <w:rFonts w:ascii="Garamond" w:hAnsi="Garamond"/>
          <w:sz w:val="24"/>
          <w:szCs w:val="24"/>
        </w:rPr>
      </w:pPr>
    </w:p>
    <w:p w14:paraId="7ADD9A3B" w14:textId="77777777" w:rsidR="00EE54A7" w:rsidRPr="001C6D71" w:rsidRDefault="00EE54A7">
      <w:pPr>
        <w:rPr>
          <w:rFonts w:ascii="Garamond" w:hAnsi="Garamond"/>
          <w:sz w:val="24"/>
          <w:szCs w:val="24"/>
        </w:rPr>
      </w:pPr>
    </w:p>
    <w:p w14:paraId="2272B542" w14:textId="77777777" w:rsidR="00EE54A7" w:rsidRPr="001C6D71" w:rsidRDefault="00EE54A7">
      <w:pPr>
        <w:pStyle w:val="Header"/>
        <w:tabs>
          <w:tab w:val="clear" w:pos="4320"/>
          <w:tab w:val="clear" w:pos="8640"/>
        </w:tabs>
        <w:rPr>
          <w:rFonts w:ascii="Garamond" w:hAnsi="Garamond"/>
          <w:sz w:val="24"/>
          <w:szCs w:val="24"/>
        </w:rPr>
        <w:sectPr w:rsidR="00EE54A7" w:rsidRPr="001C6D71" w:rsidSect="00252F09">
          <w:pgSz w:w="12240" w:h="15840" w:code="1"/>
          <w:pgMar w:top="1152" w:right="1440" w:bottom="1008" w:left="1440" w:header="720" w:footer="720" w:gutter="0"/>
          <w:cols w:space="720"/>
        </w:sectPr>
      </w:pPr>
    </w:p>
    <w:p w14:paraId="25A06724" w14:textId="77777777" w:rsidR="00EE54A7" w:rsidRDefault="00EE54A7">
      <w:pPr>
        <w:pStyle w:val="Heading1"/>
        <w:rPr>
          <w:rFonts w:ascii="Garamond" w:hAnsi="Garamond"/>
          <w:sz w:val="24"/>
          <w:szCs w:val="24"/>
        </w:rPr>
      </w:pPr>
      <w:bookmarkStart w:id="20" w:name="_Toc411330027"/>
      <w:r w:rsidRPr="001C6D71">
        <w:rPr>
          <w:rFonts w:ascii="Garamond" w:hAnsi="Garamond"/>
          <w:sz w:val="24"/>
          <w:szCs w:val="24"/>
        </w:rPr>
        <w:lastRenderedPageBreak/>
        <w:t xml:space="preserve">SECTION V. </w:t>
      </w:r>
      <w:r w:rsidR="003C6820" w:rsidRPr="001C6D71">
        <w:rPr>
          <w:rFonts w:ascii="Garamond" w:hAnsi="Garamond"/>
          <w:sz w:val="24"/>
          <w:szCs w:val="24"/>
        </w:rPr>
        <w:t xml:space="preserve">  </w:t>
      </w:r>
      <w:r w:rsidRPr="001C6D71">
        <w:rPr>
          <w:rFonts w:ascii="Garamond" w:hAnsi="Garamond"/>
          <w:sz w:val="24"/>
          <w:szCs w:val="24"/>
        </w:rPr>
        <w:t>FUTURE PERMIT CONSIDERATIONS</w:t>
      </w:r>
      <w:bookmarkEnd w:id="20"/>
    </w:p>
    <w:p w14:paraId="15A19278" w14:textId="77777777" w:rsidR="004426A0" w:rsidRPr="00E84B69" w:rsidRDefault="004426A0" w:rsidP="004426A0">
      <w:pPr>
        <w:rPr>
          <w:rFonts w:ascii="Garamond" w:hAnsi="Garamond"/>
        </w:rPr>
      </w:pPr>
    </w:p>
    <w:p w14:paraId="727CB685" w14:textId="77777777" w:rsidR="004426A0" w:rsidRDefault="00EE54A7" w:rsidP="004426A0">
      <w:pPr>
        <w:pStyle w:val="Heading2"/>
        <w:numPr>
          <w:ilvl w:val="0"/>
          <w:numId w:val="30"/>
        </w:numPr>
        <w:tabs>
          <w:tab w:val="clear" w:pos="720"/>
          <w:tab w:val="left" w:pos="360"/>
        </w:tabs>
        <w:spacing w:before="0" w:beforeAutospacing="0" w:after="0" w:afterAutospacing="0"/>
        <w:ind w:left="360"/>
        <w:rPr>
          <w:rFonts w:ascii="Garamond" w:hAnsi="Garamond"/>
          <w:sz w:val="24"/>
          <w:szCs w:val="24"/>
        </w:rPr>
      </w:pPr>
      <w:bookmarkStart w:id="21" w:name="_Toc411330028"/>
      <w:r w:rsidRPr="001C6D71">
        <w:rPr>
          <w:rFonts w:ascii="Garamond" w:hAnsi="Garamond"/>
          <w:sz w:val="24"/>
          <w:szCs w:val="24"/>
        </w:rPr>
        <w:t>MACT</w:t>
      </w:r>
      <w:r w:rsidR="000F765A">
        <w:rPr>
          <w:rFonts w:ascii="Garamond" w:hAnsi="Garamond"/>
          <w:sz w:val="24"/>
          <w:szCs w:val="24"/>
        </w:rPr>
        <w:t xml:space="preserve"> </w:t>
      </w:r>
      <w:r w:rsidR="000F765A" w:rsidRPr="001C6D71">
        <w:rPr>
          <w:rFonts w:ascii="Garamond" w:hAnsi="Garamond"/>
          <w:sz w:val="24"/>
          <w:szCs w:val="24"/>
        </w:rPr>
        <w:t>Standards</w:t>
      </w:r>
      <w:r w:rsidR="00A82662">
        <w:rPr>
          <w:rFonts w:ascii="Garamond" w:hAnsi="Garamond"/>
          <w:sz w:val="24"/>
          <w:szCs w:val="24"/>
        </w:rPr>
        <w:t xml:space="preserve"> (Subpart 63)</w:t>
      </w:r>
      <w:bookmarkEnd w:id="21"/>
    </w:p>
    <w:p w14:paraId="3572FD9C" w14:textId="77777777" w:rsidR="004426A0" w:rsidRPr="00E84B69" w:rsidRDefault="004426A0" w:rsidP="004426A0">
      <w:pPr>
        <w:pStyle w:val="Heading2"/>
        <w:numPr>
          <w:ilvl w:val="0"/>
          <w:numId w:val="0"/>
        </w:numPr>
        <w:tabs>
          <w:tab w:val="clear" w:pos="720"/>
          <w:tab w:val="left" w:pos="360"/>
        </w:tabs>
        <w:spacing w:before="0" w:beforeAutospacing="0" w:after="0" w:afterAutospacing="0"/>
        <w:ind w:left="360"/>
        <w:rPr>
          <w:rFonts w:ascii="Garamond" w:hAnsi="Garamond"/>
          <w:sz w:val="20"/>
        </w:rPr>
      </w:pPr>
    </w:p>
    <w:p w14:paraId="177815BA" w14:textId="23F0EB71" w:rsidR="004426A0" w:rsidRDefault="004426A0" w:rsidP="004426A0">
      <w:pPr>
        <w:tabs>
          <w:tab w:val="left" w:pos="360"/>
        </w:tabs>
        <w:ind w:left="360"/>
      </w:pPr>
      <w:r w:rsidRPr="001C6D71">
        <w:rPr>
          <w:rFonts w:ascii="Garamond" w:hAnsi="Garamond"/>
          <w:sz w:val="24"/>
          <w:szCs w:val="24"/>
        </w:rPr>
        <w:t>As of the issuance date of Operating Permit #OP1628-</w:t>
      </w:r>
      <w:r w:rsidR="0084647A" w:rsidRPr="001C6D71">
        <w:rPr>
          <w:rFonts w:ascii="Garamond" w:hAnsi="Garamond"/>
          <w:sz w:val="24"/>
          <w:szCs w:val="24"/>
        </w:rPr>
        <w:t>0</w:t>
      </w:r>
      <w:r w:rsidR="00C03B8B">
        <w:rPr>
          <w:rFonts w:ascii="Garamond" w:hAnsi="Garamond"/>
          <w:sz w:val="24"/>
          <w:szCs w:val="24"/>
        </w:rPr>
        <w:t>8</w:t>
      </w:r>
      <w:r w:rsidRPr="001C6D71">
        <w:rPr>
          <w:rFonts w:ascii="Garamond" w:hAnsi="Garamond"/>
          <w:sz w:val="24"/>
          <w:szCs w:val="24"/>
        </w:rPr>
        <w:t xml:space="preserve">, </w:t>
      </w:r>
      <w:r w:rsidR="004D3652">
        <w:rPr>
          <w:rFonts w:ascii="Garamond" w:hAnsi="Garamond"/>
          <w:sz w:val="24"/>
          <w:szCs w:val="24"/>
        </w:rPr>
        <w:t>DEQ</w:t>
      </w:r>
      <w:r w:rsidRPr="001C6D71">
        <w:rPr>
          <w:rFonts w:ascii="Garamond" w:hAnsi="Garamond"/>
          <w:sz w:val="24"/>
          <w:szCs w:val="24"/>
        </w:rPr>
        <w:t xml:space="preserve"> is unaware of any future </w:t>
      </w:r>
      <w:r w:rsidRPr="004426A0">
        <w:rPr>
          <w:rFonts w:ascii="Garamond" w:hAnsi="Garamond"/>
          <w:sz w:val="24"/>
          <w:szCs w:val="24"/>
        </w:rPr>
        <w:t xml:space="preserve">MACT </w:t>
      </w:r>
      <w:r w:rsidRPr="001C6D71">
        <w:rPr>
          <w:rFonts w:ascii="Garamond" w:hAnsi="Garamond"/>
          <w:sz w:val="24"/>
          <w:szCs w:val="24"/>
        </w:rPr>
        <w:t xml:space="preserve">Standards that may be promulgated that will affect this facility.  </w:t>
      </w:r>
    </w:p>
    <w:p w14:paraId="74E6420E" w14:textId="77777777" w:rsidR="004426A0" w:rsidRPr="00E84B69" w:rsidRDefault="004426A0" w:rsidP="004426A0">
      <w:pPr>
        <w:tabs>
          <w:tab w:val="left" w:pos="360"/>
        </w:tabs>
        <w:ind w:left="360"/>
      </w:pPr>
    </w:p>
    <w:p w14:paraId="408109D9" w14:textId="77777777" w:rsidR="00EE54A7" w:rsidRPr="000F765A" w:rsidRDefault="00EE54A7" w:rsidP="004426A0">
      <w:pPr>
        <w:pStyle w:val="Heading2"/>
        <w:numPr>
          <w:ilvl w:val="0"/>
          <w:numId w:val="30"/>
        </w:numPr>
        <w:tabs>
          <w:tab w:val="clear" w:pos="720"/>
          <w:tab w:val="left" w:pos="360"/>
        </w:tabs>
        <w:spacing w:before="0" w:beforeAutospacing="0" w:after="0" w:afterAutospacing="0"/>
        <w:ind w:left="360"/>
        <w:rPr>
          <w:rFonts w:ascii="Garamond" w:hAnsi="Garamond"/>
          <w:sz w:val="24"/>
          <w:szCs w:val="24"/>
        </w:rPr>
      </w:pPr>
      <w:bookmarkStart w:id="22" w:name="_Toc411330029"/>
      <w:r w:rsidRPr="000F765A">
        <w:rPr>
          <w:rFonts w:ascii="Garamond" w:hAnsi="Garamond"/>
          <w:sz w:val="24"/>
          <w:szCs w:val="24"/>
        </w:rPr>
        <w:t>NESHAP Standards</w:t>
      </w:r>
      <w:r w:rsidR="00A82662">
        <w:rPr>
          <w:rFonts w:ascii="Garamond" w:hAnsi="Garamond"/>
          <w:sz w:val="24"/>
          <w:szCs w:val="24"/>
        </w:rPr>
        <w:t xml:space="preserve"> (Subpart 61)</w:t>
      </w:r>
      <w:bookmarkEnd w:id="22"/>
    </w:p>
    <w:p w14:paraId="31639FED" w14:textId="77777777" w:rsidR="002A1379" w:rsidRPr="00E84B69" w:rsidRDefault="002A1379" w:rsidP="004426A0">
      <w:pPr>
        <w:tabs>
          <w:tab w:val="left" w:pos="360"/>
        </w:tabs>
        <w:ind w:left="360"/>
        <w:rPr>
          <w:rFonts w:ascii="Garamond" w:hAnsi="Garamond"/>
        </w:rPr>
      </w:pPr>
    </w:p>
    <w:p w14:paraId="55FB159F" w14:textId="481F2C9E" w:rsidR="002A1379" w:rsidRPr="001C6D71" w:rsidRDefault="002A1379" w:rsidP="004426A0">
      <w:pPr>
        <w:pStyle w:val="BodyTextIndent"/>
        <w:tabs>
          <w:tab w:val="left" w:pos="360"/>
        </w:tabs>
        <w:rPr>
          <w:rFonts w:ascii="Garamond" w:eastAsia="Times New Roman" w:hAnsi="Garamond"/>
          <w:sz w:val="24"/>
          <w:szCs w:val="24"/>
        </w:rPr>
      </w:pPr>
      <w:r w:rsidRPr="001C6D71">
        <w:rPr>
          <w:rFonts w:ascii="Garamond" w:eastAsia="Times New Roman" w:hAnsi="Garamond"/>
          <w:sz w:val="24"/>
          <w:szCs w:val="24"/>
        </w:rPr>
        <w:t xml:space="preserve">As of the issuance date of </w:t>
      </w:r>
      <w:r w:rsidR="00F162C4" w:rsidRPr="001C6D71">
        <w:rPr>
          <w:rFonts w:ascii="Garamond" w:eastAsia="Times New Roman" w:hAnsi="Garamond"/>
          <w:sz w:val="24"/>
          <w:szCs w:val="24"/>
        </w:rPr>
        <w:t xml:space="preserve">Operating </w:t>
      </w:r>
      <w:r w:rsidRPr="001C6D71">
        <w:rPr>
          <w:rFonts w:ascii="Garamond" w:eastAsia="Times New Roman" w:hAnsi="Garamond"/>
          <w:sz w:val="24"/>
          <w:szCs w:val="24"/>
        </w:rPr>
        <w:t>Permit #OP1628-</w:t>
      </w:r>
      <w:r w:rsidR="0084647A" w:rsidRPr="001C6D71">
        <w:rPr>
          <w:rFonts w:ascii="Garamond" w:eastAsia="Times New Roman" w:hAnsi="Garamond"/>
          <w:sz w:val="24"/>
          <w:szCs w:val="24"/>
        </w:rPr>
        <w:t>0</w:t>
      </w:r>
      <w:r w:rsidR="00C03B8B">
        <w:rPr>
          <w:rFonts w:ascii="Garamond" w:eastAsia="Times New Roman" w:hAnsi="Garamond"/>
          <w:sz w:val="24"/>
          <w:szCs w:val="24"/>
        </w:rPr>
        <w:t>8</w:t>
      </w:r>
      <w:r w:rsidRPr="001C6D71">
        <w:rPr>
          <w:rFonts w:ascii="Garamond" w:eastAsia="Times New Roman" w:hAnsi="Garamond"/>
          <w:sz w:val="24"/>
          <w:szCs w:val="24"/>
        </w:rPr>
        <w:t xml:space="preserve">, </w:t>
      </w:r>
      <w:r w:rsidR="004D3652">
        <w:rPr>
          <w:rFonts w:ascii="Garamond" w:eastAsia="Times New Roman" w:hAnsi="Garamond"/>
          <w:sz w:val="24"/>
          <w:szCs w:val="24"/>
        </w:rPr>
        <w:t>DEQ</w:t>
      </w:r>
      <w:r w:rsidRPr="001C6D71">
        <w:rPr>
          <w:rFonts w:ascii="Garamond" w:eastAsia="Times New Roman" w:hAnsi="Garamond"/>
          <w:sz w:val="24"/>
          <w:szCs w:val="24"/>
        </w:rPr>
        <w:t xml:space="preserve"> is unaware of any future </w:t>
      </w:r>
      <w:r w:rsidR="004426A0" w:rsidRPr="000F765A">
        <w:rPr>
          <w:rFonts w:ascii="Garamond" w:hAnsi="Garamond"/>
          <w:sz w:val="24"/>
          <w:szCs w:val="24"/>
        </w:rPr>
        <w:t xml:space="preserve">NESHAP </w:t>
      </w:r>
      <w:r w:rsidRPr="001C6D71">
        <w:rPr>
          <w:rFonts w:ascii="Garamond" w:eastAsia="Times New Roman" w:hAnsi="Garamond"/>
          <w:sz w:val="24"/>
          <w:szCs w:val="24"/>
        </w:rPr>
        <w:t xml:space="preserve">Standards that may be promulgated that will affect this facility.  </w:t>
      </w:r>
    </w:p>
    <w:p w14:paraId="1C795C64" w14:textId="77777777" w:rsidR="00EE54A7" w:rsidRPr="00E84B69" w:rsidRDefault="00EE54A7" w:rsidP="004426A0">
      <w:pPr>
        <w:tabs>
          <w:tab w:val="left" w:pos="360"/>
        </w:tabs>
        <w:ind w:left="360"/>
        <w:rPr>
          <w:rFonts w:ascii="Garamond" w:hAnsi="Garamond"/>
        </w:rPr>
      </w:pPr>
    </w:p>
    <w:p w14:paraId="76DA23D1" w14:textId="77777777" w:rsidR="00EE54A7" w:rsidRPr="001C6D71" w:rsidRDefault="00EE54A7" w:rsidP="004426A0">
      <w:pPr>
        <w:pStyle w:val="Heading2"/>
        <w:numPr>
          <w:ilvl w:val="0"/>
          <w:numId w:val="30"/>
        </w:numPr>
        <w:tabs>
          <w:tab w:val="clear" w:pos="720"/>
          <w:tab w:val="left" w:pos="360"/>
        </w:tabs>
        <w:spacing w:before="0" w:beforeAutospacing="0" w:after="0" w:afterAutospacing="0"/>
        <w:ind w:left="360"/>
        <w:rPr>
          <w:rFonts w:ascii="Garamond" w:hAnsi="Garamond"/>
          <w:sz w:val="24"/>
          <w:szCs w:val="24"/>
        </w:rPr>
      </w:pPr>
      <w:bookmarkStart w:id="23" w:name="_Toc411330030"/>
      <w:r w:rsidRPr="001C6D71">
        <w:rPr>
          <w:rFonts w:ascii="Garamond" w:hAnsi="Garamond"/>
          <w:sz w:val="24"/>
          <w:szCs w:val="24"/>
        </w:rPr>
        <w:t>NSPS Standards</w:t>
      </w:r>
      <w:bookmarkEnd w:id="23"/>
    </w:p>
    <w:p w14:paraId="299D11AC" w14:textId="77777777" w:rsidR="00EE54A7" w:rsidRPr="00E84B69" w:rsidRDefault="00EE54A7" w:rsidP="004426A0">
      <w:pPr>
        <w:tabs>
          <w:tab w:val="left" w:pos="360"/>
        </w:tabs>
        <w:ind w:left="360"/>
        <w:rPr>
          <w:rFonts w:ascii="Garamond" w:hAnsi="Garamond"/>
        </w:rPr>
      </w:pPr>
    </w:p>
    <w:p w14:paraId="09BBB9FF" w14:textId="5A5218BB" w:rsidR="00EE54A7" w:rsidRPr="001C6D71" w:rsidRDefault="00EE54A7" w:rsidP="004426A0">
      <w:pPr>
        <w:pStyle w:val="BodyTextIndent"/>
        <w:tabs>
          <w:tab w:val="left" w:pos="360"/>
        </w:tabs>
        <w:rPr>
          <w:rFonts w:ascii="Garamond" w:eastAsia="Times New Roman" w:hAnsi="Garamond"/>
          <w:sz w:val="24"/>
          <w:szCs w:val="24"/>
        </w:rPr>
      </w:pPr>
      <w:r w:rsidRPr="001C6D71">
        <w:rPr>
          <w:rFonts w:ascii="Garamond" w:eastAsia="Times New Roman" w:hAnsi="Garamond"/>
          <w:sz w:val="24"/>
          <w:szCs w:val="24"/>
        </w:rPr>
        <w:t xml:space="preserve">As of the issuance date of </w:t>
      </w:r>
      <w:r w:rsidR="00F162C4" w:rsidRPr="001C6D71">
        <w:rPr>
          <w:rFonts w:ascii="Garamond" w:eastAsia="Times New Roman" w:hAnsi="Garamond"/>
          <w:sz w:val="24"/>
          <w:szCs w:val="24"/>
        </w:rPr>
        <w:t xml:space="preserve">Operating </w:t>
      </w:r>
      <w:r w:rsidRPr="001C6D71">
        <w:rPr>
          <w:rFonts w:ascii="Garamond" w:eastAsia="Times New Roman" w:hAnsi="Garamond"/>
          <w:sz w:val="24"/>
          <w:szCs w:val="24"/>
        </w:rPr>
        <w:t>Permit #OP1628-</w:t>
      </w:r>
      <w:r w:rsidR="0084647A" w:rsidRPr="001C6D71">
        <w:rPr>
          <w:rFonts w:ascii="Garamond" w:eastAsia="Times New Roman" w:hAnsi="Garamond"/>
          <w:sz w:val="24"/>
          <w:szCs w:val="24"/>
        </w:rPr>
        <w:t>0</w:t>
      </w:r>
      <w:r w:rsidR="00C03B8B">
        <w:rPr>
          <w:rFonts w:ascii="Garamond" w:eastAsia="Times New Roman" w:hAnsi="Garamond"/>
          <w:sz w:val="24"/>
          <w:szCs w:val="24"/>
        </w:rPr>
        <w:t>8</w:t>
      </w:r>
      <w:r w:rsidRPr="001C6D71">
        <w:rPr>
          <w:rFonts w:ascii="Garamond" w:eastAsia="Times New Roman" w:hAnsi="Garamond"/>
          <w:sz w:val="24"/>
          <w:szCs w:val="24"/>
        </w:rPr>
        <w:t xml:space="preserve">, </w:t>
      </w:r>
      <w:r w:rsidR="004D3652">
        <w:rPr>
          <w:rFonts w:ascii="Garamond" w:eastAsia="Times New Roman" w:hAnsi="Garamond"/>
          <w:sz w:val="24"/>
          <w:szCs w:val="24"/>
        </w:rPr>
        <w:t>DEQ</w:t>
      </w:r>
      <w:r w:rsidRPr="001C6D71">
        <w:rPr>
          <w:rFonts w:ascii="Garamond" w:eastAsia="Times New Roman" w:hAnsi="Garamond"/>
          <w:sz w:val="24"/>
          <w:szCs w:val="24"/>
        </w:rPr>
        <w:t xml:space="preserve"> is unaware of any future NSPS Standards that may be promulgated that will affect this facility.</w:t>
      </w:r>
      <w:r w:rsidR="00E31622" w:rsidRPr="001C6D71">
        <w:rPr>
          <w:rFonts w:ascii="Garamond" w:eastAsia="Times New Roman" w:hAnsi="Garamond"/>
          <w:sz w:val="24"/>
          <w:szCs w:val="24"/>
        </w:rPr>
        <w:t xml:space="preserve">  </w:t>
      </w:r>
    </w:p>
    <w:p w14:paraId="01DB1C32" w14:textId="77777777" w:rsidR="00EE54A7" w:rsidRPr="00E84B69" w:rsidRDefault="00EE54A7" w:rsidP="004426A0">
      <w:pPr>
        <w:tabs>
          <w:tab w:val="left" w:pos="360"/>
        </w:tabs>
        <w:ind w:left="360"/>
        <w:rPr>
          <w:rFonts w:ascii="Garamond" w:hAnsi="Garamond"/>
        </w:rPr>
      </w:pPr>
    </w:p>
    <w:p w14:paraId="4DD55240" w14:textId="77777777" w:rsidR="00EE54A7" w:rsidRPr="001C6D71" w:rsidRDefault="00EE54A7" w:rsidP="004426A0">
      <w:pPr>
        <w:pStyle w:val="Heading2"/>
        <w:numPr>
          <w:ilvl w:val="0"/>
          <w:numId w:val="30"/>
        </w:numPr>
        <w:tabs>
          <w:tab w:val="clear" w:pos="720"/>
          <w:tab w:val="left" w:pos="360"/>
        </w:tabs>
        <w:spacing w:before="0" w:beforeAutospacing="0" w:after="0" w:afterAutospacing="0"/>
        <w:ind w:left="360"/>
        <w:rPr>
          <w:rFonts w:ascii="Garamond" w:hAnsi="Garamond"/>
          <w:sz w:val="24"/>
          <w:szCs w:val="24"/>
        </w:rPr>
      </w:pPr>
      <w:bookmarkStart w:id="24" w:name="_Toc411330031"/>
      <w:r w:rsidRPr="001C6D71">
        <w:rPr>
          <w:rFonts w:ascii="Garamond" w:hAnsi="Garamond"/>
          <w:sz w:val="24"/>
          <w:szCs w:val="24"/>
        </w:rPr>
        <w:t>Risk Management Plan</w:t>
      </w:r>
      <w:bookmarkEnd w:id="24"/>
    </w:p>
    <w:p w14:paraId="0BC141EA" w14:textId="77777777" w:rsidR="00EE54A7" w:rsidRPr="00E84B69" w:rsidRDefault="00EE54A7" w:rsidP="004426A0">
      <w:pPr>
        <w:tabs>
          <w:tab w:val="left" w:pos="360"/>
        </w:tabs>
        <w:ind w:left="360"/>
        <w:rPr>
          <w:rFonts w:ascii="Garamond" w:hAnsi="Garamond"/>
          <w:b/>
        </w:rPr>
      </w:pPr>
    </w:p>
    <w:p w14:paraId="100A5E44" w14:textId="1E8A2D48" w:rsidR="00EE54A7" w:rsidRPr="001C6D71" w:rsidRDefault="00EE54A7" w:rsidP="004426A0">
      <w:pPr>
        <w:tabs>
          <w:tab w:val="left" w:pos="360"/>
        </w:tabs>
        <w:ind w:left="360"/>
        <w:rPr>
          <w:rFonts w:ascii="Garamond" w:hAnsi="Garamond"/>
          <w:sz w:val="24"/>
          <w:szCs w:val="24"/>
        </w:rPr>
      </w:pPr>
      <w:r w:rsidRPr="001C6D71">
        <w:rPr>
          <w:rFonts w:ascii="Garamond" w:hAnsi="Garamond"/>
          <w:sz w:val="24"/>
          <w:szCs w:val="24"/>
        </w:rPr>
        <w:t xml:space="preserve">As of the issuance date of </w:t>
      </w:r>
      <w:r w:rsidR="00F162C4" w:rsidRPr="001C6D71">
        <w:rPr>
          <w:rFonts w:ascii="Garamond" w:hAnsi="Garamond"/>
          <w:sz w:val="24"/>
          <w:szCs w:val="24"/>
        </w:rPr>
        <w:t xml:space="preserve">Operating </w:t>
      </w:r>
      <w:r w:rsidRPr="001C6D71">
        <w:rPr>
          <w:rFonts w:ascii="Garamond" w:hAnsi="Garamond"/>
          <w:sz w:val="24"/>
          <w:szCs w:val="24"/>
        </w:rPr>
        <w:t>Permit #OP1628-</w:t>
      </w:r>
      <w:r w:rsidR="0084647A" w:rsidRPr="001C6D71">
        <w:rPr>
          <w:rFonts w:ascii="Garamond" w:hAnsi="Garamond"/>
          <w:sz w:val="24"/>
          <w:szCs w:val="24"/>
        </w:rPr>
        <w:t>0</w:t>
      </w:r>
      <w:r w:rsidR="00C03B8B">
        <w:rPr>
          <w:rFonts w:ascii="Garamond" w:hAnsi="Garamond"/>
          <w:sz w:val="24"/>
          <w:szCs w:val="24"/>
        </w:rPr>
        <w:t>8</w:t>
      </w:r>
      <w:r w:rsidRPr="001C6D71">
        <w:rPr>
          <w:rFonts w:ascii="Garamond" w:hAnsi="Garamond"/>
          <w:sz w:val="24"/>
          <w:szCs w:val="24"/>
        </w:rPr>
        <w:t>, this facility does not exceed the minimum threshold quantities for any regulated substance listed in 40 CFR 68.115 for any facility process.  Consequently, this facility is not required to submit a Risk Management Plan.</w:t>
      </w:r>
    </w:p>
    <w:p w14:paraId="78CF0947" w14:textId="77777777" w:rsidR="00EE54A7" w:rsidRPr="00E84B69" w:rsidRDefault="00EE54A7" w:rsidP="004426A0">
      <w:pPr>
        <w:tabs>
          <w:tab w:val="left" w:pos="360"/>
        </w:tabs>
        <w:ind w:left="360"/>
        <w:rPr>
          <w:rFonts w:ascii="Garamond" w:hAnsi="Garamond"/>
        </w:rPr>
      </w:pPr>
    </w:p>
    <w:p w14:paraId="39A3D9EF" w14:textId="77777777" w:rsidR="00EE54A7" w:rsidRPr="001C6D71" w:rsidRDefault="00EE54A7" w:rsidP="004426A0">
      <w:pPr>
        <w:pStyle w:val="BodyTextIndent"/>
        <w:tabs>
          <w:tab w:val="left" w:pos="360"/>
        </w:tabs>
        <w:rPr>
          <w:rFonts w:ascii="Garamond" w:eastAsia="Times New Roman" w:hAnsi="Garamond"/>
          <w:sz w:val="24"/>
          <w:szCs w:val="24"/>
        </w:rPr>
      </w:pPr>
      <w:r w:rsidRPr="001C6D71">
        <w:rPr>
          <w:rFonts w:ascii="Garamond" w:eastAsia="Times New Roman" w:hAnsi="Garamond"/>
          <w:sz w:val="24"/>
          <w:szCs w:val="24"/>
        </w:rPr>
        <w:t xml:space="preserve">If a facility has more than a threshold quantity of a regulated substance in a process, the facility must comply with 40 CFR 68 requirements no later than June 21, 1999; </w:t>
      </w:r>
      <w:r w:rsidR="00A82662">
        <w:rPr>
          <w:rFonts w:ascii="Garamond" w:eastAsia="Times New Roman" w:hAnsi="Garamond"/>
          <w:sz w:val="24"/>
          <w:szCs w:val="24"/>
        </w:rPr>
        <w:t>three</w:t>
      </w:r>
      <w:r w:rsidR="00C33621" w:rsidRPr="001C6D71">
        <w:rPr>
          <w:rFonts w:ascii="Garamond" w:eastAsia="Times New Roman" w:hAnsi="Garamond"/>
          <w:sz w:val="24"/>
          <w:szCs w:val="24"/>
        </w:rPr>
        <w:t xml:space="preserve"> </w:t>
      </w:r>
      <w:r w:rsidRPr="001C6D71">
        <w:rPr>
          <w:rFonts w:ascii="Garamond" w:eastAsia="Times New Roman" w:hAnsi="Garamond"/>
          <w:sz w:val="24"/>
          <w:szCs w:val="24"/>
        </w:rPr>
        <w:t>years after the date on which a regulated substance is first listed under 40 CFR 68.130; or the date on which a regulated substance is first present in more than a threshold quantity in a process, whichever is later.</w:t>
      </w:r>
    </w:p>
    <w:p w14:paraId="5DEC8A74" w14:textId="77777777" w:rsidR="00C25412" w:rsidRPr="00E84B69" w:rsidRDefault="00C25412" w:rsidP="004426A0">
      <w:pPr>
        <w:pStyle w:val="BodyTextIndent"/>
        <w:tabs>
          <w:tab w:val="left" w:pos="360"/>
        </w:tabs>
        <w:rPr>
          <w:rFonts w:ascii="Garamond" w:eastAsia="Times New Roman" w:hAnsi="Garamond"/>
          <w:sz w:val="20"/>
        </w:rPr>
      </w:pPr>
    </w:p>
    <w:p w14:paraId="56885BCE" w14:textId="77777777" w:rsidR="00C25412" w:rsidRPr="00244586" w:rsidRDefault="00C25412" w:rsidP="004426A0">
      <w:pPr>
        <w:pStyle w:val="Heading2"/>
        <w:numPr>
          <w:ilvl w:val="0"/>
          <w:numId w:val="30"/>
        </w:numPr>
        <w:tabs>
          <w:tab w:val="clear" w:pos="720"/>
          <w:tab w:val="left" w:pos="360"/>
        </w:tabs>
        <w:spacing w:before="0" w:beforeAutospacing="0" w:after="0" w:afterAutospacing="0"/>
        <w:ind w:left="360"/>
        <w:rPr>
          <w:rFonts w:ascii="Garamond" w:hAnsi="Garamond"/>
          <w:sz w:val="24"/>
          <w:szCs w:val="24"/>
        </w:rPr>
      </w:pPr>
      <w:bookmarkStart w:id="25" w:name="_Toc411330032"/>
      <w:r w:rsidRPr="00244586">
        <w:rPr>
          <w:rFonts w:ascii="Garamond" w:hAnsi="Garamond"/>
          <w:sz w:val="24"/>
          <w:szCs w:val="24"/>
        </w:rPr>
        <w:t>Compliance Assurance Monitoring (CAM) Applicability</w:t>
      </w:r>
      <w:bookmarkEnd w:id="25"/>
    </w:p>
    <w:p w14:paraId="4836DB9B" w14:textId="77777777" w:rsidR="00C25412" w:rsidRPr="00E84B69" w:rsidRDefault="00C25412" w:rsidP="004426A0">
      <w:pPr>
        <w:pStyle w:val="BodyTextIndent"/>
        <w:tabs>
          <w:tab w:val="left" w:pos="360"/>
        </w:tabs>
        <w:rPr>
          <w:rFonts w:ascii="Garamond" w:hAnsi="Garamond"/>
          <w:b/>
          <w:sz w:val="20"/>
        </w:rPr>
      </w:pPr>
    </w:p>
    <w:p w14:paraId="7B93A71E" w14:textId="77777777" w:rsidR="00C25412" w:rsidRPr="001C6D71" w:rsidRDefault="00C25412" w:rsidP="004426A0">
      <w:pPr>
        <w:pStyle w:val="BodyTextIndent"/>
        <w:tabs>
          <w:tab w:val="left" w:pos="360"/>
        </w:tabs>
        <w:rPr>
          <w:rFonts w:ascii="Garamond" w:hAnsi="Garamond"/>
          <w:sz w:val="24"/>
          <w:szCs w:val="24"/>
        </w:rPr>
      </w:pPr>
      <w:r w:rsidRPr="001C6D71">
        <w:rPr>
          <w:rFonts w:ascii="Garamond" w:hAnsi="Garamond"/>
          <w:sz w:val="24"/>
          <w:szCs w:val="24"/>
        </w:rPr>
        <w:t>An emitting unit located at a Title V facility that meets the following criteria listed in ARM 17.8.1503 is subject to Subchapter 15 and must develop a CAM Plan for that unit:</w:t>
      </w:r>
    </w:p>
    <w:p w14:paraId="6A7F139F" w14:textId="77777777" w:rsidR="00C25412" w:rsidRPr="00E84B69" w:rsidRDefault="00C25412" w:rsidP="004426A0">
      <w:pPr>
        <w:pStyle w:val="BodyTextIndent"/>
        <w:tabs>
          <w:tab w:val="left" w:pos="360"/>
        </w:tabs>
        <w:rPr>
          <w:rFonts w:ascii="Garamond" w:hAnsi="Garamond"/>
          <w:sz w:val="20"/>
        </w:rPr>
      </w:pPr>
    </w:p>
    <w:p w14:paraId="28209FFE" w14:textId="77777777" w:rsidR="00C25412" w:rsidRPr="001C6D71" w:rsidRDefault="00C25412" w:rsidP="00244586">
      <w:pPr>
        <w:pStyle w:val="BodyTextIndent"/>
        <w:widowControl w:val="0"/>
        <w:numPr>
          <w:ilvl w:val="0"/>
          <w:numId w:val="31"/>
        </w:numPr>
        <w:tabs>
          <w:tab w:val="left" w:pos="360"/>
        </w:tabs>
        <w:ind w:left="720"/>
        <w:rPr>
          <w:rFonts w:ascii="Garamond" w:hAnsi="Garamond"/>
          <w:sz w:val="24"/>
          <w:szCs w:val="24"/>
        </w:rPr>
      </w:pPr>
      <w:r w:rsidRPr="001C6D71">
        <w:rPr>
          <w:rFonts w:ascii="Garamond" w:hAnsi="Garamond"/>
          <w:sz w:val="24"/>
          <w:szCs w:val="24"/>
        </w:rPr>
        <w:t>The emitting unit is subject to an emission limitation or standard for the applicable regulated air pollutant (</w:t>
      </w:r>
      <w:r w:rsidR="00244586" w:rsidRPr="00F82CFD">
        <w:rPr>
          <w:rFonts w:ascii="Garamond" w:hAnsi="Garamond"/>
          <w:color w:val="000000"/>
          <w:sz w:val="24"/>
          <w:szCs w:val="24"/>
        </w:rPr>
        <w:t>unless the limitation or standard is exempt under ARM 17.8.1503(2)</w:t>
      </w:r>
      <w:r w:rsidR="00244586">
        <w:rPr>
          <w:rFonts w:ascii="Garamond" w:hAnsi="Garamond"/>
          <w:color w:val="000000"/>
          <w:sz w:val="24"/>
          <w:szCs w:val="24"/>
        </w:rPr>
        <w:t xml:space="preserve">) </w:t>
      </w:r>
    </w:p>
    <w:p w14:paraId="06A695F7" w14:textId="77777777" w:rsidR="00C25412" w:rsidRPr="001C6D71" w:rsidRDefault="00C25412" w:rsidP="00244586">
      <w:pPr>
        <w:pStyle w:val="BodyTextIndent"/>
        <w:widowControl w:val="0"/>
        <w:numPr>
          <w:ilvl w:val="0"/>
          <w:numId w:val="31"/>
        </w:numPr>
        <w:tabs>
          <w:tab w:val="left" w:pos="360"/>
        </w:tabs>
        <w:ind w:left="720"/>
        <w:rPr>
          <w:rFonts w:ascii="Garamond" w:hAnsi="Garamond"/>
          <w:sz w:val="24"/>
          <w:szCs w:val="24"/>
        </w:rPr>
      </w:pPr>
      <w:r w:rsidRPr="001C6D71">
        <w:rPr>
          <w:rFonts w:ascii="Garamond" w:hAnsi="Garamond"/>
          <w:sz w:val="24"/>
          <w:szCs w:val="24"/>
        </w:rPr>
        <w:t>The emitting unit uses a control device to achieve compliance with such limit; and</w:t>
      </w:r>
    </w:p>
    <w:p w14:paraId="3FD3CB2B" w14:textId="77777777" w:rsidR="00C25412" w:rsidRPr="001C6D71" w:rsidRDefault="00C25412" w:rsidP="00244586">
      <w:pPr>
        <w:pStyle w:val="BodyTextIndent"/>
        <w:widowControl w:val="0"/>
        <w:numPr>
          <w:ilvl w:val="0"/>
          <w:numId w:val="31"/>
        </w:numPr>
        <w:tabs>
          <w:tab w:val="left" w:pos="360"/>
        </w:tabs>
        <w:ind w:left="720"/>
        <w:rPr>
          <w:rFonts w:ascii="Garamond" w:hAnsi="Garamond"/>
          <w:sz w:val="24"/>
          <w:szCs w:val="24"/>
        </w:rPr>
      </w:pPr>
      <w:r w:rsidRPr="001C6D71">
        <w:rPr>
          <w:rFonts w:ascii="Garamond" w:hAnsi="Garamond"/>
          <w:sz w:val="24"/>
          <w:szCs w:val="24"/>
        </w:rPr>
        <w:t>The emitting unit has potential pre-control device emission</w:t>
      </w:r>
      <w:r w:rsidR="00244586">
        <w:rPr>
          <w:rFonts w:ascii="Garamond" w:hAnsi="Garamond"/>
          <w:sz w:val="24"/>
          <w:szCs w:val="24"/>
        </w:rPr>
        <w:t>s</w:t>
      </w:r>
      <w:r w:rsidRPr="001C6D71">
        <w:rPr>
          <w:rFonts w:ascii="Garamond" w:hAnsi="Garamond"/>
          <w:sz w:val="24"/>
          <w:szCs w:val="24"/>
        </w:rPr>
        <w:t xml:space="preserve"> of the applicable regulated air pollutant that are greater than major source thresholds.</w:t>
      </w:r>
    </w:p>
    <w:p w14:paraId="3B26116E" w14:textId="77777777" w:rsidR="00C25412" w:rsidRPr="00E84B69" w:rsidRDefault="00C25412" w:rsidP="004426A0">
      <w:pPr>
        <w:pStyle w:val="BodyTextIndent"/>
        <w:tabs>
          <w:tab w:val="left" w:pos="360"/>
        </w:tabs>
        <w:rPr>
          <w:rFonts w:ascii="Garamond" w:hAnsi="Garamond"/>
          <w:szCs w:val="22"/>
        </w:rPr>
      </w:pPr>
    </w:p>
    <w:p w14:paraId="3E777683" w14:textId="23DD415A" w:rsidR="00C25412" w:rsidRPr="001C6D71" w:rsidRDefault="00C25412" w:rsidP="004426A0">
      <w:pPr>
        <w:pStyle w:val="BodyTextIndent"/>
        <w:tabs>
          <w:tab w:val="left" w:pos="360"/>
        </w:tabs>
        <w:rPr>
          <w:rFonts w:ascii="Garamond" w:hAnsi="Garamond"/>
          <w:sz w:val="24"/>
          <w:szCs w:val="24"/>
        </w:rPr>
      </w:pPr>
      <w:r w:rsidRPr="001C6D71">
        <w:rPr>
          <w:rFonts w:ascii="Garamond" w:hAnsi="Garamond"/>
          <w:sz w:val="24"/>
          <w:szCs w:val="24"/>
        </w:rPr>
        <w:t xml:space="preserve">WBI does not currently have any emitting units that meet all the applicability criteria in ARM </w:t>
      </w:r>
      <w:r w:rsidR="004D3652" w:rsidRPr="001C6D71">
        <w:rPr>
          <w:rFonts w:ascii="Garamond" w:hAnsi="Garamond"/>
          <w:sz w:val="24"/>
          <w:szCs w:val="24"/>
        </w:rPr>
        <w:t>17.8.1503 and</w:t>
      </w:r>
      <w:r w:rsidRPr="001C6D71">
        <w:rPr>
          <w:rFonts w:ascii="Garamond" w:hAnsi="Garamond"/>
          <w:sz w:val="24"/>
          <w:szCs w:val="24"/>
        </w:rPr>
        <w:t xml:space="preserve"> is therefore not currently required to develop a CAM Plan.</w:t>
      </w:r>
    </w:p>
    <w:p w14:paraId="080A595C" w14:textId="77777777" w:rsidR="002A1379" w:rsidRPr="00E84B69" w:rsidRDefault="002A1379" w:rsidP="004426A0">
      <w:pPr>
        <w:pStyle w:val="BodyTextIndent"/>
        <w:tabs>
          <w:tab w:val="left" w:pos="360"/>
        </w:tabs>
        <w:rPr>
          <w:rFonts w:ascii="Garamond" w:hAnsi="Garamond"/>
          <w:sz w:val="20"/>
        </w:rPr>
      </w:pPr>
    </w:p>
    <w:p w14:paraId="1012C2C4" w14:textId="77777777" w:rsidR="002A1379" w:rsidRPr="001C6D71" w:rsidRDefault="002A1379" w:rsidP="004426A0">
      <w:pPr>
        <w:pStyle w:val="Heading2"/>
        <w:numPr>
          <w:ilvl w:val="0"/>
          <w:numId w:val="30"/>
        </w:numPr>
        <w:tabs>
          <w:tab w:val="clear" w:pos="720"/>
          <w:tab w:val="left" w:pos="360"/>
        </w:tabs>
        <w:spacing w:before="0" w:beforeAutospacing="0" w:after="0" w:afterAutospacing="0"/>
        <w:ind w:left="360"/>
        <w:rPr>
          <w:rFonts w:ascii="Garamond" w:hAnsi="Garamond"/>
          <w:sz w:val="24"/>
          <w:szCs w:val="24"/>
        </w:rPr>
      </w:pPr>
      <w:bookmarkStart w:id="26" w:name="_Toc277676895"/>
      <w:bookmarkStart w:id="27" w:name="_Toc278272488"/>
      <w:bookmarkStart w:id="28" w:name="_Toc287002117"/>
      <w:bookmarkStart w:id="29" w:name="_Toc411330033"/>
      <w:r w:rsidRPr="001C6D71">
        <w:rPr>
          <w:rFonts w:ascii="Garamond" w:hAnsi="Garamond"/>
          <w:sz w:val="24"/>
          <w:szCs w:val="24"/>
        </w:rPr>
        <w:t>PSD and Title V Greenhouse Gas Tailoring Rule</w:t>
      </w:r>
      <w:bookmarkEnd w:id="26"/>
      <w:bookmarkEnd w:id="27"/>
      <w:bookmarkEnd w:id="28"/>
      <w:bookmarkEnd w:id="29"/>
    </w:p>
    <w:p w14:paraId="3AC6905A" w14:textId="77777777" w:rsidR="002A1379" w:rsidRPr="00E84B69" w:rsidRDefault="002A1379" w:rsidP="004426A0">
      <w:pPr>
        <w:tabs>
          <w:tab w:val="left" w:pos="360"/>
        </w:tabs>
        <w:ind w:left="360"/>
        <w:rPr>
          <w:rFonts w:ascii="Garamond" w:hAnsi="Garamond"/>
        </w:rPr>
      </w:pPr>
    </w:p>
    <w:p w14:paraId="6E9C9A8B" w14:textId="77777777" w:rsidR="002A1379" w:rsidRDefault="002A1379" w:rsidP="004426A0">
      <w:pPr>
        <w:tabs>
          <w:tab w:val="left" w:pos="360"/>
        </w:tabs>
        <w:ind w:left="360"/>
        <w:rPr>
          <w:rFonts w:ascii="Garamond" w:hAnsi="Garamond"/>
          <w:sz w:val="24"/>
          <w:szCs w:val="24"/>
        </w:rPr>
      </w:pPr>
      <w:r w:rsidRPr="001C6D71">
        <w:rPr>
          <w:rFonts w:ascii="Garamond" w:hAnsi="Garamond"/>
          <w:sz w:val="24"/>
          <w:szCs w:val="24"/>
        </w:rPr>
        <w:t xml:space="preserve">On May 7, 2010, EPA published the “light duty vehicle rule” (Docket # EPA-HQ-OAR- 2009-0472, 75 FR 25324) controlling greenhouse gas (GHG) emissions from mobile sources, whereby GHG became a pollutant subject to regulation under the Federal and Montana Clean Air Act(s).  On June 3, 2010, EPA promulgated the GHG “Tailoring Rule” (Docket # EPA-HQ-OAR-2009-0517, 75 FR 31514) which modified 40 CFR Parts 51, 52, 70, and 71 to specify which </w:t>
      </w:r>
      <w:r w:rsidRPr="001C6D71">
        <w:rPr>
          <w:rFonts w:ascii="Garamond" w:hAnsi="Garamond"/>
          <w:sz w:val="24"/>
          <w:szCs w:val="24"/>
        </w:rPr>
        <w:lastRenderedPageBreak/>
        <w:t>facilities are subject to GHG permitting requirements and when such facilities become subject to regulation for GHG under the PSD and Title V programs.</w:t>
      </w:r>
    </w:p>
    <w:p w14:paraId="08E1BC23" w14:textId="77777777" w:rsidR="001C7287" w:rsidRPr="001C6D71" w:rsidRDefault="001C7287" w:rsidP="004426A0">
      <w:pPr>
        <w:tabs>
          <w:tab w:val="left" w:pos="360"/>
        </w:tabs>
        <w:ind w:left="360"/>
        <w:rPr>
          <w:rFonts w:ascii="Garamond" w:hAnsi="Garamond"/>
          <w:sz w:val="24"/>
          <w:szCs w:val="24"/>
        </w:rPr>
      </w:pPr>
    </w:p>
    <w:p w14:paraId="56FB4515" w14:textId="77777777" w:rsidR="002A1379" w:rsidRPr="001C6D71" w:rsidRDefault="002A1379" w:rsidP="004426A0">
      <w:pPr>
        <w:tabs>
          <w:tab w:val="left" w:pos="360"/>
        </w:tabs>
        <w:ind w:left="360"/>
        <w:rPr>
          <w:rFonts w:ascii="Garamond" w:hAnsi="Garamond"/>
          <w:sz w:val="24"/>
          <w:szCs w:val="24"/>
        </w:rPr>
      </w:pPr>
      <w:r w:rsidRPr="001C6D71">
        <w:rPr>
          <w:rFonts w:ascii="Garamond" w:hAnsi="Garamond"/>
          <w:sz w:val="24"/>
          <w:szCs w:val="24"/>
        </w:rPr>
        <w:t>Under the Tailoring Rule, any PSD action (either a new major stationary source or a major modification at a major stationary source) taken for a pollutant or pollutants other than GHG that would become final on or after January 2, 2011</w:t>
      </w:r>
      <w:r w:rsidR="00E47140" w:rsidRPr="001C6D71">
        <w:rPr>
          <w:rFonts w:ascii="Garamond" w:hAnsi="Garamond"/>
          <w:sz w:val="24"/>
          <w:szCs w:val="24"/>
        </w:rPr>
        <w:t>,</w:t>
      </w:r>
      <w:r w:rsidRPr="001C6D71">
        <w:rPr>
          <w:rFonts w:ascii="Garamond" w:hAnsi="Garamond"/>
          <w:sz w:val="24"/>
          <w:szCs w:val="24"/>
        </w:rPr>
        <w:t xml:space="preserve"> would be subject to PSD permitting requirements for GHG if the GHG increases associated with that action were at or above 75,000 TPY of carbon dioxide equivalent (CO</w:t>
      </w:r>
      <w:r w:rsidRPr="001C6D71">
        <w:rPr>
          <w:rFonts w:ascii="Garamond" w:hAnsi="Garamond"/>
          <w:sz w:val="24"/>
          <w:szCs w:val="24"/>
          <w:vertAlign w:val="subscript"/>
        </w:rPr>
        <w:t>2</w:t>
      </w:r>
      <w:r w:rsidRPr="001C6D71">
        <w:rPr>
          <w:rFonts w:ascii="Garamond" w:hAnsi="Garamond"/>
          <w:sz w:val="24"/>
          <w:szCs w:val="24"/>
        </w:rPr>
        <w:t xml:space="preserve">e) and greater than 0 TPY on a mass basis.  Similarly, if such action were taken, any resulting requirements would be subject to inclusion in the Title V Operating Permit.  Facilities which hold Title V permits due to criteria pollutant emissions over 100 TPY would need to incorporate any GHG applicable requirements into their operating permits for any Title V action that would have a final decision occurring on or after January 2, 2011.  </w:t>
      </w:r>
    </w:p>
    <w:p w14:paraId="00962394" w14:textId="77777777" w:rsidR="002A1379" w:rsidRPr="001C6D71" w:rsidRDefault="002A1379" w:rsidP="00220BD9">
      <w:pPr>
        <w:tabs>
          <w:tab w:val="left" w:pos="360"/>
        </w:tabs>
        <w:rPr>
          <w:rFonts w:ascii="Garamond" w:hAnsi="Garamond"/>
          <w:sz w:val="24"/>
          <w:szCs w:val="24"/>
        </w:rPr>
      </w:pPr>
    </w:p>
    <w:p w14:paraId="1ADF9C4A" w14:textId="77777777" w:rsidR="002A1379" w:rsidRDefault="002A1379" w:rsidP="004426A0">
      <w:pPr>
        <w:tabs>
          <w:tab w:val="left" w:pos="360"/>
        </w:tabs>
        <w:ind w:left="360"/>
        <w:rPr>
          <w:rFonts w:ascii="Garamond" w:hAnsi="Garamond"/>
          <w:sz w:val="24"/>
          <w:szCs w:val="24"/>
        </w:rPr>
      </w:pPr>
      <w:r w:rsidRPr="001C6D71">
        <w:rPr>
          <w:rFonts w:ascii="Garamond" w:hAnsi="Garamond"/>
          <w:sz w:val="24"/>
          <w:szCs w:val="24"/>
        </w:rPr>
        <w:t>Starting on July 1, 2011, PSD permitting requirements would be triggered for modifications that were determined to be major under PSD based on GHG emissions alone, even if no other pollutant triggered a major modification.  In addition, sources that are not considered PSD major sources based on criteria pollutant emissions would become subject to PSD review if their facility-wide potential emissions equaled or exceeded 100,000 TPY of CO</w:t>
      </w:r>
      <w:r w:rsidRPr="001C6D71">
        <w:rPr>
          <w:rFonts w:ascii="Garamond" w:hAnsi="Garamond"/>
          <w:sz w:val="24"/>
          <w:szCs w:val="24"/>
          <w:vertAlign w:val="subscript"/>
        </w:rPr>
        <w:t>2</w:t>
      </w:r>
      <w:r w:rsidRPr="001C6D71">
        <w:rPr>
          <w:rFonts w:ascii="Garamond" w:hAnsi="Garamond"/>
          <w:sz w:val="24"/>
          <w:szCs w:val="24"/>
        </w:rPr>
        <w:t>e and 100 or 250 TPY of GHG on a mass basis depending on their listed status in ARM 17.8.801(22) and they undertook a permitting action with increases of 75,000 TPY or more of CO</w:t>
      </w:r>
      <w:r w:rsidRPr="001C6D71">
        <w:rPr>
          <w:rFonts w:ascii="Garamond" w:hAnsi="Garamond"/>
          <w:sz w:val="24"/>
          <w:szCs w:val="24"/>
          <w:vertAlign w:val="subscript"/>
        </w:rPr>
        <w:t>2</w:t>
      </w:r>
      <w:r w:rsidRPr="001C6D71">
        <w:rPr>
          <w:rFonts w:ascii="Garamond" w:hAnsi="Garamond"/>
          <w:sz w:val="24"/>
          <w:szCs w:val="24"/>
        </w:rPr>
        <w:t>e and greater than 0 TPY of GHG on a mass basis. With respect to Title V, sources not currently holding a Title V permit that have potential facility-wide emissions equal to or exceeding 100,000 TPY of CO</w:t>
      </w:r>
      <w:r w:rsidRPr="001C6D71">
        <w:rPr>
          <w:rFonts w:ascii="Garamond" w:hAnsi="Garamond"/>
          <w:sz w:val="24"/>
          <w:szCs w:val="24"/>
          <w:vertAlign w:val="subscript"/>
        </w:rPr>
        <w:t>2</w:t>
      </w:r>
      <w:r w:rsidRPr="001C6D71">
        <w:rPr>
          <w:rFonts w:ascii="Garamond" w:hAnsi="Garamond"/>
          <w:sz w:val="24"/>
          <w:szCs w:val="24"/>
        </w:rPr>
        <w:t>e and 100 TPY of GHG on a mass basis would be required to obtain a Title V Operating Permit.</w:t>
      </w:r>
    </w:p>
    <w:p w14:paraId="0F7B8D37" w14:textId="77777777" w:rsidR="00244586" w:rsidRDefault="00244586" w:rsidP="00220BD9">
      <w:pPr>
        <w:tabs>
          <w:tab w:val="left" w:pos="360"/>
        </w:tabs>
        <w:rPr>
          <w:rFonts w:ascii="Garamond" w:hAnsi="Garamond"/>
          <w:sz w:val="24"/>
          <w:szCs w:val="24"/>
        </w:rPr>
      </w:pPr>
    </w:p>
    <w:p w14:paraId="11E53D27" w14:textId="77777777" w:rsidR="00244586" w:rsidRPr="00F82CFD" w:rsidRDefault="00244586" w:rsidP="00244586">
      <w:pPr>
        <w:ind w:left="360"/>
        <w:rPr>
          <w:rFonts w:ascii="Garamond" w:hAnsi="Garamond"/>
          <w:sz w:val="24"/>
          <w:szCs w:val="24"/>
        </w:rPr>
      </w:pPr>
      <w:r w:rsidRPr="00F82CFD">
        <w:rPr>
          <w:rFonts w:ascii="Garamond" w:hAnsi="Garamond"/>
          <w:sz w:val="24"/>
          <w:szCs w:val="24"/>
        </w:rPr>
        <w:t xml:space="preserve">The Supreme Court of the United States (SCOTUS), in its </w:t>
      </w:r>
      <w:r w:rsidRPr="00F82CFD">
        <w:rPr>
          <w:rFonts w:ascii="Garamond" w:hAnsi="Garamond"/>
          <w:i/>
          <w:iCs/>
          <w:sz w:val="24"/>
          <w:szCs w:val="24"/>
        </w:rPr>
        <w:t>Utility Air Regulatory Group v. EPA</w:t>
      </w:r>
      <w:r w:rsidRPr="00F82CFD">
        <w:rPr>
          <w:rFonts w:ascii="Garamond" w:hAnsi="Garamond"/>
          <w:sz w:val="24"/>
          <w:szCs w:val="24"/>
        </w:rPr>
        <w:t xml:space="preserve"> decision on June 23, 2014, ruled that the Clean Air Act neither compels nor permits EPA to require a source to obtain a PSD or Title V permit on the sole basis of its potential emissions of GHG.  SCOTUS also ruled that EPA lacked the authority to tailor the Clean Air Act’s unambiguous numerical thresholds of 100 or 250 TPY to accommodate a CO</w:t>
      </w:r>
      <w:r w:rsidRPr="00F82CFD">
        <w:rPr>
          <w:rFonts w:ascii="Garamond" w:hAnsi="Garamond"/>
          <w:sz w:val="24"/>
          <w:szCs w:val="24"/>
          <w:vertAlign w:val="subscript"/>
        </w:rPr>
        <w:t>2</w:t>
      </w:r>
      <w:r w:rsidRPr="00F82CFD">
        <w:rPr>
          <w:rFonts w:ascii="Garamond" w:hAnsi="Garamond"/>
          <w:sz w:val="24"/>
          <w:szCs w:val="24"/>
        </w:rPr>
        <w:t>e threshold of 100,000 TPY.  SCOTUS upheld that EPA reasonably interpreted the Clean Air Act to require sources that would need PSD permits based on their emission of conventional pollutants to comply with BACT for GHG.  As such, the Tailoring Rule has been rendered invalid and sources cannot become subject to PSD or Title V regulations based on GHG emissions alone.  Sources that must undergo PSD permitting due to pollutant emissions other than PSD may still be required to comply with BACT for GHG emissions.</w:t>
      </w:r>
    </w:p>
    <w:p w14:paraId="2267CBE9" w14:textId="77777777" w:rsidR="00244586" w:rsidRPr="001C6D71" w:rsidRDefault="00244586" w:rsidP="00220BD9">
      <w:pPr>
        <w:tabs>
          <w:tab w:val="left" w:pos="360"/>
        </w:tabs>
        <w:rPr>
          <w:rFonts w:ascii="Garamond" w:hAnsi="Garamond"/>
          <w:sz w:val="24"/>
          <w:szCs w:val="24"/>
        </w:rPr>
      </w:pPr>
    </w:p>
    <w:p w14:paraId="03067776" w14:textId="77777777" w:rsidR="002A1379" w:rsidRPr="001C6D71" w:rsidRDefault="002A1379" w:rsidP="00220BD9">
      <w:pPr>
        <w:pStyle w:val="BodyTextIndent"/>
        <w:ind w:left="0"/>
        <w:rPr>
          <w:rFonts w:ascii="Garamond" w:hAnsi="Garamond"/>
          <w:sz w:val="24"/>
          <w:szCs w:val="24"/>
        </w:rPr>
      </w:pPr>
    </w:p>
    <w:p w14:paraId="2A21A27A" w14:textId="77777777" w:rsidR="00C25412" w:rsidRPr="001C6D71" w:rsidRDefault="00C25412" w:rsidP="00220BD9">
      <w:pPr>
        <w:pStyle w:val="BodyTextIndent"/>
        <w:ind w:left="0"/>
        <w:rPr>
          <w:rFonts w:ascii="Garamond" w:eastAsia="Times New Roman" w:hAnsi="Garamond"/>
          <w:sz w:val="24"/>
          <w:szCs w:val="24"/>
        </w:rPr>
      </w:pPr>
    </w:p>
    <w:sectPr w:rsidR="00C25412" w:rsidRPr="001C6D71" w:rsidSect="00252F09">
      <w:pgSz w:w="12240" w:h="15840" w:code="1"/>
      <w:pgMar w:top="1152" w:right="1440" w:bottom="1008"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BFCCA4" w14:textId="77777777" w:rsidR="007C215B" w:rsidRDefault="007C215B">
      <w:r>
        <w:separator/>
      </w:r>
    </w:p>
  </w:endnote>
  <w:endnote w:type="continuationSeparator" w:id="0">
    <w:p w14:paraId="16512205" w14:textId="77777777" w:rsidR="007C215B" w:rsidRDefault="007C21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New Roman Bold">
    <w:panose1 w:val="00000000000000000000"/>
    <w:charset w:val="00"/>
    <w:family w:val="roman"/>
    <w:notTrueType/>
    <w:pitch w:val="default"/>
  </w:font>
  <w:font w:name="Univers">
    <w:charset w:val="00"/>
    <w:family w:val="swiss"/>
    <w:pitch w:val="variable"/>
    <w:sig w:usb0="80000287" w:usb1="00000000" w:usb2="00000000" w:usb3="00000000" w:csb0="0000000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4173E" w14:textId="77777777" w:rsidR="00C23AD4" w:rsidRDefault="00C23AD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86CA428" w14:textId="77777777" w:rsidR="00C23AD4" w:rsidRDefault="00C23A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20DF3" w14:textId="77777777" w:rsidR="00C23AD4" w:rsidRPr="00220BD9" w:rsidRDefault="00C23AD4">
    <w:pPr>
      <w:pStyle w:val="Footer"/>
      <w:framePr w:wrap="around" w:vAnchor="text" w:hAnchor="margin" w:xAlign="center" w:y="1"/>
      <w:rPr>
        <w:rStyle w:val="PageNumber"/>
        <w:rFonts w:ascii="Garamond" w:hAnsi="Garamond"/>
      </w:rPr>
    </w:pPr>
    <w:r w:rsidRPr="00220BD9">
      <w:rPr>
        <w:rStyle w:val="PageNumber"/>
        <w:rFonts w:ascii="Garamond" w:hAnsi="Garamond"/>
      </w:rPr>
      <w:fldChar w:fldCharType="begin"/>
    </w:r>
    <w:r w:rsidRPr="00220BD9">
      <w:rPr>
        <w:rStyle w:val="PageNumber"/>
        <w:rFonts w:ascii="Garamond" w:hAnsi="Garamond"/>
      </w:rPr>
      <w:instrText xml:space="preserve">PAGE  </w:instrText>
    </w:r>
    <w:r w:rsidRPr="00220BD9">
      <w:rPr>
        <w:rStyle w:val="PageNumber"/>
        <w:rFonts w:ascii="Garamond" w:hAnsi="Garamond"/>
      </w:rPr>
      <w:fldChar w:fldCharType="separate"/>
    </w:r>
    <w:r w:rsidR="00A7308D">
      <w:rPr>
        <w:rStyle w:val="PageNumber"/>
        <w:rFonts w:ascii="Garamond" w:hAnsi="Garamond"/>
        <w:noProof/>
      </w:rPr>
      <w:t>14</w:t>
    </w:r>
    <w:r w:rsidRPr="00220BD9">
      <w:rPr>
        <w:rStyle w:val="PageNumber"/>
        <w:rFonts w:ascii="Garamond" w:hAnsi="Garamond"/>
      </w:rPr>
      <w:fldChar w:fldCharType="end"/>
    </w:r>
  </w:p>
  <w:p w14:paraId="195E07C2" w14:textId="3C91AB80" w:rsidR="002D55D3" w:rsidRDefault="00070CEB" w:rsidP="002D55D3">
    <w:pPr>
      <w:pStyle w:val="Footer"/>
      <w:tabs>
        <w:tab w:val="clear" w:pos="8640"/>
        <w:tab w:val="right" w:pos="9360"/>
      </w:tabs>
      <w:rPr>
        <w:rFonts w:ascii="Garamond" w:hAnsi="Garamond"/>
        <w:sz w:val="18"/>
        <w:szCs w:val="18"/>
      </w:rPr>
    </w:pPr>
    <w:r w:rsidRPr="00220BD9">
      <w:rPr>
        <w:rFonts w:ascii="Garamond" w:hAnsi="Garamond"/>
        <w:sz w:val="18"/>
        <w:szCs w:val="18"/>
      </w:rPr>
      <w:t>TRD1628-</w:t>
    </w:r>
    <w:r w:rsidR="00B862C9">
      <w:rPr>
        <w:rFonts w:ascii="Garamond" w:hAnsi="Garamond"/>
        <w:sz w:val="18"/>
        <w:szCs w:val="18"/>
      </w:rPr>
      <w:t>0</w:t>
    </w:r>
    <w:r w:rsidR="00B068BA">
      <w:rPr>
        <w:rFonts w:ascii="Garamond" w:hAnsi="Garamond"/>
        <w:sz w:val="18"/>
        <w:szCs w:val="18"/>
      </w:rPr>
      <w:t>8</w:t>
    </w:r>
    <w:r w:rsidR="00C23AD4">
      <w:rPr>
        <w:sz w:val="16"/>
      </w:rPr>
      <w:tab/>
    </w:r>
    <w:r w:rsidR="00C23AD4">
      <w:rPr>
        <w:sz w:val="16"/>
      </w:rPr>
      <w:tab/>
    </w:r>
    <w:r w:rsidR="00415034" w:rsidRPr="00F11B51">
      <w:rPr>
        <w:rFonts w:ascii="Garamond" w:hAnsi="Garamond"/>
        <w:sz w:val="18"/>
        <w:szCs w:val="18"/>
      </w:rPr>
      <w:t>Draft:</w:t>
    </w:r>
    <w:r w:rsidR="002D55D3" w:rsidRPr="00F11B51">
      <w:rPr>
        <w:rFonts w:ascii="Garamond" w:hAnsi="Garamond"/>
        <w:sz w:val="18"/>
        <w:szCs w:val="18"/>
      </w:rPr>
      <w:t xml:space="preserve"> </w:t>
    </w:r>
    <w:r w:rsidR="00712689" w:rsidRPr="00F11B51">
      <w:rPr>
        <w:rFonts w:ascii="Garamond" w:hAnsi="Garamond"/>
        <w:sz w:val="18"/>
        <w:szCs w:val="18"/>
      </w:rPr>
      <w:t>05</w:t>
    </w:r>
    <w:r w:rsidR="002D55D3" w:rsidRPr="00F11B51">
      <w:rPr>
        <w:rFonts w:ascii="Garamond" w:hAnsi="Garamond"/>
        <w:sz w:val="18"/>
        <w:szCs w:val="18"/>
      </w:rPr>
      <w:t>/</w:t>
    </w:r>
    <w:r w:rsidR="00712689" w:rsidRPr="00F11B51">
      <w:rPr>
        <w:rFonts w:ascii="Garamond" w:hAnsi="Garamond"/>
        <w:sz w:val="18"/>
        <w:szCs w:val="18"/>
      </w:rPr>
      <w:t>1</w:t>
    </w:r>
    <w:r w:rsidR="00943718">
      <w:rPr>
        <w:rFonts w:ascii="Garamond" w:hAnsi="Garamond"/>
        <w:sz w:val="18"/>
        <w:szCs w:val="18"/>
      </w:rPr>
      <w:t>3</w:t>
    </w:r>
    <w:r w:rsidR="002D55D3" w:rsidRPr="00F11B51">
      <w:rPr>
        <w:rFonts w:ascii="Garamond" w:hAnsi="Garamond"/>
        <w:sz w:val="18"/>
        <w:szCs w:val="18"/>
      </w:rPr>
      <w:t>/</w:t>
    </w:r>
    <w:r w:rsidR="00712689" w:rsidRPr="00F11B51">
      <w:rPr>
        <w:rFonts w:ascii="Garamond" w:hAnsi="Garamond"/>
        <w:sz w:val="18"/>
        <w:szCs w:val="18"/>
      </w:rPr>
      <w:t>2026</w:t>
    </w:r>
  </w:p>
  <w:p w14:paraId="475C6748" w14:textId="351E778B" w:rsidR="00C23AD4" w:rsidRPr="00B862C9" w:rsidRDefault="00C23AD4" w:rsidP="002D55D3">
    <w:pPr>
      <w:pStyle w:val="Footer"/>
      <w:tabs>
        <w:tab w:val="clear" w:pos="4320"/>
        <w:tab w:val="clear" w:pos="8640"/>
        <w:tab w:val="center" w:pos="4680"/>
        <w:tab w:val="right" w:pos="9360"/>
      </w:tabs>
      <w:rPr>
        <w:rFonts w:ascii="Garamond" w:hAnsi="Garamond"/>
        <w:sz w:val="18"/>
        <w:szCs w:val="18"/>
      </w:rPr>
    </w:pPr>
  </w:p>
  <w:p w14:paraId="3EF30BC6" w14:textId="77777777" w:rsidR="00CB2493" w:rsidRPr="00220BD9" w:rsidRDefault="00CB2493" w:rsidP="00CA0F6E">
    <w:pPr>
      <w:pStyle w:val="Footer"/>
      <w:tabs>
        <w:tab w:val="clear" w:pos="4320"/>
        <w:tab w:val="clear" w:pos="8640"/>
        <w:tab w:val="center" w:pos="4680"/>
        <w:tab w:val="right" w:pos="9360"/>
      </w:tabs>
      <w:rPr>
        <w:rFonts w:ascii="Garamond" w:hAnsi="Garamond"/>
        <w:sz w:val="18"/>
        <w:szCs w:val="18"/>
      </w:rPr>
    </w:pPr>
    <w:r w:rsidRPr="00252F09">
      <w:rPr>
        <w:rFonts w:ascii="Garamond" w:hAnsi="Garamond"/>
        <w:sz w:val="16"/>
      </w:rPr>
      <w:tab/>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B52CFE" w14:textId="77777777" w:rsidR="007C215B" w:rsidRDefault="007C215B">
      <w:r>
        <w:separator/>
      </w:r>
    </w:p>
  </w:footnote>
  <w:footnote w:type="continuationSeparator" w:id="0">
    <w:p w14:paraId="5C4672D5" w14:textId="77777777" w:rsidR="007C215B" w:rsidRDefault="007C21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42BB8"/>
    <w:multiLevelType w:val="singleLevel"/>
    <w:tmpl w:val="1B3C5200"/>
    <w:lvl w:ilvl="0">
      <w:start w:val="1"/>
      <w:numFmt w:val="upperLetter"/>
      <w:lvlText w:val="%1."/>
      <w:lvlJc w:val="left"/>
      <w:pPr>
        <w:tabs>
          <w:tab w:val="num" w:pos="360"/>
        </w:tabs>
        <w:ind w:left="360" w:hanging="360"/>
      </w:pPr>
      <w:rPr>
        <w:u w:val="none"/>
      </w:rPr>
    </w:lvl>
  </w:abstractNum>
  <w:abstractNum w:abstractNumId="1" w15:restartNumberingAfterBreak="0">
    <w:nsid w:val="07C54F65"/>
    <w:multiLevelType w:val="multilevel"/>
    <w:tmpl w:val="C3A29AD0"/>
    <w:lvl w:ilvl="0">
      <w:start w:val="1"/>
      <w:numFmt w:val="upperRoman"/>
      <w:suff w:val="space"/>
      <w:lvlText w:val="SECTION %1."/>
      <w:lvlJc w:val="left"/>
      <w:pPr>
        <w:ind w:left="0" w:firstLine="0"/>
      </w:pPr>
      <w:rPr>
        <w:rFonts w:ascii="Times New Roman Bold" w:hAnsi="Times New Roman Bold" w:hint="default"/>
        <w:b/>
        <w:i w:val="0"/>
        <w:sz w:val="22"/>
      </w:rPr>
    </w:lvl>
    <w:lvl w:ilvl="1">
      <w:start w:val="1"/>
      <w:numFmt w:val="upperLetter"/>
      <w:lvlText w:val="%2"/>
      <w:lvlJc w:val="left"/>
      <w:pPr>
        <w:tabs>
          <w:tab w:val="num" w:pos="360"/>
        </w:tabs>
        <w:ind w:left="0" w:firstLine="0"/>
      </w:pPr>
      <w:rPr>
        <w:rFonts w:ascii="Univers" w:hAnsi="Univer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 w15:restartNumberingAfterBreak="0">
    <w:nsid w:val="0AFA48B0"/>
    <w:multiLevelType w:val="singleLevel"/>
    <w:tmpl w:val="92AEAD54"/>
    <w:lvl w:ilvl="0">
      <w:start w:val="7"/>
      <w:numFmt w:val="upperLetter"/>
      <w:lvlText w:val="%1."/>
      <w:lvlJc w:val="left"/>
      <w:pPr>
        <w:tabs>
          <w:tab w:val="num" w:pos="504"/>
        </w:tabs>
        <w:ind w:left="504" w:hanging="504"/>
      </w:pPr>
      <w:rPr>
        <w:u w:val="none"/>
      </w:rPr>
    </w:lvl>
  </w:abstractNum>
  <w:abstractNum w:abstractNumId="3" w15:restartNumberingAfterBreak="0">
    <w:nsid w:val="138462EE"/>
    <w:multiLevelType w:val="singleLevel"/>
    <w:tmpl w:val="1B3C5200"/>
    <w:lvl w:ilvl="0">
      <w:start w:val="1"/>
      <w:numFmt w:val="upperLetter"/>
      <w:lvlText w:val="%1."/>
      <w:lvlJc w:val="left"/>
      <w:pPr>
        <w:tabs>
          <w:tab w:val="num" w:pos="360"/>
        </w:tabs>
        <w:ind w:left="360" w:hanging="360"/>
      </w:pPr>
      <w:rPr>
        <w:u w:val="none"/>
      </w:rPr>
    </w:lvl>
  </w:abstractNum>
  <w:abstractNum w:abstractNumId="4" w15:restartNumberingAfterBreak="0">
    <w:nsid w:val="16893AEF"/>
    <w:multiLevelType w:val="singleLevel"/>
    <w:tmpl w:val="9B022782"/>
    <w:lvl w:ilvl="0">
      <w:start w:val="4"/>
      <w:numFmt w:val="upperLetter"/>
      <w:lvlText w:val="%1."/>
      <w:lvlJc w:val="left"/>
      <w:pPr>
        <w:tabs>
          <w:tab w:val="num" w:pos="504"/>
        </w:tabs>
        <w:ind w:left="504" w:hanging="504"/>
      </w:pPr>
      <w:rPr>
        <w:u w:val="none"/>
      </w:rPr>
    </w:lvl>
  </w:abstractNum>
  <w:abstractNum w:abstractNumId="5" w15:restartNumberingAfterBreak="0">
    <w:nsid w:val="1D9C295E"/>
    <w:multiLevelType w:val="hybridMultilevel"/>
    <w:tmpl w:val="7AE632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4A742C8"/>
    <w:multiLevelType w:val="multilevel"/>
    <w:tmpl w:val="3E36246E"/>
    <w:lvl w:ilvl="0">
      <w:start w:val="5"/>
      <w:numFmt w:val="upperLetter"/>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2D554260"/>
    <w:multiLevelType w:val="singleLevel"/>
    <w:tmpl w:val="BC48ADE4"/>
    <w:lvl w:ilvl="0">
      <w:start w:val="1"/>
      <w:numFmt w:val="upperLetter"/>
      <w:lvlText w:val="%1."/>
      <w:lvlJc w:val="left"/>
      <w:pPr>
        <w:tabs>
          <w:tab w:val="num" w:pos="504"/>
        </w:tabs>
        <w:ind w:left="504" w:hanging="504"/>
      </w:pPr>
      <w:rPr>
        <w:u w:val="none"/>
      </w:rPr>
    </w:lvl>
  </w:abstractNum>
  <w:abstractNum w:abstractNumId="8" w15:restartNumberingAfterBreak="0">
    <w:nsid w:val="2ED55972"/>
    <w:multiLevelType w:val="singleLevel"/>
    <w:tmpl w:val="9B022782"/>
    <w:lvl w:ilvl="0">
      <w:start w:val="4"/>
      <w:numFmt w:val="upperLetter"/>
      <w:lvlText w:val="%1."/>
      <w:lvlJc w:val="left"/>
      <w:pPr>
        <w:tabs>
          <w:tab w:val="num" w:pos="504"/>
        </w:tabs>
        <w:ind w:left="504" w:hanging="504"/>
      </w:pPr>
      <w:rPr>
        <w:u w:val="none"/>
      </w:rPr>
    </w:lvl>
  </w:abstractNum>
  <w:abstractNum w:abstractNumId="9" w15:restartNumberingAfterBreak="0">
    <w:nsid w:val="31E277DE"/>
    <w:multiLevelType w:val="singleLevel"/>
    <w:tmpl w:val="9B022782"/>
    <w:lvl w:ilvl="0">
      <w:start w:val="4"/>
      <w:numFmt w:val="upperLetter"/>
      <w:lvlText w:val="%1."/>
      <w:lvlJc w:val="left"/>
      <w:pPr>
        <w:tabs>
          <w:tab w:val="num" w:pos="504"/>
        </w:tabs>
        <w:ind w:left="504" w:hanging="504"/>
      </w:pPr>
      <w:rPr>
        <w:u w:val="none"/>
      </w:rPr>
    </w:lvl>
  </w:abstractNum>
  <w:abstractNum w:abstractNumId="10" w15:restartNumberingAfterBreak="0">
    <w:nsid w:val="34710481"/>
    <w:multiLevelType w:val="hybridMultilevel"/>
    <w:tmpl w:val="3E36246E"/>
    <w:lvl w:ilvl="0" w:tplc="1674DC68">
      <w:start w:val="5"/>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55404E8"/>
    <w:multiLevelType w:val="hybridMultilevel"/>
    <w:tmpl w:val="BDCA617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3CBE73F4"/>
    <w:multiLevelType w:val="hybridMultilevel"/>
    <w:tmpl w:val="4F8AEE46"/>
    <w:lvl w:ilvl="0" w:tplc="85404DC8">
      <w:start w:val="4"/>
      <w:numFmt w:val="upperLetter"/>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D3F48F5"/>
    <w:multiLevelType w:val="singleLevel"/>
    <w:tmpl w:val="BC48ADE4"/>
    <w:lvl w:ilvl="0">
      <w:start w:val="1"/>
      <w:numFmt w:val="upperLetter"/>
      <w:lvlText w:val="%1."/>
      <w:lvlJc w:val="left"/>
      <w:pPr>
        <w:tabs>
          <w:tab w:val="num" w:pos="504"/>
        </w:tabs>
        <w:ind w:left="504" w:hanging="504"/>
      </w:pPr>
      <w:rPr>
        <w:u w:val="none"/>
      </w:rPr>
    </w:lvl>
  </w:abstractNum>
  <w:abstractNum w:abstractNumId="14" w15:restartNumberingAfterBreak="0">
    <w:nsid w:val="3FB00A43"/>
    <w:multiLevelType w:val="hybridMultilevel"/>
    <w:tmpl w:val="B40E2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16455C"/>
    <w:multiLevelType w:val="hybridMultilevel"/>
    <w:tmpl w:val="5B64720A"/>
    <w:lvl w:ilvl="0" w:tplc="04090015">
      <w:start w:val="1"/>
      <w:numFmt w:val="upperLetter"/>
      <w:lvlText w:val="%1."/>
      <w:lvlJc w:val="left"/>
      <w:pPr>
        <w:ind w:left="5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5F17D20"/>
    <w:multiLevelType w:val="singleLevel"/>
    <w:tmpl w:val="E3E8EE0E"/>
    <w:lvl w:ilvl="0">
      <w:start w:val="3"/>
      <w:numFmt w:val="upperLetter"/>
      <w:lvlText w:val="%1."/>
      <w:lvlJc w:val="left"/>
      <w:pPr>
        <w:tabs>
          <w:tab w:val="num" w:pos="504"/>
        </w:tabs>
        <w:ind w:left="504" w:hanging="504"/>
      </w:pPr>
      <w:rPr>
        <w:u w:val="none"/>
      </w:rPr>
    </w:lvl>
  </w:abstractNum>
  <w:abstractNum w:abstractNumId="17" w15:restartNumberingAfterBreak="0">
    <w:nsid w:val="4BC8088D"/>
    <w:multiLevelType w:val="hybridMultilevel"/>
    <w:tmpl w:val="180601F6"/>
    <w:lvl w:ilvl="0" w:tplc="FFFFFFFF">
      <w:start w:val="7"/>
      <w:numFmt w:val="decimal"/>
      <w:lvlText w:val="%1."/>
      <w:lvlJc w:val="left"/>
      <w:pPr>
        <w:tabs>
          <w:tab w:val="num" w:pos="2160"/>
        </w:tabs>
        <w:ind w:left="2160" w:hanging="720"/>
      </w:pPr>
      <w:rPr>
        <w:rFonts w:hint="default"/>
      </w:rPr>
    </w:lvl>
    <w:lvl w:ilvl="1" w:tplc="3B988016">
      <w:start w:val="1"/>
      <w:numFmt w:val="lowerLetter"/>
      <w:lvlText w:val="%2."/>
      <w:lvlJc w:val="left"/>
      <w:pPr>
        <w:tabs>
          <w:tab w:val="num" w:pos="2160"/>
        </w:tabs>
        <w:ind w:left="2160" w:hanging="720"/>
      </w:pPr>
      <w:rPr>
        <w:rFonts w:hint="default"/>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4CC85727"/>
    <w:multiLevelType w:val="singleLevel"/>
    <w:tmpl w:val="1B3C5200"/>
    <w:lvl w:ilvl="0">
      <w:start w:val="1"/>
      <w:numFmt w:val="upperLetter"/>
      <w:lvlText w:val="%1."/>
      <w:lvlJc w:val="left"/>
      <w:pPr>
        <w:tabs>
          <w:tab w:val="num" w:pos="360"/>
        </w:tabs>
        <w:ind w:left="360" w:hanging="360"/>
      </w:pPr>
      <w:rPr>
        <w:u w:val="none"/>
      </w:rPr>
    </w:lvl>
  </w:abstractNum>
  <w:abstractNum w:abstractNumId="19" w15:restartNumberingAfterBreak="0">
    <w:nsid w:val="4E0D1DE5"/>
    <w:multiLevelType w:val="singleLevel"/>
    <w:tmpl w:val="1B3C5200"/>
    <w:lvl w:ilvl="0">
      <w:start w:val="1"/>
      <w:numFmt w:val="upperLetter"/>
      <w:lvlText w:val="%1."/>
      <w:lvlJc w:val="left"/>
      <w:pPr>
        <w:tabs>
          <w:tab w:val="num" w:pos="360"/>
        </w:tabs>
        <w:ind w:left="360" w:hanging="360"/>
      </w:pPr>
      <w:rPr>
        <w:u w:val="none"/>
      </w:rPr>
    </w:lvl>
  </w:abstractNum>
  <w:abstractNum w:abstractNumId="20" w15:restartNumberingAfterBreak="0">
    <w:nsid w:val="51B43279"/>
    <w:multiLevelType w:val="singleLevel"/>
    <w:tmpl w:val="89D06930"/>
    <w:lvl w:ilvl="0">
      <w:start w:val="1"/>
      <w:numFmt w:val="upperLetter"/>
      <w:pStyle w:val="Heading6"/>
      <w:lvlText w:val="%1."/>
      <w:lvlJc w:val="left"/>
      <w:pPr>
        <w:tabs>
          <w:tab w:val="num" w:pos="504"/>
        </w:tabs>
        <w:ind w:left="504" w:hanging="504"/>
      </w:pPr>
      <w:rPr>
        <w:rFonts w:hint="default"/>
        <w:b/>
        <w:i w:val="0"/>
        <w:color w:val="000000"/>
        <w:sz w:val="22"/>
        <w:u w:val="none"/>
      </w:rPr>
    </w:lvl>
  </w:abstractNum>
  <w:abstractNum w:abstractNumId="21" w15:restartNumberingAfterBreak="0">
    <w:nsid w:val="630F7EFC"/>
    <w:multiLevelType w:val="singleLevel"/>
    <w:tmpl w:val="1B3C5200"/>
    <w:lvl w:ilvl="0">
      <w:start w:val="1"/>
      <w:numFmt w:val="upperLetter"/>
      <w:lvlText w:val="%1."/>
      <w:lvlJc w:val="left"/>
      <w:pPr>
        <w:tabs>
          <w:tab w:val="num" w:pos="360"/>
        </w:tabs>
        <w:ind w:left="360" w:hanging="360"/>
      </w:pPr>
      <w:rPr>
        <w:u w:val="none"/>
      </w:rPr>
    </w:lvl>
  </w:abstractNum>
  <w:abstractNum w:abstractNumId="22" w15:restartNumberingAfterBreak="0">
    <w:nsid w:val="69940F98"/>
    <w:multiLevelType w:val="singleLevel"/>
    <w:tmpl w:val="1B3C5200"/>
    <w:lvl w:ilvl="0">
      <w:start w:val="1"/>
      <w:numFmt w:val="upperLetter"/>
      <w:lvlText w:val="%1."/>
      <w:lvlJc w:val="left"/>
      <w:pPr>
        <w:tabs>
          <w:tab w:val="num" w:pos="360"/>
        </w:tabs>
        <w:ind w:left="360" w:hanging="360"/>
      </w:pPr>
      <w:rPr>
        <w:u w:val="none"/>
      </w:rPr>
    </w:lvl>
  </w:abstractNum>
  <w:abstractNum w:abstractNumId="23" w15:restartNumberingAfterBreak="0">
    <w:nsid w:val="69C04498"/>
    <w:multiLevelType w:val="singleLevel"/>
    <w:tmpl w:val="E3E8EE0E"/>
    <w:lvl w:ilvl="0">
      <w:start w:val="3"/>
      <w:numFmt w:val="upperLetter"/>
      <w:lvlText w:val="%1."/>
      <w:lvlJc w:val="left"/>
      <w:pPr>
        <w:tabs>
          <w:tab w:val="num" w:pos="504"/>
        </w:tabs>
        <w:ind w:left="504" w:hanging="504"/>
      </w:pPr>
      <w:rPr>
        <w:u w:val="none"/>
      </w:rPr>
    </w:lvl>
  </w:abstractNum>
  <w:abstractNum w:abstractNumId="24" w15:restartNumberingAfterBreak="0">
    <w:nsid w:val="69DB56FB"/>
    <w:multiLevelType w:val="hybridMultilevel"/>
    <w:tmpl w:val="F524044C"/>
    <w:lvl w:ilvl="0" w:tplc="3BA6BE2E">
      <w:start w:val="1"/>
      <w:numFmt w:val="upperLetter"/>
      <w:pStyle w:val="Heading2"/>
      <w:lvlText w:val="%1."/>
      <w:lvlJc w:val="left"/>
      <w:pPr>
        <w:tabs>
          <w:tab w:val="num" w:pos="360"/>
        </w:tabs>
        <w:ind w:left="360" w:hanging="360"/>
      </w:pPr>
      <w:rPr>
        <w:rFonts w:ascii="Garamond" w:hAnsi="Garamond" w:hint="default"/>
        <w:b/>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ABE2B00"/>
    <w:multiLevelType w:val="singleLevel"/>
    <w:tmpl w:val="373ECD82"/>
    <w:lvl w:ilvl="0">
      <w:start w:val="3"/>
      <w:numFmt w:val="upperLetter"/>
      <w:pStyle w:val="Heading5"/>
      <w:lvlText w:val="%1."/>
      <w:lvlJc w:val="left"/>
      <w:pPr>
        <w:tabs>
          <w:tab w:val="num" w:pos="504"/>
        </w:tabs>
        <w:ind w:left="504" w:hanging="504"/>
      </w:pPr>
      <w:rPr>
        <w:rFonts w:hint="default"/>
        <w:b/>
        <w:i w:val="0"/>
        <w:color w:val="000000"/>
        <w:u w:val="none"/>
      </w:rPr>
    </w:lvl>
  </w:abstractNum>
  <w:abstractNum w:abstractNumId="26" w15:restartNumberingAfterBreak="0">
    <w:nsid w:val="7C3D0E49"/>
    <w:multiLevelType w:val="singleLevel"/>
    <w:tmpl w:val="89F6480A"/>
    <w:lvl w:ilvl="0">
      <w:start w:val="1"/>
      <w:numFmt w:val="upperLetter"/>
      <w:pStyle w:val="Heading4"/>
      <w:lvlText w:val="%1."/>
      <w:lvlJc w:val="left"/>
      <w:pPr>
        <w:tabs>
          <w:tab w:val="num" w:pos="360"/>
        </w:tabs>
        <w:ind w:left="360" w:hanging="360"/>
      </w:pPr>
      <w:rPr>
        <w:u w:val="none"/>
      </w:rPr>
    </w:lvl>
  </w:abstractNum>
  <w:num w:numId="1" w16cid:durableId="1866628761">
    <w:abstractNumId w:val="1"/>
  </w:num>
  <w:num w:numId="2" w16cid:durableId="387463622">
    <w:abstractNumId w:val="13"/>
  </w:num>
  <w:num w:numId="3" w16cid:durableId="553734204">
    <w:abstractNumId w:val="7"/>
  </w:num>
  <w:num w:numId="4" w16cid:durableId="1619986997">
    <w:abstractNumId w:val="20"/>
  </w:num>
  <w:num w:numId="5" w16cid:durableId="1001199244">
    <w:abstractNumId w:val="4"/>
  </w:num>
  <w:num w:numId="6" w16cid:durableId="483351923">
    <w:abstractNumId w:val="8"/>
  </w:num>
  <w:num w:numId="7" w16cid:durableId="1110979390">
    <w:abstractNumId w:val="9"/>
  </w:num>
  <w:num w:numId="8" w16cid:durableId="299919752">
    <w:abstractNumId w:val="1"/>
  </w:num>
  <w:num w:numId="9" w16cid:durableId="1677145619">
    <w:abstractNumId w:val="26"/>
  </w:num>
  <w:num w:numId="10" w16cid:durableId="615647838">
    <w:abstractNumId w:val="3"/>
  </w:num>
  <w:num w:numId="11" w16cid:durableId="2080128059">
    <w:abstractNumId w:val="0"/>
  </w:num>
  <w:num w:numId="12" w16cid:durableId="1706372024">
    <w:abstractNumId w:val="22"/>
  </w:num>
  <w:num w:numId="13" w16cid:durableId="2106224171">
    <w:abstractNumId w:val="21"/>
  </w:num>
  <w:num w:numId="14" w16cid:durableId="749083750">
    <w:abstractNumId w:val="23"/>
  </w:num>
  <w:num w:numId="15" w16cid:durableId="849947007">
    <w:abstractNumId w:val="16"/>
  </w:num>
  <w:num w:numId="16" w16cid:durableId="984315958">
    <w:abstractNumId w:val="25"/>
  </w:num>
  <w:num w:numId="17" w16cid:durableId="1905215911">
    <w:abstractNumId w:val="2"/>
  </w:num>
  <w:num w:numId="18" w16cid:durableId="1553809908">
    <w:abstractNumId w:val="18"/>
  </w:num>
  <w:num w:numId="19" w16cid:durableId="2005820702">
    <w:abstractNumId w:val="19"/>
  </w:num>
  <w:num w:numId="20" w16cid:durableId="1824421281">
    <w:abstractNumId w:val="24"/>
  </w:num>
  <w:num w:numId="21" w16cid:durableId="1876500821">
    <w:abstractNumId w:val="24"/>
    <w:lvlOverride w:ilvl="0">
      <w:startOverride w:val="1"/>
    </w:lvlOverride>
  </w:num>
  <w:num w:numId="22" w16cid:durableId="2116486130">
    <w:abstractNumId w:val="24"/>
    <w:lvlOverride w:ilvl="0">
      <w:startOverride w:val="1"/>
    </w:lvlOverride>
  </w:num>
  <w:num w:numId="23" w16cid:durableId="39020394">
    <w:abstractNumId w:val="24"/>
    <w:lvlOverride w:ilvl="0">
      <w:startOverride w:val="1"/>
    </w:lvlOverride>
  </w:num>
  <w:num w:numId="24" w16cid:durableId="266037091">
    <w:abstractNumId w:val="10"/>
  </w:num>
  <w:num w:numId="25" w16cid:durableId="419446750">
    <w:abstractNumId w:val="11"/>
  </w:num>
  <w:num w:numId="26" w16cid:durableId="1947423949">
    <w:abstractNumId w:val="6"/>
  </w:num>
  <w:num w:numId="27" w16cid:durableId="1899198432">
    <w:abstractNumId w:val="12"/>
  </w:num>
  <w:num w:numId="28" w16cid:durableId="680199679">
    <w:abstractNumId w:val="17"/>
  </w:num>
  <w:num w:numId="29" w16cid:durableId="659892035">
    <w:abstractNumId w:val="24"/>
  </w:num>
  <w:num w:numId="30" w16cid:durableId="1602760052">
    <w:abstractNumId w:val="15"/>
  </w:num>
  <w:num w:numId="31" w16cid:durableId="2064139346">
    <w:abstractNumId w:val="5"/>
  </w:num>
  <w:num w:numId="32" w16cid:durableId="844898791">
    <w:abstractNumId w:val="14"/>
  </w:num>
  <w:num w:numId="33" w16cid:durableId="126661566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readOnly" w:enforcement="1" w:cryptProviderType="rsaAES" w:cryptAlgorithmClass="hash" w:cryptAlgorithmType="typeAny" w:cryptAlgorithmSid="14" w:cryptSpinCount="100000" w:hash="OUnQBYOwSnrqlIckdQujPyPVOoIC0sNU762eaBT1ta6raduCaMrx+9k+E9QFFjj2jWwu1qH7ojKFEbQGONFlsg==" w:salt="YkwHHSfTgyfjR8WKUnnfBA=="/>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4A7"/>
    <w:rsid w:val="00024795"/>
    <w:rsid w:val="00030E8D"/>
    <w:rsid w:val="0004329C"/>
    <w:rsid w:val="000470C5"/>
    <w:rsid w:val="00050E6E"/>
    <w:rsid w:val="00055478"/>
    <w:rsid w:val="00064C10"/>
    <w:rsid w:val="000653BF"/>
    <w:rsid w:val="00066ADB"/>
    <w:rsid w:val="00070CEB"/>
    <w:rsid w:val="0007772C"/>
    <w:rsid w:val="00080F3B"/>
    <w:rsid w:val="0008581B"/>
    <w:rsid w:val="000867D7"/>
    <w:rsid w:val="00091E05"/>
    <w:rsid w:val="00093755"/>
    <w:rsid w:val="000A0A49"/>
    <w:rsid w:val="000E06F3"/>
    <w:rsid w:val="000F765A"/>
    <w:rsid w:val="00103093"/>
    <w:rsid w:val="001108D1"/>
    <w:rsid w:val="0011376D"/>
    <w:rsid w:val="00120F4F"/>
    <w:rsid w:val="00121C1B"/>
    <w:rsid w:val="00126B68"/>
    <w:rsid w:val="00130DE4"/>
    <w:rsid w:val="001350EA"/>
    <w:rsid w:val="00163775"/>
    <w:rsid w:val="00173F0F"/>
    <w:rsid w:val="00182227"/>
    <w:rsid w:val="001853EF"/>
    <w:rsid w:val="001A1BF4"/>
    <w:rsid w:val="001B2C3E"/>
    <w:rsid w:val="001B6495"/>
    <w:rsid w:val="001C5F18"/>
    <w:rsid w:val="001C6D71"/>
    <w:rsid w:val="001C7287"/>
    <w:rsid w:val="001C7607"/>
    <w:rsid w:val="001E257C"/>
    <w:rsid w:val="001E2DF2"/>
    <w:rsid w:val="001E4E15"/>
    <w:rsid w:val="001F4642"/>
    <w:rsid w:val="001F65B4"/>
    <w:rsid w:val="00216CCC"/>
    <w:rsid w:val="00220BD9"/>
    <w:rsid w:val="0024214B"/>
    <w:rsid w:val="00244586"/>
    <w:rsid w:val="002447B1"/>
    <w:rsid w:val="00252F09"/>
    <w:rsid w:val="00267B2E"/>
    <w:rsid w:val="00273F5E"/>
    <w:rsid w:val="00287FFB"/>
    <w:rsid w:val="002947C7"/>
    <w:rsid w:val="00295CFC"/>
    <w:rsid w:val="002A0BCD"/>
    <w:rsid w:val="002A1379"/>
    <w:rsid w:val="002C30E6"/>
    <w:rsid w:val="002C57B2"/>
    <w:rsid w:val="002D35B6"/>
    <w:rsid w:val="002D38C1"/>
    <w:rsid w:val="002D55D3"/>
    <w:rsid w:val="002E6E9A"/>
    <w:rsid w:val="002F1772"/>
    <w:rsid w:val="00302030"/>
    <w:rsid w:val="003027DE"/>
    <w:rsid w:val="00314738"/>
    <w:rsid w:val="0031688A"/>
    <w:rsid w:val="00321E95"/>
    <w:rsid w:val="00321F73"/>
    <w:rsid w:val="003241FA"/>
    <w:rsid w:val="003319B9"/>
    <w:rsid w:val="00332B27"/>
    <w:rsid w:val="00350E5C"/>
    <w:rsid w:val="0036043E"/>
    <w:rsid w:val="003715B1"/>
    <w:rsid w:val="0039611E"/>
    <w:rsid w:val="00397346"/>
    <w:rsid w:val="003A4ADA"/>
    <w:rsid w:val="003B529C"/>
    <w:rsid w:val="003C17E0"/>
    <w:rsid w:val="003C2A62"/>
    <w:rsid w:val="003C6820"/>
    <w:rsid w:val="003E092E"/>
    <w:rsid w:val="003E1010"/>
    <w:rsid w:val="003E49D7"/>
    <w:rsid w:val="00404326"/>
    <w:rsid w:val="00404DA5"/>
    <w:rsid w:val="00414CB0"/>
    <w:rsid w:val="00415034"/>
    <w:rsid w:val="00432983"/>
    <w:rsid w:val="0044057B"/>
    <w:rsid w:val="004426A0"/>
    <w:rsid w:val="00442EEC"/>
    <w:rsid w:val="0046365C"/>
    <w:rsid w:val="0047212F"/>
    <w:rsid w:val="004731D1"/>
    <w:rsid w:val="004747C5"/>
    <w:rsid w:val="00474882"/>
    <w:rsid w:val="004771AD"/>
    <w:rsid w:val="00485109"/>
    <w:rsid w:val="00493F66"/>
    <w:rsid w:val="004950C0"/>
    <w:rsid w:val="004A340A"/>
    <w:rsid w:val="004B27B3"/>
    <w:rsid w:val="004B381E"/>
    <w:rsid w:val="004C1833"/>
    <w:rsid w:val="004C5983"/>
    <w:rsid w:val="004C6B4D"/>
    <w:rsid w:val="004C7CAE"/>
    <w:rsid w:val="004D3652"/>
    <w:rsid w:val="004E0CAF"/>
    <w:rsid w:val="004E1294"/>
    <w:rsid w:val="004E7710"/>
    <w:rsid w:val="004E7FE0"/>
    <w:rsid w:val="0051037C"/>
    <w:rsid w:val="00520951"/>
    <w:rsid w:val="00521DB8"/>
    <w:rsid w:val="00522E75"/>
    <w:rsid w:val="00530DC4"/>
    <w:rsid w:val="00537E02"/>
    <w:rsid w:val="00545276"/>
    <w:rsid w:val="00545B6F"/>
    <w:rsid w:val="0055154F"/>
    <w:rsid w:val="00552F54"/>
    <w:rsid w:val="00554ED2"/>
    <w:rsid w:val="00561FF0"/>
    <w:rsid w:val="00570204"/>
    <w:rsid w:val="00571DEA"/>
    <w:rsid w:val="005817B3"/>
    <w:rsid w:val="0058182D"/>
    <w:rsid w:val="005875CB"/>
    <w:rsid w:val="00595965"/>
    <w:rsid w:val="005B362D"/>
    <w:rsid w:val="005B77E7"/>
    <w:rsid w:val="005D35F0"/>
    <w:rsid w:val="005D6FD8"/>
    <w:rsid w:val="005E3241"/>
    <w:rsid w:val="00603467"/>
    <w:rsid w:val="006049A4"/>
    <w:rsid w:val="00625891"/>
    <w:rsid w:val="00635346"/>
    <w:rsid w:val="00650365"/>
    <w:rsid w:val="00652147"/>
    <w:rsid w:val="00652B07"/>
    <w:rsid w:val="00666DC2"/>
    <w:rsid w:val="00667135"/>
    <w:rsid w:val="006677E2"/>
    <w:rsid w:val="006711F6"/>
    <w:rsid w:val="006874CA"/>
    <w:rsid w:val="00690D2A"/>
    <w:rsid w:val="00692F5E"/>
    <w:rsid w:val="006A10F3"/>
    <w:rsid w:val="006B627A"/>
    <w:rsid w:val="006B7CA5"/>
    <w:rsid w:val="006C118F"/>
    <w:rsid w:val="006C78F8"/>
    <w:rsid w:val="006E03B5"/>
    <w:rsid w:val="006E285C"/>
    <w:rsid w:val="006E7A3C"/>
    <w:rsid w:val="00700379"/>
    <w:rsid w:val="007031A3"/>
    <w:rsid w:val="007064C7"/>
    <w:rsid w:val="00706BB3"/>
    <w:rsid w:val="00706E72"/>
    <w:rsid w:val="00712689"/>
    <w:rsid w:val="0071659B"/>
    <w:rsid w:val="00723484"/>
    <w:rsid w:val="00724E75"/>
    <w:rsid w:val="00724F3A"/>
    <w:rsid w:val="00727BFC"/>
    <w:rsid w:val="00734C66"/>
    <w:rsid w:val="007447F1"/>
    <w:rsid w:val="00757B10"/>
    <w:rsid w:val="00762D64"/>
    <w:rsid w:val="00764276"/>
    <w:rsid w:val="00776109"/>
    <w:rsid w:val="00793B4C"/>
    <w:rsid w:val="00794867"/>
    <w:rsid w:val="00795CA8"/>
    <w:rsid w:val="00797B50"/>
    <w:rsid w:val="007B6F13"/>
    <w:rsid w:val="007C215B"/>
    <w:rsid w:val="007C6E80"/>
    <w:rsid w:val="007D5962"/>
    <w:rsid w:val="007D6D84"/>
    <w:rsid w:val="00801AB3"/>
    <w:rsid w:val="00803072"/>
    <w:rsid w:val="008103AC"/>
    <w:rsid w:val="008168F2"/>
    <w:rsid w:val="00816F2D"/>
    <w:rsid w:val="008305A0"/>
    <w:rsid w:val="0084647A"/>
    <w:rsid w:val="0085488F"/>
    <w:rsid w:val="0086515A"/>
    <w:rsid w:val="00867741"/>
    <w:rsid w:val="008A2E67"/>
    <w:rsid w:val="008B4988"/>
    <w:rsid w:val="008C3AD3"/>
    <w:rsid w:val="008C511A"/>
    <w:rsid w:val="008C76D9"/>
    <w:rsid w:val="008E2E7E"/>
    <w:rsid w:val="008E60A0"/>
    <w:rsid w:val="00905365"/>
    <w:rsid w:val="0090658D"/>
    <w:rsid w:val="00913C2C"/>
    <w:rsid w:val="009218A2"/>
    <w:rsid w:val="0093148C"/>
    <w:rsid w:val="00931639"/>
    <w:rsid w:val="00932ABF"/>
    <w:rsid w:val="00936E45"/>
    <w:rsid w:val="00943718"/>
    <w:rsid w:val="00946F0F"/>
    <w:rsid w:val="00951DB8"/>
    <w:rsid w:val="0095300F"/>
    <w:rsid w:val="009718F6"/>
    <w:rsid w:val="0097531F"/>
    <w:rsid w:val="00980AFE"/>
    <w:rsid w:val="00997ADF"/>
    <w:rsid w:val="009F7393"/>
    <w:rsid w:val="00A03636"/>
    <w:rsid w:val="00A04414"/>
    <w:rsid w:val="00A0630D"/>
    <w:rsid w:val="00A30A19"/>
    <w:rsid w:val="00A3344E"/>
    <w:rsid w:val="00A465E3"/>
    <w:rsid w:val="00A5091E"/>
    <w:rsid w:val="00A6756C"/>
    <w:rsid w:val="00A71F5D"/>
    <w:rsid w:val="00A7308D"/>
    <w:rsid w:val="00A746DE"/>
    <w:rsid w:val="00A82662"/>
    <w:rsid w:val="00A86F2E"/>
    <w:rsid w:val="00A915E0"/>
    <w:rsid w:val="00A92F0D"/>
    <w:rsid w:val="00AA08FC"/>
    <w:rsid w:val="00AC0CA9"/>
    <w:rsid w:val="00AE2079"/>
    <w:rsid w:val="00AF74CD"/>
    <w:rsid w:val="00B035C5"/>
    <w:rsid w:val="00B061ED"/>
    <w:rsid w:val="00B068BA"/>
    <w:rsid w:val="00B0757B"/>
    <w:rsid w:val="00B07BE0"/>
    <w:rsid w:val="00B15D80"/>
    <w:rsid w:val="00B2641B"/>
    <w:rsid w:val="00B26E36"/>
    <w:rsid w:val="00B410F5"/>
    <w:rsid w:val="00B441B4"/>
    <w:rsid w:val="00B56E24"/>
    <w:rsid w:val="00B816CE"/>
    <w:rsid w:val="00B862C9"/>
    <w:rsid w:val="00B872E6"/>
    <w:rsid w:val="00BA2270"/>
    <w:rsid w:val="00BA2CF4"/>
    <w:rsid w:val="00BA5F42"/>
    <w:rsid w:val="00BB2373"/>
    <w:rsid w:val="00BD1189"/>
    <w:rsid w:val="00BF33D5"/>
    <w:rsid w:val="00BF76E2"/>
    <w:rsid w:val="00C03B8B"/>
    <w:rsid w:val="00C03D76"/>
    <w:rsid w:val="00C16EF7"/>
    <w:rsid w:val="00C1787F"/>
    <w:rsid w:val="00C23AD4"/>
    <w:rsid w:val="00C25412"/>
    <w:rsid w:val="00C33621"/>
    <w:rsid w:val="00C33A02"/>
    <w:rsid w:val="00C34A56"/>
    <w:rsid w:val="00C41B30"/>
    <w:rsid w:val="00C54337"/>
    <w:rsid w:val="00C6002C"/>
    <w:rsid w:val="00C605EA"/>
    <w:rsid w:val="00C63928"/>
    <w:rsid w:val="00C64E92"/>
    <w:rsid w:val="00C743B6"/>
    <w:rsid w:val="00C811CE"/>
    <w:rsid w:val="00C92898"/>
    <w:rsid w:val="00CA0F6E"/>
    <w:rsid w:val="00CA64A4"/>
    <w:rsid w:val="00CB2493"/>
    <w:rsid w:val="00CB562D"/>
    <w:rsid w:val="00CC1EE1"/>
    <w:rsid w:val="00CD4FC5"/>
    <w:rsid w:val="00CE56F4"/>
    <w:rsid w:val="00CE6036"/>
    <w:rsid w:val="00CF0783"/>
    <w:rsid w:val="00D03427"/>
    <w:rsid w:val="00D236B3"/>
    <w:rsid w:val="00D45103"/>
    <w:rsid w:val="00D4565E"/>
    <w:rsid w:val="00D513C1"/>
    <w:rsid w:val="00D52E61"/>
    <w:rsid w:val="00D62436"/>
    <w:rsid w:val="00D7377B"/>
    <w:rsid w:val="00D75170"/>
    <w:rsid w:val="00D75C92"/>
    <w:rsid w:val="00D77E6E"/>
    <w:rsid w:val="00D91E6D"/>
    <w:rsid w:val="00D9496B"/>
    <w:rsid w:val="00D9623D"/>
    <w:rsid w:val="00DB129E"/>
    <w:rsid w:val="00DB23C1"/>
    <w:rsid w:val="00DD1811"/>
    <w:rsid w:val="00DD2D28"/>
    <w:rsid w:val="00DE3FBB"/>
    <w:rsid w:val="00DF5D6B"/>
    <w:rsid w:val="00E03315"/>
    <w:rsid w:val="00E05461"/>
    <w:rsid w:val="00E24596"/>
    <w:rsid w:val="00E24AC8"/>
    <w:rsid w:val="00E24FBC"/>
    <w:rsid w:val="00E31622"/>
    <w:rsid w:val="00E47140"/>
    <w:rsid w:val="00E4774F"/>
    <w:rsid w:val="00E56764"/>
    <w:rsid w:val="00E63E34"/>
    <w:rsid w:val="00E84B69"/>
    <w:rsid w:val="00E86B4D"/>
    <w:rsid w:val="00E9346C"/>
    <w:rsid w:val="00EA25BD"/>
    <w:rsid w:val="00EA3F54"/>
    <w:rsid w:val="00EB059E"/>
    <w:rsid w:val="00EC5A67"/>
    <w:rsid w:val="00EE2DE8"/>
    <w:rsid w:val="00EE54A7"/>
    <w:rsid w:val="00EF0EAD"/>
    <w:rsid w:val="00EF78EA"/>
    <w:rsid w:val="00F11189"/>
    <w:rsid w:val="00F11B51"/>
    <w:rsid w:val="00F13CAF"/>
    <w:rsid w:val="00F162C4"/>
    <w:rsid w:val="00F2755A"/>
    <w:rsid w:val="00F355F7"/>
    <w:rsid w:val="00F358CF"/>
    <w:rsid w:val="00F46C91"/>
    <w:rsid w:val="00F51F5C"/>
    <w:rsid w:val="00F559A4"/>
    <w:rsid w:val="00F66349"/>
    <w:rsid w:val="00F70F72"/>
    <w:rsid w:val="00F7441A"/>
    <w:rsid w:val="00F77632"/>
    <w:rsid w:val="00F85E14"/>
    <w:rsid w:val="00F918AF"/>
    <w:rsid w:val="00F946E5"/>
    <w:rsid w:val="00F95E19"/>
    <w:rsid w:val="00FA53D7"/>
    <w:rsid w:val="00FA6D44"/>
    <w:rsid w:val="00FA7ECC"/>
    <w:rsid w:val="00FB16CC"/>
    <w:rsid w:val="00FB2583"/>
    <w:rsid w:val="00FB4C55"/>
    <w:rsid w:val="00FD5200"/>
    <w:rsid w:val="00FF4B39"/>
    <w:rsid w:val="00FF6B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27F903"/>
  <w15:chartTrackingRefBased/>
  <w15:docId w15:val="{21E9C139-F4A3-448E-82AA-C0E24917E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jc w:val="center"/>
      <w:outlineLvl w:val="0"/>
    </w:pPr>
    <w:rPr>
      <w:rFonts w:ascii="Times New Roman Bold" w:hAnsi="Times New Roman Bold"/>
      <w:b/>
      <w:sz w:val="22"/>
    </w:rPr>
  </w:style>
  <w:style w:type="paragraph" w:styleId="Heading2">
    <w:name w:val="heading 2"/>
    <w:basedOn w:val="Normal"/>
    <w:next w:val="Normal"/>
    <w:link w:val="Heading2Char"/>
    <w:qFormat/>
    <w:pPr>
      <w:keepNext/>
      <w:numPr>
        <w:numId w:val="20"/>
      </w:numPr>
      <w:tabs>
        <w:tab w:val="left" w:pos="720"/>
      </w:tabs>
      <w:spacing w:before="100" w:beforeAutospacing="1" w:after="100" w:afterAutospacing="1"/>
      <w:outlineLvl w:val="1"/>
    </w:pPr>
    <w:rPr>
      <w:rFonts w:ascii="Times New Roman Bold" w:hAnsi="Times New Roman Bold"/>
      <w:b/>
      <w:sz w:val="22"/>
    </w:rPr>
  </w:style>
  <w:style w:type="paragraph" w:styleId="Heading3">
    <w:name w:val="heading 3"/>
    <w:basedOn w:val="Normal"/>
    <w:next w:val="Normal"/>
    <w:link w:val="Heading3Char"/>
    <w:uiPriority w:val="9"/>
    <w:qFormat/>
    <w:pPr>
      <w:keepNext/>
      <w:outlineLvl w:val="2"/>
    </w:pPr>
    <w:rPr>
      <w:rFonts w:ascii="Univers" w:hAnsi="Univers"/>
      <w:b/>
    </w:rPr>
  </w:style>
  <w:style w:type="paragraph" w:styleId="Heading4">
    <w:name w:val="heading 4"/>
    <w:basedOn w:val="Normal"/>
    <w:next w:val="Normal"/>
    <w:qFormat/>
    <w:pPr>
      <w:keepNext/>
      <w:numPr>
        <w:numId w:val="9"/>
      </w:numPr>
      <w:outlineLvl w:val="3"/>
    </w:pPr>
    <w:rPr>
      <w:rFonts w:ascii="Univers" w:hAnsi="Univers"/>
      <w:b/>
    </w:rPr>
  </w:style>
  <w:style w:type="paragraph" w:styleId="Heading5">
    <w:name w:val="heading 5"/>
    <w:basedOn w:val="Normal"/>
    <w:next w:val="Normal"/>
    <w:qFormat/>
    <w:pPr>
      <w:keepNext/>
      <w:numPr>
        <w:numId w:val="16"/>
      </w:numPr>
      <w:outlineLvl w:val="4"/>
    </w:pPr>
    <w:rPr>
      <w:rFonts w:ascii="Univers" w:hAnsi="Univers"/>
      <w:b/>
    </w:rPr>
  </w:style>
  <w:style w:type="paragraph" w:styleId="Heading6">
    <w:name w:val="heading 6"/>
    <w:basedOn w:val="Normal"/>
    <w:next w:val="Normal"/>
    <w:qFormat/>
    <w:pPr>
      <w:keepNext/>
      <w:numPr>
        <w:numId w:val="4"/>
      </w:numPr>
      <w:tabs>
        <w:tab w:val="left" w:pos="720"/>
      </w:tabs>
      <w:outlineLvl w:val="5"/>
    </w:pPr>
    <w:rPr>
      <w:b/>
      <w:bCs/>
      <w:sz w:val="21"/>
    </w:rPr>
  </w:style>
  <w:style w:type="paragraph" w:styleId="Heading7">
    <w:name w:val="heading 7"/>
    <w:basedOn w:val="Normal"/>
    <w:next w:val="Normal"/>
    <w:qFormat/>
    <w:pPr>
      <w:keepNext/>
      <w:outlineLvl w:val="6"/>
    </w:pPr>
    <w:rPr>
      <w:b/>
      <w:bCs/>
      <w:sz w:val="21"/>
      <w:u w:val="single"/>
    </w:rPr>
  </w:style>
  <w:style w:type="paragraph" w:styleId="Heading8">
    <w:name w:val="heading 8"/>
    <w:basedOn w:val="Normal"/>
    <w:next w:val="Normal"/>
    <w:qFormat/>
    <w:pPr>
      <w:keepNext/>
      <w:ind w:left="360"/>
      <w:outlineLvl w:val="7"/>
    </w:pPr>
    <w:rPr>
      <w:b/>
      <w:bCs/>
      <w:sz w:val="22"/>
    </w:rPr>
  </w:style>
  <w:style w:type="paragraph" w:styleId="Heading9">
    <w:name w:val="heading 9"/>
    <w:basedOn w:val="Normal"/>
    <w:next w:val="Normal"/>
    <w:qFormat/>
    <w:pPr>
      <w:keepNext/>
      <w:jc w:val="center"/>
      <w:outlineLvl w:val="8"/>
    </w:pPr>
    <w:rPr>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Univers" w:hAnsi="Univers"/>
      <w:b/>
    </w:rPr>
  </w:style>
  <w:style w:type="paragraph" w:styleId="Header">
    <w:name w:val="header"/>
    <w:basedOn w:val="Normal"/>
    <w:pPr>
      <w:tabs>
        <w:tab w:val="center" w:pos="4320"/>
        <w:tab w:val="right" w:pos="8640"/>
      </w:tabs>
    </w:pPr>
    <w:rPr>
      <w:rFonts w:ascii="Univers" w:hAnsi="Univers"/>
    </w:rPr>
  </w:style>
  <w:style w:type="paragraph" w:styleId="TOC1">
    <w:name w:val="toc 1"/>
    <w:basedOn w:val="Normal"/>
    <w:next w:val="Normal"/>
    <w:autoRedefine/>
    <w:uiPriority w:val="39"/>
    <w:rsid w:val="00314738"/>
    <w:pPr>
      <w:tabs>
        <w:tab w:val="right" w:leader="dot" w:pos="8640"/>
      </w:tabs>
      <w:spacing w:before="120" w:after="120"/>
    </w:pPr>
    <w:rPr>
      <w:b/>
      <w:caps/>
    </w:rPr>
  </w:style>
  <w:style w:type="paragraph" w:styleId="TOC2">
    <w:name w:val="toc 2"/>
    <w:basedOn w:val="Normal"/>
    <w:next w:val="Normal"/>
    <w:autoRedefine/>
    <w:uiPriority w:val="39"/>
    <w:pPr>
      <w:tabs>
        <w:tab w:val="left" w:pos="600"/>
        <w:tab w:val="right" w:leader="dot" w:pos="8630"/>
      </w:tabs>
      <w:ind w:left="630" w:hanging="430"/>
    </w:pPr>
    <w:rPr>
      <w:smallCaps/>
      <w:noProof/>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
    <w:name w:val="Body Text"/>
    <w:basedOn w:val="Normal"/>
    <w:rPr>
      <w:sz w:val="22"/>
    </w:rPr>
  </w:style>
  <w:style w:type="paragraph" w:styleId="BodyTextIndent">
    <w:name w:val="Body Text Indent"/>
    <w:basedOn w:val="Normal"/>
    <w:pPr>
      <w:ind w:left="360"/>
    </w:pPr>
    <w:rPr>
      <w:rFonts w:eastAsia="MS Mincho"/>
      <w:sz w:val="22"/>
    </w:rPr>
  </w:style>
  <w:style w:type="paragraph" w:styleId="BodyText2">
    <w:name w:val="Body Text 2"/>
    <w:basedOn w:val="Normal"/>
    <w:rPr>
      <w:sz w:val="18"/>
    </w:rPr>
  </w:style>
  <w:style w:type="paragraph" w:styleId="BodyTextIndent2">
    <w:name w:val="Body Text Indent 2"/>
    <w:basedOn w:val="Normal"/>
    <w:pPr>
      <w:ind w:left="360"/>
    </w:pPr>
  </w:style>
  <w:style w:type="character" w:styleId="CommentReference">
    <w:name w:val="annotation reference"/>
    <w:semiHidden/>
    <w:rsid w:val="00CF0783"/>
    <w:rPr>
      <w:sz w:val="16"/>
      <w:szCs w:val="16"/>
    </w:rPr>
  </w:style>
  <w:style w:type="paragraph" w:styleId="CommentText">
    <w:name w:val="annotation text"/>
    <w:basedOn w:val="Normal"/>
    <w:semiHidden/>
    <w:rsid w:val="00CF0783"/>
  </w:style>
  <w:style w:type="paragraph" w:styleId="CommentSubject">
    <w:name w:val="annotation subject"/>
    <w:basedOn w:val="CommentText"/>
    <w:next w:val="CommentText"/>
    <w:semiHidden/>
    <w:rsid w:val="00CF0783"/>
    <w:rPr>
      <w:b/>
      <w:bCs/>
    </w:rPr>
  </w:style>
  <w:style w:type="paragraph" w:styleId="BalloonText">
    <w:name w:val="Balloon Text"/>
    <w:basedOn w:val="Normal"/>
    <w:semiHidden/>
    <w:rsid w:val="00CF0783"/>
    <w:rPr>
      <w:rFonts w:ascii="Tahoma" w:hAnsi="Tahoma" w:cs="Tahoma"/>
      <w:sz w:val="16"/>
      <w:szCs w:val="16"/>
    </w:rPr>
  </w:style>
  <w:style w:type="character" w:customStyle="1" w:styleId="Heading2Char">
    <w:name w:val="Heading 2 Char"/>
    <w:link w:val="Heading2"/>
    <w:rsid w:val="002A1379"/>
    <w:rPr>
      <w:rFonts w:ascii="Times New Roman Bold" w:hAnsi="Times New Roman Bold"/>
      <w:b/>
      <w:sz w:val="22"/>
    </w:rPr>
  </w:style>
  <w:style w:type="paragraph" w:customStyle="1" w:styleId="Default">
    <w:name w:val="Default"/>
    <w:rsid w:val="002A1379"/>
    <w:pPr>
      <w:autoSpaceDE w:val="0"/>
      <w:autoSpaceDN w:val="0"/>
      <w:adjustRightInd w:val="0"/>
    </w:pPr>
    <w:rPr>
      <w:color w:val="000000"/>
      <w:sz w:val="24"/>
      <w:szCs w:val="24"/>
    </w:rPr>
  </w:style>
  <w:style w:type="character" w:customStyle="1" w:styleId="Heading3Char">
    <w:name w:val="Heading 3 Char"/>
    <w:link w:val="Heading3"/>
    <w:uiPriority w:val="9"/>
    <w:rsid w:val="00D7377B"/>
    <w:rPr>
      <w:rFonts w:ascii="Univers" w:hAnsi="Univers"/>
      <w:b/>
    </w:rPr>
  </w:style>
  <w:style w:type="character" w:customStyle="1" w:styleId="FooterChar">
    <w:name w:val="Footer Char"/>
    <w:link w:val="Footer"/>
    <w:uiPriority w:val="99"/>
    <w:rsid w:val="002D55D3"/>
  </w:style>
  <w:style w:type="paragraph" w:styleId="Revision">
    <w:name w:val="Revision"/>
    <w:hidden/>
    <w:uiPriority w:val="99"/>
    <w:semiHidden/>
    <w:rsid w:val="00B410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7310057970DC8948AEF3C8A6998CB6C5" ma:contentTypeVersion="9" ma:contentTypeDescription="Create a new document." ma:contentTypeScope="" ma:versionID="3af2319255e254382c04fe02e40544c3">
  <xsd:schema xmlns:xsd="http://www.w3.org/2001/XMLSchema" xmlns:xs="http://www.w3.org/2001/XMLSchema" xmlns:p="http://schemas.microsoft.com/office/2006/metadata/properties" xmlns:ns3="ee6f3757-21ba-4f2e-a59d-c299e74d655f" xmlns:ns4="f7687157-ed22-4e68-b55b-00a0d319b397" targetNamespace="http://schemas.microsoft.com/office/2006/metadata/properties" ma:root="true" ma:fieldsID="b80e7aa2ca6a74a96944496ea36ed9f4" ns3:_="" ns4:_="">
    <xsd:import namespace="ee6f3757-21ba-4f2e-a59d-c299e74d655f"/>
    <xsd:import namespace="f7687157-ed22-4e68-b55b-00a0d319b39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6f3757-21ba-4f2e-a59d-c299e74d65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687157-ed22-4e68-b55b-00a0d319b39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21130C-CD8A-4DE7-AD8D-961C3A0FA35C}">
  <ds:schemaRefs>
    <ds:schemaRef ds:uri="http://schemas.microsoft.com/sharepoint/v3/contenttype/forms"/>
  </ds:schemaRefs>
</ds:datastoreItem>
</file>

<file path=customXml/itemProps2.xml><?xml version="1.0" encoding="utf-8"?>
<ds:datastoreItem xmlns:ds="http://schemas.openxmlformats.org/officeDocument/2006/customXml" ds:itemID="{AF284AF3-528D-40D1-84D0-B0C34E93AB9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E88D6BD-B18F-431F-91CD-52711B2C6C23}">
  <ds:schemaRefs>
    <ds:schemaRef ds:uri="http://schemas.openxmlformats.org/officeDocument/2006/bibliography"/>
  </ds:schemaRefs>
</ds:datastoreItem>
</file>

<file path=customXml/itemProps4.xml><?xml version="1.0" encoding="utf-8"?>
<ds:datastoreItem xmlns:ds="http://schemas.openxmlformats.org/officeDocument/2006/customXml" ds:itemID="{4B91DE9D-9BE2-4DD4-BF10-BDBA04A66A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6f3757-21ba-4f2e-a59d-c299e74d655f"/>
    <ds:schemaRef ds:uri="f7687157-ed22-4e68-b55b-00a0d319b3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4548</Words>
  <Characters>25924</Characters>
  <Application>Microsoft Office Word</Application>
  <DocSecurity>8</DocSecurity>
  <Lines>216</Lines>
  <Paragraphs>60</Paragraphs>
  <ScaleCrop>false</ScaleCrop>
  <HeadingPairs>
    <vt:vector size="2" baseType="variant">
      <vt:variant>
        <vt:lpstr>Title</vt:lpstr>
      </vt:variant>
      <vt:variant>
        <vt:i4>1</vt:i4>
      </vt:variant>
    </vt:vector>
  </HeadingPairs>
  <TitlesOfParts>
    <vt:vector size="1" baseType="lpstr">
      <vt:lpstr>MONTANA DEQ - AIR QUALITY Permit - WBI Energy Transmission, Inc. -Hathaway Compressor Station</vt:lpstr>
    </vt:vector>
  </TitlesOfParts>
  <Company>MT Environmental Quality</Company>
  <LinksUpToDate>false</LinksUpToDate>
  <CharactersWithSpaces>30412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MONTANA DEQ - AIR QUALITY Permit - WBI Energy Transmission, Inc. -Hathaway Compressor Station</dc:title>
  <dc:subject>Permit #TRD1628-06</dc:subject>
  <dc:creator>Air Quality Burau/DEQ</dc:creator>
  <cp:keywords/>
  <cp:lastModifiedBy>Velasquez, Rina</cp:lastModifiedBy>
  <cp:revision>3</cp:revision>
  <cp:lastPrinted>2013-01-31T23:21:00Z</cp:lastPrinted>
  <dcterms:created xsi:type="dcterms:W3CDTF">2026-05-13T20:47:00Z</dcterms:created>
  <dcterms:modified xsi:type="dcterms:W3CDTF">2026-05-13T20:49:00Z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0x0101007310057970DC8948AEF3C8A6998CB6C5</vt:lpwstr>
  </property>
</Properties>
</file>