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BFC1" w14:textId="429B941B" w:rsidR="00D72FF4" w:rsidRDefault="006A45B2" w:rsidP="007D5174">
      <w:pPr>
        <w:tabs>
          <w:tab w:val="center" w:pos="4680"/>
        </w:tabs>
        <w:rPr>
          <w:sz w:val="21"/>
        </w:rPr>
      </w:pPr>
      <w:r w:rsidRPr="008811AA">
        <w:rPr>
          <w:rFonts w:asciiTheme="minorHAnsi" w:eastAsiaTheme="minorHAnsi" w:hAnsiTheme="minorHAnsi" w:cstheme="minorBidi"/>
          <w:noProof/>
          <w:szCs w:val="22"/>
        </w:rPr>
        <w:drawing>
          <wp:inline distT="0" distB="0" distL="0" distR="0" wp14:anchorId="658DB4BC" wp14:editId="6BCE8D30">
            <wp:extent cx="5943600" cy="758190"/>
            <wp:effectExtent l="0" t="0" r="0" b="3810"/>
            <wp:docPr id="7" name="Picture 7"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for Montana Department of Environmental Qual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58190"/>
                    </a:xfrm>
                    <a:prstGeom prst="rect">
                      <a:avLst/>
                    </a:prstGeom>
                    <a:noFill/>
                  </pic:spPr>
                </pic:pic>
              </a:graphicData>
            </a:graphic>
          </wp:inline>
        </w:drawing>
      </w:r>
    </w:p>
    <w:p w14:paraId="2C1C1237" w14:textId="7E19E60E" w:rsidR="00D72FF4" w:rsidRPr="007D5174" w:rsidRDefault="00D72FF4" w:rsidP="00D72FF4">
      <w:pPr>
        <w:tabs>
          <w:tab w:val="left" w:pos="-1440"/>
          <w:tab w:val="left" w:pos="-720"/>
          <w:tab w:val="left" w:pos="720"/>
          <w:tab w:val="left" w:pos="1440"/>
          <w:tab w:val="left" w:pos="2160"/>
          <w:tab w:val="left" w:pos="4680"/>
        </w:tabs>
        <w:rPr>
          <w:sz w:val="20"/>
        </w:rPr>
      </w:pPr>
    </w:p>
    <w:p w14:paraId="5CC86AB1" w14:textId="77777777" w:rsidR="00142E41" w:rsidRDefault="00142E41" w:rsidP="00D72FF4">
      <w:pPr>
        <w:tabs>
          <w:tab w:val="left" w:pos="1530"/>
        </w:tabs>
        <w:rPr>
          <w:szCs w:val="24"/>
        </w:rPr>
      </w:pPr>
    </w:p>
    <w:p w14:paraId="4BF38E7D" w14:textId="6042A307" w:rsidR="00D72FF4" w:rsidRPr="007D5174" w:rsidRDefault="00D72FF4" w:rsidP="00D72FF4">
      <w:pPr>
        <w:tabs>
          <w:tab w:val="left" w:pos="1530"/>
        </w:tabs>
        <w:rPr>
          <w:szCs w:val="24"/>
        </w:rPr>
      </w:pPr>
      <w:r w:rsidRPr="007D5174">
        <w:rPr>
          <w:szCs w:val="24"/>
        </w:rPr>
        <w:t xml:space="preserve">Date of </w:t>
      </w:r>
      <w:r w:rsidR="00E66489">
        <w:rPr>
          <w:szCs w:val="24"/>
        </w:rPr>
        <w:t>Posting</w:t>
      </w:r>
      <w:r w:rsidRPr="007D5174">
        <w:rPr>
          <w:szCs w:val="24"/>
        </w:rPr>
        <w:t xml:space="preserve">: </w:t>
      </w:r>
      <w:r w:rsidR="00F725C9">
        <w:rPr>
          <w:szCs w:val="24"/>
        </w:rPr>
        <w:t>May 19</w:t>
      </w:r>
      <w:r w:rsidR="002E6B05">
        <w:rPr>
          <w:szCs w:val="24"/>
        </w:rPr>
        <w:t>, 2026</w:t>
      </w:r>
    </w:p>
    <w:p w14:paraId="3CB101BA" w14:textId="77777777" w:rsidR="00483BD6" w:rsidRDefault="00483BD6" w:rsidP="00483BD6">
      <w:pPr>
        <w:tabs>
          <w:tab w:val="left" w:pos="-1440"/>
          <w:tab w:val="left" w:pos="720"/>
          <w:tab w:val="left" w:pos="1530"/>
          <w:tab w:val="left" w:pos="1890"/>
        </w:tabs>
        <w:rPr>
          <w:szCs w:val="24"/>
        </w:rPr>
      </w:pPr>
    </w:p>
    <w:p w14:paraId="7D320502" w14:textId="77777777" w:rsidR="00142E41" w:rsidRDefault="00142E41" w:rsidP="00483BD6">
      <w:pPr>
        <w:tabs>
          <w:tab w:val="left" w:pos="-1440"/>
          <w:tab w:val="left" w:pos="720"/>
          <w:tab w:val="left" w:pos="1530"/>
          <w:tab w:val="left" w:pos="1890"/>
        </w:tabs>
        <w:rPr>
          <w:szCs w:val="24"/>
        </w:rPr>
      </w:pPr>
    </w:p>
    <w:p w14:paraId="7DB68ABD" w14:textId="149F2306" w:rsidR="00483BD6" w:rsidRPr="00483BD6" w:rsidRDefault="00483BD6" w:rsidP="00483BD6">
      <w:pPr>
        <w:tabs>
          <w:tab w:val="left" w:pos="-1440"/>
          <w:tab w:val="left" w:pos="720"/>
          <w:tab w:val="left" w:pos="1530"/>
          <w:tab w:val="left" w:pos="1890"/>
        </w:tabs>
        <w:rPr>
          <w:szCs w:val="24"/>
        </w:rPr>
      </w:pPr>
      <w:r w:rsidRPr="00483BD6">
        <w:rPr>
          <w:szCs w:val="24"/>
        </w:rPr>
        <w:t>Name of Permittee</w:t>
      </w:r>
      <w:r w:rsidR="00B03F8F" w:rsidRPr="00483BD6">
        <w:rPr>
          <w:szCs w:val="24"/>
        </w:rPr>
        <w:t xml:space="preserve">: </w:t>
      </w:r>
      <w:r w:rsidR="002B368C">
        <w:rPr>
          <w:szCs w:val="24"/>
        </w:rPr>
        <w:t>Affordable Funeral &amp; Cremation Services</w:t>
      </w:r>
    </w:p>
    <w:p w14:paraId="5EF56F51" w14:textId="77777777" w:rsidR="00483BD6" w:rsidRPr="00483BD6" w:rsidRDefault="00483BD6" w:rsidP="00483BD6">
      <w:pPr>
        <w:tabs>
          <w:tab w:val="left" w:pos="-1440"/>
          <w:tab w:val="left" w:pos="-720"/>
          <w:tab w:val="left" w:pos="720"/>
          <w:tab w:val="left" w:pos="1440"/>
          <w:tab w:val="left" w:pos="2160"/>
          <w:tab w:val="left" w:pos="4680"/>
        </w:tabs>
        <w:rPr>
          <w:szCs w:val="24"/>
        </w:rPr>
      </w:pPr>
    </w:p>
    <w:p w14:paraId="08BC5D9B" w14:textId="02872202" w:rsidR="00483BD6" w:rsidRPr="00483BD6" w:rsidRDefault="00483BD6" w:rsidP="00483BD6">
      <w:pPr>
        <w:tabs>
          <w:tab w:val="left" w:pos="-1440"/>
          <w:tab w:val="left" w:pos="-720"/>
          <w:tab w:val="left" w:pos="720"/>
          <w:tab w:val="left" w:pos="1440"/>
          <w:tab w:val="left" w:pos="2160"/>
          <w:tab w:val="left" w:pos="4680"/>
        </w:tabs>
        <w:rPr>
          <w:szCs w:val="24"/>
        </w:rPr>
      </w:pPr>
      <w:r w:rsidRPr="00483BD6">
        <w:rPr>
          <w:szCs w:val="24"/>
        </w:rPr>
        <w:t>Facility Name</w:t>
      </w:r>
      <w:r w:rsidR="00B03F8F" w:rsidRPr="00483BD6">
        <w:rPr>
          <w:szCs w:val="24"/>
        </w:rPr>
        <w:t xml:space="preserve">: </w:t>
      </w:r>
      <w:r w:rsidR="002B368C">
        <w:rPr>
          <w:szCs w:val="24"/>
        </w:rPr>
        <w:t xml:space="preserve">Companion Pet </w:t>
      </w:r>
      <w:r w:rsidR="005A0365">
        <w:rPr>
          <w:szCs w:val="24"/>
        </w:rPr>
        <w:t>Cremation</w:t>
      </w:r>
    </w:p>
    <w:p w14:paraId="3D5FBB5B" w14:textId="77777777" w:rsidR="00483BD6" w:rsidRPr="00483BD6" w:rsidRDefault="00483BD6" w:rsidP="00483BD6">
      <w:pPr>
        <w:tabs>
          <w:tab w:val="left" w:pos="-1440"/>
          <w:tab w:val="left" w:pos="-720"/>
          <w:tab w:val="left" w:pos="720"/>
          <w:tab w:val="left" w:pos="1440"/>
          <w:tab w:val="left" w:pos="2160"/>
          <w:tab w:val="left" w:pos="4680"/>
        </w:tabs>
        <w:rPr>
          <w:szCs w:val="24"/>
        </w:rPr>
      </w:pPr>
    </w:p>
    <w:p w14:paraId="43ABB105" w14:textId="28D89B28" w:rsidR="00483BD6" w:rsidRDefault="00483BD6" w:rsidP="00483BD6">
      <w:pPr>
        <w:tabs>
          <w:tab w:val="left" w:pos="-1440"/>
          <w:tab w:val="left" w:pos="-720"/>
          <w:tab w:val="left" w:pos="720"/>
          <w:tab w:val="left" w:pos="1440"/>
          <w:tab w:val="left" w:pos="2160"/>
          <w:tab w:val="left" w:pos="4680"/>
        </w:tabs>
        <w:rPr>
          <w:szCs w:val="24"/>
        </w:rPr>
      </w:pPr>
      <w:r w:rsidRPr="00483BD6">
        <w:rPr>
          <w:szCs w:val="24"/>
        </w:rPr>
        <w:t xml:space="preserve">Physical Site Location (Address): </w:t>
      </w:r>
      <w:r w:rsidR="00FA5D42">
        <w:rPr>
          <w:szCs w:val="24"/>
        </w:rPr>
        <w:t>1548 MT Hwy 278, Dillon, MT 59725</w:t>
      </w:r>
    </w:p>
    <w:p w14:paraId="7032E395" w14:textId="77777777" w:rsidR="00554ABE" w:rsidRPr="00483BD6" w:rsidRDefault="00554ABE" w:rsidP="00483BD6">
      <w:pPr>
        <w:tabs>
          <w:tab w:val="left" w:pos="-1440"/>
          <w:tab w:val="left" w:pos="-720"/>
          <w:tab w:val="left" w:pos="720"/>
          <w:tab w:val="left" w:pos="1440"/>
          <w:tab w:val="left" w:pos="2160"/>
          <w:tab w:val="left" w:pos="4680"/>
        </w:tabs>
        <w:rPr>
          <w:szCs w:val="24"/>
        </w:rPr>
      </w:pPr>
    </w:p>
    <w:p w14:paraId="2CB2F1E5" w14:textId="4C52BF73" w:rsidR="00483BD6" w:rsidRPr="00483BD6" w:rsidRDefault="00483BD6" w:rsidP="00483BD6">
      <w:pPr>
        <w:tabs>
          <w:tab w:val="left" w:pos="-1440"/>
          <w:tab w:val="left" w:pos="-720"/>
          <w:tab w:val="left" w:pos="720"/>
          <w:tab w:val="left" w:pos="1440"/>
          <w:tab w:val="left" w:pos="2160"/>
          <w:tab w:val="left" w:pos="4680"/>
        </w:tabs>
        <w:rPr>
          <w:b/>
          <w:bCs/>
          <w:color w:val="000000"/>
          <w:szCs w:val="24"/>
        </w:rPr>
      </w:pPr>
      <w:r w:rsidRPr="00483BD6">
        <w:rPr>
          <w:szCs w:val="24"/>
        </w:rPr>
        <w:t xml:space="preserve">Sent via email: </w:t>
      </w:r>
      <w:hyperlink r:id="rId8" w:history="1">
        <w:r w:rsidR="00B45F95" w:rsidRPr="00A95BC0">
          <w:rPr>
            <w:rStyle w:val="Hyperlink"/>
          </w:rPr>
          <w:t>bryan@affordable-fcs.com</w:t>
        </w:r>
      </w:hyperlink>
      <w:r w:rsidR="00B45F95">
        <w:t xml:space="preserve"> </w:t>
      </w:r>
    </w:p>
    <w:p w14:paraId="706B8E8E" w14:textId="77777777" w:rsidR="00D72FF4" w:rsidRDefault="00D72FF4" w:rsidP="00D72FF4">
      <w:pPr>
        <w:tabs>
          <w:tab w:val="left" w:pos="-1440"/>
          <w:tab w:val="left" w:pos="-720"/>
          <w:tab w:val="left" w:pos="720"/>
          <w:tab w:val="left" w:pos="1440"/>
          <w:tab w:val="left" w:pos="2160"/>
          <w:tab w:val="left" w:pos="4680"/>
        </w:tabs>
        <w:rPr>
          <w:sz w:val="20"/>
        </w:rPr>
      </w:pPr>
    </w:p>
    <w:p w14:paraId="1688A727" w14:textId="77777777" w:rsidR="00A32EC7" w:rsidRPr="00CE2DAC" w:rsidRDefault="00A32EC7" w:rsidP="00A32EC7">
      <w:pPr>
        <w:tabs>
          <w:tab w:val="left" w:pos="-1440"/>
          <w:tab w:val="left" w:pos="-720"/>
          <w:tab w:val="left" w:pos="0"/>
          <w:tab w:val="left" w:pos="720"/>
          <w:tab w:val="left" w:pos="1440"/>
          <w:tab w:val="left" w:pos="2160"/>
        </w:tabs>
        <w:rPr>
          <w:b/>
          <w:bCs/>
          <w:szCs w:val="24"/>
        </w:rPr>
      </w:pPr>
      <w:r w:rsidRPr="00CE2DAC">
        <w:rPr>
          <w:b/>
          <w:bCs/>
          <w:szCs w:val="24"/>
        </w:rPr>
        <w:t>RE: Department Decision and Final Environmental Assessment</w:t>
      </w:r>
      <w:r w:rsidRPr="00CE2DAC">
        <w:rPr>
          <w:b/>
          <w:bCs/>
          <w:color w:val="000000"/>
          <w:szCs w:val="24"/>
        </w:rPr>
        <w:t xml:space="preserve"> </w:t>
      </w:r>
      <w:r w:rsidRPr="00CE2DAC">
        <w:rPr>
          <w:b/>
          <w:bCs/>
          <w:szCs w:val="24"/>
        </w:rPr>
        <w:t>on MAQP Application #</w:t>
      </w:r>
      <w:r>
        <w:rPr>
          <w:b/>
          <w:bCs/>
          <w:szCs w:val="24"/>
        </w:rPr>
        <w:t>5350</w:t>
      </w:r>
      <w:r w:rsidRPr="00CE2DAC">
        <w:rPr>
          <w:b/>
          <w:bCs/>
          <w:szCs w:val="24"/>
        </w:rPr>
        <w:t>-</w:t>
      </w:r>
      <w:r>
        <w:rPr>
          <w:b/>
          <w:bCs/>
          <w:szCs w:val="24"/>
        </w:rPr>
        <w:t>00</w:t>
      </w:r>
    </w:p>
    <w:p w14:paraId="13813B71" w14:textId="77777777" w:rsidR="00A32EC7" w:rsidRPr="00CE2DAC" w:rsidRDefault="00A32EC7" w:rsidP="00A32EC7">
      <w:pPr>
        <w:tabs>
          <w:tab w:val="left" w:pos="-1440"/>
          <w:tab w:val="left" w:pos="-720"/>
          <w:tab w:val="left" w:pos="720"/>
          <w:tab w:val="left" w:pos="1440"/>
          <w:tab w:val="left" w:pos="2160"/>
          <w:tab w:val="left" w:pos="4680"/>
        </w:tabs>
        <w:rPr>
          <w:szCs w:val="24"/>
        </w:rPr>
      </w:pPr>
    </w:p>
    <w:p w14:paraId="5FD22156" w14:textId="77777777" w:rsidR="00A32EC7" w:rsidRPr="00CE2DAC" w:rsidRDefault="00A32EC7" w:rsidP="00A32EC7">
      <w:pPr>
        <w:tabs>
          <w:tab w:val="left" w:pos="-1440"/>
          <w:tab w:val="left" w:pos="-720"/>
          <w:tab w:val="left" w:pos="720"/>
          <w:tab w:val="left" w:pos="1440"/>
          <w:tab w:val="left" w:pos="2160"/>
          <w:tab w:val="left" w:pos="4680"/>
        </w:tabs>
        <w:rPr>
          <w:szCs w:val="24"/>
        </w:rPr>
      </w:pPr>
      <w:r w:rsidRPr="00CE2DAC">
        <w:rPr>
          <w:szCs w:val="24"/>
        </w:rPr>
        <w:t>The Montana Department of Environmental Quality (DEQ) has issued a Decision, with conditions, on Montana Air Quality Permit (MAQP) application #</w:t>
      </w:r>
      <w:r>
        <w:rPr>
          <w:szCs w:val="24"/>
        </w:rPr>
        <w:t>5350</w:t>
      </w:r>
      <w:r w:rsidRPr="00CE2DAC">
        <w:rPr>
          <w:szCs w:val="24"/>
        </w:rPr>
        <w:t>-</w:t>
      </w:r>
      <w:r>
        <w:rPr>
          <w:szCs w:val="24"/>
        </w:rPr>
        <w:t>00</w:t>
      </w:r>
      <w:r w:rsidRPr="00CE2DAC">
        <w:rPr>
          <w:szCs w:val="24"/>
        </w:rPr>
        <w:t xml:space="preserve"> for the above-named permittee. DEQ has also issued a final Decision on the associated Environmental Assessment (EA) prepared under the Montana Environmental Policy Act (“MEPA”).  </w:t>
      </w:r>
    </w:p>
    <w:p w14:paraId="1B55BE6E" w14:textId="77777777" w:rsidR="00A32EC7" w:rsidRPr="00CE2DAC" w:rsidRDefault="00A32EC7" w:rsidP="00A32EC7">
      <w:pPr>
        <w:tabs>
          <w:tab w:val="left" w:pos="-1440"/>
          <w:tab w:val="left" w:pos="-720"/>
          <w:tab w:val="left" w:pos="720"/>
          <w:tab w:val="left" w:pos="1440"/>
          <w:tab w:val="left" w:pos="2160"/>
          <w:tab w:val="left" w:pos="4680"/>
        </w:tabs>
        <w:rPr>
          <w:szCs w:val="24"/>
        </w:rPr>
      </w:pPr>
    </w:p>
    <w:p w14:paraId="437741CD" w14:textId="77777777" w:rsidR="00A32EC7" w:rsidRPr="00CE2DAC" w:rsidRDefault="00A32EC7" w:rsidP="00A32EC7">
      <w:pPr>
        <w:rPr>
          <w:szCs w:val="24"/>
        </w:rPr>
      </w:pPr>
      <w:r w:rsidRPr="00CE2DAC">
        <w:rPr>
          <w:szCs w:val="24"/>
        </w:rPr>
        <w:t>The Decision may be appealed to the Board of Environmental Review (Board).  A request for a hearing on DEQ’s Decision on MAQP application #</w:t>
      </w:r>
      <w:r>
        <w:rPr>
          <w:szCs w:val="24"/>
        </w:rPr>
        <w:t>5350</w:t>
      </w:r>
      <w:r w:rsidRPr="00CE2DAC">
        <w:rPr>
          <w:szCs w:val="24"/>
        </w:rPr>
        <w:t>-</w:t>
      </w:r>
      <w:r>
        <w:rPr>
          <w:szCs w:val="24"/>
        </w:rPr>
        <w:t>00</w:t>
      </w:r>
      <w:r w:rsidRPr="00CE2DAC">
        <w:rPr>
          <w:szCs w:val="24"/>
        </w:rPr>
        <w:t xml:space="preserve"> </w:t>
      </w:r>
      <w:bookmarkStart w:id="0" w:name="_Hlk224296374"/>
      <w:bookmarkStart w:id="1" w:name="Text34"/>
      <w:r w:rsidRPr="00CE2DAC">
        <w:rPr>
          <w:rFonts w:eastAsia="Aptos" w:cstheme="minorHAnsi"/>
          <w:color w:val="333333"/>
          <w:szCs w:val="24"/>
          <w:shd w:val="clear" w:color="auto" w:fill="FFFFFF"/>
        </w:rPr>
        <w:t>must be filed within 15 days after DEQ renders its Decision</w:t>
      </w:r>
      <w:bookmarkEnd w:id="0"/>
      <w:bookmarkEnd w:id="1"/>
      <w:r w:rsidRPr="00CE2DAC">
        <w:rPr>
          <w:szCs w:val="24"/>
        </w:rPr>
        <w:t xml:space="preserve">.  </w:t>
      </w:r>
      <w:r w:rsidRPr="00CE2DAC">
        <w:rPr>
          <w:rFonts w:cstheme="minorHAnsi"/>
          <w:szCs w:val="24"/>
        </w:rPr>
        <w:t xml:space="preserve">A request for a hearing must be filed by </w:t>
      </w:r>
      <w:r>
        <w:rPr>
          <w:szCs w:val="24"/>
        </w:rPr>
        <w:t>June 3, 2026</w:t>
      </w:r>
      <w:r w:rsidRPr="00CE2DAC">
        <w:rPr>
          <w:rFonts w:cstheme="minorHAnsi"/>
          <w:szCs w:val="24"/>
        </w:rPr>
        <w:t xml:space="preserve">.  This permit shall become final and effective on </w:t>
      </w:r>
      <w:r>
        <w:rPr>
          <w:szCs w:val="24"/>
        </w:rPr>
        <w:t>June 4, 2026</w:t>
      </w:r>
      <w:r w:rsidRPr="00CE2DAC">
        <w:rPr>
          <w:rFonts w:cstheme="minorHAnsi"/>
          <w:szCs w:val="24"/>
        </w:rPr>
        <w:t xml:space="preserve">, unless the Board orders a stay on the permit. </w:t>
      </w:r>
      <w:r w:rsidRPr="00CE2DAC">
        <w:rPr>
          <w:szCs w:val="24"/>
        </w:rPr>
        <w:t xml:space="preserve"> </w:t>
      </w:r>
    </w:p>
    <w:p w14:paraId="51242605" w14:textId="77777777" w:rsidR="00A32EC7" w:rsidRPr="00CE2DAC" w:rsidRDefault="00A32EC7" w:rsidP="00A32EC7">
      <w:pPr>
        <w:rPr>
          <w:szCs w:val="24"/>
        </w:rPr>
      </w:pPr>
    </w:p>
    <w:p w14:paraId="72D371C5" w14:textId="77777777" w:rsidR="00A32EC7" w:rsidRPr="00CE2DAC" w:rsidRDefault="00A32EC7" w:rsidP="00A32EC7">
      <w:pPr>
        <w:rPr>
          <w:rFonts w:eastAsia="Aptos" w:cstheme="minorHAnsi"/>
          <w:color w:val="333333"/>
          <w:szCs w:val="24"/>
          <w:shd w:val="clear" w:color="auto" w:fill="FFFFFF"/>
        </w:rPr>
      </w:pPr>
      <w:r w:rsidRPr="00CE2DAC">
        <w:rPr>
          <w:szCs w:val="24"/>
        </w:rPr>
        <w:t xml:space="preserve">The final Decision on the </w:t>
      </w:r>
      <w:bookmarkStart w:id="2" w:name="_Hlk224292529"/>
      <w:r w:rsidRPr="00CE2DAC">
        <w:rPr>
          <w:szCs w:val="24"/>
        </w:rPr>
        <w:t>EA</w:t>
      </w:r>
      <w:bookmarkEnd w:id="2"/>
      <w:r w:rsidRPr="00CE2DAC">
        <w:rPr>
          <w:szCs w:val="24"/>
        </w:rPr>
        <w:t xml:space="preserve"> </w:t>
      </w:r>
      <w:r w:rsidRPr="00CE2DAC">
        <w:rPr>
          <w:rFonts w:eastAsia="Aptos"/>
          <w:kern w:val="2"/>
          <w:szCs w:val="24"/>
          <w14:ligatures w14:val="standardContextual"/>
        </w:rPr>
        <w:t>may be appealed to</w:t>
      </w:r>
      <w:r w:rsidRPr="00CE2DAC">
        <w:rPr>
          <w:szCs w:val="24"/>
        </w:rPr>
        <w:t xml:space="preserve"> the appropriate court of jurisdiction. A request </w:t>
      </w:r>
      <w:proofErr w:type="gramStart"/>
      <w:r w:rsidRPr="00CE2DAC">
        <w:rPr>
          <w:szCs w:val="24"/>
        </w:rPr>
        <w:t>for hearing on</w:t>
      </w:r>
      <w:proofErr w:type="gramEnd"/>
      <w:r w:rsidRPr="00CE2DAC">
        <w:rPr>
          <w:szCs w:val="24"/>
        </w:rPr>
        <w:t xml:space="preserve"> DEQ’s final Decision on the EA </w:t>
      </w:r>
      <w:r w:rsidRPr="00CE2DAC">
        <w:rPr>
          <w:rFonts w:eastAsia="Aptos" w:cstheme="minorHAnsi"/>
          <w:color w:val="333333"/>
          <w:szCs w:val="24"/>
          <w:shd w:val="clear" w:color="auto" w:fill="FFFFFF"/>
        </w:rPr>
        <w:t xml:space="preserve">must be filed within 60 days after DEQ renders its final Decision on the EA. </w:t>
      </w:r>
      <w:r w:rsidRPr="00CE2DAC">
        <w:rPr>
          <w:rFonts w:cstheme="minorHAnsi"/>
          <w:szCs w:val="24"/>
        </w:rPr>
        <w:t xml:space="preserve">A request for a hearing must be filed by </w:t>
      </w:r>
      <w:r>
        <w:rPr>
          <w:szCs w:val="24"/>
        </w:rPr>
        <w:t>July 20, 2026</w:t>
      </w:r>
      <w:r w:rsidRPr="00CE2DAC">
        <w:rPr>
          <w:szCs w:val="24"/>
        </w:rPr>
        <w:t>.</w:t>
      </w:r>
    </w:p>
    <w:p w14:paraId="34C0783F" w14:textId="77777777" w:rsidR="00A32EC7" w:rsidRPr="00CE2DAC" w:rsidRDefault="00A32EC7" w:rsidP="00A32EC7">
      <w:pPr>
        <w:tabs>
          <w:tab w:val="left" w:pos="-1440"/>
          <w:tab w:val="left" w:pos="-720"/>
          <w:tab w:val="left" w:pos="720"/>
          <w:tab w:val="left" w:pos="1440"/>
          <w:tab w:val="left" w:pos="2160"/>
          <w:tab w:val="left" w:pos="4680"/>
        </w:tabs>
        <w:rPr>
          <w:szCs w:val="24"/>
        </w:rPr>
      </w:pPr>
    </w:p>
    <w:p w14:paraId="56D1CF18" w14:textId="77777777" w:rsidR="00A32EC7" w:rsidRPr="00CE2DAC" w:rsidRDefault="00A32EC7" w:rsidP="00A32EC7">
      <w:pPr>
        <w:rPr>
          <w:szCs w:val="24"/>
        </w:rPr>
      </w:pPr>
      <w:r w:rsidRPr="00CE2DAC">
        <w:rPr>
          <w:szCs w:val="24"/>
          <w:u w:val="single"/>
        </w:rPr>
        <w:t>Procedures for Appeal</w:t>
      </w:r>
      <w:r w:rsidRPr="00CE2DAC">
        <w:rPr>
          <w:szCs w:val="24"/>
        </w:rPr>
        <w:t xml:space="preserve">: </w:t>
      </w:r>
      <w:bookmarkStart w:id="3" w:name="_Hlk78802201"/>
      <w:bookmarkStart w:id="4" w:name="_Hlk79679091"/>
      <w:r w:rsidRPr="00CE2DAC">
        <w:rPr>
          <w:szCs w:val="24"/>
        </w:rPr>
        <w:t xml:space="preserve">The appeal process for the MAQP and EA are informed by separate and distinct statutory processes, as follows. </w:t>
      </w:r>
    </w:p>
    <w:p w14:paraId="4A02AD20" w14:textId="77777777" w:rsidR="00A32EC7" w:rsidRPr="00CE2DAC" w:rsidRDefault="00A32EC7" w:rsidP="00A32EC7">
      <w:pPr>
        <w:tabs>
          <w:tab w:val="left" w:pos="-1440"/>
          <w:tab w:val="left" w:pos="-720"/>
          <w:tab w:val="left" w:pos="720"/>
          <w:tab w:val="left" w:pos="1440"/>
          <w:tab w:val="left" w:pos="2160"/>
          <w:tab w:val="left" w:pos="4680"/>
        </w:tabs>
        <w:rPr>
          <w:szCs w:val="24"/>
        </w:rPr>
      </w:pPr>
    </w:p>
    <w:p w14:paraId="63B8838F" w14:textId="77777777" w:rsidR="00A32EC7" w:rsidRPr="00CE2DAC" w:rsidRDefault="00A32EC7" w:rsidP="00A32EC7">
      <w:pPr>
        <w:tabs>
          <w:tab w:val="left" w:pos="-1440"/>
          <w:tab w:val="left" w:pos="-720"/>
          <w:tab w:val="left" w:pos="720"/>
          <w:tab w:val="left" w:pos="1440"/>
          <w:tab w:val="left" w:pos="2160"/>
          <w:tab w:val="left" w:pos="4680"/>
        </w:tabs>
        <w:rPr>
          <w:szCs w:val="24"/>
        </w:rPr>
      </w:pPr>
      <w:r w:rsidRPr="00CE2DAC">
        <w:rPr>
          <w:szCs w:val="24"/>
        </w:rPr>
        <w:t xml:space="preserve">Montana Air Quality Permit (MAQP). </w:t>
      </w:r>
      <w:r w:rsidRPr="00CE2DAC">
        <w:rPr>
          <w:rFonts w:cs="Helvetica"/>
          <w:color w:val="333333"/>
          <w:szCs w:val="24"/>
          <w:shd w:val="clear" w:color="auto" w:fill="FFFFFF"/>
        </w:rPr>
        <w:t>Any person who is directly and adversely affected by DEQ’s Decision may request a hearing before the Board</w:t>
      </w:r>
      <w:bookmarkEnd w:id="3"/>
      <w:bookmarkEnd w:id="4"/>
      <w:r w:rsidRPr="00CE2DAC">
        <w:rPr>
          <w:szCs w:val="24"/>
        </w:rPr>
        <w:t>.  The appeal must be filed by the date that will be stated in the Decision.  The request for a hearing must contain an affidavit setting forth the grounds for the request.  The hearing will be held under the provisions of the Montana Administrative Procedures Act.  Submit requests for a hearing to: Chairman, Board of Environmental Review, P.O. Box 200901, Helena, MT 59620</w:t>
      </w:r>
      <w:bookmarkStart w:id="5" w:name="_Hlk78802168"/>
      <w:r w:rsidRPr="00CE2DAC">
        <w:rPr>
          <w:szCs w:val="24"/>
        </w:rPr>
        <w:t xml:space="preserve">, or the Board Secretary: </w:t>
      </w:r>
      <w:bookmarkEnd w:id="5"/>
      <w:r w:rsidRPr="00CE2DAC">
        <w:rPr>
          <w:rFonts w:cs="Calibri Light"/>
          <w:szCs w:val="24"/>
        </w:rPr>
        <w:fldChar w:fldCharType="begin"/>
      </w:r>
      <w:r w:rsidRPr="00CE2DAC">
        <w:rPr>
          <w:rFonts w:cs="Calibri Light"/>
          <w:szCs w:val="24"/>
        </w:rPr>
        <w:instrText xml:space="preserve"> HYPERLINK "mailto:DEQBERSecretary@mt.gov" </w:instrText>
      </w:r>
      <w:r w:rsidRPr="00CE2DAC">
        <w:rPr>
          <w:rFonts w:cs="Calibri Light"/>
          <w:szCs w:val="24"/>
        </w:rPr>
      </w:r>
      <w:r w:rsidRPr="00CE2DAC">
        <w:rPr>
          <w:rFonts w:cs="Calibri Light"/>
          <w:szCs w:val="24"/>
        </w:rPr>
        <w:fldChar w:fldCharType="separate"/>
      </w:r>
      <w:r w:rsidRPr="00CE2DAC">
        <w:rPr>
          <w:rStyle w:val="Hyperlink"/>
          <w:rFonts w:cs="Calibri Light"/>
          <w:szCs w:val="24"/>
        </w:rPr>
        <w:t>DEQBERSecretary@mt.gov</w:t>
      </w:r>
      <w:r w:rsidRPr="00CE2DAC">
        <w:rPr>
          <w:rFonts w:cs="Calibri Light"/>
          <w:szCs w:val="24"/>
        </w:rPr>
        <w:fldChar w:fldCharType="end"/>
      </w:r>
      <w:r w:rsidRPr="00CE2DAC">
        <w:rPr>
          <w:szCs w:val="24"/>
        </w:rPr>
        <w:t>.</w:t>
      </w:r>
    </w:p>
    <w:p w14:paraId="389BE41C" w14:textId="77777777" w:rsidR="00A32EC7" w:rsidRPr="00CE2DAC" w:rsidRDefault="00A32EC7" w:rsidP="00A32EC7">
      <w:pPr>
        <w:tabs>
          <w:tab w:val="left" w:pos="-1440"/>
          <w:tab w:val="left" w:pos="-720"/>
          <w:tab w:val="left" w:pos="720"/>
          <w:tab w:val="left" w:pos="1440"/>
          <w:tab w:val="left" w:pos="2160"/>
          <w:tab w:val="left" w:pos="4680"/>
        </w:tabs>
        <w:rPr>
          <w:szCs w:val="24"/>
        </w:rPr>
      </w:pPr>
    </w:p>
    <w:p w14:paraId="4F8AD3DF" w14:textId="77777777" w:rsidR="00A32EC7" w:rsidRPr="00CE2DAC" w:rsidRDefault="00A32EC7" w:rsidP="00A32EC7">
      <w:pPr>
        <w:keepNext/>
        <w:keepLines/>
        <w:rPr>
          <w:rFonts w:cs="Calibri Light"/>
          <w:szCs w:val="24"/>
        </w:rPr>
      </w:pPr>
      <w:r w:rsidRPr="00CE2DAC">
        <w:rPr>
          <w:rFonts w:eastAsia="Aptos"/>
          <w:kern w:val="2"/>
          <w:szCs w:val="24"/>
          <w14:ligatures w14:val="standardContextual"/>
        </w:rPr>
        <w:lastRenderedPageBreak/>
        <w:t xml:space="preserve">Environmental Assessment (EA). A challenge to DEQ’s final Decision on the EA </w:t>
      </w:r>
      <w:r w:rsidRPr="00CE2DAC">
        <w:rPr>
          <w:szCs w:val="24"/>
        </w:rPr>
        <w:t xml:space="preserve">may only be brought in district court or in federal court, whichever is appropriate. A challenge may only be brought by a person who submits formal comments on DEQ’s draft EA prior to the issuance of the agency’s final decision on the EA, and the challenge must be limited to those issues raised in those comments. </w:t>
      </w:r>
      <w:r w:rsidRPr="00CE2DAC">
        <w:rPr>
          <w:rFonts w:eastAsia="Aptos"/>
          <w:kern w:val="2"/>
          <w:szCs w:val="24"/>
          <w14:ligatures w14:val="standardContextual"/>
        </w:rPr>
        <w:t>Any action or proceeding challenging a final agency action alleging failure to comply with or inadequate compliance with a requirement of MEPA must be brought by the date identified above.</w:t>
      </w:r>
    </w:p>
    <w:p w14:paraId="1BEEF9B7" w14:textId="77777777" w:rsidR="00A32EC7" w:rsidRPr="00CE2DAC" w:rsidRDefault="00A32EC7" w:rsidP="00A32EC7">
      <w:pPr>
        <w:tabs>
          <w:tab w:val="left" w:pos="-1440"/>
          <w:tab w:val="left" w:pos="-720"/>
          <w:tab w:val="left" w:pos="720"/>
          <w:tab w:val="left" w:pos="1440"/>
          <w:tab w:val="left" w:pos="2160"/>
          <w:tab w:val="left" w:pos="4680"/>
        </w:tabs>
        <w:ind w:right="720"/>
        <w:rPr>
          <w:szCs w:val="24"/>
        </w:rPr>
      </w:pPr>
    </w:p>
    <w:p w14:paraId="39EEA3F1" w14:textId="432B5D4B" w:rsidR="00A32EC7" w:rsidRPr="00CE2DAC" w:rsidRDefault="00A32EC7" w:rsidP="00A32EC7">
      <w:pPr>
        <w:keepNext/>
        <w:keepLines/>
        <w:tabs>
          <w:tab w:val="left" w:pos="-1440"/>
          <w:tab w:val="left" w:pos="-720"/>
          <w:tab w:val="left" w:pos="720"/>
          <w:tab w:val="left" w:pos="1440"/>
          <w:tab w:val="left" w:pos="2160"/>
          <w:tab w:val="left" w:pos="4680"/>
        </w:tabs>
        <w:ind w:right="720"/>
        <w:rPr>
          <w:szCs w:val="24"/>
        </w:rPr>
      </w:pPr>
      <w:r w:rsidRPr="00CE2DAC">
        <w:rPr>
          <w:szCs w:val="24"/>
          <w:u w:val="single"/>
        </w:rPr>
        <w:t>Conditions:</w:t>
      </w:r>
      <w:r w:rsidRPr="00CE2DAC">
        <w:rPr>
          <w:szCs w:val="24"/>
        </w:rPr>
        <w:t xml:space="preserve"> See attached Decision on MAQP #</w:t>
      </w:r>
      <w:r>
        <w:rPr>
          <w:szCs w:val="24"/>
        </w:rPr>
        <w:t>5350</w:t>
      </w:r>
      <w:r w:rsidRPr="00CE2DAC">
        <w:rPr>
          <w:szCs w:val="24"/>
        </w:rPr>
        <w:t>-</w:t>
      </w:r>
      <w:r>
        <w:rPr>
          <w:szCs w:val="24"/>
        </w:rPr>
        <w:t>00</w:t>
      </w:r>
      <w:r w:rsidRPr="00CE2DAC">
        <w:rPr>
          <w:szCs w:val="24"/>
        </w:rPr>
        <w:t>.</w:t>
      </w:r>
    </w:p>
    <w:p w14:paraId="131432D0" w14:textId="77777777" w:rsidR="00A32EC7" w:rsidRPr="00CE2DAC" w:rsidRDefault="00A32EC7" w:rsidP="00A32EC7">
      <w:pPr>
        <w:keepNext/>
        <w:keepLines/>
        <w:tabs>
          <w:tab w:val="left" w:pos="-1440"/>
          <w:tab w:val="left" w:pos="-720"/>
          <w:tab w:val="left" w:pos="720"/>
          <w:tab w:val="left" w:pos="1440"/>
          <w:tab w:val="left" w:pos="2160"/>
          <w:tab w:val="left" w:pos="4680"/>
        </w:tabs>
        <w:ind w:right="720"/>
        <w:rPr>
          <w:szCs w:val="24"/>
        </w:rPr>
      </w:pPr>
    </w:p>
    <w:p w14:paraId="08EE1C60" w14:textId="77777777" w:rsidR="00A32EC7" w:rsidRPr="00CE2DAC" w:rsidRDefault="00A32EC7" w:rsidP="00A32EC7">
      <w:pPr>
        <w:keepNext/>
        <w:keepLines/>
        <w:tabs>
          <w:tab w:val="left" w:pos="-1440"/>
          <w:tab w:val="left" w:pos="-720"/>
          <w:tab w:val="left" w:pos="720"/>
          <w:tab w:val="left" w:pos="1440"/>
          <w:tab w:val="left" w:pos="2160"/>
          <w:tab w:val="left" w:pos="4680"/>
        </w:tabs>
        <w:ind w:right="720"/>
        <w:rPr>
          <w:szCs w:val="24"/>
        </w:rPr>
      </w:pPr>
    </w:p>
    <w:p w14:paraId="1264848A" w14:textId="4111EF9C" w:rsidR="002E0BEB" w:rsidRPr="006F6E80" w:rsidRDefault="00A32EC7" w:rsidP="00272A0E">
      <w:pPr>
        <w:keepNext/>
        <w:keepLines/>
        <w:tabs>
          <w:tab w:val="left" w:pos="-1440"/>
          <w:tab w:val="left" w:pos="-720"/>
          <w:tab w:val="left" w:pos="720"/>
          <w:tab w:val="left" w:pos="1440"/>
          <w:tab w:val="left" w:pos="2160"/>
          <w:tab w:val="left" w:pos="4680"/>
        </w:tabs>
        <w:rPr>
          <w:szCs w:val="24"/>
        </w:rPr>
        <w:sectPr w:rsidR="002E0BEB" w:rsidRPr="006F6E80" w:rsidSect="00B87C8F">
          <w:footerReference w:type="default" r:id="rId9"/>
          <w:footerReference w:type="first" r:id="rId10"/>
          <w:pgSz w:w="12240" w:h="15840"/>
          <w:pgMar w:top="1440" w:right="1440" w:bottom="1440" w:left="1440" w:header="720" w:footer="720" w:gutter="0"/>
          <w:pgNumType w:fmt="lowerRoman"/>
          <w:cols w:space="720"/>
          <w:titlePg/>
          <w:docGrid w:linePitch="360"/>
        </w:sectPr>
      </w:pPr>
      <w:r w:rsidRPr="00CE2DAC">
        <w:rPr>
          <w:szCs w:val="24"/>
        </w:rPr>
        <w:t>For DEQ,</w:t>
      </w:r>
    </w:p>
    <w:p w14:paraId="76667E9D" w14:textId="77777777" w:rsidR="00BE755A" w:rsidRDefault="00BE755A" w:rsidP="002E0BEB">
      <w:pPr>
        <w:tabs>
          <w:tab w:val="left" w:pos="-1440"/>
          <w:tab w:val="left" w:pos="-720"/>
          <w:tab w:val="left" w:pos="720"/>
          <w:tab w:val="left" w:pos="1440"/>
          <w:tab w:val="left" w:pos="2160"/>
          <w:tab w:val="left" w:pos="4680"/>
        </w:tabs>
        <w:rPr>
          <w:szCs w:val="24"/>
        </w:rPr>
      </w:pPr>
    </w:p>
    <w:p w14:paraId="3319DBA3" w14:textId="4FC73A8B" w:rsidR="00BE755A" w:rsidRPr="006F6E80" w:rsidRDefault="00272A0E" w:rsidP="002E0BEB">
      <w:pPr>
        <w:tabs>
          <w:tab w:val="left" w:pos="-1440"/>
          <w:tab w:val="left" w:pos="-720"/>
          <w:tab w:val="left" w:pos="720"/>
          <w:tab w:val="left" w:pos="1440"/>
          <w:tab w:val="left" w:pos="2160"/>
          <w:tab w:val="left" w:pos="4680"/>
        </w:tabs>
        <w:rPr>
          <w:szCs w:val="24"/>
        </w:rPr>
      </w:pPr>
      <w:r>
        <w:rPr>
          <w:noProof/>
          <w:szCs w:val="24"/>
        </w:rPr>
        <w:drawing>
          <wp:inline distT="0" distB="0" distL="0" distR="0" wp14:anchorId="291DBD91" wp14:editId="1F35B0B6">
            <wp:extent cx="875763" cy="507608"/>
            <wp:effectExtent l="0" t="0" r="635" b="6985"/>
            <wp:docPr id="1468425107"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25107" name="Picture 1" descr="Signature"/>
                    <pic:cNvPicPr/>
                  </pic:nvPicPr>
                  <pic:blipFill>
                    <a:blip r:embed="rId11">
                      <a:extLst>
                        <a:ext uri="{28A0092B-C50C-407E-A947-70E740481C1C}">
                          <a14:useLocalDpi xmlns:a14="http://schemas.microsoft.com/office/drawing/2010/main" val="0"/>
                        </a:ext>
                      </a:extLst>
                    </a:blip>
                    <a:stretch>
                      <a:fillRect/>
                    </a:stretch>
                  </pic:blipFill>
                  <pic:spPr>
                    <a:xfrm>
                      <a:off x="0" y="0"/>
                      <a:ext cx="887937" cy="514664"/>
                    </a:xfrm>
                    <a:prstGeom prst="rect">
                      <a:avLst/>
                    </a:prstGeom>
                  </pic:spPr>
                </pic:pic>
              </a:graphicData>
            </a:graphic>
          </wp:inline>
        </w:drawing>
      </w:r>
    </w:p>
    <w:p w14:paraId="093F3D17" w14:textId="77777777" w:rsidR="002E0BEB" w:rsidRPr="006F6E80" w:rsidRDefault="002E0BEB" w:rsidP="002E0BEB">
      <w:pPr>
        <w:tabs>
          <w:tab w:val="left" w:pos="-1440"/>
          <w:tab w:val="left" w:pos="-720"/>
          <w:tab w:val="left" w:pos="720"/>
          <w:tab w:val="left" w:pos="1440"/>
          <w:tab w:val="left" w:pos="2160"/>
          <w:tab w:val="left" w:pos="4680"/>
        </w:tabs>
      </w:pPr>
      <w:r w:rsidRPr="006F6E80">
        <w:t>Eric Merchant, Supervisor</w:t>
      </w:r>
    </w:p>
    <w:p w14:paraId="5A1761A3" w14:textId="77777777" w:rsidR="002E0BEB" w:rsidRPr="006F6E80" w:rsidRDefault="002E0BEB" w:rsidP="002E0BEB">
      <w:pPr>
        <w:tabs>
          <w:tab w:val="left" w:pos="-1440"/>
          <w:tab w:val="left" w:pos="-720"/>
          <w:tab w:val="left" w:pos="720"/>
          <w:tab w:val="left" w:pos="1440"/>
          <w:tab w:val="left" w:pos="2160"/>
          <w:tab w:val="left" w:pos="4680"/>
        </w:tabs>
      </w:pPr>
      <w:r w:rsidRPr="006F6E80">
        <w:t>Air Quality Permitting Services Section</w:t>
      </w:r>
    </w:p>
    <w:p w14:paraId="4E099297" w14:textId="77777777" w:rsidR="002E0BEB" w:rsidRPr="006F6E80" w:rsidRDefault="002E0BEB" w:rsidP="002E0BEB">
      <w:pPr>
        <w:tabs>
          <w:tab w:val="left" w:pos="-1440"/>
          <w:tab w:val="left" w:pos="-720"/>
          <w:tab w:val="left" w:pos="720"/>
          <w:tab w:val="left" w:pos="1440"/>
          <w:tab w:val="left" w:pos="2160"/>
          <w:tab w:val="left" w:pos="4680"/>
        </w:tabs>
      </w:pPr>
      <w:r w:rsidRPr="006F6E80">
        <w:t>Air Quality Bureau</w:t>
      </w:r>
      <w:r w:rsidRPr="006F6E80">
        <w:tab/>
      </w:r>
    </w:p>
    <w:p w14:paraId="604985AB" w14:textId="77777777" w:rsidR="002E0BEB" w:rsidRPr="006F6E80" w:rsidRDefault="002E0BEB" w:rsidP="002E0BEB">
      <w:pPr>
        <w:tabs>
          <w:tab w:val="left" w:pos="-1440"/>
          <w:tab w:val="left" w:pos="-720"/>
          <w:tab w:val="left" w:pos="720"/>
          <w:tab w:val="left" w:pos="1440"/>
          <w:tab w:val="left" w:pos="2160"/>
          <w:tab w:val="left" w:pos="4680"/>
        </w:tabs>
      </w:pPr>
      <w:r w:rsidRPr="006F6E80">
        <w:t>Air, Energy, and Mining Division</w:t>
      </w:r>
    </w:p>
    <w:p w14:paraId="7F99D0A7" w14:textId="77777777" w:rsidR="002E0BEB" w:rsidRPr="006F6E80" w:rsidRDefault="002E0BEB" w:rsidP="002E0BEB">
      <w:pPr>
        <w:tabs>
          <w:tab w:val="left" w:pos="-1440"/>
          <w:tab w:val="left" w:pos="-720"/>
          <w:tab w:val="left" w:pos="720"/>
          <w:tab w:val="left" w:pos="1440"/>
          <w:tab w:val="left" w:pos="2160"/>
          <w:tab w:val="left" w:pos="4680"/>
        </w:tabs>
      </w:pPr>
      <w:r w:rsidRPr="006F6E80">
        <w:t>(406) 444-3626</w:t>
      </w:r>
      <w:r w:rsidRPr="006F6E80">
        <w:tab/>
      </w:r>
    </w:p>
    <w:p w14:paraId="462DF18E" w14:textId="28FAF9FC" w:rsidR="002E0BEB" w:rsidRPr="006F6E80" w:rsidRDefault="002E0BEB" w:rsidP="002E0BEB">
      <w:pPr>
        <w:tabs>
          <w:tab w:val="left" w:pos="-1440"/>
          <w:tab w:val="left" w:pos="-720"/>
          <w:tab w:val="left" w:pos="720"/>
          <w:tab w:val="left" w:pos="1440"/>
          <w:tab w:val="left" w:pos="2160"/>
          <w:tab w:val="left" w:pos="4680"/>
        </w:tabs>
      </w:pPr>
      <w:hyperlink r:id="rId12" w:history="1">
        <w:r w:rsidRPr="006F6E80">
          <w:rPr>
            <w:color w:val="0000FF"/>
            <w:u w:val="single"/>
          </w:rPr>
          <w:t>eric.merchant2@mt.gov</w:t>
        </w:r>
      </w:hyperlink>
      <w:r>
        <w:rPr>
          <w:color w:val="0000FF"/>
          <w:u w:val="single"/>
        </w:rPr>
        <w:br w:type="column"/>
      </w:r>
    </w:p>
    <w:p w14:paraId="6B98BF5B" w14:textId="44DE5A77" w:rsidR="002E0BEB" w:rsidRPr="006F6E80" w:rsidRDefault="00A32EC7" w:rsidP="002E0BEB">
      <w:pPr>
        <w:tabs>
          <w:tab w:val="left" w:pos="-1440"/>
          <w:tab w:val="left" w:pos="-720"/>
          <w:tab w:val="left" w:pos="720"/>
          <w:tab w:val="left" w:pos="1440"/>
          <w:tab w:val="left" w:pos="2160"/>
          <w:tab w:val="left" w:pos="4680"/>
        </w:tabs>
      </w:pPr>
      <w:r>
        <w:rPr>
          <w:noProof/>
        </w:rPr>
        <w:drawing>
          <wp:anchor distT="0" distB="0" distL="114300" distR="114300" simplePos="0" relativeHeight="251659264" behindDoc="1" locked="0" layoutInCell="1" allowOverlap="1" wp14:anchorId="76C5A70D" wp14:editId="5322985B">
            <wp:simplePos x="0" y="0"/>
            <wp:positionH relativeFrom="column">
              <wp:posOffset>-95535</wp:posOffset>
            </wp:positionH>
            <wp:positionV relativeFrom="paragraph">
              <wp:posOffset>82522</wp:posOffset>
            </wp:positionV>
            <wp:extent cx="1543050" cy="439420"/>
            <wp:effectExtent l="0" t="0" r="0" b="0"/>
            <wp:wrapNone/>
            <wp:docPr id="21301274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127417"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43050" cy="439420"/>
                    </a:xfrm>
                    <a:prstGeom prst="rect">
                      <a:avLst/>
                    </a:prstGeom>
                  </pic:spPr>
                </pic:pic>
              </a:graphicData>
            </a:graphic>
            <wp14:sizeRelH relativeFrom="margin">
              <wp14:pctWidth>0</wp14:pctWidth>
            </wp14:sizeRelH>
            <wp14:sizeRelV relativeFrom="margin">
              <wp14:pctHeight>0</wp14:pctHeight>
            </wp14:sizeRelV>
          </wp:anchor>
        </w:drawing>
      </w:r>
    </w:p>
    <w:p w14:paraId="1CC30837" w14:textId="77777777" w:rsidR="003C2272" w:rsidRDefault="003C2272" w:rsidP="002E0BEB">
      <w:pPr>
        <w:tabs>
          <w:tab w:val="left" w:pos="-1440"/>
          <w:tab w:val="left" w:pos="-720"/>
          <w:tab w:val="left" w:pos="720"/>
          <w:tab w:val="left" w:pos="1440"/>
          <w:tab w:val="left" w:pos="2160"/>
          <w:tab w:val="left" w:pos="4680"/>
        </w:tabs>
      </w:pPr>
    </w:p>
    <w:p w14:paraId="18FD1A05" w14:textId="77777777" w:rsidR="003C2272" w:rsidRDefault="003C2272" w:rsidP="002E0BEB">
      <w:pPr>
        <w:tabs>
          <w:tab w:val="left" w:pos="-1440"/>
          <w:tab w:val="left" w:pos="-720"/>
          <w:tab w:val="left" w:pos="720"/>
          <w:tab w:val="left" w:pos="1440"/>
          <w:tab w:val="left" w:pos="2160"/>
          <w:tab w:val="left" w:pos="4680"/>
        </w:tabs>
      </w:pPr>
    </w:p>
    <w:p w14:paraId="01A3998F" w14:textId="011EE500" w:rsidR="002E0BEB" w:rsidRPr="006F6E80" w:rsidRDefault="002E0BEB" w:rsidP="002E0BEB">
      <w:pPr>
        <w:tabs>
          <w:tab w:val="left" w:pos="-1440"/>
          <w:tab w:val="left" w:pos="-720"/>
          <w:tab w:val="left" w:pos="720"/>
          <w:tab w:val="left" w:pos="1440"/>
          <w:tab w:val="left" w:pos="2160"/>
          <w:tab w:val="left" w:pos="4680"/>
        </w:tabs>
      </w:pPr>
      <w:r>
        <w:t>Conor Fox</w:t>
      </w:r>
    </w:p>
    <w:p w14:paraId="7C46B213" w14:textId="56A25BE4" w:rsidR="002E0BEB" w:rsidRPr="006F6E80" w:rsidRDefault="002E0BEB" w:rsidP="002E0BEB">
      <w:pPr>
        <w:tabs>
          <w:tab w:val="left" w:pos="-1440"/>
          <w:tab w:val="left" w:pos="-720"/>
          <w:tab w:val="left" w:pos="720"/>
          <w:tab w:val="left" w:pos="1440"/>
          <w:tab w:val="left" w:pos="2160"/>
          <w:tab w:val="left" w:pos="4680"/>
        </w:tabs>
      </w:pPr>
      <w:r w:rsidRPr="006F6E80">
        <w:t>Air Quality</w:t>
      </w:r>
      <w:r w:rsidR="00F83CAA">
        <w:t xml:space="preserve"> Engineering Scientist</w:t>
      </w:r>
    </w:p>
    <w:p w14:paraId="3F2A8CC6" w14:textId="77777777" w:rsidR="002E0BEB" w:rsidRPr="006F6E80" w:rsidRDefault="002E0BEB" w:rsidP="002E0BEB">
      <w:pPr>
        <w:tabs>
          <w:tab w:val="left" w:pos="-1440"/>
          <w:tab w:val="left" w:pos="-720"/>
          <w:tab w:val="left" w:pos="720"/>
          <w:tab w:val="left" w:pos="1440"/>
          <w:tab w:val="left" w:pos="2160"/>
          <w:tab w:val="left" w:pos="4680"/>
        </w:tabs>
      </w:pPr>
      <w:r w:rsidRPr="006F6E80">
        <w:t>Air Quality Bureau</w:t>
      </w:r>
    </w:p>
    <w:p w14:paraId="5E674F56" w14:textId="77777777" w:rsidR="002E0BEB" w:rsidRPr="006F6E80" w:rsidRDefault="002E0BEB" w:rsidP="002E0BEB">
      <w:pPr>
        <w:tabs>
          <w:tab w:val="left" w:pos="-1440"/>
          <w:tab w:val="left" w:pos="-720"/>
          <w:tab w:val="left" w:pos="720"/>
          <w:tab w:val="left" w:pos="1440"/>
          <w:tab w:val="left" w:pos="2160"/>
          <w:tab w:val="left" w:pos="4680"/>
        </w:tabs>
      </w:pPr>
      <w:r w:rsidRPr="006F6E80">
        <w:t>Air, Energy, and Mining Division</w:t>
      </w:r>
    </w:p>
    <w:p w14:paraId="3C5B740E" w14:textId="77777777" w:rsidR="002E0BEB" w:rsidRPr="006F6E80" w:rsidRDefault="002E0BEB" w:rsidP="002E0BEB">
      <w:pPr>
        <w:tabs>
          <w:tab w:val="left" w:pos="-1440"/>
          <w:tab w:val="left" w:pos="-720"/>
          <w:tab w:val="left" w:pos="720"/>
          <w:tab w:val="left" w:pos="1440"/>
          <w:tab w:val="left" w:pos="2160"/>
          <w:tab w:val="left" w:pos="4680"/>
        </w:tabs>
      </w:pPr>
      <w:r w:rsidRPr="006F6E80">
        <w:t>(406) 444-</w:t>
      </w:r>
      <w:r>
        <w:t>4267</w:t>
      </w:r>
    </w:p>
    <w:p w14:paraId="1B800073" w14:textId="77777777" w:rsidR="002E0BEB" w:rsidRPr="006F6E80" w:rsidRDefault="002E0BEB" w:rsidP="002E0BEB">
      <w:pPr>
        <w:tabs>
          <w:tab w:val="left" w:pos="-1440"/>
          <w:tab w:val="left" w:pos="-720"/>
          <w:tab w:val="left" w:pos="720"/>
          <w:tab w:val="left" w:pos="1440"/>
          <w:tab w:val="left" w:pos="2160"/>
          <w:tab w:val="left" w:pos="4680"/>
        </w:tabs>
      </w:pPr>
      <w:hyperlink r:id="rId14" w:history="1">
        <w:r w:rsidRPr="005046F4">
          <w:rPr>
            <w:rStyle w:val="Hyperlink"/>
          </w:rPr>
          <w:t>conor.fox</w:t>
        </w:r>
        <w:r w:rsidRPr="006F6E80">
          <w:rPr>
            <w:rStyle w:val="Hyperlink"/>
          </w:rPr>
          <w:t>@mt.gov</w:t>
        </w:r>
      </w:hyperlink>
    </w:p>
    <w:p w14:paraId="189DFA92" w14:textId="77777777" w:rsidR="002E0BEB" w:rsidRPr="006F6E80" w:rsidRDefault="002E0BEB" w:rsidP="002E0BEB">
      <w:pPr>
        <w:tabs>
          <w:tab w:val="left" w:pos="-1440"/>
          <w:tab w:val="left" w:pos="-720"/>
          <w:tab w:val="left" w:pos="720"/>
          <w:tab w:val="left" w:pos="1440"/>
          <w:tab w:val="left" w:pos="2160"/>
          <w:tab w:val="left" w:pos="4680"/>
        </w:tabs>
        <w:rPr>
          <w:szCs w:val="24"/>
        </w:rPr>
        <w:sectPr w:rsidR="002E0BEB" w:rsidRPr="006F6E80" w:rsidSect="002E0BEB">
          <w:type w:val="continuous"/>
          <w:pgSz w:w="12240" w:h="15840"/>
          <w:pgMar w:top="1440" w:right="1440" w:bottom="1440" w:left="1440" w:header="720" w:footer="720" w:gutter="0"/>
          <w:cols w:num="2" w:space="720"/>
          <w:titlePg/>
          <w:docGrid w:linePitch="360"/>
        </w:sectPr>
      </w:pPr>
    </w:p>
    <w:p w14:paraId="2D209A84" w14:textId="77777777" w:rsidR="002B0194" w:rsidRPr="00FB7886" w:rsidRDefault="00D72FF4">
      <w:pPr>
        <w:jc w:val="center"/>
        <w:rPr>
          <w:szCs w:val="24"/>
        </w:rPr>
      </w:pPr>
      <w:r w:rsidRPr="00FB7886">
        <w:rPr>
          <w:szCs w:val="24"/>
        </w:rPr>
        <w:lastRenderedPageBreak/>
        <w:t xml:space="preserve">MONTANA </w:t>
      </w:r>
      <w:r w:rsidR="002B0194" w:rsidRPr="00FB7886">
        <w:rPr>
          <w:szCs w:val="24"/>
        </w:rPr>
        <w:t>AIR QUALITY PERMIT</w:t>
      </w:r>
    </w:p>
    <w:p w14:paraId="56D48973" w14:textId="77777777" w:rsidR="002B0194" w:rsidRDefault="002B0194">
      <w:pPr>
        <w:jc w:val="center"/>
        <w:rPr>
          <w:szCs w:val="24"/>
        </w:rPr>
      </w:pPr>
    </w:p>
    <w:p w14:paraId="7AD23173" w14:textId="77777777" w:rsidR="00D94460" w:rsidRDefault="00D94460" w:rsidP="00D94460">
      <w:pPr>
        <w:rPr>
          <w:szCs w:val="24"/>
        </w:rPr>
        <w:sectPr w:rsidR="00D94460" w:rsidSect="007F7111">
          <w:footerReference w:type="default" r:id="rId15"/>
          <w:pgSz w:w="12240" w:h="15840" w:code="1"/>
          <w:pgMar w:top="1152" w:right="1440" w:bottom="1008" w:left="1440" w:header="720" w:footer="720" w:gutter="0"/>
          <w:pgNumType w:start="1"/>
          <w:cols w:space="720"/>
        </w:sectPr>
      </w:pPr>
    </w:p>
    <w:p w14:paraId="0E0508CC" w14:textId="7D926727" w:rsidR="00D94460" w:rsidRPr="00D94460" w:rsidRDefault="00D94460" w:rsidP="005D4DED">
      <w:pPr>
        <w:ind w:left="1080" w:hanging="1080"/>
        <w:rPr>
          <w:szCs w:val="24"/>
        </w:rPr>
      </w:pPr>
      <w:r w:rsidRPr="00D94460">
        <w:rPr>
          <w:szCs w:val="24"/>
        </w:rPr>
        <w:t xml:space="preserve">Issued To: </w:t>
      </w:r>
      <w:r w:rsidR="001709BA">
        <w:rPr>
          <w:szCs w:val="24"/>
        </w:rPr>
        <w:t>Affordable Funeral &amp; Cremation Services</w:t>
      </w:r>
      <w:r w:rsidR="0099528C">
        <w:rPr>
          <w:szCs w:val="24"/>
        </w:rPr>
        <w:t xml:space="preserve"> - </w:t>
      </w:r>
      <w:r w:rsidR="00D005F2">
        <w:rPr>
          <w:szCs w:val="24"/>
        </w:rPr>
        <w:t>Companion Pet Cremation</w:t>
      </w:r>
    </w:p>
    <w:p w14:paraId="722F2A23" w14:textId="0B9B5F89" w:rsidR="00D94460" w:rsidRPr="00D94460" w:rsidRDefault="000F031D" w:rsidP="00F87942">
      <w:pPr>
        <w:ind w:left="1080"/>
        <w:rPr>
          <w:szCs w:val="24"/>
        </w:rPr>
      </w:pPr>
      <w:r>
        <w:rPr>
          <w:szCs w:val="24"/>
        </w:rPr>
        <w:t>405 N. Montana Street</w:t>
      </w:r>
    </w:p>
    <w:p w14:paraId="16706B1E" w14:textId="172552E8" w:rsidR="00D94460" w:rsidRPr="00D94460" w:rsidRDefault="000F031D" w:rsidP="00F87942">
      <w:pPr>
        <w:ind w:left="1080"/>
        <w:rPr>
          <w:szCs w:val="24"/>
        </w:rPr>
      </w:pPr>
      <w:r>
        <w:rPr>
          <w:szCs w:val="24"/>
        </w:rPr>
        <w:t>Dillon</w:t>
      </w:r>
      <w:r w:rsidR="00D94460" w:rsidRPr="00D94460">
        <w:rPr>
          <w:szCs w:val="24"/>
        </w:rPr>
        <w:t>, MT 59</w:t>
      </w:r>
      <w:r w:rsidR="00415976">
        <w:rPr>
          <w:szCs w:val="24"/>
        </w:rPr>
        <w:t>725</w:t>
      </w:r>
    </w:p>
    <w:p w14:paraId="71CA0EAD" w14:textId="77777777" w:rsidR="00D94460" w:rsidRDefault="00D94460" w:rsidP="00D94460">
      <w:pPr>
        <w:rPr>
          <w:szCs w:val="24"/>
        </w:rPr>
      </w:pPr>
    </w:p>
    <w:p w14:paraId="6FA1E633" w14:textId="74907EAD" w:rsidR="00D94460" w:rsidRPr="00D94460" w:rsidRDefault="00D94460" w:rsidP="00D94460">
      <w:pPr>
        <w:keepNext/>
        <w:keepLines/>
        <w:ind w:left="-270"/>
        <w:rPr>
          <w:szCs w:val="24"/>
        </w:rPr>
      </w:pPr>
      <w:proofErr w:type="gramStart"/>
      <w:r w:rsidRPr="00D94460">
        <w:rPr>
          <w:szCs w:val="24"/>
        </w:rPr>
        <w:t>MAQP: #</w:t>
      </w:r>
      <w:proofErr w:type="gramEnd"/>
      <w:r w:rsidR="00697F78">
        <w:rPr>
          <w:szCs w:val="24"/>
        </w:rPr>
        <w:t>5350</w:t>
      </w:r>
      <w:r w:rsidRPr="00D94460">
        <w:rPr>
          <w:szCs w:val="24"/>
        </w:rPr>
        <w:t>-00</w:t>
      </w:r>
    </w:p>
    <w:p w14:paraId="31092D56" w14:textId="7D29B82F" w:rsidR="00D94460" w:rsidRPr="00D94460" w:rsidRDefault="00D94460" w:rsidP="00D94460">
      <w:pPr>
        <w:keepNext/>
        <w:keepLines/>
        <w:ind w:left="-270"/>
        <w:rPr>
          <w:szCs w:val="24"/>
        </w:rPr>
      </w:pPr>
      <w:r w:rsidRPr="00D94460">
        <w:rPr>
          <w:szCs w:val="24"/>
        </w:rPr>
        <w:t>Application Complete: 0</w:t>
      </w:r>
      <w:r w:rsidR="00415976">
        <w:rPr>
          <w:szCs w:val="24"/>
        </w:rPr>
        <w:t>3</w:t>
      </w:r>
      <w:r w:rsidRPr="00D94460">
        <w:rPr>
          <w:szCs w:val="24"/>
        </w:rPr>
        <w:t>/</w:t>
      </w:r>
      <w:r w:rsidR="005C42E2">
        <w:rPr>
          <w:szCs w:val="24"/>
        </w:rPr>
        <w:t>09</w:t>
      </w:r>
      <w:r w:rsidRPr="00D94460">
        <w:rPr>
          <w:szCs w:val="24"/>
        </w:rPr>
        <w:t>/2026</w:t>
      </w:r>
    </w:p>
    <w:p w14:paraId="481D0AFE" w14:textId="75A33C3E" w:rsidR="00D94460" w:rsidRPr="00D94460" w:rsidRDefault="00D94460" w:rsidP="00D94460">
      <w:pPr>
        <w:keepNext/>
        <w:keepLines/>
        <w:ind w:left="-270"/>
        <w:rPr>
          <w:szCs w:val="24"/>
        </w:rPr>
      </w:pPr>
      <w:r w:rsidRPr="00D94460">
        <w:rPr>
          <w:szCs w:val="24"/>
        </w:rPr>
        <w:t>Preliminary Determination Issued: 0</w:t>
      </w:r>
      <w:r w:rsidR="00415976">
        <w:rPr>
          <w:szCs w:val="24"/>
        </w:rPr>
        <w:t>4</w:t>
      </w:r>
      <w:r w:rsidRPr="00D94460">
        <w:rPr>
          <w:szCs w:val="24"/>
        </w:rPr>
        <w:t>/</w:t>
      </w:r>
      <w:r w:rsidR="00415976">
        <w:rPr>
          <w:szCs w:val="24"/>
        </w:rPr>
        <w:t>0</w:t>
      </w:r>
      <w:r w:rsidR="00F826F2">
        <w:rPr>
          <w:szCs w:val="24"/>
        </w:rPr>
        <w:t>6</w:t>
      </w:r>
      <w:r w:rsidRPr="00D94460">
        <w:rPr>
          <w:szCs w:val="24"/>
        </w:rPr>
        <w:t>/202</w:t>
      </w:r>
      <w:r w:rsidR="00A32EC7">
        <w:rPr>
          <w:szCs w:val="24"/>
        </w:rPr>
        <w:t>6</w:t>
      </w:r>
    </w:p>
    <w:p w14:paraId="1D3B8872" w14:textId="10F40478" w:rsidR="00D94460" w:rsidRPr="00D94460" w:rsidRDefault="00D94460" w:rsidP="00D94460">
      <w:pPr>
        <w:keepNext/>
        <w:keepLines/>
        <w:ind w:left="-270"/>
        <w:rPr>
          <w:szCs w:val="24"/>
        </w:rPr>
      </w:pPr>
      <w:r w:rsidRPr="00D94460">
        <w:rPr>
          <w:szCs w:val="24"/>
        </w:rPr>
        <w:t>DEQ’s Decision Issued:</w:t>
      </w:r>
      <w:r w:rsidR="00A32EC7">
        <w:rPr>
          <w:szCs w:val="24"/>
        </w:rPr>
        <w:t xml:space="preserve"> 05/19/2026</w:t>
      </w:r>
      <w:r w:rsidRPr="00D94460">
        <w:rPr>
          <w:szCs w:val="24"/>
        </w:rPr>
        <w:t xml:space="preserve"> </w:t>
      </w:r>
    </w:p>
    <w:p w14:paraId="704309E4" w14:textId="0FEE2C8C" w:rsidR="00D94460" w:rsidRPr="00FB7886" w:rsidRDefault="00D94460" w:rsidP="00D94460">
      <w:pPr>
        <w:keepNext/>
        <w:keepLines/>
        <w:ind w:left="-270"/>
        <w:rPr>
          <w:szCs w:val="24"/>
        </w:rPr>
      </w:pPr>
      <w:r w:rsidRPr="00D94460">
        <w:rPr>
          <w:szCs w:val="24"/>
        </w:rPr>
        <w:t>Permit Final:</w:t>
      </w:r>
    </w:p>
    <w:p w14:paraId="6CBFEFF4" w14:textId="77777777" w:rsidR="00D94460" w:rsidRDefault="00D94460">
      <w:pPr>
        <w:jc w:val="center"/>
        <w:rPr>
          <w:szCs w:val="24"/>
        </w:rPr>
        <w:sectPr w:rsidR="00D94460" w:rsidSect="00D94460">
          <w:type w:val="continuous"/>
          <w:pgSz w:w="12240" w:h="15840" w:code="1"/>
          <w:pgMar w:top="1152" w:right="1440" w:bottom="1008" w:left="1440" w:header="720" w:footer="720" w:gutter="0"/>
          <w:pgNumType w:start="1"/>
          <w:cols w:num="2" w:space="720"/>
        </w:sectPr>
      </w:pPr>
    </w:p>
    <w:p w14:paraId="20D1BC69" w14:textId="3F7650E2"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415976">
        <w:rPr>
          <w:szCs w:val="24"/>
        </w:rPr>
        <w:t>Affordable Funeral &amp; Cremation Services</w:t>
      </w:r>
      <w:r w:rsidR="0099528C">
        <w:rPr>
          <w:szCs w:val="24"/>
        </w:rPr>
        <w:t xml:space="preserve"> – Companion Pet Cremation</w:t>
      </w:r>
      <w:r w:rsidRPr="00FB7886">
        <w:rPr>
          <w:szCs w:val="24"/>
        </w:rPr>
        <w:t xml:space="preserve"> (</w:t>
      </w:r>
      <w:r w:rsidR="0044678C">
        <w:rPr>
          <w:szCs w:val="24"/>
        </w:rPr>
        <w:t>AFCS</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77777777" w:rsidR="002B0194" w:rsidRPr="00FB7886" w:rsidRDefault="002B0194" w:rsidP="00DE64FA">
      <w:pPr>
        <w:pStyle w:val="Heading1"/>
      </w:pPr>
      <w:bookmarkStart w:id="6" w:name="_Toc223955016"/>
      <w:bookmarkStart w:id="7" w:name="_Toc223955131"/>
      <w:r w:rsidRPr="00FB7886">
        <w:t>S</w:t>
      </w:r>
      <w:r w:rsidR="00B515D9" w:rsidRPr="00FB7886">
        <w:t>ection</w:t>
      </w:r>
      <w:r w:rsidRPr="00FB7886">
        <w:t xml:space="preserve"> I:</w:t>
      </w:r>
      <w:r w:rsidRPr="00FB7886">
        <w:tab/>
        <w:t>Permitted Facilities</w:t>
      </w:r>
      <w:bookmarkEnd w:id="6"/>
      <w:bookmarkEnd w:id="7"/>
    </w:p>
    <w:p w14:paraId="064E4577" w14:textId="77777777" w:rsidR="002B0194" w:rsidRPr="00FB7886" w:rsidRDefault="002B0194">
      <w:pPr>
        <w:rPr>
          <w:szCs w:val="24"/>
        </w:rPr>
      </w:pPr>
    </w:p>
    <w:p w14:paraId="03CB8987" w14:textId="097E7C7F" w:rsidR="002B0194" w:rsidRDefault="002B0194" w:rsidP="00483BD6">
      <w:pPr>
        <w:numPr>
          <w:ilvl w:val="0"/>
          <w:numId w:val="17"/>
        </w:numPr>
        <w:tabs>
          <w:tab w:val="left" w:pos="1080"/>
        </w:tabs>
        <w:rPr>
          <w:szCs w:val="24"/>
        </w:rPr>
      </w:pPr>
      <w:r w:rsidRPr="00FB7886">
        <w:rPr>
          <w:szCs w:val="24"/>
        </w:rPr>
        <w:t>Permitted Equipmen</w:t>
      </w:r>
      <w:r w:rsidR="002E6B05">
        <w:rPr>
          <w:szCs w:val="24"/>
        </w:rPr>
        <w:t>t</w:t>
      </w:r>
    </w:p>
    <w:p w14:paraId="72808C19" w14:textId="77777777" w:rsidR="002E6B05" w:rsidRDefault="002E6B05" w:rsidP="002E6B05">
      <w:pPr>
        <w:tabs>
          <w:tab w:val="left" w:pos="1080"/>
        </w:tabs>
        <w:ind w:left="1440"/>
        <w:rPr>
          <w:szCs w:val="24"/>
        </w:rPr>
      </w:pPr>
    </w:p>
    <w:p w14:paraId="056B2229" w14:textId="178A8C86" w:rsidR="002E6B05" w:rsidRPr="00FB7886" w:rsidRDefault="0044678C" w:rsidP="002E6B05">
      <w:pPr>
        <w:tabs>
          <w:tab w:val="left" w:pos="1080"/>
        </w:tabs>
        <w:ind w:left="1440"/>
        <w:rPr>
          <w:szCs w:val="24"/>
        </w:rPr>
      </w:pPr>
      <w:r>
        <w:rPr>
          <w:szCs w:val="24"/>
        </w:rPr>
        <w:t>AFCS</w:t>
      </w:r>
      <w:r w:rsidR="002E6B05">
        <w:rPr>
          <w:szCs w:val="24"/>
        </w:rPr>
        <w:t xml:space="preserve"> </w:t>
      </w:r>
      <w:r w:rsidR="00A666C1">
        <w:rPr>
          <w:szCs w:val="24"/>
        </w:rPr>
        <w:t>owns</w:t>
      </w:r>
      <w:r w:rsidR="00AD2DF7">
        <w:rPr>
          <w:szCs w:val="24"/>
        </w:rPr>
        <w:t xml:space="preserve"> and operate</w:t>
      </w:r>
      <w:r w:rsidR="00A666C1">
        <w:rPr>
          <w:szCs w:val="24"/>
        </w:rPr>
        <w:t>s</w:t>
      </w:r>
      <w:r w:rsidR="00AD2DF7">
        <w:rPr>
          <w:szCs w:val="24"/>
        </w:rPr>
        <w:t xml:space="preserve"> one (1) 1.5 million British thermal unit per hour (MMBtu/hr) propane</w:t>
      </w:r>
      <w:r w:rsidR="00F87942">
        <w:rPr>
          <w:szCs w:val="24"/>
        </w:rPr>
        <w:t xml:space="preserve"> or natural gas</w:t>
      </w:r>
      <w:r w:rsidR="004527D4">
        <w:rPr>
          <w:szCs w:val="24"/>
        </w:rPr>
        <w:t>-</w:t>
      </w:r>
      <w:r w:rsidR="00AD2DF7">
        <w:rPr>
          <w:szCs w:val="24"/>
        </w:rPr>
        <w:t>fired</w:t>
      </w:r>
      <w:r w:rsidR="00F826F2">
        <w:rPr>
          <w:szCs w:val="24"/>
        </w:rPr>
        <w:t xml:space="preserve"> B&amp;L Cremation Systems Inc. Phoenix II-1</w:t>
      </w:r>
      <w:r w:rsidR="00AD2DF7">
        <w:rPr>
          <w:szCs w:val="24"/>
        </w:rPr>
        <w:t xml:space="preserve"> incinerator with a maximum rated </w:t>
      </w:r>
      <w:r w:rsidR="00A666C1">
        <w:rPr>
          <w:szCs w:val="24"/>
        </w:rPr>
        <w:t xml:space="preserve">charge </w:t>
      </w:r>
      <w:r w:rsidR="00AD2DF7">
        <w:rPr>
          <w:szCs w:val="24"/>
        </w:rPr>
        <w:t xml:space="preserve">capacity of 200 pounds per hour (lb/hr). </w:t>
      </w:r>
    </w:p>
    <w:p w14:paraId="3267A25C" w14:textId="77777777" w:rsidR="002B0194" w:rsidRPr="00FB7886" w:rsidRDefault="002B0194">
      <w:pPr>
        <w:rPr>
          <w:szCs w:val="24"/>
        </w:rPr>
      </w:pPr>
    </w:p>
    <w:p w14:paraId="4CCC849A" w14:textId="396C9207" w:rsidR="002B0194" w:rsidRDefault="002B0194" w:rsidP="00483BD6">
      <w:pPr>
        <w:pStyle w:val="BodyTextIndent3"/>
        <w:numPr>
          <w:ilvl w:val="0"/>
          <w:numId w:val="17"/>
        </w:numPr>
        <w:rPr>
          <w:sz w:val="24"/>
          <w:szCs w:val="24"/>
        </w:rPr>
      </w:pPr>
      <w:r w:rsidRPr="00FB7886">
        <w:rPr>
          <w:sz w:val="24"/>
          <w:szCs w:val="24"/>
        </w:rPr>
        <w:t>Plant Location</w:t>
      </w:r>
    </w:p>
    <w:p w14:paraId="56F96A37" w14:textId="77777777" w:rsidR="00AD2DF7" w:rsidRDefault="00AD2DF7" w:rsidP="00AD2DF7">
      <w:pPr>
        <w:pStyle w:val="BodyTextIndent3"/>
        <w:ind w:left="1440"/>
        <w:rPr>
          <w:sz w:val="24"/>
          <w:szCs w:val="24"/>
        </w:rPr>
      </w:pPr>
    </w:p>
    <w:p w14:paraId="2ABC5821" w14:textId="487CDE19" w:rsidR="00AD2DF7" w:rsidRPr="00224ABE" w:rsidRDefault="00D9157F" w:rsidP="00AD2DF7">
      <w:pPr>
        <w:pStyle w:val="BodyTextIndent3"/>
        <w:ind w:left="1440"/>
        <w:rPr>
          <w:sz w:val="24"/>
          <w:szCs w:val="24"/>
        </w:rPr>
      </w:pPr>
      <w:r w:rsidRPr="00892DE7">
        <w:rPr>
          <w:sz w:val="24"/>
          <w:szCs w:val="24"/>
        </w:rPr>
        <w:t>Companion Pet Cr</w:t>
      </w:r>
      <w:r w:rsidR="00676840">
        <w:rPr>
          <w:sz w:val="24"/>
          <w:szCs w:val="24"/>
        </w:rPr>
        <w:t>e</w:t>
      </w:r>
      <w:r w:rsidRPr="00892DE7">
        <w:rPr>
          <w:sz w:val="24"/>
          <w:szCs w:val="24"/>
        </w:rPr>
        <w:t>mation</w:t>
      </w:r>
      <w:r w:rsidR="0099528C">
        <w:rPr>
          <w:sz w:val="24"/>
          <w:szCs w:val="24"/>
        </w:rPr>
        <w:t xml:space="preserve"> facility</w:t>
      </w:r>
      <w:r w:rsidR="00AD2DF7" w:rsidRPr="00892DE7">
        <w:rPr>
          <w:sz w:val="24"/>
          <w:szCs w:val="24"/>
        </w:rPr>
        <w:t xml:space="preserve"> is located at </w:t>
      </w:r>
      <w:r w:rsidR="001F6494" w:rsidRPr="00892DE7">
        <w:rPr>
          <w:sz w:val="24"/>
          <w:szCs w:val="24"/>
        </w:rPr>
        <w:t xml:space="preserve">Section </w:t>
      </w:r>
      <w:r w:rsidR="00E14D12" w:rsidRPr="00892DE7">
        <w:rPr>
          <w:sz w:val="24"/>
          <w:szCs w:val="24"/>
        </w:rPr>
        <w:t>33</w:t>
      </w:r>
      <w:r w:rsidR="001F6494" w:rsidRPr="00892DE7">
        <w:rPr>
          <w:sz w:val="24"/>
          <w:szCs w:val="24"/>
        </w:rPr>
        <w:t xml:space="preserve">, </w:t>
      </w:r>
      <w:r w:rsidR="00AD2DF7" w:rsidRPr="00892DE7">
        <w:rPr>
          <w:sz w:val="24"/>
          <w:szCs w:val="24"/>
        </w:rPr>
        <w:t>Township</w:t>
      </w:r>
      <w:r w:rsidR="001F6494" w:rsidRPr="00892DE7">
        <w:rPr>
          <w:sz w:val="24"/>
          <w:szCs w:val="24"/>
        </w:rPr>
        <w:t xml:space="preserve"> </w:t>
      </w:r>
      <w:r w:rsidR="00E14D12" w:rsidRPr="00892DE7">
        <w:rPr>
          <w:sz w:val="24"/>
          <w:szCs w:val="24"/>
        </w:rPr>
        <w:t>7</w:t>
      </w:r>
      <w:r w:rsidR="001F6494" w:rsidRPr="00892DE7">
        <w:rPr>
          <w:sz w:val="24"/>
          <w:szCs w:val="24"/>
        </w:rPr>
        <w:t xml:space="preserve"> </w:t>
      </w:r>
      <w:r w:rsidR="00E14D12" w:rsidRPr="00892DE7">
        <w:rPr>
          <w:sz w:val="24"/>
          <w:szCs w:val="24"/>
        </w:rPr>
        <w:t>South</w:t>
      </w:r>
      <w:r w:rsidR="001F6494" w:rsidRPr="00892DE7">
        <w:rPr>
          <w:sz w:val="24"/>
          <w:szCs w:val="24"/>
        </w:rPr>
        <w:t xml:space="preserve">, Range </w:t>
      </w:r>
      <w:r w:rsidR="00E14D12" w:rsidRPr="00892DE7">
        <w:rPr>
          <w:sz w:val="24"/>
          <w:szCs w:val="24"/>
        </w:rPr>
        <w:t>9</w:t>
      </w:r>
      <w:r w:rsidR="001F6494" w:rsidRPr="00892DE7">
        <w:rPr>
          <w:sz w:val="24"/>
          <w:szCs w:val="24"/>
        </w:rPr>
        <w:t xml:space="preserve"> </w:t>
      </w:r>
      <w:r w:rsidR="00892DE7" w:rsidRPr="00892DE7">
        <w:rPr>
          <w:sz w:val="24"/>
          <w:szCs w:val="24"/>
        </w:rPr>
        <w:t>West</w:t>
      </w:r>
      <w:r w:rsidR="001F6494" w:rsidRPr="00892DE7">
        <w:rPr>
          <w:sz w:val="24"/>
          <w:szCs w:val="24"/>
        </w:rPr>
        <w:t xml:space="preserve">, in </w:t>
      </w:r>
      <w:r w:rsidR="00892DE7" w:rsidRPr="00892DE7">
        <w:rPr>
          <w:sz w:val="24"/>
          <w:szCs w:val="24"/>
        </w:rPr>
        <w:t>Beaverhead</w:t>
      </w:r>
      <w:r w:rsidR="001F6494" w:rsidRPr="00892DE7">
        <w:rPr>
          <w:sz w:val="24"/>
          <w:szCs w:val="24"/>
        </w:rPr>
        <w:t xml:space="preserve"> County, Montana. </w:t>
      </w:r>
      <w:proofErr w:type="gramStart"/>
      <w:r w:rsidR="001F6494" w:rsidRPr="00892DE7">
        <w:rPr>
          <w:sz w:val="24"/>
          <w:szCs w:val="24"/>
        </w:rPr>
        <w:t>The property</w:t>
      </w:r>
      <w:proofErr w:type="gramEnd"/>
      <w:r w:rsidR="001F6494" w:rsidRPr="00892DE7">
        <w:rPr>
          <w:sz w:val="24"/>
          <w:szCs w:val="24"/>
        </w:rPr>
        <w:t xml:space="preserve"> address is</w:t>
      </w:r>
      <w:r w:rsidR="00AD2DF7" w:rsidRPr="00892DE7">
        <w:rPr>
          <w:sz w:val="24"/>
          <w:szCs w:val="24"/>
        </w:rPr>
        <w:t xml:space="preserve"> </w:t>
      </w:r>
      <w:r w:rsidRPr="00892DE7">
        <w:rPr>
          <w:sz w:val="24"/>
          <w:szCs w:val="24"/>
        </w:rPr>
        <w:t>1548 MT Hwy 278, Dillon,</w:t>
      </w:r>
      <w:r w:rsidR="00224ABE" w:rsidRPr="00892DE7">
        <w:rPr>
          <w:sz w:val="24"/>
          <w:szCs w:val="24"/>
        </w:rPr>
        <w:t xml:space="preserve"> Montana</w:t>
      </w:r>
      <w:r w:rsidRPr="00892DE7">
        <w:rPr>
          <w:sz w:val="24"/>
          <w:szCs w:val="24"/>
        </w:rPr>
        <w:t xml:space="preserve"> 59725</w:t>
      </w:r>
      <w:r w:rsidR="00AD2DF7" w:rsidRPr="00892DE7">
        <w:rPr>
          <w:sz w:val="24"/>
          <w:szCs w:val="24"/>
        </w:rPr>
        <w:t>. The latitude and longitude o</w:t>
      </w:r>
      <w:r w:rsidR="001F6494" w:rsidRPr="00892DE7">
        <w:rPr>
          <w:sz w:val="24"/>
          <w:szCs w:val="24"/>
        </w:rPr>
        <w:t>f</w:t>
      </w:r>
      <w:r w:rsidR="00AD2DF7" w:rsidRPr="00892DE7">
        <w:rPr>
          <w:sz w:val="24"/>
          <w:szCs w:val="24"/>
        </w:rPr>
        <w:t xml:space="preserve"> the facility is 4</w:t>
      </w:r>
      <w:r w:rsidR="004D4FBE" w:rsidRPr="00892DE7">
        <w:rPr>
          <w:sz w:val="24"/>
          <w:szCs w:val="24"/>
        </w:rPr>
        <w:t>5.18181</w:t>
      </w:r>
      <w:r w:rsidR="00AD2DF7" w:rsidRPr="00892DE7">
        <w:rPr>
          <w:sz w:val="24"/>
          <w:szCs w:val="24"/>
        </w:rPr>
        <w:t>, -11</w:t>
      </w:r>
      <w:r w:rsidR="004D4FBE" w:rsidRPr="00892DE7">
        <w:rPr>
          <w:sz w:val="24"/>
          <w:szCs w:val="24"/>
        </w:rPr>
        <w:t>2.70357</w:t>
      </w:r>
      <w:r w:rsidR="00AD2DF7" w:rsidRPr="00892DE7">
        <w:rPr>
          <w:sz w:val="24"/>
          <w:szCs w:val="24"/>
        </w:rPr>
        <w:t>.</w:t>
      </w:r>
      <w:r w:rsidR="00AD2DF7" w:rsidRPr="00224ABE">
        <w:rPr>
          <w:sz w:val="24"/>
          <w:szCs w:val="24"/>
        </w:rPr>
        <w:t xml:space="preserve"> </w:t>
      </w:r>
    </w:p>
    <w:p w14:paraId="5D07F856" w14:textId="77777777" w:rsidR="002B0194" w:rsidRPr="00FB7886" w:rsidRDefault="002B0194">
      <w:pPr>
        <w:ind w:left="864"/>
        <w:rPr>
          <w:szCs w:val="24"/>
        </w:rPr>
      </w:pPr>
    </w:p>
    <w:p w14:paraId="41311A22" w14:textId="77777777" w:rsidR="002B0194" w:rsidRPr="00FB7886" w:rsidRDefault="002B0194" w:rsidP="00DE64FA">
      <w:pPr>
        <w:pStyle w:val="Heading1"/>
      </w:pPr>
      <w:bookmarkStart w:id="8" w:name="_Toc223955017"/>
      <w:bookmarkStart w:id="9" w:name="_Toc223955132"/>
      <w:r w:rsidRPr="00FB7886">
        <w:t>S</w:t>
      </w:r>
      <w:r w:rsidR="00B515D9" w:rsidRPr="00FB7886">
        <w:t>ection</w:t>
      </w:r>
      <w:r w:rsidRPr="00FB7886">
        <w:t xml:space="preserve"> II:</w:t>
      </w:r>
      <w:r w:rsidRPr="00FB7886">
        <w:tab/>
        <w:t>Conditions and Limitations</w:t>
      </w:r>
      <w:bookmarkEnd w:id="8"/>
      <w:bookmarkEnd w:id="9"/>
    </w:p>
    <w:p w14:paraId="13C47427" w14:textId="77777777" w:rsidR="002B0194" w:rsidRPr="00FB7886" w:rsidRDefault="002B0194">
      <w:pPr>
        <w:rPr>
          <w:szCs w:val="24"/>
        </w:rPr>
      </w:pPr>
    </w:p>
    <w:p w14:paraId="21A13FEF" w14:textId="2BAA29A5" w:rsidR="000A61A4" w:rsidRPr="00F9781B" w:rsidRDefault="002B0194" w:rsidP="00F9781B">
      <w:pPr>
        <w:numPr>
          <w:ilvl w:val="0"/>
          <w:numId w:val="1"/>
        </w:numPr>
        <w:tabs>
          <w:tab w:val="clear" w:pos="1296"/>
          <w:tab w:val="num" w:pos="1440"/>
        </w:tabs>
        <w:ind w:left="1440" w:hanging="360"/>
        <w:rPr>
          <w:szCs w:val="24"/>
        </w:rPr>
      </w:pPr>
      <w:r w:rsidRPr="00FB7886">
        <w:rPr>
          <w:szCs w:val="24"/>
        </w:rPr>
        <w:t>Emission Limitations</w:t>
      </w:r>
    </w:p>
    <w:p w14:paraId="421E6C3F" w14:textId="77777777" w:rsidR="000A61A4" w:rsidRPr="000A61A4" w:rsidRDefault="000A61A4" w:rsidP="000A61A4">
      <w:pPr>
        <w:pStyle w:val="ListParagraph"/>
        <w:rPr>
          <w:szCs w:val="24"/>
        </w:rPr>
      </w:pPr>
    </w:p>
    <w:p w14:paraId="3F3B9454" w14:textId="6A25F813" w:rsidR="000A61A4" w:rsidRDefault="0044678C" w:rsidP="00F826F2">
      <w:pPr>
        <w:numPr>
          <w:ilvl w:val="0"/>
          <w:numId w:val="57"/>
        </w:numPr>
        <w:contextualSpacing/>
        <w:rPr>
          <w:szCs w:val="24"/>
        </w:rPr>
      </w:pPr>
      <w:r>
        <w:rPr>
          <w:szCs w:val="24"/>
        </w:rPr>
        <w:t>AFCS</w:t>
      </w:r>
      <w:r w:rsidR="000A61A4">
        <w:rPr>
          <w:szCs w:val="24"/>
        </w:rPr>
        <w:t xml:space="preserve"> shall not cause or authorize to be discharged into the atmosphere visible emissions that exhibit an opacity of 10% or greater averaged over six consecutive minutes (ARM </w:t>
      </w:r>
      <w:r w:rsidR="0099528C">
        <w:rPr>
          <w:szCs w:val="24"/>
        </w:rPr>
        <w:t>17.8.749</w:t>
      </w:r>
      <w:r w:rsidR="00024F53" w:rsidRPr="00024F53">
        <w:rPr>
          <w:szCs w:val="24"/>
        </w:rPr>
        <w:t xml:space="preserve"> </w:t>
      </w:r>
      <w:r w:rsidR="00024F53">
        <w:rPr>
          <w:szCs w:val="24"/>
        </w:rPr>
        <w:t>and 17.8.752</w:t>
      </w:r>
      <w:r w:rsidR="0099528C">
        <w:rPr>
          <w:szCs w:val="24"/>
        </w:rPr>
        <w:t>)</w:t>
      </w:r>
      <w:r w:rsidR="000A61A4">
        <w:rPr>
          <w:szCs w:val="24"/>
        </w:rPr>
        <w:t>.</w:t>
      </w:r>
    </w:p>
    <w:p w14:paraId="6A6EA5CC" w14:textId="77777777" w:rsidR="000A61A4" w:rsidRDefault="000A61A4" w:rsidP="000A61A4">
      <w:pPr>
        <w:pStyle w:val="ListParagraph"/>
        <w:rPr>
          <w:szCs w:val="24"/>
        </w:rPr>
      </w:pPr>
    </w:p>
    <w:p w14:paraId="0B558226" w14:textId="68262D4F" w:rsidR="000A61A4" w:rsidRPr="000A61A4" w:rsidRDefault="0044678C" w:rsidP="00F826F2">
      <w:pPr>
        <w:numPr>
          <w:ilvl w:val="0"/>
          <w:numId w:val="57"/>
        </w:numPr>
        <w:contextualSpacing/>
        <w:rPr>
          <w:szCs w:val="24"/>
        </w:rPr>
      </w:pPr>
      <w:r>
        <w:rPr>
          <w:szCs w:val="24"/>
        </w:rPr>
        <w:t>AFCS</w:t>
      </w:r>
      <w:r w:rsidR="000A61A4">
        <w:rPr>
          <w:szCs w:val="24"/>
        </w:rPr>
        <w:t xml:space="preserve"> shall not cause or authorize to be discharged into the atmosphere any particulate matter emissions </w:t>
      </w:r>
      <w:proofErr w:type="gramStart"/>
      <w:r w:rsidR="000A61A4">
        <w:rPr>
          <w:szCs w:val="24"/>
        </w:rPr>
        <w:t>in excess of</w:t>
      </w:r>
      <w:proofErr w:type="gramEnd"/>
      <w:r w:rsidR="000A61A4">
        <w:rPr>
          <w:szCs w:val="24"/>
        </w:rPr>
        <w:t xml:space="preserve"> 0.10 gr/dscf (</w:t>
      </w:r>
      <w:r w:rsidR="00942819">
        <w:rPr>
          <w:szCs w:val="24"/>
        </w:rPr>
        <w:t xml:space="preserve">grains </w:t>
      </w:r>
      <w:r w:rsidR="000A61A4">
        <w:rPr>
          <w:szCs w:val="24"/>
        </w:rPr>
        <w:t>per dry standard cubic foot), corrected to 12% carbon dioxide (CO</w:t>
      </w:r>
      <w:r w:rsidR="000A61A4">
        <w:rPr>
          <w:szCs w:val="24"/>
          <w:vertAlign w:val="subscript"/>
        </w:rPr>
        <w:t>2</w:t>
      </w:r>
      <w:r w:rsidR="000A61A4" w:rsidRPr="000A61A4">
        <w:rPr>
          <w:szCs w:val="24"/>
        </w:rPr>
        <w:t>)</w:t>
      </w:r>
      <w:r w:rsidR="000A61A4">
        <w:rPr>
          <w:szCs w:val="24"/>
        </w:rPr>
        <w:t xml:space="preserve"> (ARM 17.8.749</w:t>
      </w:r>
      <w:r w:rsidR="00024F53" w:rsidRPr="00024F53">
        <w:rPr>
          <w:szCs w:val="24"/>
        </w:rPr>
        <w:t xml:space="preserve"> </w:t>
      </w:r>
      <w:r w:rsidR="00024F53">
        <w:rPr>
          <w:szCs w:val="24"/>
        </w:rPr>
        <w:t>and 17.8.752</w:t>
      </w:r>
      <w:r w:rsidR="00BC65AA">
        <w:rPr>
          <w:szCs w:val="24"/>
        </w:rPr>
        <w:t>).</w:t>
      </w:r>
    </w:p>
    <w:p w14:paraId="2EA9F451" w14:textId="77777777" w:rsidR="002B0194" w:rsidRPr="00FB7886" w:rsidRDefault="002B0194" w:rsidP="00B515D9">
      <w:pPr>
        <w:ind w:left="1800" w:hanging="360"/>
        <w:rPr>
          <w:szCs w:val="24"/>
        </w:rPr>
      </w:pPr>
    </w:p>
    <w:p w14:paraId="61BAE222" w14:textId="4A9AC809" w:rsidR="00024F53" w:rsidRDefault="00024F53" w:rsidP="00895BBF">
      <w:pPr>
        <w:numPr>
          <w:ilvl w:val="0"/>
          <w:numId w:val="1"/>
        </w:numPr>
        <w:tabs>
          <w:tab w:val="clear" w:pos="1296"/>
        </w:tabs>
        <w:ind w:left="1440"/>
        <w:rPr>
          <w:szCs w:val="24"/>
        </w:rPr>
      </w:pPr>
      <w:r>
        <w:rPr>
          <w:szCs w:val="24"/>
        </w:rPr>
        <w:t>Operational Conditions</w:t>
      </w:r>
    </w:p>
    <w:p w14:paraId="5E0717E3" w14:textId="77777777" w:rsidR="00024F53" w:rsidRDefault="00024F53" w:rsidP="005741D2">
      <w:pPr>
        <w:ind w:left="1440"/>
        <w:rPr>
          <w:szCs w:val="24"/>
        </w:rPr>
      </w:pPr>
    </w:p>
    <w:p w14:paraId="2AF89E44" w14:textId="38E7DE5B" w:rsidR="005B5DB4" w:rsidRDefault="005B5DB4" w:rsidP="00024F53">
      <w:pPr>
        <w:pStyle w:val="ListParagraph"/>
        <w:numPr>
          <w:ilvl w:val="0"/>
          <w:numId w:val="76"/>
        </w:numPr>
        <w:rPr>
          <w:szCs w:val="24"/>
        </w:rPr>
      </w:pPr>
      <w:r>
        <w:rPr>
          <w:szCs w:val="24"/>
        </w:rPr>
        <w:t>Both the primary and secondary chamber shall each have their own individual burner (ARM 17.8.749 and 17.8.752).</w:t>
      </w:r>
    </w:p>
    <w:p w14:paraId="19587FEA" w14:textId="77777777" w:rsidR="005B5DB4" w:rsidRDefault="005B5DB4" w:rsidP="005B5DB4">
      <w:pPr>
        <w:pStyle w:val="ListParagraph"/>
        <w:ind w:left="1890"/>
        <w:rPr>
          <w:szCs w:val="24"/>
        </w:rPr>
      </w:pPr>
    </w:p>
    <w:p w14:paraId="150D4373" w14:textId="608D6215" w:rsidR="00024F53" w:rsidRDefault="00024F53" w:rsidP="00024F53">
      <w:pPr>
        <w:pStyle w:val="ListParagraph"/>
        <w:numPr>
          <w:ilvl w:val="0"/>
          <w:numId w:val="76"/>
        </w:numPr>
        <w:rPr>
          <w:szCs w:val="24"/>
        </w:rPr>
      </w:pPr>
      <w:r>
        <w:rPr>
          <w:szCs w:val="24"/>
        </w:rPr>
        <w:t xml:space="preserve">AFCS </w:t>
      </w:r>
      <w:r w:rsidRPr="001F6494">
        <w:rPr>
          <w:szCs w:val="24"/>
        </w:rPr>
        <w:t xml:space="preserve">shall not incinerate/cremate any material other than animal remains and any corresponding container unless </w:t>
      </w:r>
      <w:r>
        <w:rPr>
          <w:szCs w:val="24"/>
        </w:rPr>
        <w:t xml:space="preserve">an </w:t>
      </w:r>
      <w:r>
        <w:rPr>
          <w:rStyle w:val="normaltextrun"/>
          <w:color w:val="000000"/>
          <w:shd w:val="clear" w:color="auto" w:fill="FFFFFF"/>
        </w:rPr>
        <w:t>alternative material burn</w:t>
      </w:r>
      <w:r>
        <w:rPr>
          <w:szCs w:val="24"/>
        </w:rPr>
        <w:t xml:space="preserve"> is </w:t>
      </w:r>
      <w:r w:rsidRPr="001F6494">
        <w:rPr>
          <w:szCs w:val="24"/>
        </w:rPr>
        <w:t xml:space="preserve">approved in </w:t>
      </w:r>
      <w:r w:rsidRPr="001F6494">
        <w:rPr>
          <w:szCs w:val="24"/>
        </w:rPr>
        <w:lastRenderedPageBreak/>
        <w:t>writing by the</w:t>
      </w:r>
      <w:r>
        <w:rPr>
          <w:szCs w:val="24"/>
        </w:rPr>
        <w:t xml:space="preserve"> Montana </w:t>
      </w:r>
      <w:r w:rsidRPr="001F6494">
        <w:rPr>
          <w:szCs w:val="24"/>
        </w:rPr>
        <w:t>Department of Environmental Quality (DEQ) (ARM 17.8.749</w:t>
      </w:r>
      <w:r>
        <w:rPr>
          <w:szCs w:val="24"/>
        </w:rPr>
        <w:t xml:space="preserve"> and 17.8.752</w:t>
      </w:r>
      <w:r w:rsidRPr="001F6494">
        <w:rPr>
          <w:szCs w:val="24"/>
        </w:rPr>
        <w:t>).</w:t>
      </w:r>
    </w:p>
    <w:p w14:paraId="38E16187" w14:textId="77777777" w:rsidR="00024F53" w:rsidRPr="005B5DB4" w:rsidRDefault="00024F53" w:rsidP="005B5DB4">
      <w:pPr>
        <w:rPr>
          <w:szCs w:val="24"/>
        </w:rPr>
      </w:pPr>
    </w:p>
    <w:p w14:paraId="39674E36" w14:textId="65E9FEC4" w:rsidR="00024F53" w:rsidRDefault="00024F53" w:rsidP="00024F53">
      <w:pPr>
        <w:pStyle w:val="ListParagraph"/>
        <w:numPr>
          <w:ilvl w:val="0"/>
          <w:numId w:val="76"/>
        </w:numPr>
        <w:rPr>
          <w:szCs w:val="24"/>
        </w:rPr>
      </w:pPr>
      <w:r w:rsidRPr="000A61A4">
        <w:rPr>
          <w:szCs w:val="24"/>
        </w:rPr>
        <w:t xml:space="preserve">The </w:t>
      </w:r>
      <w:r>
        <w:rPr>
          <w:szCs w:val="24"/>
        </w:rPr>
        <w:t>incineration</w:t>
      </w:r>
      <w:r w:rsidRPr="000A61A4">
        <w:rPr>
          <w:szCs w:val="24"/>
        </w:rPr>
        <w:t xml:space="preserve"> unit shall be equipped with a secondary combustion chamber with an afterburner. </w:t>
      </w:r>
      <w:r>
        <w:rPr>
          <w:szCs w:val="24"/>
        </w:rPr>
        <w:t>AFCS</w:t>
      </w:r>
      <w:r w:rsidRPr="000A61A4">
        <w:rPr>
          <w:szCs w:val="24"/>
        </w:rPr>
        <w:t xml:space="preserve"> shall preheat the cremation unit to a minimum of 1,</w:t>
      </w:r>
      <w:r>
        <w:rPr>
          <w:szCs w:val="24"/>
        </w:rPr>
        <w:t>5</w:t>
      </w:r>
      <w:r w:rsidRPr="000A61A4">
        <w:rPr>
          <w:szCs w:val="24"/>
        </w:rPr>
        <w:t>00 degrees Fahrenheit with a</w:t>
      </w:r>
      <w:r>
        <w:rPr>
          <w:szCs w:val="24"/>
        </w:rPr>
        <w:t xml:space="preserve"> minimum</w:t>
      </w:r>
      <w:r w:rsidRPr="000A61A4">
        <w:rPr>
          <w:szCs w:val="24"/>
        </w:rPr>
        <w:t xml:space="preserve"> 1/2 second retention time, prior to igniting a charge in the primary chamber burner. </w:t>
      </w:r>
      <w:r>
        <w:rPr>
          <w:szCs w:val="24"/>
        </w:rPr>
        <w:t>AFCS</w:t>
      </w:r>
      <w:r w:rsidRPr="000A61A4">
        <w:rPr>
          <w:szCs w:val="24"/>
        </w:rPr>
        <w:t xml:space="preserve"> shall maintain the secondary chamber temperature such that no single reading is less than 1,</w:t>
      </w:r>
      <w:r>
        <w:rPr>
          <w:szCs w:val="24"/>
        </w:rPr>
        <w:t>450</w:t>
      </w:r>
      <w:r w:rsidRPr="000A61A4">
        <w:rPr>
          <w:szCs w:val="24"/>
        </w:rPr>
        <w:t xml:space="preserve"> degrees Fahrenheit in the secondary chamber during cremation. The </w:t>
      </w:r>
      <w:r>
        <w:rPr>
          <w:szCs w:val="24"/>
        </w:rPr>
        <w:t xml:space="preserve">minimum </w:t>
      </w:r>
      <w:r w:rsidRPr="000A61A4">
        <w:rPr>
          <w:szCs w:val="24"/>
        </w:rPr>
        <w:t>operating</w:t>
      </w:r>
      <w:r>
        <w:rPr>
          <w:szCs w:val="24"/>
        </w:rPr>
        <w:t xml:space="preserve"> </w:t>
      </w:r>
      <w:r w:rsidRPr="00D260BD">
        <w:rPr>
          <w:szCs w:val="24"/>
        </w:rPr>
        <w:t>temperature shall be maintained during operation and for one-half hour after complete combustion of materials ha</w:t>
      </w:r>
      <w:r>
        <w:rPr>
          <w:szCs w:val="24"/>
        </w:rPr>
        <w:t>s</w:t>
      </w:r>
      <w:r w:rsidRPr="00D260BD">
        <w:rPr>
          <w:szCs w:val="24"/>
        </w:rPr>
        <w:t xml:space="preserve"> been achieved (ARM</w:t>
      </w:r>
      <w:r w:rsidR="005B5DB4">
        <w:rPr>
          <w:szCs w:val="24"/>
        </w:rPr>
        <w:t xml:space="preserve"> 17.8.749 and</w:t>
      </w:r>
      <w:r w:rsidRPr="00D260BD">
        <w:rPr>
          <w:szCs w:val="24"/>
        </w:rPr>
        <w:t xml:space="preserve"> 17.8.752)</w:t>
      </w:r>
      <w:r>
        <w:rPr>
          <w:szCs w:val="24"/>
        </w:rPr>
        <w:t>.</w:t>
      </w:r>
    </w:p>
    <w:p w14:paraId="158B6CAE" w14:textId="77777777" w:rsidR="00024F53" w:rsidRPr="00024F53" w:rsidRDefault="00024F53" w:rsidP="00024F53">
      <w:pPr>
        <w:rPr>
          <w:szCs w:val="24"/>
        </w:rPr>
      </w:pPr>
    </w:p>
    <w:p w14:paraId="1623C141" w14:textId="77777777" w:rsidR="00024F53" w:rsidRDefault="00024F53" w:rsidP="005741D2">
      <w:pPr>
        <w:pStyle w:val="ListParagraph"/>
        <w:numPr>
          <w:ilvl w:val="0"/>
          <w:numId w:val="76"/>
        </w:numPr>
        <w:rPr>
          <w:szCs w:val="24"/>
        </w:rPr>
      </w:pPr>
      <w:r>
        <w:rPr>
          <w:szCs w:val="24"/>
        </w:rPr>
        <w:t>AFCS</w:t>
      </w:r>
      <w:r w:rsidRPr="001F37E8">
        <w:rPr>
          <w:szCs w:val="24"/>
        </w:rPr>
        <w:t xml:space="preserve"> shall develop procedures (operating procedures manual) for the incineration unit</w:t>
      </w:r>
      <w:r>
        <w:rPr>
          <w:szCs w:val="24"/>
        </w:rPr>
        <w:t>, shall follow those procedures, and shall</w:t>
      </w:r>
      <w:r w:rsidRPr="001F37E8">
        <w:rPr>
          <w:szCs w:val="24"/>
        </w:rPr>
        <w:t xml:space="preserve"> </w:t>
      </w:r>
      <w:proofErr w:type="gramStart"/>
      <w:r w:rsidRPr="001F37E8">
        <w:rPr>
          <w:szCs w:val="24"/>
        </w:rPr>
        <w:t>keep a physical copy of the operating procedures manual onsite at all times</w:t>
      </w:r>
      <w:proofErr w:type="gramEnd"/>
      <w:r w:rsidRPr="001F37E8">
        <w:rPr>
          <w:szCs w:val="24"/>
        </w:rPr>
        <w:t xml:space="preserve">. All personnel who operate the incinerator unit shall be trained in the use of the operating procedures manual. </w:t>
      </w:r>
      <w:r>
        <w:rPr>
          <w:szCs w:val="24"/>
        </w:rPr>
        <w:t>AFCS</w:t>
      </w:r>
      <w:r w:rsidRPr="001F37E8">
        <w:rPr>
          <w:szCs w:val="24"/>
        </w:rPr>
        <w:t xml:space="preserve"> shall document training records and supply those training records and a copy of the operating procedures manual to DEQ upon request (ARM 17.8.749 and 17.8.752).</w:t>
      </w:r>
    </w:p>
    <w:p w14:paraId="74B9913C" w14:textId="77777777" w:rsidR="00024F53" w:rsidRPr="00024F53" w:rsidRDefault="00024F53" w:rsidP="00024F53">
      <w:pPr>
        <w:pStyle w:val="ListParagraph"/>
        <w:rPr>
          <w:szCs w:val="24"/>
        </w:rPr>
      </w:pPr>
    </w:p>
    <w:p w14:paraId="09D765D2" w14:textId="6F53A1F7" w:rsidR="00024F53" w:rsidRPr="00024F53" w:rsidRDefault="00024F53" w:rsidP="00024F53">
      <w:pPr>
        <w:pStyle w:val="ListParagraph"/>
        <w:numPr>
          <w:ilvl w:val="0"/>
          <w:numId w:val="76"/>
        </w:numPr>
        <w:rPr>
          <w:szCs w:val="24"/>
        </w:rPr>
      </w:pPr>
      <w:r w:rsidRPr="00024F53">
        <w:rPr>
          <w:szCs w:val="24"/>
        </w:rPr>
        <w:t>AFCS shall utilize liquified petroleum gas (propane) or pipeline quality natural gas as a fuel source and maintain good combustion practices for the incinerator unit (</w:t>
      </w:r>
      <w:r w:rsidR="005B5DB4">
        <w:rPr>
          <w:szCs w:val="24"/>
        </w:rPr>
        <w:t>ARM 17.8.749 and 1</w:t>
      </w:r>
      <w:r w:rsidRPr="00024F53">
        <w:rPr>
          <w:szCs w:val="24"/>
        </w:rPr>
        <w:t>7.8.752).</w:t>
      </w:r>
    </w:p>
    <w:p w14:paraId="3E87372D" w14:textId="77777777" w:rsidR="00024F53" w:rsidRDefault="00024F53" w:rsidP="00024F53">
      <w:pPr>
        <w:ind w:left="1440"/>
        <w:rPr>
          <w:szCs w:val="24"/>
        </w:rPr>
      </w:pPr>
    </w:p>
    <w:p w14:paraId="42833A50" w14:textId="62F4BB1B" w:rsidR="002B0194" w:rsidRPr="00FB7886" w:rsidRDefault="002B0194" w:rsidP="00895BBF">
      <w:pPr>
        <w:numPr>
          <w:ilvl w:val="0"/>
          <w:numId w:val="1"/>
        </w:numPr>
        <w:tabs>
          <w:tab w:val="clear" w:pos="1296"/>
        </w:tabs>
        <w:ind w:left="1440"/>
        <w:rPr>
          <w:szCs w:val="24"/>
        </w:rPr>
      </w:pPr>
      <w:r w:rsidRPr="00FB7886">
        <w:rPr>
          <w:szCs w:val="24"/>
        </w:rPr>
        <w:t>Testing Requirements</w:t>
      </w:r>
    </w:p>
    <w:p w14:paraId="3F60E588" w14:textId="77777777" w:rsidR="002B0194" w:rsidRPr="00FB7886" w:rsidRDefault="002B0194">
      <w:pPr>
        <w:ind w:left="864"/>
        <w:rPr>
          <w:szCs w:val="24"/>
        </w:rPr>
      </w:pPr>
    </w:p>
    <w:p w14:paraId="7F0126FC" w14:textId="77777777" w:rsidR="002B0194" w:rsidRPr="000B58C2" w:rsidRDefault="002B0194" w:rsidP="000B58C2">
      <w:pPr>
        <w:numPr>
          <w:ilvl w:val="0"/>
          <w:numId w:val="3"/>
        </w:numPr>
        <w:tabs>
          <w:tab w:val="clear" w:pos="1728"/>
        </w:tabs>
        <w:ind w:left="1890"/>
        <w:rPr>
          <w:szCs w:val="24"/>
        </w:rPr>
      </w:pPr>
      <w:r w:rsidRPr="000B58C2">
        <w:rPr>
          <w:szCs w:val="24"/>
        </w:rPr>
        <w:t>All compliance source tests shall conform to the requirements of the Montana Source Test Protocol and Procedures Manual (ARM 17.8.106).</w:t>
      </w:r>
    </w:p>
    <w:p w14:paraId="6A419FAD" w14:textId="77777777" w:rsidR="002B0194" w:rsidRPr="00FB7886" w:rsidRDefault="002B0194" w:rsidP="0052170F">
      <w:pPr>
        <w:ind w:left="1890"/>
        <w:rPr>
          <w:szCs w:val="24"/>
        </w:rPr>
      </w:pPr>
    </w:p>
    <w:p w14:paraId="7297906D" w14:textId="2463DCB5" w:rsidR="002B0194" w:rsidRPr="00FB7886" w:rsidRDefault="00083BD4" w:rsidP="0052170F">
      <w:pPr>
        <w:numPr>
          <w:ilvl w:val="0"/>
          <w:numId w:val="2"/>
        </w:numPr>
        <w:tabs>
          <w:tab w:val="clear" w:pos="1728"/>
        </w:tabs>
        <w:ind w:left="1890"/>
        <w:rPr>
          <w:szCs w:val="24"/>
        </w:rPr>
      </w:pPr>
      <w:r>
        <w:rPr>
          <w:szCs w:val="24"/>
        </w:rPr>
        <w:t>DEQ</w:t>
      </w:r>
      <w:r w:rsidR="002B0194" w:rsidRPr="00FB7886">
        <w:rPr>
          <w:szCs w:val="24"/>
        </w:rPr>
        <w:t xml:space="preserve"> may require testing (ARM 17.8.105).</w:t>
      </w:r>
    </w:p>
    <w:p w14:paraId="3B8CAAF8" w14:textId="77777777" w:rsidR="002B0194" w:rsidRPr="00FB7886" w:rsidRDefault="002B0194">
      <w:pPr>
        <w:rPr>
          <w:szCs w:val="24"/>
        </w:rPr>
      </w:pPr>
    </w:p>
    <w:p w14:paraId="1E87D239" w14:textId="22ED327A" w:rsidR="002B0194" w:rsidRPr="00FB7886" w:rsidRDefault="002B0194" w:rsidP="00895BBF">
      <w:pPr>
        <w:numPr>
          <w:ilvl w:val="0"/>
          <w:numId w:val="1"/>
        </w:numPr>
        <w:tabs>
          <w:tab w:val="clear" w:pos="1296"/>
        </w:tabs>
        <w:ind w:left="1440"/>
        <w:rPr>
          <w:szCs w:val="24"/>
        </w:rPr>
      </w:pPr>
      <w:r w:rsidRPr="00FB7886">
        <w:rPr>
          <w:szCs w:val="24"/>
        </w:rPr>
        <w:t xml:space="preserve">Operational Reporting </w:t>
      </w:r>
      <w:r w:rsidR="00DA7F5A">
        <w:rPr>
          <w:szCs w:val="24"/>
        </w:rPr>
        <w:t xml:space="preserve">and Recordkeeping </w:t>
      </w:r>
      <w:r w:rsidRPr="00FB7886">
        <w:rPr>
          <w:szCs w:val="24"/>
        </w:rPr>
        <w:t>Requirements</w:t>
      </w:r>
    </w:p>
    <w:p w14:paraId="5B989E49" w14:textId="77777777" w:rsidR="002B0194" w:rsidRPr="00FB7886" w:rsidRDefault="002B0194">
      <w:pPr>
        <w:ind w:left="864"/>
        <w:rPr>
          <w:szCs w:val="24"/>
        </w:rPr>
      </w:pPr>
    </w:p>
    <w:p w14:paraId="08FD3E99" w14:textId="62A28C99" w:rsidR="002B0194" w:rsidRPr="00FB7886" w:rsidRDefault="0044678C" w:rsidP="0052170F">
      <w:pPr>
        <w:numPr>
          <w:ilvl w:val="0"/>
          <w:numId w:val="4"/>
        </w:numPr>
        <w:tabs>
          <w:tab w:val="clear" w:pos="1728"/>
        </w:tabs>
        <w:ind w:left="1890"/>
        <w:rPr>
          <w:szCs w:val="24"/>
        </w:rPr>
      </w:pPr>
      <w:r>
        <w:rPr>
          <w:szCs w:val="24"/>
        </w:rPr>
        <w:t>AFCS</w:t>
      </w:r>
      <w:r w:rsidR="002B0194" w:rsidRPr="00FB7886">
        <w:rPr>
          <w:szCs w:val="24"/>
        </w:rPr>
        <w:t xml:space="preserve"> shall supply </w:t>
      </w:r>
      <w:r w:rsidR="00F4754D">
        <w:rPr>
          <w:szCs w:val="24"/>
        </w:rPr>
        <w:t>DEQ</w:t>
      </w:r>
      <w:r w:rsidR="002B0194" w:rsidRPr="00FB7886">
        <w:rPr>
          <w:szCs w:val="24"/>
        </w:rPr>
        <w:t xml:space="preserve"> with annual production information for all emission points, as required by </w:t>
      </w:r>
      <w:r w:rsidR="00F4754D">
        <w:rPr>
          <w:szCs w:val="24"/>
        </w:rPr>
        <w:t>DEQ</w:t>
      </w:r>
      <w:r w:rsidR="002B0194" w:rsidRPr="00FB7886">
        <w:rPr>
          <w:szCs w:val="24"/>
        </w:rPr>
        <w:t xml:space="preserve"> in the annual emission inventory request.  The request will include, but is not limited to, all sources of emissions identified in the emission inventory contained in the permit analysis.</w:t>
      </w:r>
    </w:p>
    <w:p w14:paraId="76573285" w14:textId="77777777" w:rsidR="002B0194" w:rsidRPr="00FB7886" w:rsidRDefault="002B0194" w:rsidP="0052170F">
      <w:pPr>
        <w:ind w:left="1890"/>
        <w:rPr>
          <w:szCs w:val="24"/>
        </w:rPr>
      </w:pPr>
    </w:p>
    <w:p w14:paraId="547E6C63" w14:textId="77777777" w:rsidR="0097601E" w:rsidRDefault="002B0194" w:rsidP="0052170F">
      <w:pPr>
        <w:ind w:left="1890"/>
        <w:rPr>
          <w:szCs w:val="24"/>
        </w:rPr>
      </w:pPr>
      <w:r w:rsidRPr="00FB7886">
        <w:rPr>
          <w:szCs w:val="24"/>
        </w:rPr>
        <w:t xml:space="preserve">Production information shall be gathered on a </w:t>
      </w:r>
      <w:proofErr w:type="gramStart"/>
      <w:r w:rsidRPr="00FB7886">
        <w:rPr>
          <w:szCs w:val="24"/>
        </w:rPr>
        <w:t>calendar-year</w:t>
      </w:r>
      <w:proofErr w:type="gramEnd"/>
      <w:r w:rsidRPr="00FB7886">
        <w:rPr>
          <w:szCs w:val="24"/>
        </w:rPr>
        <w:t xml:space="preserve"> basis and submitted to </w:t>
      </w:r>
      <w:r w:rsidR="00F4754D">
        <w:rPr>
          <w:szCs w:val="24"/>
        </w:rPr>
        <w:t>DEQ</w:t>
      </w:r>
      <w:r w:rsidRPr="00FB7886">
        <w:rPr>
          <w:szCs w:val="24"/>
        </w:rPr>
        <w:t xml:space="preserve"> by the date required in the emission inventory request.  Information shall be in the units required by </w:t>
      </w:r>
      <w:r w:rsidR="00F4754D">
        <w:rPr>
          <w:szCs w:val="24"/>
        </w:rPr>
        <w:t>DEQ</w:t>
      </w:r>
      <w:r w:rsidRPr="00FB7886">
        <w:rPr>
          <w:szCs w:val="24"/>
        </w:rPr>
        <w:t xml:space="preserve">.  This information may be used to calculate operating fees, based on actual emissions from the facility, and/or to verify compliance with permit limitations (ARM 17.8.505).  </w:t>
      </w:r>
    </w:p>
    <w:p w14:paraId="61C66FB0" w14:textId="77777777" w:rsidR="0097601E" w:rsidRDefault="0097601E" w:rsidP="0052170F">
      <w:pPr>
        <w:ind w:left="1890"/>
        <w:rPr>
          <w:szCs w:val="24"/>
        </w:rPr>
      </w:pPr>
    </w:p>
    <w:p w14:paraId="7469B0C9" w14:textId="2E31F171" w:rsidR="0097601E" w:rsidRDefault="0044678C" w:rsidP="0052170F">
      <w:pPr>
        <w:pStyle w:val="ListParagraph"/>
        <w:numPr>
          <w:ilvl w:val="0"/>
          <w:numId w:val="4"/>
        </w:numPr>
        <w:tabs>
          <w:tab w:val="clear" w:pos="1728"/>
        </w:tabs>
        <w:ind w:left="1890"/>
        <w:rPr>
          <w:szCs w:val="24"/>
        </w:rPr>
      </w:pPr>
      <w:r>
        <w:rPr>
          <w:szCs w:val="24"/>
        </w:rPr>
        <w:t>AFCS</w:t>
      </w:r>
      <w:r w:rsidR="002B5965" w:rsidRPr="0097601E">
        <w:rPr>
          <w:szCs w:val="24"/>
        </w:rPr>
        <w:t xml:space="preserve"> shall notify </w:t>
      </w:r>
      <w:r w:rsidR="00F4754D" w:rsidRPr="0097601E">
        <w:rPr>
          <w:szCs w:val="24"/>
        </w:rPr>
        <w:t>DEQ</w:t>
      </w:r>
      <w:r w:rsidR="002B5965" w:rsidRPr="0097601E">
        <w:rPr>
          <w:szCs w:val="24"/>
        </w:rPr>
        <w:t xml:space="preserve"> of any construction or improvement project conducted, pursuant to ARM 17.8.745, that would include</w:t>
      </w:r>
      <w:r w:rsidR="002B5965" w:rsidRPr="0097601E">
        <w:rPr>
          <w:b/>
          <w:i/>
          <w:szCs w:val="24"/>
        </w:rPr>
        <w:t xml:space="preserve"> the addition of a new</w:t>
      </w:r>
      <w:r w:rsidR="002B5965" w:rsidRPr="0097601E">
        <w:rPr>
          <w:i/>
          <w:szCs w:val="24"/>
        </w:rPr>
        <w:t xml:space="preserve"> </w:t>
      </w:r>
      <w:r w:rsidR="002B5965" w:rsidRPr="0097601E">
        <w:rPr>
          <w:b/>
          <w:i/>
          <w:szCs w:val="24"/>
        </w:rPr>
        <w:t>emissions unit</w:t>
      </w:r>
      <w:r w:rsidR="002B5965" w:rsidRPr="0097601E">
        <w:rPr>
          <w:i/>
          <w:szCs w:val="24"/>
        </w:rPr>
        <w:t>,</w:t>
      </w:r>
      <w:r w:rsidR="002B5965" w:rsidRPr="0097601E">
        <w:rPr>
          <w:szCs w:val="24"/>
        </w:rPr>
        <w:t xml:space="preserve"> change in control equipment, stack height, stack diameter, </w:t>
      </w:r>
      <w:r w:rsidR="002B5965" w:rsidRPr="0097601E">
        <w:rPr>
          <w:szCs w:val="24"/>
        </w:rPr>
        <w:lastRenderedPageBreak/>
        <w:t xml:space="preserve">stack flow, stack gas temperature, source location, or fuel specifications, or would result in an increase in source capacity above its permitted operation.  </w:t>
      </w:r>
    </w:p>
    <w:p w14:paraId="7F01DB8C" w14:textId="77777777" w:rsidR="00623F99" w:rsidRPr="0097601E" w:rsidRDefault="00623F99" w:rsidP="00623F99">
      <w:pPr>
        <w:pStyle w:val="ListParagraph"/>
        <w:ind w:left="1728"/>
        <w:rPr>
          <w:szCs w:val="24"/>
        </w:rPr>
      </w:pPr>
    </w:p>
    <w:p w14:paraId="105C2E86" w14:textId="100141B4" w:rsidR="002B5965" w:rsidRPr="0097601E" w:rsidRDefault="002B5965" w:rsidP="0052170F">
      <w:pPr>
        <w:pStyle w:val="ListParagraph"/>
        <w:ind w:left="1890"/>
        <w:rPr>
          <w:szCs w:val="24"/>
        </w:rPr>
      </w:pPr>
      <w:r w:rsidRPr="0097601E">
        <w:rPr>
          <w:szCs w:val="24"/>
        </w:rPr>
        <w:t xml:space="preserve">The notice must be submitted to </w:t>
      </w:r>
      <w:r w:rsidR="00F4754D" w:rsidRPr="0097601E">
        <w:rPr>
          <w:szCs w:val="24"/>
        </w:rPr>
        <w:t>DEQ</w:t>
      </w:r>
      <w:r w:rsidRPr="0097601E">
        <w:rPr>
          <w:szCs w:val="24"/>
        </w:rPr>
        <w:t xml:space="preserve">, in writing, 10 days prior to startup or use of the proposed de minimis change, or as soon as reasonably practicable in the event of an unanticipated circumstance causing the de minimis </w:t>
      </w:r>
      <w:r w:rsidR="003E676A" w:rsidRPr="0097601E">
        <w:rPr>
          <w:szCs w:val="24"/>
        </w:rPr>
        <w:t>change and</w:t>
      </w:r>
      <w:r w:rsidRPr="0097601E">
        <w:rPr>
          <w:szCs w:val="24"/>
        </w:rPr>
        <w:t xml:space="preserve"> must include the information requested in ARM 17.8.745(l)(d) (ARM 17.8.745).</w:t>
      </w:r>
    </w:p>
    <w:p w14:paraId="3B718B7E" w14:textId="77777777" w:rsidR="002B0194" w:rsidRPr="00FB7886" w:rsidRDefault="002B0194" w:rsidP="0052170F">
      <w:pPr>
        <w:ind w:left="1890" w:hanging="450"/>
        <w:rPr>
          <w:szCs w:val="24"/>
        </w:rPr>
      </w:pPr>
    </w:p>
    <w:p w14:paraId="0E013F30" w14:textId="51A076D9" w:rsidR="002B0194" w:rsidRDefault="002B0194" w:rsidP="0052170F">
      <w:pPr>
        <w:pStyle w:val="ListParagraph"/>
        <w:numPr>
          <w:ilvl w:val="0"/>
          <w:numId w:val="4"/>
        </w:numPr>
        <w:tabs>
          <w:tab w:val="clear" w:pos="1728"/>
        </w:tabs>
        <w:ind w:left="1890"/>
        <w:rPr>
          <w:szCs w:val="24"/>
        </w:rPr>
      </w:pPr>
      <w:r w:rsidRPr="0097601E">
        <w:rPr>
          <w:szCs w:val="24"/>
        </w:rPr>
        <w:t xml:space="preserve">All records compiled in accordance with this permit must be maintained by </w:t>
      </w:r>
      <w:r w:rsidR="0044678C">
        <w:rPr>
          <w:szCs w:val="24"/>
        </w:rPr>
        <w:t>AFCS</w:t>
      </w:r>
      <w:r w:rsidRPr="0097601E">
        <w:rPr>
          <w:szCs w:val="24"/>
        </w:rPr>
        <w:t xml:space="preserve"> as a permanent business record for at least 5 years following the date of the measurement, must be available at the plant site for inspection by </w:t>
      </w:r>
      <w:r w:rsidR="00F4754D" w:rsidRPr="0097601E">
        <w:rPr>
          <w:szCs w:val="24"/>
        </w:rPr>
        <w:t>DEQ</w:t>
      </w:r>
      <w:r w:rsidRPr="0097601E">
        <w:rPr>
          <w:szCs w:val="24"/>
        </w:rPr>
        <w:t xml:space="preserve">, and must be submitted to </w:t>
      </w:r>
      <w:r w:rsidR="00F4754D" w:rsidRPr="0097601E">
        <w:rPr>
          <w:szCs w:val="24"/>
        </w:rPr>
        <w:t>DEQ</w:t>
      </w:r>
      <w:r w:rsidRPr="0097601E">
        <w:rPr>
          <w:szCs w:val="24"/>
        </w:rPr>
        <w:t xml:space="preserve"> upon request</w:t>
      </w:r>
      <w:r w:rsidR="009147F3" w:rsidRPr="0097601E">
        <w:rPr>
          <w:szCs w:val="24"/>
        </w:rPr>
        <w:t xml:space="preserve">.  These records may be stored at a location other than the plant site upon approval by </w:t>
      </w:r>
      <w:r w:rsidR="00F4754D" w:rsidRPr="0097601E">
        <w:rPr>
          <w:szCs w:val="24"/>
        </w:rPr>
        <w:t>DEQ</w:t>
      </w:r>
      <w:r w:rsidRPr="0097601E">
        <w:rPr>
          <w:szCs w:val="24"/>
        </w:rPr>
        <w:t xml:space="preserve"> (ARM 17.8.749).</w:t>
      </w:r>
    </w:p>
    <w:p w14:paraId="6D724985" w14:textId="77777777" w:rsidR="0097601E" w:rsidRPr="00C02FC6" w:rsidRDefault="0097601E" w:rsidP="00C02FC6">
      <w:pPr>
        <w:rPr>
          <w:szCs w:val="24"/>
        </w:rPr>
      </w:pPr>
    </w:p>
    <w:p w14:paraId="60E1C2D1" w14:textId="23D3AF6C" w:rsidR="002B0194" w:rsidRPr="0097601E" w:rsidRDefault="0044678C" w:rsidP="0052170F">
      <w:pPr>
        <w:pStyle w:val="ListParagraph"/>
        <w:numPr>
          <w:ilvl w:val="0"/>
          <w:numId w:val="4"/>
        </w:numPr>
        <w:tabs>
          <w:tab w:val="clear" w:pos="1728"/>
        </w:tabs>
        <w:ind w:left="1890"/>
        <w:rPr>
          <w:szCs w:val="24"/>
        </w:rPr>
      </w:pPr>
      <w:r>
        <w:rPr>
          <w:szCs w:val="24"/>
        </w:rPr>
        <w:t>AFCS</w:t>
      </w:r>
      <w:r w:rsidR="0097601E" w:rsidRPr="0097601E">
        <w:rPr>
          <w:szCs w:val="24"/>
        </w:rPr>
        <w:t xml:space="preserve"> shall record the daily quantity (mass) of material incinerated/cremated and the daily hours of operation of the cremation unit (date, start time, end time, and operator) (ARM 17.8.749).</w:t>
      </w:r>
    </w:p>
    <w:p w14:paraId="375F8377" w14:textId="77777777" w:rsidR="002B0194" w:rsidRPr="00FB7886" w:rsidRDefault="002B0194">
      <w:pPr>
        <w:ind w:left="864"/>
        <w:rPr>
          <w:szCs w:val="24"/>
          <w:highlight w:val="yellow"/>
        </w:rPr>
      </w:pPr>
    </w:p>
    <w:p w14:paraId="664344DE" w14:textId="41358199" w:rsidR="002B0194" w:rsidRPr="0097601E" w:rsidRDefault="002B0194" w:rsidP="00895BBF">
      <w:pPr>
        <w:numPr>
          <w:ilvl w:val="0"/>
          <w:numId w:val="1"/>
        </w:numPr>
        <w:tabs>
          <w:tab w:val="clear" w:pos="1296"/>
        </w:tabs>
        <w:ind w:left="1440"/>
        <w:rPr>
          <w:szCs w:val="24"/>
        </w:rPr>
      </w:pPr>
      <w:r w:rsidRPr="0097601E">
        <w:rPr>
          <w:szCs w:val="24"/>
        </w:rPr>
        <w:t>Continuous Emissions Monitoring Systems</w:t>
      </w:r>
    </w:p>
    <w:p w14:paraId="50EBDFD4" w14:textId="77777777" w:rsidR="0097601E" w:rsidRPr="0097601E" w:rsidRDefault="0097601E" w:rsidP="0097601E">
      <w:pPr>
        <w:pStyle w:val="ListParagraph"/>
        <w:rPr>
          <w:szCs w:val="24"/>
        </w:rPr>
      </w:pPr>
    </w:p>
    <w:p w14:paraId="03F6A275" w14:textId="53A9A9CC" w:rsidR="0097601E" w:rsidRPr="005B5DB4" w:rsidRDefault="0044678C" w:rsidP="005B5DB4">
      <w:pPr>
        <w:pStyle w:val="ListParagraph"/>
        <w:numPr>
          <w:ilvl w:val="0"/>
          <w:numId w:val="58"/>
        </w:numPr>
        <w:ind w:left="1890"/>
        <w:rPr>
          <w:szCs w:val="24"/>
        </w:rPr>
      </w:pPr>
      <w:r>
        <w:rPr>
          <w:szCs w:val="24"/>
        </w:rPr>
        <w:t>AFCS</w:t>
      </w:r>
      <w:r w:rsidR="0097601E">
        <w:rPr>
          <w:szCs w:val="24"/>
        </w:rPr>
        <w:t xml:space="preserve"> shall install, calibrate, maintain, and operate continuous monitoring and recording equipment on the incinerator to measure the secondary cha</w:t>
      </w:r>
      <w:r w:rsidR="00853707">
        <w:rPr>
          <w:szCs w:val="24"/>
        </w:rPr>
        <w:t>mb</w:t>
      </w:r>
      <w:r w:rsidR="0097601E">
        <w:rPr>
          <w:szCs w:val="24"/>
        </w:rPr>
        <w:t>er exit gas temperature, as required by Section II.</w:t>
      </w:r>
      <w:r w:rsidR="005B5DB4">
        <w:rPr>
          <w:szCs w:val="24"/>
        </w:rPr>
        <w:t>B</w:t>
      </w:r>
      <w:r w:rsidR="0097601E">
        <w:rPr>
          <w:szCs w:val="24"/>
        </w:rPr>
        <w:t>.</w:t>
      </w:r>
      <w:r w:rsidR="005B5DB4">
        <w:rPr>
          <w:szCs w:val="24"/>
        </w:rPr>
        <w:t>3</w:t>
      </w:r>
      <w:r w:rsidR="003161AF">
        <w:rPr>
          <w:szCs w:val="24"/>
        </w:rPr>
        <w:t xml:space="preserve">. </w:t>
      </w:r>
      <w:r w:rsidR="003161AF">
        <w:t xml:space="preserve">AFCS shall document and maintain such records as required by Section </w:t>
      </w:r>
      <w:proofErr w:type="gramStart"/>
      <w:r w:rsidR="003161AF">
        <w:t>II.C.4</w:t>
      </w:r>
      <w:r w:rsidR="003161AF">
        <w:rPr>
          <w:szCs w:val="24"/>
        </w:rPr>
        <w:t xml:space="preserve"> </w:t>
      </w:r>
      <w:r w:rsidR="00243AF3">
        <w:rPr>
          <w:szCs w:val="24"/>
        </w:rPr>
        <w:t xml:space="preserve"> (</w:t>
      </w:r>
      <w:proofErr w:type="gramEnd"/>
      <w:r w:rsidR="003161AF">
        <w:rPr>
          <w:szCs w:val="24"/>
        </w:rPr>
        <w:t>ARM 17.8.749</w:t>
      </w:r>
      <w:r w:rsidR="005B5DB4">
        <w:rPr>
          <w:szCs w:val="24"/>
        </w:rPr>
        <w:t>)</w:t>
      </w:r>
      <w:r w:rsidR="00243AF3">
        <w:rPr>
          <w:szCs w:val="24"/>
        </w:rPr>
        <w:t xml:space="preserve">. </w:t>
      </w:r>
      <w:r w:rsidR="0097601E">
        <w:rPr>
          <w:szCs w:val="24"/>
        </w:rPr>
        <w:t xml:space="preserve"> </w:t>
      </w:r>
    </w:p>
    <w:p w14:paraId="3DB5F448" w14:textId="77777777" w:rsidR="002B0194" w:rsidRPr="00FB7886" w:rsidRDefault="002B0194">
      <w:pPr>
        <w:rPr>
          <w:szCs w:val="24"/>
          <w:highlight w:val="yellow"/>
        </w:rPr>
      </w:pPr>
    </w:p>
    <w:p w14:paraId="08693CC2" w14:textId="77777777" w:rsidR="002B0194" w:rsidRPr="0097601E" w:rsidRDefault="002B0194" w:rsidP="00895BBF">
      <w:pPr>
        <w:numPr>
          <w:ilvl w:val="0"/>
          <w:numId w:val="1"/>
        </w:numPr>
        <w:tabs>
          <w:tab w:val="clear" w:pos="1296"/>
        </w:tabs>
        <w:ind w:left="1440"/>
        <w:rPr>
          <w:szCs w:val="24"/>
        </w:rPr>
      </w:pPr>
      <w:r w:rsidRPr="0097601E">
        <w:rPr>
          <w:szCs w:val="24"/>
        </w:rPr>
        <w:t>Notification</w:t>
      </w:r>
    </w:p>
    <w:p w14:paraId="1B3A3086" w14:textId="77777777" w:rsidR="0097601E" w:rsidRPr="0047775E" w:rsidRDefault="0097601E" w:rsidP="0097601E">
      <w:pPr>
        <w:ind w:left="1656"/>
        <w:contextualSpacing/>
        <w:rPr>
          <w:szCs w:val="24"/>
        </w:rPr>
      </w:pPr>
    </w:p>
    <w:p w14:paraId="22643ED4" w14:textId="29B317D3" w:rsidR="0097601E" w:rsidRPr="0047775E" w:rsidRDefault="0044678C" w:rsidP="00F826F2">
      <w:pPr>
        <w:numPr>
          <w:ilvl w:val="0"/>
          <w:numId w:val="59"/>
        </w:numPr>
        <w:ind w:left="1890"/>
        <w:contextualSpacing/>
        <w:rPr>
          <w:szCs w:val="24"/>
        </w:rPr>
      </w:pPr>
      <w:r>
        <w:rPr>
          <w:szCs w:val="24"/>
        </w:rPr>
        <w:t>AFCS</w:t>
      </w:r>
      <w:r w:rsidR="0097601E" w:rsidRPr="0047775E">
        <w:rPr>
          <w:szCs w:val="24"/>
        </w:rPr>
        <w:t xml:space="preserve"> shall provide DEQ with written notification of the start-up date of the cremation unit within 15 days after start-up (ARM 17.8.749). </w:t>
      </w:r>
    </w:p>
    <w:p w14:paraId="484CA6B5" w14:textId="77777777" w:rsidR="002B0194" w:rsidRPr="00FB7886" w:rsidRDefault="002B0194" w:rsidP="0052170F">
      <w:pPr>
        <w:ind w:left="1890"/>
        <w:rPr>
          <w:szCs w:val="24"/>
        </w:rPr>
      </w:pPr>
    </w:p>
    <w:p w14:paraId="3FA44B7D" w14:textId="77777777" w:rsidR="002B0194" w:rsidRPr="00DE64FA" w:rsidRDefault="002B0194" w:rsidP="00DE64FA">
      <w:pPr>
        <w:pStyle w:val="Heading1"/>
      </w:pPr>
      <w:bookmarkStart w:id="10" w:name="_Toc223955018"/>
      <w:bookmarkStart w:id="11" w:name="_Toc223955133"/>
      <w:r w:rsidRPr="00DE64FA">
        <w:t>SECTION III:</w:t>
      </w:r>
      <w:r w:rsidRPr="00DE64FA">
        <w:tab/>
        <w:t>General Conditions</w:t>
      </w:r>
      <w:bookmarkEnd w:id="10"/>
      <w:bookmarkEnd w:id="11"/>
    </w:p>
    <w:p w14:paraId="1CF0DD2B" w14:textId="77777777" w:rsidR="002B0194" w:rsidRPr="00FB7886" w:rsidRDefault="002B0194">
      <w:pPr>
        <w:rPr>
          <w:szCs w:val="24"/>
        </w:rPr>
      </w:pPr>
    </w:p>
    <w:p w14:paraId="5F617D88" w14:textId="3195A71F" w:rsidR="002B0194" w:rsidRPr="00FB7886" w:rsidRDefault="002B0194" w:rsidP="00895BBF">
      <w:pPr>
        <w:numPr>
          <w:ilvl w:val="0"/>
          <w:numId w:val="5"/>
        </w:numPr>
        <w:tabs>
          <w:tab w:val="clear" w:pos="1296"/>
        </w:tabs>
        <w:ind w:left="1440"/>
        <w:rPr>
          <w:szCs w:val="24"/>
        </w:rPr>
      </w:pPr>
      <w:r w:rsidRPr="00FB7886">
        <w:rPr>
          <w:szCs w:val="24"/>
        </w:rPr>
        <w:t xml:space="preserve">Inspection – </w:t>
      </w:r>
      <w:r w:rsidR="0044678C">
        <w:rPr>
          <w:szCs w:val="24"/>
        </w:rPr>
        <w:t>AFCS</w:t>
      </w:r>
      <w:r w:rsidRPr="00FB7886">
        <w:rPr>
          <w:szCs w:val="24"/>
        </w:rPr>
        <w:t xml:space="preserve"> shall allow </w:t>
      </w:r>
      <w:r w:rsidR="00F4754D">
        <w:rPr>
          <w:szCs w:val="24"/>
        </w:rPr>
        <w:t>DEQ</w:t>
      </w:r>
      <w:r w:rsidRPr="00FB7886">
        <w:rPr>
          <w:szCs w:val="24"/>
        </w:rPr>
        <w:t xml:space="preserve">’s representatives access to the source at all reasonable times for the purpose of making inspections or surveys, collecting samples, obtaining data, auditing any monitoring equipment </w:t>
      </w:r>
      <w:r w:rsidR="009147F3" w:rsidRPr="00FB7886">
        <w:rPr>
          <w:szCs w:val="24"/>
        </w:rPr>
        <w:t>such as Continuous Emission Monitoring Systems (</w:t>
      </w:r>
      <w:r w:rsidRPr="00FB7886">
        <w:rPr>
          <w:szCs w:val="24"/>
        </w:rPr>
        <w:t>CEMS</w:t>
      </w:r>
      <w:r w:rsidR="009147F3" w:rsidRPr="00FB7886">
        <w:rPr>
          <w:szCs w:val="24"/>
        </w:rPr>
        <w:t>) or Continuous Emission Rate Monitoring Systems</w:t>
      </w:r>
      <w:r w:rsidRPr="00FB7886">
        <w:rPr>
          <w:szCs w:val="24"/>
        </w:rPr>
        <w:t xml:space="preserve"> </w:t>
      </w:r>
      <w:r w:rsidR="009147F3" w:rsidRPr="00FB7886">
        <w:rPr>
          <w:szCs w:val="24"/>
        </w:rPr>
        <w:t>(</w:t>
      </w:r>
      <w:r w:rsidRPr="00FB7886">
        <w:rPr>
          <w:szCs w:val="24"/>
        </w:rPr>
        <w:t>CERMS)</w:t>
      </w:r>
      <w:r w:rsidR="009147F3" w:rsidRPr="00FB7886">
        <w:rPr>
          <w:szCs w:val="24"/>
        </w:rPr>
        <w:t>,</w:t>
      </w:r>
      <w:r w:rsidRPr="00FB7886">
        <w:rPr>
          <w:szCs w:val="24"/>
        </w:rPr>
        <w:t xml:space="preserve"> or observing any monitoring or testing, and otherwise conducting all necessary functions related to this permit.</w:t>
      </w:r>
    </w:p>
    <w:p w14:paraId="3A19AC1D" w14:textId="77777777" w:rsidR="002B0194" w:rsidRPr="00FB7886" w:rsidRDefault="002B0194" w:rsidP="0052170F">
      <w:pPr>
        <w:ind w:left="864"/>
        <w:rPr>
          <w:szCs w:val="24"/>
        </w:rPr>
      </w:pPr>
    </w:p>
    <w:p w14:paraId="05ECA8FC" w14:textId="0A481932" w:rsidR="002B0194" w:rsidRPr="00FB7886" w:rsidRDefault="002B0194" w:rsidP="00895BBF">
      <w:pPr>
        <w:numPr>
          <w:ilvl w:val="0"/>
          <w:numId w:val="5"/>
        </w:numPr>
        <w:tabs>
          <w:tab w:val="clear" w:pos="1296"/>
        </w:tabs>
        <w:ind w:left="1440"/>
        <w:rPr>
          <w:szCs w:val="24"/>
        </w:rPr>
      </w:pPr>
      <w:r w:rsidRPr="00FB7886">
        <w:rPr>
          <w:szCs w:val="24"/>
        </w:rPr>
        <w:t xml:space="preserve">Waiver – The permit and the terms, conditions, and matters stated herein shall be deemed accepted if </w:t>
      </w:r>
      <w:r w:rsidR="0044678C">
        <w:rPr>
          <w:szCs w:val="24"/>
        </w:rPr>
        <w:t>AFCS</w:t>
      </w:r>
      <w:r w:rsidRPr="00FB7886">
        <w:rPr>
          <w:szCs w:val="24"/>
        </w:rPr>
        <w:t xml:space="preserve"> fails to appeal as indicated below.</w:t>
      </w:r>
    </w:p>
    <w:p w14:paraId="631B73DB" w14:textId="77777777" w:rsidR="002B0194" w:rsidRPr="00FB7886" w:rsidRDefault="002B0194" w:rsidP="0052170F">
      <w:pPr>
        <w:rPr>
          <w:szCs w:val="24"/>
        </w:rPr>
      </w:pPr>
    </w:p>
    <w:p w14:paraId="2F388E1F" w14:textId="62AFABD2" w:rsidR="002B0194" w:rsidRPr="00FB7886" w:rsidRDefault="002B0194" w:rsidP="00895BBF">
      <w:pPr>
        <w:numPr>
          <w:ilvl w:val="0"/>
          <w:numId w:val="5"/>
        </w:numPr>
        <w:tabs>
          <w:tab w:val="clear" w:pos="1296"/>
        </w:tabs>
        <w:ind w:left="1440"/>
        <w:rPr>
          <w:szCs w:val="24"/>
        </w:rPr>
      </w:pPr>
      <w:r w:rsidRPr="00FB7886">
        <w:rPr>
          <w:szCs w:val="24"/>
        </w:rPr>
        <w:t xml:space="preserve">Compliance with Statutes and Regulations – Nothing in this permit shall be construed as relieving </w:t>
      </w:r>
      <w:r w:rsidR="0044678C">
        <w:rPr>
          <w:szCs w:val="24"/>
        </w:rPr>
        <w:t>AFCS</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 (ARM 17.8.756).</w:t>
      </w:r>
    </w:p>
    <w:p w14:paraId="27B114E1" w14:textId="77777777" w:rsidR="002B0194" w:rsidRPr="00FB7886" w:rsidRDefault="002B0194" w:rsidP="0052170F">
      <w:pPr>
        <w:rPr>
          <w:szCs w:val="24"/>
        </w:rPr>
      </w:pPr>
    </w:p>
    <w:p w14:paraId="4F7AB881" w14:textId="77777777" w:rsidR="002B0194" w:rsidRPr="00FB7886" w:rsidRDefault="002B0194" w:rsidP="00895BBF">
      <w:pPr>
        <w:numPr>
          <w:ilvl w:val="0"/>
          <w:numId w:val="5"/>
        </w:numPr>
        <w:tabs>
          <w:tab w:val="clear" w:pos="1296"/>
        </w:tabs>
        <w:ind w:left="1440"/>
        <w:rPr>
          <w:szCs w:val="24"/>
        </w:rPr>
      </w:pPr>
      <w:r w:rsidRPr="00FB7886">
        <w:rPr>
          <w:szCs w:val="24"/>
        </w:rPr>
        <w:lastRenderedPageBreak/>
        <w:t xml:space="preserve">Enforcement – Violations of limitations, conditions and requirements contained herein may constitute grounds for permit revocation, penalties, or other enforcement action as specified in Section 75-2-401, </w:t>
      </w:r>
      <w:r w:rsidRPr="00FB7886">
        <w:rPr>
          <w:i/>
          <w:szCs w:val="24"/>
        </w:rPr>
        <w:t>et seq</w:t>
      </w:r>
      <w:r w:rsidRPr="00FB7886">
        <w:rPr>
          <w:szCs w:val="24"/>
        </w:rPr>
        <w:t>., MCA.</w:t>
      </w:r>
    </w:p>
    <w:p w14:paraId="3205129E" w14:textId="77777777" w:rsidR="002B0194" w:rsidRPr="00FB7886" w:rsidRDefault="002B0194" w:rsidP="0052170F">
      <w:pPr>
        <w:rPr>
          <w:szCs w:val="24"/>
        </w:rPr>
      </w:pPr>
    </w:p>
    <w:p w14:paraId="07A80481" w14:textId="4053603F" w:rsidR="002B0194" w:rsidRPr="00FB7886" w:rsidRDefault="002B0194" w:rsidP="00895BBF">
      <w:pPr>
        <w:numPr>
          <w:ilvl w:val="0"/>
          <w:numId w:val="5"/>
        </w:numPr>
        <w:tabs>
          <w:tab w:val="clear" w:pos="1296"/>
        </w:tabs>
        <w:ind w:left="1440"/>
        <w:rPr>
          <w:szCs w:val="24"/>
        </w:rPr>
      </w:pPr>
      <w:r w:rsidRPr="00FB7886">
        <w:rPr>
          <w:szCs w:val="24"/>
        </w:rPr>
        <w:t xml:space="preserve">Appeals – Any person or persons jointly or severally adversely affected by </w:t>
      </w:r>
      <w:r w:rsidR="00F4754D">
        <w:rPr>
          <w:szCs w:val="24"/>
        </w:rPr>
        <w:t>DEQ</w:t>
      </w:r>
      <w:r w:rsidRPr="00FB7886">
        <w:rPr>
          <w:szCs w:val="24"/>
        </w:rPr>
        <w:t xml:space="preserve">’s decision may request, within 15 days after </w:t>
      </w:r>
      <w:r w:rsidR="00F4754D">
        <w:rPr>
          <w:szCs w:val="24"/>
        </w:rPr>
        <w:t>DEQ</w:t>
      </w:r>
      <w:r w:rsidRPr="00FB7886">
        <w:rPr>
          <w:szCs w:val="24"/>
        </w:rPr>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Pr>
          <w:szCs w:val="24"/>
        </w:rPr>
        <w:t>DEQ</w:t>
      </w:r>
      <w:r w:rsidRPr="00FB7886">
        <w:rPr>
          <w:szCs w:val="24"/>
        </w:rPr>
        <w:t xml:space="preserve">’s decision, unless the Board issues a stay upon receipt of a petition </w:t>
      </w:r>
      <w:proofErr w:type="gramStart"/>
      <w:r w:rsidRPr="00FB7886">
        <w:rPr>
          <w:szCs w:val="24"/>
        </w:rPr>
        <w:t>and a</w:t>
      </w:r>
      <w:proofErr w:type="gramEnd"/>
      <w:r w:rsidRPr="00FB7886">
        <w:rPr>
          <w:szCs w:val="24"/>
        </w:rPr>
        <w:t xml:space="preserve"> finding that a stay is appropriate under Section 75-2-211(11)(b), MCA.  The issuance of a stay on a permit by the Board postpones the effective date of </w:t>
      </w:r>
      <w:r w:rsidR="00F4754D">
        <w:rPr>
          <w:szCs w:val="24"/>
        </w:rPr>
        <w:t>DEQ</w:t>
      </w:r>
      <w:r w:rsidRPr="00FB7886">
        <w:rPr>
          <w:szCs w:val="24"/>
        </w:rPr>
        <w:t xml:space="preserve">’s decision until conclusion of the hearing and issuance of a final decision by the Board.  If a stay is not issued by the Board, </w:t>
      </w:r>
      <w:r w:rsidR="00F4754D">
        <w:rPr>
          <w:szCs w:val="24"/>
        </w:rPr>
        <w:t>DEQ</w:t>
      </w:r>
      <w:r w:rsidRPr="00FB7886">
        <w:rPr>
          <w:szCs w:val="24"/>
        </w:rPr>
        <w:t xml:space="preserve">’s decision on the application is final 16 days after </w:t>
      </w:r>
      <w:r w:rsidR="00F4754D">
        <w:rPr>
          <w:szCs w:val="24"/>
        </w:rPr>
        <w:t>DEQ</w:t>
      </w:r>
      <w:r w:rsidRPr="00FB7886">
        <w:rPr>
          <w:szCs w:val="24"/>
        </w:rPr>
        <w:t>’s decision is made.</w:t>
      </w:r>
    </w:p>
    <w:p w14:paraId="53C178D1" w14:textId="77777777" w:rsidR="002B0194" w:rsidRPr="00FB7886" w:rsidRDefault="002B0194" w:rsidP="0052170F">
      <w:pPr>
        <w:rPr>
          <w:szCs w:val="24"/>
        </w:rPr>
      </w:pPr>
    </w:p>
    <w:p w14:paraId="4044CD5B" w14:textId="6E101035" w:rsidR="002B0194" w:rsidRPr="00FB7886" w:rsidRDefault="002B0194" w:rsidP="00895BBF">
      <w:pPr>
        <w:numPr>
          <w:ilvl w:val="0"/>
          <w:numId w:val="5"/>
        </w:numPr>
        <w:tabs>
          <w:tab w:val="clear" w:pos="1296"/>
        </w:tabs>
        <w:ind w:left="1440"/>
        <w:rPr>
          <w:szCs w:val="24"/>
        </w:rPr>
      </w:pPr>
      <w:r w:rsidRPr="00FB7886">
        <w:rPr>
          <w:szCs w:val="24"/>
        </w:rPr>
        <w:t xml:space="preserve">Permit Inspection – As required by ARM 17.8.755, Inspection of Permit, a copy of the air quality permit shall be made available for inspection by </w:t>
      </w:r>
      <w:r w:rsidR="00F4754D">
        <w:rPr>
          <w:szCs w:val="24"/>
        </w:rPr>
        <w:t>DEQ</w:t>
      </w:r>
      <w:r w:rsidRPr="00FB7886">
        <w:rPr>
          <w:szCs w:val="24"/>
        </w:rPr>
        <w:t xml:space="preserve"> at the location of the source.</w:t>
      </w:r>
    </w:p>
    <w:p w14:paraId="2A86F753" w14:textId="77777777" w:rsidR="002B0194" w:rsidRPr="00FB7886" w:rsidRDefault="002B0194" w:rsidP="0052170F">
      <w:pPr>
        <w:rPr>
          <w:szCs w:val="24"/>
        </w:rPr>
      </w:pPr>
    </w:p>
    <w:p w14:paraId="16CAE7C6" w14:textId="52CE3647" w:rsidR="004002DE" w:rsidRPr="00FB7886" w:rsidRDefault="002B0194" w:rsidP="00895BBF">
      <w:pPr>
        <w:numPr>
          <w:ilvl w:val="0"/>
          <w:numId w:val="5"/>
        </w:numPr>
        <w:tabs>
          <w:tab w:val="clear" w:pos="1296"/>
        </w:tabs>
        <w:ind w:left="1440"/>
        <w:rPr>
          <w:szCs w:val="24"/>
        </w:rPr>
      </w:pPr>
      <w:r w:rsidRPr="00FB7886">
        <w:rPr>
          <w:szCs w:val="24"/>
        </w:rPr>
        <w:t xml:space="preserve">Permit Fee – Pursuant to Section 75-2-220, MCA, failure to pay the annual operation fee by </w:t>
      </w:r>
      <w:r w:rsidR="0044678C">
        <w:rPr>
          <w:szCs w:val="24"/>
        </w:rPr>
        <w:t>AFCS</w:t>
      </w:r>
      <w:r w:rsidRPr="00FB7886">
        <w:rPr>
          <w:szCs w:val="24"/>
        </w:rPr>
        <w:t xml:space="preserve"> may be grounds for revocation of this permit, as required by that section and rules adopted thereunder by the Board.</w:t>
      </w:r>
    </w:p>
    <w:p w14:paraId="012A4863" w14:textId="77777777" w:rsidR="004002DE" w:rsidRPr="00FB7886" w:rsidRDefault="004002DE" w:rsidP="0052170F">
      <w:pPr>
        <w:rPr>
          <w:szCs w:val="24"/>
        </w:rPr>
      </w:pPr>
    </w:p>
    <w:p w14:paraId="4E27ACF2" w14:textId="77777777" w:rsidR="004002DE" w:rsidRPr="00FB7886" w:rsidRDefault="004002DE" w:rsidP="00895BBF">
      <w:pPr>
        <w:numPr>
          <w:ilvl w:val="0"/>
          <w:numId w:val="5"/>
        </w:numPr>
        <w:tabs>
          <w:tab w:val="clear" w:pos="1296"/>
        </w:tabs>
        <w:ind w:left="1440"/>
        <w:rPr>
          <w:szCs w:val="24"/>
        </w:rPr>
      </w:pPr>
      <w:r w:rsidRPr="00FB7886">
        <w:rPr>
          <w:szCs w:val="24"/>
        </w:rPr>
        <w:t xml:space="preserve">Duration of Permit – Construction or installation must begin or contractual obligations entered into that would constitute substantial loss within 3 years of permit issuance and proceed with due diligence until the project is complete or the permit shall expire (ARM 17.8.762). </w:t>
      </w:r>
    </w:p>
    <w:p w14:paraId="6322957B" w14:textId="77777777" w:rsidR="002B0194" w:rsidRPr="00FB7886" w:rsidRDefault="002B0194">
      <w:pPr>
        <w:rPr>
          <w:szCs w:val="24"/>
        </w:rPr>
      </w:pPr>
    </w:p>
    <w:p w14:paraId="01E50FFB" w14:textId="61C6886E" w:rsidR="002B0194" w:rsidRPr="00FB7886" w:rsidRDefault="002B0194" w:rsidP="003E676A">
      <w:pPr>
        <w:jc w:val="center"/>
        <w:rPr>
          <w:szCs w:val="24"/>
        </w:rPr>
      </w:pPr>
    </w:p>
    <w:p w14:paraId="4BA2B041" w14:textId="77777777" w:rsidR="002B0194" w:rsidRPr="00FB7886" w:rsidRDefault="002B0194">
      <w:pPr>
        <w:jc w:val="center"/>
        <w:rPr>
          <w:szCs w:val="24"/>
        </w:rPr>
        <w:sectPr w:rsidR="002B0194" w:rsidRPr="00FB7886" w:rsidSect="00D9446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35C0CAAF">
      <w:pPr>
        <w:pStyle w:val="Title"/>
      </w:pPr>
      <w:r>
        <w:lastRenderedPageBreak/>
        <w:t xml:space="preserve">Montana Air Quality </w:t>
      </w:r>
      <w:r w:rsidR="002B0194">
        <w:t>Permit Analysis</w:t>
      </w:r>
    </w:p>
    <w:p w14:paraId="19EDE6E4" w14:textId="75D9C0C3" w:rsidR="002B0194" w:rsidRPr="00FB7886" w:rsidRDefault="003E2F20" w:rsidP="35C0CAAF">
      <w:pPr>
        <w:pStyle w:val="Title"/>
      </w:pPr>
      <w:r>
        <w:t>Affordable Funeral &amp; Cremation Services</w:t>
      </w:r>
      <w:r w:rsidR="003E676A">
        <w:t>.</w:t>
      </w:r>
    </w:p>
    <w:p w14:paraId="56BF69AE" w14:textId="2D984D60" w:rsidR="002B0194" w:rsidRPr="00FB7886" w:rsidRDefault="002548DF" w:rsidP="35C0CAAF">
      <w:pPr>
        <w:pStyle w:val="Title"/>
      </w:pPr>
      <w:r>
        <w:t>MAQP</w:t>
      </w:r>
      <w:r w:rsidR="002B0194">
        <w:t xml:space="preserve"> #</w:t>
      </w:r>
      <w:r w:rsidR="00890031">
        <w:t>53</w:t>
      </w:r>
      <w:r w:rsidR="00676840">
        <w:t>50</w:t>
      </w:r>
      <w:r w:rsidR="00890031">
        <w:t>-00</w:t>
      </w:r>
    </w:p>
    <w:p w14:paraId="0846228A" w14:textId="77777777" w:rsidR="002B0194" w:rsidRPr="00FB7886" w:rsidRDefault="002B0194">
      <w:pPr>
        <w:jc w:val="center"/>
        <w:rPr>
          <w:szCs w:val="24"/>
        </w:rPr>
      </w:pPr>
    </w:p>
    <w:p w14:paraId="05A7B1F2" w14:textId="77777777" w:rsidR="000D73FA" w:rsidRPr="00FB7886" w:rsidRDefault="000D73FA" w:rsidP="00DE64FA">
      <w:pPr>
        <w:ind w:left="720"/>
        <w:rPr>
          <w:szCs w:val="24"/>
        </w:rPr>
      </w:pPr>
    </w:p>
    <w:p w14:paraId="0D625208" w14:textId="0A022FE7" w:rsidR="002B0194" w:rsidRPr="00153B19" w:rsidRDefault="00AF395A" w:rsidP="00153B19">
      <w:pPr>
        <w:pStyle w:val="Heading1"/>
      </w:pPr>
      <w:bookmarkStart w:id="12" w:name="_Toc223955019"/>
      <w:bookmarkStart w:id="13" w:name="_Toc223955134"/>
      <w:r>
        <w:t xml:space="preserve">Section </w:t>
      </w:r>
      <w:r w:rsidR="00DE64FA" w:rsidRPr="00153B19">
        <w:t xml:space="preserve">I. </w:t>
      </w:r>
      <w:r w:rsidR="002B0194" w:rsidRPr="00153B19">
        <w:t>Introduction/Process Description</w:t>
      </w:r>
      <w:bookmarkEnd w:id="12"/>
      <w:bookmarkEnd w:id="13"/>
    </w:p>
    <w:p w14:paraId="0FF1AA77" w14:textId="77777777" w:rsidR="002B0194" w:rsidRPr="00FB7886" w:rsidRDefault="002B0194">
      <w:pPr>
        <w:rPr>
          <w:szCs w:val="24"/>
        </w:rPr>
      </w:pPr>
    </w:p>
    <w:p w14:paraId="45255B7D" w14:textId="4C778C61" w:rsidR="002B0194" w:rsidRPr="00FB7886" w:rsidRDefault="00E306CA">
      <w:pPr>
        <w:ind w:left="432" w:firstLine="3"/>
        <w:rPr>
          <w:szCs w:val="24"/>
        </w:rPr>
      </w:pPr>
      <w:r>
        <w:rPr>
          <w:szCs w:val="24"/>
        </w:rPr>
        <w:t>Affordable Funeral &amp; Cremation Services</w:t>
      </w:r>
      <w:r w:rsidR="0099528C">
        <w:rPr>
          <w:szCs w:val="24"/>
        </w:rPr>
        <w:t xml:space="preserve"> – Companion Pet Cremation</w:t>
      </w:r>
      <w:r w:rsidR="002B0194" w:rsidRPr="00FB7886">
        <w:rPr>
          <w:szCs w:val="24"/>
        </w:rPr>
        <w:t xml:space="preserve"> (</w:t>
      </w:r>
      <w:r w:rsidR="0044678C">
        <w:rPr>
          <w:szCs w:val="24"/>
        </w:rPr>
        <w:t>AFCS</w:t>
      </w:r>
      <w:r w:rsidR="002B0194" w:rsidRPr="00FB7886">
        <w:rPr>
          <w:szCs w:val="24"/>
        </w:rPr>
        <w:t>) owns and operates</w:t>
      </w:r>
      <w:r w:rsidR="0099528C">
        <w:rPr>
          <w:szCs w:val="24"/>
        </w:rPr>
        <w:t xml:space="preserve"> </w:t>
      </w:r>
      <w:r w:rsidR="002B0194" w:rsidRPr="00FB7886">
        <w:rPr>
          <w:szCs w:val="24"/>
        </w:rPr>
        <w:t>a</w:t>
      </w:r>
      <w:r w:rsidR="003E676A">
        <w:rPr>
          <w:szCs w:val="24"/>
        </w:rPr>
        <w:t>n animal remains incinerator/crematory</w:t>
      </w:r>
      <w:r w:rsidR="002B0194" w:rsidRPr="00FB7886">
        <w:rPr>
          <w:szCs w:val="24"/>
        </w:rPr>
        <w:t>.  The facility is located</w:t>
      </w:r>
      <w:r w:rsidR="003E676A">
        <w:rPr>
          <w:szCs w:val="24"/>
        </w:rPr>
        <w:t xml:space="preserve"> </w:t>
      </w:r>
      <w:r w:rsidRPr="00224ABE">
        <w:rPr>
          <w:szCs w:val="24"/>
        </w:rPr>
        <w:t>1548 MT Hwy 278, Dillon,</w:t>
      </w:r>
      <w:r>
        <w:rPr>
          <w:szCs w:val="24"/>
        </w:rPr>
        <w:t xml:space="preserve"> Montana</w:t>
      </w:r>
      <w:r w:rsidR="002B0194" w:rsidRPr="00D209DA">
        <w:rPr>
          <w:szCs w:val="24"/>
        </w:rPr>
        <w:t xml:space="preserve"> and</w:t>
      </w:r>
      <w:r w:rsidR="002B0194" w:rsidRPr="003E676A">
        <w:rPr>
          <w:szCs w:val="24"/>
        </w:rPr>
        <w:t xml:space="preserve"> is known as</w:t>
      </w:r>
      <w:r w:rsidR="003E676A">
        <w:rPr>
          <w:szCs w:val="24"/>
        </w:rPr>
        <w:t xml:space="preserve"> </w:t>
      </w:r>
      <w:r>
        <w:rPr>
          <w:szCs w:val="24"/>
        </w:rPr>
        <w:t xml:space="preserve">Companion </w:t>
      </w:r>
      <w:r w:rsidR="008D78C7">
        <w:rPr>
          <w:szCs w:val="24"/>
        </w:rPr>
        <w:t xml:space="preserve">Pet </w:t>
      </w:r>
      <w:r>
        <w:rPr>
          <w:szCs w:val="24"/>
        </w:rPr>
        <w:t>Cremation</w:t>
      </w:r>
      <w:r w:rsidR="002B0194" w:rsidRPr="00FB7886">
        <w:rPr>
          <w:szCs w:val="24"/>
        </w:rPr>
        <w:t xml:space="preserve">. </w:t>
      </w:r>
    </w:p>
    <w:p w14:paraId="4533B675" w14:textId="77777777" w:rsidR="002B0194" w:rsidRPr="00FB7886" w:rsidRDefault="002B0194">
      <w:pPr>
        <w:ind w:left="432" w:firstLine="3"/>
        <w:rPr>
          <w:szCs w:val="24"/>
        </w:rPr>
      </w:pPr>
    </w:p>
    <w:p w14:paraId="6BEB7D7E" w14:textId="20BECB74" w:rsidR="002B0194" w:rsidRPr="003E676A" w:rsidRDefault="002B0194" w:rsidP="00483BD6">
      <w:pPr>
        <w:numPr>
          <w:ilvl w:val="0"/>
          <w:numId w:val="6"/>
        </w:numPr>
        <w:rPr>
          <w:szCs w:val="24"/>
        </w:rPr>
      </w:pPr>
      <w:r w:rsidRPr="003E676A">
        <w:rPr>
          <w:szCs w:val="24"/>
        </w:rPr>
        <w:t xml:space="preserve">Permitted Equipment </w:t>
      </w:r>
    </w:p>
    <w:p w14:paraId="7A5EC52A" w14:textId="77777777" w:rsidR="003E676A" w:rsidRDefault="003E676A" w:rsidP="003E676A">
      <w:pPr>
        <w:pStyle w:val="ListParagraph"/>
        <w:ind w:left="870"/>
        <w:rPr>
          <w:szCs w:val="24"/>
        </w:rPr>
      </w:pPr>
    </w:p>
    <w:p w14:paraId="47ADAA0C" w14:textId="52FA1389" w:rsidR="003E676A" w:rsidRPr="003E676A" w:rsidRDefault="0044678C" w:rsidP="003E676A">
      <w:pPr>
        <w:tabs>
          <w:tab w:val="left" w:pos="1080"/>
        </w:tabs>
        <w:ind w:left="870"/>
        <w:rPr>
          <w:szCs w:val="24"/>
        </w:rPr>
      </w:pPr>
      <w:r>
        <w:rPr>
          <w:szCs w:val="24"/>
        </w:rPr>
        <w:t>AFCS</w:t>
      </w:r>
      <w:r w:rsidR="003E676A">
        <w:rPr>
          <w:szCs w:val="24"/>
        </w:rPr>
        <w:t xml:space="preserve"> </w:t>
      </w:r>
      <w:r w:rsidR="00A666C1">
        <w:rPr>
          <w:szCs w:val="24"/>
        </w:rPr>
        <w:t>owns and operates</w:t>
      </w:r>
      <w:r w:rsidR="003E676A">
        <w:rPr>
          <w:szCs w:val="24"/>
        </w:rPr>
        <w:t xml:space="preserve"> one (1)</w:t>
      </w:r>
      <w:r w:rsidR="00C02FC6">
        <w:rPr>
          <w:szCs w:val="24"/>
        </w:rPr>
        <w:t>,</w:t>
      </w:r>
      <w:r w:rsidR="003E676A">
        <w:rPr>
          <w:szCs w:val="24"/>
        </w:rPr>
        <w:t xml:space="preserve"> 1.5 million British thermal unit per hour (MMBtu/hr) propane</w:t>
      </w:r>
      <w:r w:rsidR="005F2B22">
        <w:rPr>
          <w:szCs w:val="24"/>
        </w:rPr>
        <w:t xml:space="preserve"> or natural gas</w:t>
      </w:r>
      <w:r w:rsidR="00942819">
        <w:rPr>
          <w:szCs w:val="24"/>
        </w:rPr>
        <w:t>-</w:t>
      </w:r>
      <w:r w:rsidR="005F2B22">
        <w:rPr>
          <w:szCs w:val="24"/>
        </w:rPr>
        <w:t>fired B&amp;L Cremation Systems</w:t>
      </w:r>
      <w:r w:rsidR="00C02FC6">
        <w:rPr>
          <w:szCs w:val="24"/>
        </w:rPr>
        <w:t>,</w:t>
      </w:r>
      <w:r w:rsidR="005F2B22">
        <w:rPr>
          <w:szCs w:val="24"/>
        </w:rPr>
        <w:t xml:space="preserve"> Inc.</w:t>
      </w:r>
      <w:r w:rsidR="00C02FC6">
        <w:rPr>
          <w:szCs w:val="24"/>
        </w:rPr>
        <w:t>,</w:t>
      </w:r>
      <w:r w:rsidR="005F2B22">
        <w:rPr>
          <w:szCs w:val="24"/>
        </w:rPr>
        <w:t xml:space="preserve"> Phoenix II-1 </w:t>
      </w:r>
      <w:r w:rsidR="003E676A">
        <w:rPr>
          <w:szCs w:val="24"/>
        </w:rPr>
        <w:t xml:space="preserve">incinerator with a maximum rated </w:t>
      </w:r>
      <w:r w:rsidR="00A666C1">
        <w:rPr>
          <w:szCs w:val="24"/>
        </w:rPr>
        <w:t xml:space="preserve">charge </w:t>
      </w:r>
      <w:r w:rsidR="003E676A">
        <w:rPr>
          <w:szCs w:val="24"/>
        </w:rPr>
        <w:t xml:space="preserve">capacity of 200 pounds per hour (lb/hr). </w:t>
      </w:r>
    </w:p>
    <w:p w14:paraId="443A468E" w14:textId="77777777" w:rsidR="002B0194" w:rsidRPr="00FB7886" w:rsidRDefault="002B0194">
      <w:pPr>
        <w:rPr>
          <w:szCs w:val="24"/>
        </w:rPr>
      </w:pPr>
    </w:p>
    <w:p w14:paraId="0AB19220" w14:textId="7355FEA0" w:rsidR="002B0194" w:rsidRPr="003E676A" w:rsidRDefault="002B0194" w:rsidP="00483BD6">
      <w:pPr>
        <w:numPr>
          <w:ilvl w:val="0"/>
          <w:numId w:val="6"/>
        </w:numPr>
        <w:rPr>
          <w:szCs w:val="24"/>
        </w:rPr>
      </w:pPr>
      <w:r w:rsidRPr="003E676A">
        <w:rPr>
          <w:szCs w:val="24"/>
        </w:rPr>
        <w:t xml:space="preserve">Source Description </w:t>
      </w:r>
    </w:p>
    <w:p w14:paraId="720CE264" w14:textId="77777777" w:rsidR="003E676A" w:rsidRDefault="003E676A" w:rsidP="003E676A">
      <w:pPr>
        <w:pStyle w:val="ListParagraph"/>
        <w:ind w:left="870"/>
        <w:rPr>
          <w:szCs w:val="24"/>
        </w:rPr>
      </w:pPr>
    </w:p>
    <w:p w14:paraId="28FDA35B" w14:textId="57648103" w:rsidR="003E676A" w:rsidRDefault="003E676A" w:rsidP="003E676A">
      <w:pPr>
        <w:pStyle w:val="ListParagraph"/>
        <w:ind w:left="870"/>
        <w:rPr>
          <w:szCs w:val="24"/>
        </w:rPr>
      </w:pPr>
      <w:r>
        <w:rPr>
          <w:szCs w:val="24"/>
        </w:rPr>
        <w:t xml:space="preserve">The incinerator has a maximum </w:t>
      </w:r>
      <w:r w:rsidR="00A666C1">
        <w:rPr>
          <w:szCs w:val="24"/>
        </w:rPr>
        <w:t xml:space="preserve">charge </w:t>
      </w:r>
      <w:r>
        <w:rPr>
          <w:szCs w:val="24"/>
        </w:rPr>
        <w:t xml:space="preserve">rate of 200 lb/hr of animal remains and </w:t>
      </w:r>
      <w:r w:rsidR="00A666C1">
        <w:rPr>
          <w:szCs w:val="24"/>
        </w:rPr>
        <w:t xml:space="preserve">associated containers and </w:t>
      </w:r>
      <w:r>
        <w:rPr>
          <w:szCs w:val="24"/>
        </w:rPr>
        <w:t xml:space="preserve">utilizes propane as a fuel source. </w:t>
      </w:r>
    </w:p>
    <w:p w14:paraId="07B53B89" w14:textId="77777777" w:rsidR="003E676A" w:rsidRDefault="003E676A" w:rsidP="003E676A">
      <w:pPr>
        <w:pStyle w:val="ListParagraph"/>
        <w:ind w:left="870"/>
        <w:rPr>
          <w:szCs w:val="24"/>
        </w:rPr>
      </w:pPr>
    </w:p>
    <w:p w14:paraId="14080C58" w14:textId="0E6FE876" w:rsidR="00D209DA" w:rsidRPr="00FB7886" w:rsidRDefault="00676840" w:rsidP="00D209DA">
      <w:pPr>
        <w:pStyle w:val="BodyTextIndent3"/>
        <w:ind w:left="870"/>
        <w:rPr>
          <w:sz w:val="24"/>
          <w:szCs w:val="24"/>
        </w:rPr>
      </w:pPr>
      <w:r w:rsidRPr="00892DE7">
        <w:rPr>
          <w:sz w:val="24"/>
          <w:szCs w:val="24"/>
        </w:rPr>
        <w:t>Companion Pet Cr</w:t>
      </w:r>
      <w:r>
        <w:rPr>
          <w:sz w:val="24"/>
          <w:szCs w:val="24"/>
        </w:rPr>
        <w:t>e</w:t>
      </w:r>
      <w:r w:rsidRPr="00892DE7">
        <w:rPr>
          <w:sz w:val="24"/>
          <w:szCs w:val="24"/>
        </w:rPr>
        <w:t>mation is located at Section 33, Township 7 South, Range 9 West, in Beaverhead County, Montana. The latitude and longitude of the facility is 45.18181, -112.70357.</w:t>
      </w:r>
      <w:r w:rsidRPr="00224ABE">
        <w:rPr>
          <w:sz w:val="24"/>
          <w:szCs w:val="24"/>
        </w:rPr>
        <w:t xml:space="preserve"> </w:t>
      </w:r>
      <w:r w:rsidR="00D209DA">
        <w:rPr>
          <w:sz w:val="24"/>
          <w:szCs w:val="24"/>
        </w:rPr>
        <w:t xml:space="preserve"> </w:t>
      </w:r>
    </w:p>
    <w:p w14:paraId="593F959D" w14:textId="77777777" w:rsidR="002B0194" w:rsidRPr="00FB7886" w:rsidRDefault="002B0194">
      <w:pPr>
        <w:rPr>
          <w:szCs w:val="24"/>
        </w:rPr>
      </w:pPr>
    </w:p>
    <w:p w14:paraId="315763E5" w14:textId="2CAB1CA5" w:rsidR="00A32EC7" w:rsidRPr="00A32EC7" w:rsidRDefault="00A32EC7" w:rsidP="00483BD6">
      <w:pPr>
        <w:numPr>
          <w:ilvl w:val="0"/>
          <w:numId w:val="6"/>
        </w:numPr>
        <w:rPr>
          <w:szCs w:val="24"/>
        </w:rPr>
      </w:pPr>
      <w:r w:rsidRPr="006C26F0">
        <w:t>Response to Public Comments</w:t>
      </w:r>
    </w:p>
    <w:p w14:paraId="61387E41" w14:textId="77777777" w:rsidR="00A32EC7" w:rsidRDefault="00A32EC7" w:rsidP="00A32EC7">
      <w:pPr>
        <w:ind w:left="864"/>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1530"/>
        <w:gridCol w:w="2970"/>
        <w:gridCol w:w="3037"/>
      </w:tblGrid>
      <w:tr w:rsidR="00A32EC7" w:rsidRPr="00FB7886" w14:paraId="0322CE80" w14:textId="77777777" w:rsidTr="00CE2CF5">
        <w:tc>
          <w:tcPr>
            <w:tcW w:w="1818" w:type="dxa"/>
          </w:tcPr>
          <w:p w14:paraId="1F8EAE8A" w14:textId="77777777" w:rsidR="00A32EC7" w:rsidRPr="00FB7886" w:rsidRDefault="00A32EC7" w:rsidP="00731921">
            <w:pPr>
              <w:jc w:val="center"/>
              <w:rPr>
                <w:b/>
                <w:szCs w:val="24"/>
              </w:rPr>
            </w:pPr>
            <w:bookmarkStart w:id="14" w:name="_Hlk167341803"/>
            <w:r w:rsidRPr="00FB7886">
              <w:rPr>
                <w:b/>
                <w:szCs w:val="24"/>
              </w:rPr>
              <w:t>Person/Group Commenting</w:t>
            </w:r>
          </w:p>
        </w:tc>
        <w:tc>
          <w:tcPr>
            <w:tcW w:w="1530" w:type="dxa"/>
          </w:tcPr>
          <w:p w14:paraId="3FCAB402" w14:textId="77777777" w:rsidR="00A32EC7" w:rsidRPr="00FB7886" w:rsidRDefault="00A32EC7" w:rsidP="00731921">
            <w:pPr>
              <w:jc w:val="center"/>
              <w:rPr>
                <w:b/>
                <w:szCs w:val="24"/>
              </w:rPr>
            </w:pPr>
            <w:r w:rsidRPr="00FB7886">
              <w:rPr>
                <w:b/>
                <w:szCs w:val="24"/>
              </w:rPr>
              <w:t>Permit Reference</w:t>
            </w:r>
          </w:p>
        </w:tc>
        <w:tc>
          <w:tcPr>
            <w:tcW w:w="2970" w:type="dxa"/>
          </w:tcPr>
          <w:p w14:paraId="5E687C54" w14:textId="77777777" w:rsidR="00A32EC7" w:rsidRPr="00FB7886" w:rsidRDefault="00A32EC7" w:rsidP="00731921">
            <w:pPr>
              <w:jc w:val="center"/>
              <w:rPr>
                <w:b/>
                <w:szCs w:val="24"/>
              </w:rPr>
            </w:pPr>
            <w:r w:rsidRPr="00FB7886">
              <w:rPr>
                <w:b/>
                <w:szCs w:val="24"/>
              </w:rPr>
              <w:t>Comment</w:t>
            </w:r>
          </w:p>
        </w:tc>
        <w:tc>
          <w:tcPr>
            <w:tcW w:w="3037" w:type="dxa"/>
          </w:tcPr>
          <w:p w14:paraId="697686EB" w14:textId="77777777" w:rsidR="00A32EC7" w:rsidRPr="00FB7886" w:rsidRDefault="00A32EC7" w:rsidP="00731921">
            <w:pPr>
              <w:jc w:val="center"/>
              <w:rPr>
                <w:b/>
                <w:szCs w:val="24"/>
              </w:rPr>
            </w:pPr>
            <w:r>
              <w:rPr>
                <w:b/>
                <w:szCs w:val="24"/>
              </w:rPr>
              <w:t>DEQ</w:t>
            </w:r>
            <w:r w:rsidRPr="00FB7886">
              <w:rPr>
                <w:b/>
                <w:szCs w:val="24"/>
              </w:rPr>
              <w:t xml:space="preserve"> Response</w:t>
            </w:r>
          </w:p>
        </w:tc>
      </w:tr>
      <w:tr w:rsidR="00A32EC7" w:rsidRPr="00FB7886" w14:paraId="6594EF58" w14:textId="77777777" w:rsidTr="00CE2CF5">
        <w:tc>
          <w:tcPr>
            <w:tcW w:w="9355" w:type="dxa"/>
            <w:gridSpan w:val="4"/>
          </w:tcPr>
          <w:p w14:paraId="07FF3B5C" w14:textId="6CAEA338" w:rsidR="00A32EC7" w:rsidRPr="00FB7886" w:rsidRDefault="00A32EC7" w:rsidP="00731921">
            <w:pPr>
              <w:rPr>
                <w:szCs w:val="24"/>
              </w:rPr>
            </w:pPr>
            <w:r>
              <w:rPr>
                <w:szCs w:val="24"/>
              </w:rPr>
              <w:t>No Public Comments received on MAQP</w:t>
            </w:r>
          </w:p>
        </w:tc>
      </w:tr>
      <w:bookmarkEnd w:id="14"/>
    </w:tbl>
    <w:p w14:paraId="13437FE8" w14:textId="77777777" w:rsidR="00A32EC7" w:rsidRDefault="00A32EC7" w:rsidP="00A32EC7">
      <w:pPr>
        <w:ind w:left="864"/>
        <w:rPr>
          <w:szCs w:val="24"/>
        </w:rPr>
      </w:pPr>
    </w:p>
    <w:p w14:paraId="5FDD7B70" w14:textId="00A01140" w:rsidR="002B0194" w:rsidRPr="00FB7886" w:rsidRDefault="002B0194" w:rsidP="00483BD6">
      <w:pPr>
        <w:numPr>
          <w:ilvl w:val="0"/>
          <w:numId w:val="6"/>
        </w:numPr>
        <w:rPr>
          <w:szCs w:val="24"/>
        </w:rPr>
      </w:pPr>
      <w:r w:rsidRPr="00FB7886">
        <w:rPr>
          <w:szCs w:val="24"/>
        </w:rPr>
        <w:t>Additional Information</w:t>
      </w:r>
    </w:p>
    <w:p w14:paraId="4ED56F59" w14:textId="77777777" w:rsidR="002B0194" w:rsidRPr="00FB7886" w:rsidRDefault="002B0194">
      <w:pPr>
        <w:ind w:left="432"/>
        <w:rPr>
          <w:szCs w:val="24"/>
        </w:rPr>
      </w:pPr>
    </w:p>
    <w:p w14:paraId="6D1D863E" w14:textId="77777777" w:rsidR="002B0194" w:rsidRPr="00FB7886" w:rsidRDefault="002B0194">
      <w:pPr>
        <w:ind w:left="864"/>
        <w:rPr>
          <w:szCs w:val="24"/>
        </w:rPr>
      </w:pPr>
      <w:bookmarkStart w:id="15"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15"/>
    <w:p w14:paraId="20B3DB5B" w14:textId="77777777" w:rsidR="002B0194" w:rsidRPr="00FB7886" w:rsidRDefault="002B0194">
      <w:pPr>
        <w:rPr>
          <w:szCs w:val="24"/>
        </w:rPr>
      </w:pPr>
    </w:p>
    <w:p w14:paraId="2EF2FC04" w14:textId="4B9F18DF" w:rsidR="002B0194" w:rsidRPr="00153B19" w:rsidRDefault="00AF395A" w:rsidP="00153B19">
      <w:pPr>
        <w:pStyle w:val="Heading1"/>
      </w:pPr>
      <w:bookmarkStart w:id="16" w:name="_Toc223955020"/>
      <w:bookmarkStart w:id="17" w:name="_Toc223955135"/>
      <w:r>
        <w:t xml:space="preserve">Section </w:t>
      </w:r>
      <w:r w:rsidR="00153B19" w:rsidRPr="00153B19">
        <w:t xml:space="preserve">II. </w:t>
      </w:r>
      <w:r w:rsidR="002B0194" w:rsidRPr="00153B19">
        <w:t>Applicable Rules and Regulations</w:t>
      </w:r>
      <w:bookmarkEnd w:id="16"/>
      <w:bookmarkEnd w:id="17"/>
    </w:p>
    <w:p w14:paraId="3ABAE3A5" w14:textId="77777777" w:rsidR="002B0194" w:rsidRPr="00FB7886" w:rsidRDefault="002B0194">
      <w:pPr>
        <w:rPr>
          <w:szCs w:val="24"/>
        </w:rPr>
      </w:pPr>
    </w:p>
    <w:p w14:paraId="2EBC01A4" w14:textId="443733E3" w:rsidR="002B0194" w:rsidRPr="00FB7886" w:rsidRDefault="002B0194">
      <w:pPr>
        <w:ind w:left="45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the </w:t>
      </w:r>
      <w:r w:rsidR="00083BD4">
        <w:rPr>
          <w:szCs w:val="24"/>
        </w:rPr>
        <w:t>Department</w:t>
      </w:r>
      <w:r w:rsidRPr="00FB7886">
        <w:rPr>
          <w:szCs w:val="24"/>
        </w:rPr>
        <w:t xml:space="preserve"> of Environmental Quality (</w:t>
      </w:r>
      <w:r w:rsidR="00083BD4">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Default="002B0194">
      <w:pPr>
        <w:rPr>
          <w:szCs w:val="24"/>
        </w:rPr>
      </w:pPr>
    </w:p>
    <w:p w14:paraId="26BC7624" w14:textId="77777777" w:rsidR="00B24457" w:rsidRPr="00FB7886" w:rsidRDefault="00B24457">
      <w:pPr>
        <w:rPr>
          <w:szCs w:val="24"/>
        </w:rPr>
      </w:pPr>
    </w:p>
    <w:p w14:paraId="4118353F" w14:textId="77777777" w:rsidR="002B0194" w:rsidRPr="00FB7886" w:rsidRDefault="002B0194" w:rsidP="00483BD6">
      <w:pPr>
        <w:numPr>
          <w:ilvl w:val="0"/>
          <w:numId w:val="7"/>
        </w:numPr>
        <w:rPr>
          <w:szCs w:val="24"/>
        </w:rPr>
      </w:pPr>
      <w:r w:rsidRPr="00FB7886">
        <w:rPr>
          <w:szCs w:val="24"/>
        </w:rPr>
        <w:t>ARM 17.8, Subchapter 1 – General Provisions, including but not limited to:</w:t>
      </w:r>
    </w:p>
    <w:p w14:paraId="58BF78D8" w14:textId="2A81DE24" w:rsidR="002B0194" w:rsidRPr="00FB7886" w:rsidRDefault="00CE2CF5" w:rsidP="00CE2CF5">
      <w:pPr>
        <w:tabs>
          <w:tab w:val="left" w:pos="4404"/>
        </w:tabs>
        <w:ind w:left="432"/>
        <w:rPr>
          <w:szCs w:val="24"/>
        </w:rPr>
      </w:pPr>
      <w:r>
        <w:rPr>
          <w:szCs w:val="24"/>
        </w:rPr>
        <w:tab/>
      </w:r>
    </w:p>
    <w:p w14:paraId="448BD0D5" w14:textId="77777777" w:rsidR="002B0194" w:rsidRPr="00FB7886" w:rsidRDefault="002B0194" w:rsidP="00483BD6">
      <w:pPr>
        <w:numPr>
          <w:ilvl w:val="0"/>
          <w:numId w:val="8"/>
        </w:numPr>
        <w:rPr>
          <w:szCs w:val="24"/>
        </w:rPr>
      </w:pPr>
      <w:r w:rsidRPr="00FB7886">
        <w:rPr>
          <w:szCs w:val="24"/>
          <w:u w:val="single"/>
        </w:rPr>
        <w:lastRenderedPageBreak/>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pPr>
        <w:ind w:left="864"/>
        <w:rPr>
          <w:szCs w:val="24"/>
        </w:rPr>
      </w:pPr>
    </w:p>
    <w:p w14:paraId="5A435322" w14:textId="2478ED76" w:rsidR="002B0194" w:rsidRPr="00FB7886" w:rsidRDefault="002B0194" w:rsidP="00483BD6">
      <w:pPr>
        <w:numPr>
          <w:ilvl w:val="0"/>
          <w:numId w:val="8"/>
        </w:numPr>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pPr>
        <w:rPr>
          <w:szCs w:val="24"/>
        </w:rPr>
      </w:pPr>
    </w:p>
    <w:p w14:paraId="1F0F0BC7" w14:textId="3957BA11" w:rsidR="002B0194" w:rsidRPr="00FB7886" w:rsidRDefault="002B0194" w:rsidP="00483BD6">
      <w:pPr>
        <w:numPr>
          <w:ilvl w:val="0"/>
          <w:numId w:val="8"/>
        </w:numPr>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pPr>
        <w:rPr>
          <w:szCs w:val="24"/>
        </w:rPr>
      </w:pPr>
    </w:p>
    <w:p w14:paraId="0156D10C" w14:textId="68979B07" w:rsidR="002B0194" w:rsidRPr="00FB7886" w:rsidRDefault="0044678C">
      <w:pPr>
        <w:pStyle w:val="BodyTextIndent"/>
        <w:rPr>
          <w:sz w:val="24"/>
          <w:szCs w:val="24"/>
        </w:rPr>
      </w:pPr>
      <w:r>
        <w:rPr>
          <w:sz w:val="24"/>
          <w:szCs w:val="24"/>
        </w:rPr>
        <w:t>AFCS</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pPr>
        <w:rPr>
          <w:szCs w:val="24"/>
        </w:rPr>
      </w:pPr>
    </w:p>
    <w:p w14:paraId="28BCB6B2" w14:textId="427CCFBC" w:rsidR="002B0194" w:rsidRPr="00FB7886" w:rsidRDefault="002B0194" w:rsidP="00483BD6">
      <w:pPr>
        <w:numPr>
          <w:ilvl w:val="0"/>
          <w:numId w:val="8"/>
        </w:numPr>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in excess of any applicable emission limitation or to continue for a period greater than 4 hours.</w:t>
      </w:r>
    </w:p>
    <w:p w14:paraId="6AB9961D" w14:textId="77777777" w:rsidR="002B0194" w:rsidRPr="00FB7886" w:rsidRDefault="002B0194">
      <w:pPr>
        <w:ind w:left="864"/>
        <w:rPr>
          <w:szCs w:val="24"/>
        </w:rPr>
      </w:pPr>
    </w:p>
    <w:p w14:paraId="6CC0D35D" w14:textId="77777777" w:rsidR="002B0194" w:rsidRPr="00FB7886" w:rsidRDefault="002B0194" w:rsidP="00483BD6">
      <w:pPr>
        <w:numPr>
          <w:ilvl w:val="0"/>
          <w:numId w:val="8"/>
        </w:numPr>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483BD6">
      <w:pPr>
        <w:numPr>
          <w:ilvl w:val="0"/>
          <w:numId w:val="7"/>
        </w:numPr>
        <w:rPr>
          <w:szCs w:val="24"/>
        </w:rPr>
      </w:pPr>
      <w:r w:rsidRPr="00FB7886">
        <w:rPr>
          <w:szCs w:val="24"/>
        </w:rPr>
        <w:t>ARM 17.8, Subchapter 2 – Ambient Air Quality, including, but not limited to the following:</w:t>
      </w:r>
    </w:p>
    <w:p w14:paraId="6314DC09" w14:textId="77777777" w:rsidR="002B0194" w:rsidRPr="00FB7886" w:rsidRDefault="002B0194">
      <w:pPr>
        <w:ind w:left="432"/>
        <w:rPr>
          <w:szCs w:val="24"/>
        </w:rPr>
      </w:pPr>
    </w:p>
    <w:p w14:paraId="324A3849" w14:textId="77777777" w:rsidR="002B0194" w:rsidRPr="00FB7886" w:rsidRDefault="002B0194">
      <w:pPr>
        <w:ind w:left="864"/>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pPr>
        <w:ind w:left="864"/>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pPr>
        <w:ind w:left="864"/>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pPr>
        <w:ind w:left="864"/>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pPr>
        <w:ind w:left="864"/>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pPr>
        <w:ind w:left="864"/>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pPr>
        <w:ind w:left="864"/>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pPr>
        <w:ind w:left="864"/>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pPr>
        <w:ind w:left="864"/>
        <w:rPr>
          <w:szCs w:val="24"/>
          <w:u w:val="single"/>
        </w:rPr>
      </w:pPr>
      <w:r w:rsidRPr="00FB7886">
        <w:rPr>
          <w:szCs w:val="24"/>
        </w:rPr>
        <w:t>9.</w:t>
      </w:r>
      <w:r w:rsidRPr="00FB7886">
        <w:rPr>
          <w:szCs w:val="24"/>
        </w:rPr>
        <w:tab/>
      </w:r>
      <w:r w:rsidRPr="00FB7886">
        <w:rPr>
          <w:szCs w:val="24"/>
          <w:u w:val="single"/>
        </w:rPr>
        <w:t>ARM 17.8.222 Ambient Air Quality Standard for Lead</w:t>
      </w:r>
    </w:p>
    <w:p w14:paraId="2AFCB37D" w14:textId="77777777" w:rsidR="002B0194" w:rsidRPr="00FB7886" w:rsidRDefault="002B0194">
      <w:pPr>
        <w:ind w:left="864"/>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pPr>
        <w:ind w:left="864"/>
        <w:rPr>
          <w:szCs w:val="24"/>
          <w:u w:val="single"/>
        </w:rPr>
      </w:pPr>
      <w:r w:rsidRPr="00595D68">
        <w:rPr>
          <w:szCs w:val="24"/>
        </w:rPr>
        <w:t>11.</w:t>
      </w:r>
      <w:r w:rsidRPr="00595D68">
        <w:rPr>
          <w:szCs w:val="24"/>
        </w:rPr>
        <w:tab/>
      </w:r>
      <w:r w:rsidRPr="00595D68">
        <w:rPr>
          <w:szCs w:val="24"/>
          <w:u w:val="single"/>
        </w:rPr>
        <w:t>ARM 17.8.230 Fluoride in Forage</w:t>
      </w:r>
    </w:p>
    <w:p w14:paraId="7E04710E" w14:textId="77777777" w:rsidR="002B0194" w:rsidRPr="00FB7886" w:rsidRDefault="002B0194">
      <w:pPr>
        <w:rPr>
          <w:szCs w:val="24"/>
        </w:rPr>
      </w:pPr>
    </w:p>
    <w:p w14:paraId="0B7223F8" w14:textId="32B50BE7" w:rsidR="002B0194" w:rsidRPr="00FB7886" w:rsidRDefault="0044678C">
      <w:pPr>
        <w:ind w:left="864"/>
        <w:rPr>
          <w:szCs w:val="24"/>
        </w:rPr>
      </w:pPr>
      <w:r>
        <w:rPr>
          <w:szCs w:val="24"/>
        </w:rPr>
        <w:t>AFCS</w:t>
      </w:r>
      <w:r w:rsidR="002B0194" w:rsidRPr="00FB7886">
        <w:rPr>
          <w:szCs w:val="24"/>
        </w:rPr>
        <w:t xml:space="preserve"> must maintain compliance with the applicable ambient air quality standards.</w:t>
      </w:r>
    </w:p>
    <w:p w14:paraId="34DA9A91" w14:textId="77777777" w:rsidR="002B0194" w:rsidRPr="00FB7886" w:rsidRDefault="002B0194">
      <w:pPr>
        <w:rPr>
          <w:szCs w:val="24"/>
        </w:rPr>
      </w:pPr>
    </w:p>
    <w:p w14:paraId="41686C5D" w14:textId="77777777" w:rsidR="002B0194" w:rsidRPr="00FB7886" w:rsidRDefault="002B0194" w:rsidP="00483BD6">
      <w:pPr>
        <w:numPr>
          <w:ilvl w:val="0"/>
          <w:numId w:val="7"/>
        </w:numPr>
        <w:rPr>
          <w:szCs w:val="24"/>
        </w:rPr>
      </w:pPr>
      <w:r w:rsidRPr="00FB7886">
        <w:rPr>
          <w:szCs w:val="24"/>
        </w:rPr>
        <w:t>ARM 17.8, Subchapter 3 – Emission Standards, including, but not limited to:</w:t>
      </w:r>
    </w:p>
    <w:p w14:paraId="5E1214C2" w14:textId="77777777" w:rsidR="002B0194" w:rsidRPr="00FB7886" w:rsidRDefault="002B0194">
      <w:pPr>
        <w:ind w:left="432"/>
        <w:rPr>
          <w:szCs w:val="24"/>
        </w:rPr>
      </w:pPr>
    </w:p>
    <w:p w14:paraId="76B342AC" w14:textId="77777777" w:rsidR="002B0194" w:rsidRPr="00FB7886" w:rsidRDefault="002B0194" w:rsidP="00483BD6">
      <w:pPr>
        <w:numPr>
          <w:ilvl w:val="0"/>
          <w:numId w:val="9"/>
        </w:numPr>
        <w:rPr>
          <w:szCs w:val="24"/>
        </w:rPr>
      </w:pPr>
      <w:r w:rsidRPr="00FB7886">
        <w:rPr>
          <w:szCs w:val="24"/>
          <w:u w:val="single"/>
        </w:rPr>
        <w:lastRenderedPageBreak/>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FB7886" w:rsidRDefault="002B0194">
      <w:pPr>
        <w:ind w:left="864"/>
        <w:rPr>
          <w:szCs w:val="24"/>
        </w:rPr>
      </w:pPr>
    </w:p>
    <w:p w14:paraId="7E03A0C1" w14:textId="31EA0998" w:rsidR="002B0194" w:rsidRPr="00FB7886" w:rsidRDefault="002B0194" w:rsidP="00483BD6">
      <w:pPr>
        <w:numPr>
          <w:ilvl w:val="0"/>
          <w:numId w:val="9"/>
        </w:numPr>
        <w:rPr>
          <w:szCs w:val="24"/>
        </w:rPr>
      </w:pPr>
      <w:r w:rsidRPr="00FB7886">
        <w:rPr>
          <w:szCs w:val="24"/>
          <w:u w:val="single"/>
        </w:rPr>
        <w:t>ARM 17.8.308 Particulate Matter, Airborne</w:t>
      </w:r>
      <w:r w:rsidRPr="00FB7886">
        <w:rPr>
          <w:szCs w:val="24"/>
        </w:rPr>
        <w:t xml:space="preserve">.  (1) This rule requires an opacity limitation of less than 20% for all fugitive emission sources and that reasonable precautions be taken to control emissions of airborne particulate matter.  </w:t>
      </w:r>
      <w:r w:rsidRPr="00595D68">
        <w:rPr>
          <w:szCs w:val="24"/>
        </w:rPr>
        <w:t xml:space="preserve">(2) Under this rule, </w:t>
      </w:r>
      <w:r w:rsidR="0044678C">
        <w:rPr>
          <w:szCs w:val="24"/>
        </w:rPr>
        <w:t>AFCS</w:t>
      </w:r>
      <w:r w:rsidRPr="00595D68">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pPr>
        <w:rPr>
          <w:szCs w:val="24"/>
        </w:rPr>
      </w:pPr>
    </w:p>
    <w:p w14:paraId="1751EE6B" w14:textId="77777777" w:rsidR="002B0194" w:rsidRPr="00FB7886" w:rsidRDefault="002B0194" w:rsidP="00483BD6">
      <w:pPr>
        <w:numPr>
          <w:ilvl w:val="0"/>
          <w:numId w:val="9"/>
        </w:numPr>
        <w:rPr>
          <w:szCs w:val="24"/>
        </w:rPr>
      </w:pPr>
      <w:r w:rsidRPr="00FB7886">
        <w:rPr>
          <w:szCs w:val="24"/>
          <w:u w:val="single"/>
        </w:rPr>
        <w:t>ARM 17.8.309 Particulate Matter, Fuel Burning Equipment</w:t>
      </w:r>
      <w:r w:rsidRPr="00FB7886">
        <w:rPr>
          <w:szCs w:val="24"/>
        </w:rPr>
        <w:t>.  This rule requires that no person shall cause, allow, or permit to be discharged into the atmosphere particulate matter caused by the combustion of fuel in excess of the amount determined by this rule.</w:t>
      </w:r>
    </w:p>
    <w:p w14:paraId="3D342AEE" w14:textId="77777777" w:rsidR="002B0194" w:rsidRPr="00FB7886" w:rsidRDefault="002B0194">
      <w:pPr>
        <w:ind w:left="864"/>
        <w:rPr>
          <w:szCs w:val="24"/>
        </w:rPr>
      </w:pPr>
    </w:p>
    <w:p w14:paraId="345FBB44" w14:textId="1A9C6AB2" w:rsidR="002B0194" w:rsidRPr="00BA2CD4" w:rsidRDefault="002B0194" w:rsidP="00BA2CD4">
      <w:pPr>
        <w:numPr>
          <w:ilvl w:val="0"/>
          <w:numId w:val="9"/>
        </w:numPr>
        <w:rPr>
          <w:szCs w:val="24"/>
        </w:rPr>
      </w:pPr>
      <w:r w:rsidRPr="00FB7886">
        <w:rPr>
          <w:szCs w:val="24"/>
          <w:u w:val="single"/>
        </w:rPr>
        <w:t>ARM 17.8.310 Particulate Matter, Industrial Process</w:t>
      </w:r>
      <w:r w:rsidRPr="00FB7886">
        <w:rPr>
          <w:szCs w:val="24"/>
        </w:rPr>
        <w:t>.  This rule requires that no person shall cause, allow, or permit to be discharged into the atmosphere particulate matter in excess of the amount set forth in this rule.</w:t>
      </w:r>
    </w:p>
    <w:p w14:paraId="579FEED4" w14:textId="77777777" w:rsidR="002B0194" w:rsidRPr="00FB7886" w:rsidRDefault="002B0194">
      <w:pPr>
        <w:rPr>
          <w:szCs w:val="24"/>
        </w:rPr>
      </w:pPr>
    </w:p>
    <w:p w14:paraId="2D9A0DAA" w14:textId="77777777" w:rsidR="002B0194" w:rsidRPr="00FB7886" w:rsidRDefault="002B0194" w:rsidP="00483BD6">
      <w:pPr>
        <w:numPr>
          <w:ilvl w:val="0"/>
          <w:numId w:val="9"/>
        </w:numPr>
        <w:rPr>
          <w:szCs w:val="24"/>
        </w:rPr>
      </w:pPr>
      <w:r w:rsidRPr="00FB7886">
        <w:rPr>
          <w:szCs w:val="24"/>
          <w:u w:val="single"/>
        </w:rPr>
        <w:t>ARM 17.8.322 Sulfur Oxide Emissions--Sulfur in Fuel</w:t>
      </w:r>
      <w:r w:rsidRPr="00FB7886">
        <w:rPr>
          <w:szCs w:val="24"/>
        </w:rPr>
        <w:t>.  This rule requires that no person shall burn liquid, solid, or gaseous fuel in excess of the amount set forth in this rule.</w:t>
      </w:r>
    </w:p>
    <w:p w14:paraId="0A0AF3A6" w14:textId="77777777" w:rsidR="002B0194" w:rsidRPr="00FB7886" w:rsidRDefault="002B0194">
      <w:pPr>
        <w:rPr>
          <w:szCs w:val="24"/>
        </w:rPr>
      </w:pPr>
    </w:p>
    <w:p w14:paraId="02CFF2F5" w14:textId="499833CF" w:rsidR="002B0194" w:rsidRPr="00FB7886" w:rsidRDefault="00BA2CD4">
      <w:pPr>
        <w:ind w:left="1296" w:hanging="432"/>
        <w:rPr>
          <w:szCs w:val="24"/>
        </w:rPr>
      </w:pPr>
      <w:r>
        <w:rPr>
          <w:szCs w:val="24"/>
        </w:rPr>
        <w:t>6</w:t>
      </w:r>
      <w:r w:rsidR="002B0194" w:rsidRPr="00FB7886">
        <w:rPr>
          <w:szCs w:val="24"/>
        </w:rPr>
        <w:t>.</w:t>
      </w:r>
      <w:r w:rsidR="002B0194" w:rsidRPr="00FB7886">
        <w:rPr>
          <w:szCs w:val="24"/>
        </w:rPr>
        <w:tab/>
      </w:r>
      <w:r w:rsidR="002B0194" w:rsidRPr="00FB7886">
        <w:rPr>
          <w:szCs w:val="24"/>
          <w:u w:val="single"/>
        </w:rPr>
        <w:t>ARM 17.8.324 Hydrocarbon Emissions--Petroleum Products</w:t>
      </w:r>
      <w:r w:rsidR="002B0194" w:rsidRPr="00FB7886">
        <w:rPr>
          <w:szCs w:val="24"/>
        </w:rPr>
        <w:t>.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pPr>
        <w:rPr>
          <w:szCs w:val="24"/>
        </w:rPr>
      </w:pPr>
    </w:p>
    <w:p w14:paraId="60C6D8F5" w14:textId="31BEBA6C" w:rsidR="002B0194" w:rsidRPr="00FB7886" w:rsidRDefault="00BA2CD4" w:rsidP="00595D68">
      <w:pPr>
        <w:ind w:left="1296" w:hanging="432"/>
        <w:rPr>
          <w:szCs w:val="24"/>
        </w:rPr>
      </w:pPr>
      <w:r>
        <w:rPr>
          <w:szCs w:val="24"/>
        </w:rPr>
        <w:t>7.</w:t>
      </w:r>
      <w:r w:rsidR="002B0194" w:rsidRPr="00FB7886">
        <w:rPr>
          <w:szCs w:val="24"/>
        </w:rPr>
        <w:tab/>
      </w:r>
      <w:r w:rsidR="002B0194" w:rsidRPr="00FB7886">
        <w:rPr>
          <w:szCs w:val="24"/>
          <w:u w:val="single"/>
        </w:rPr>
        <w:t>ARM 17.8.340 Standard of Performance for New Stationary Sources and Emission Guidelines for Existing Sources</w:t>
      </w:r>
      <w:r w:rsidR="002B0194" w:rsidRPr="00FB7886">
        <w:rPr>
          <w:szCs w:val="24"/>
        </w:rPr>
        <w:t xml:space="preserve">.  This rule incorporates, by reference, 40 CFR </w:t>
      </w:r>
      <w:r w:rsidR="001F5E15" w:rsidRPr="00FB7886">
        <w:rPr>
          <w:szCs w:val="24"/>
        </w:rPr>
        <w:t xml:space="preserve">Part </w:t>
      </w:r>
      <w:r w:rsidR="002B0194" w:rsidRPr="00FB7886">
        <w:rPr>
          <w:szCs w:val="24"/>
        </w:rPr>
        <w:t xml:space="preserve">60, Standards of Performance for New Stationary Sources (NSPS).  </w:t>
      </w:r>
      <w:r w:rsidR="002B0194" w:rsidRPr="00595D68">
        <w:rPr>
          <w:szCs w:val="24"/>
        </w:rPr>
        <w:t xml:space="preserve">This facility is not an NSPS affected source because it does not meet the definition of any NSPS subpart defined in 40 CFR </w:t>
      </w:r>
      <w:r w:rsidR="001F5E15" w:rsidRPr="00595D68">
        <w:rPr>
          <w:szCs w:val="24"/>
        </w:rPr>
        <w:t xml:space="preserve">Part </w:t>
      </w:r>
      <w:r w:rsidR="002B0194" w:rsidRPr="00595D68">
        <w:rPr>
          <w:szCs w:val="24"/>
        </w:rPr>
        <w:t xml:space="preserve">60.  </w:t>
      </w:r>
    </w:p>
    <w:p w14:paraId="77D567CF" w14:textId="77777777" w:rsidR="002B0194" w:rsidRPr="00FB7886" w:rsidRDefault="002B0194">
      <w:pPr>
        <w:rPr>
          <w:szCs w:val="24"/>
        </w:rPr>
      </w:pPr>
    </w:p>
    <w:p w14:paraId="50FC5DF8" w14:textId="372305EC" w:rsidR="002B0194" w:rsidRPr="00595D68" w:rsidRDefault="00BA2CD4">
      <w:pPr>
        <w:ind w:left="1296" w:hanging="432"/>
        <w:rPr>
          <w:szCs w:val="24"/>
        </w:rPr>
      </w:pPr>
      <w:r>
        <w:rPr>
          <w:szCs w:val="24"/>
        </w:rPr>
        <w:t>8.</w:t>
      </w:r>
      <w:r w:rsidR="002B0194" w:rsidRPr="00595D68">
        <w:rPr>
          <w:szCs w:val="24"/>
        </w:rPr>
        <w:tab/>
      </w:r>
      <w:r w:rsidR="002B0194" w:rsidRPr="00595D68">
        <w:rPr>
          <w:szCs w:val="24"/>
          <w:u w:val="single"/>
        </w:rPr>
        <w:t>ARM 17.8.342 Emission Standards for Hazardous Air Pollutants for Source Categories</w:t>
      </w:r>
      <w:r w:rsidR="002B0194" w:rsidRPr="00595D68">
        <w:rPr>
          <w:szCs w:val="24"/>
        </w:rPr>
        <w:t xml:space="preserve">.  </w:t>
      </w:r>
      <w:r w:rsidR="00980955" w:rsidRPr="00FB7886">
        <w:rPr>
          <w:szCs w:val="24"/>
        </w:rPr>
        <w:t xml:space="preserve">This rule incorporates, by reference, 40 CFR Part </w:t>
      </w:r>
      <w:r w:rsidR="00980955">
        <w:rPr>
          <w:szCs w:val="24"/>
        </w:rPr>
        <w:t>63</w:t>
      </w:r>
      <w:r w:rsidR="00980955" w:rsidRPr="00FB7886">
        <w:rPr>
          <w:szCs w:val="24"/>
        </w:rPr>
        <w:t xml:space="preserve">, </w:t>
      </w:r>
      <w:r w:rsidR="00980955">
        <w:rPr>
          <w:szCs w:val="24"/>
        </w:rPr>
        <w:t>National Emission Standards for Hazardous Air Pollutants (NESHAPs</w:t>
      </w:r>
      <w:r w:rsidR="00980955" w:rsidRPr="00FB7886">
        <w:rPr>
          <w:szCs w:val="24"/>
        </w:rPr>
        <w:t xml:space="preserve">).  </w:t>
      </w:r>
      <w:r w:rsidR="0044678C">
        <w:rPr>
          <w:szCs w:val="24"/>
        </w:rPr>
        <w:t>AFCS</w:t>
      </w:r>
      <w:r w:rsidR="00980955" w:rsidRPr="00595D68">
        <w:rPr>
          <w:szCs w:val="24"/>
        </w:rPr>
        <w:t xml:space="preserve"> is not a NESHAP</w:t>
      </w:r>
      <w:r w:rsidR="00980955">
        <w:rPr>
          <w:szCs w:val="24"/>
        </w:rPr>
        <w:t>s</w:t>
      </w:r>
      <w:r w:rsidR="00980955" w:rsidRPr="00595D68">
        <w:rPr>
          <w:szCs w:val="24"/>
        </w:rPr>
        <w:t xml:space="preserve"> </w:t>
      </w:r>
      <w:r w:rsidR="00980955">
        <w:rPr>
          <w:szCs w:val="24"/>
        </w:rPr>
        <w:t>a</w:t>
      </w:r>
      <w:r w:rsidR="00980955" w:rsidRPr="00595D68">
        <w:rPr>
          <w:szCs w:val="24"/>
        </w:rPr>
        <w:t>ffected source.</w:t>
      </w:r>
      <w:r w:rsidR="00595D68" w:rsidRPr="00595D68">
        <w:rPr>
          <w:szCs w:val="24"/>
        </w:rPr>
        <w:t xml:space="preserve"> </w:t>
      </w:r>
    </w:p>
    <w:p w14:paraId="2BC64F37" w14:textId="77777777" w:rsidR="002B0194" w:rsidRPr="00FB7886" w:rsidRDefault="002B0194">
      <w:pPr>
        <w:rPr>
          <w:szCs w:val="24"/>
          <w:highlight w:val="yellow"/>
        </w:rPr>
      </w:pPr>
    </w:p>
    <w:p w14:paraId="71D9C3EC" w14:textId="77777777" w:rsidR="002B0194" w:rsidRPr="00595D68" w:rsidRDefault="002B0194" w:rsidP="00483BD6">
      <w:pPr>
        <w:numPr>
          <w:ilvl w:val="0"/>
          <w:numId w:val="7"/>
        </w:numPr>
        <w:rPr>
          <w:szCs w:val="24"/>
        </w:rPr>
      </w:pPr>
      <w:r w:rsidRPr="00595D68">
        <w:rPr>
          <w:szCs w:val="24"/>
        </w:rPr>
        <w:t>ARM 17.8, Subchapter 4 – Stack Height and Dispersion Techniques, including, but not limited to:</w:t>
      </w:r>
    </w:p>
    <w:p w14:paraId="4A3E37DC" w14:textId="77777777" w:rsidR="002B0194" w:rsidRPr="00595D68" w:rsidRDefault="002B0194">
      <w:pPr>
        <w:ind w:left="432"/>
        <w:rPr>
          <w:szCs w:val="24"/>
        </w:rPr>
      </w:pPr>
    </w:p>
    <w:p w14:paraId="4FF1C7F7" w14:textId="77777777" w:rsidR="002B0194" w:rsidRPr="00595D68" w:rsidRDefault="002B0194" w:rsidP="00483BD6">
      <w:pPr>
        <w:numPr>
          <w:ilvl w:val="0"/>
          <w:numId w:val="10"/>
        </w:numPr>
        <w:rPr>
          <w:szCs w:val="24"/>
        </w:rPr>
      </w:pPr>
      <w:r w:rsidRPr="00595D68">
        <w:rPr>
          <w:szCs w:val="24"/>
          <w:u w:val="single"/>
        </w:rPr>
        <w:t>ARM 17.8.401 Definitions</w:t>
      </w:r>
      <w:r w:rsidRPr="00595D68">
        <w:rPr>
          <w:szCs w:val="24"/>
        </w:rPr>
        <w:t>.  This rule includes a list of definitions used in this chapter, unless indicated otherwise in a specific subchapter.</w:t>
      </w:r>
    </w:p>
    <w:p w14:paraId="09912ECB" w14:textId="77777777" w:rsidR="002B0194" w:rsidRPr="00595D68" w:rsidRDefault="002B0194">
      <w:pPr>
        <w:ind w:left="864"/>
        <w:rPr>
          <w:szCs w:val="24"/>
        </w:rPr>
      </w:pPr>
    </w:p>
    <w:p w14:paraId="21BCCFFB" w14:textId="29D65DBD" w:rsidR="002B0194" w:rsidRPr="00595D68" w:rsidRDefault="002B0194" w:rsidP="00483BD6">
      <w:pPr>
        <w:numPr>
          <w:ilvl w:val="0"/>
          <w:numId w:val="10"/>
        </w:numPr>
        <w:rPr>
          <w:szCs w:val="24"/>
        </w:rPr>
      </w:pPr>
      <w:r w:rsidRPr="00595D68">
        <w:rPr>
          <w:szCs w:val="24"/>
          <w:u w:val="single"/>
        </w:rPr>
        <w:t>ARM 17.8.402 Requirements</w:t>
      </w:r>
      <w:r w:rsidRPr="00595D68">
        <w:rPr>
          <w:szCs w:val="24"/>
        </w:rPr>
        <w:t xml:space="preserve">.  </w:t>
      </w:r>
      <w:r w:rsidR="0044678C">
        <w:rPr>
          <w:szCs w:val="24"/>
        </w:rPr>
        <w:t>AFCS</w:t>
      </w:r>
      <w:r w:rsidRPr="00595D68">
        <w:rPr>
          <w:szCs w:val="24"/>
        </w:rPr>
        <w:t xml:space="preserve"> must demonstrate compliance with the ambient air quality standards with a stack height that does not exceed Good Engineering </w:t>
      </w:r>
      <w:r w:rsidRPr="00595D68">
        <w:rPr>
          <w:szCs w:val="24"/>
        </w:rPr>
        <w:lastRenderedPageBreak/>
        <w:t xml:space="preserve">Practices (GEP).  The proposed height of the new or </w:t>
      </w:r>
      <w:r w:rsidR="006F7629" w:rsidRPr="00595D68">
        <w:rPr>
          <w:szCs w:val="24"/>
        </w:rPr>
        <w:t>modified</w:t>
      </w:r>
      <w:r w:rsidRPr="00595D68">
        <w:rPr>
          <w:szCs w:val="24"/>
        </w:rPr>
        <w:t xml:space="preserve"> stack for </w:t>
      </w:r>
      <w:r w:rsidR="0044678C">
        <w:rPr>
          <w:szCs w:val="24"/>
        </w:rPr>
        <w:t>AFCS</w:t>
      </w:r>
      <w:r w:rsidRPr="00595D68">
        <w:rPr>
          <w:szCs w:val="24"/>
        </w:rPr>
        <w:t xml:space="preserve"> is below the allowable 65-meter GEP stack height.</w:t>
      </w:r>
    </w:p>
    <w:p w14:paraId="6383866E" w14:textId="77777777" w:rsidR="002B0194" w:rsidRPr="00FB7886" w:rsidRDefault="002B0194">
      <w:pPr>
        <w:rPr>
          <w:szCs w:val="24"/>
        </w:rPr>
      </w:pPr>
    </w:p>
    <w:p w14:paraId="47C91748" w14:textId="77777777" w:rsidR="002B0194" w:rsidRPr="00FB7886" w:rsidRDefault="002B0194" w:rsidP="00483BD6">
      <w:pPr>
        <w:numPr>
          <w:ilvl w:val="0"/>
          <w:numId w:val="7"/>
        </w:numPr>
        <w:rPr>
          <w:szCs w:val="24"/>
        </w:rPr>
      </w:pPr>
      <w:r w:rsidRPr="00FB7886">
        <w:rPr>
          <w:szCs w:val="24"/>
        </w:rPr>
        <w:t>ARM 17.8, Subchapter 5 – Air Quality Permit Application, Operation, and Open Burning Fees, including, but not limited to:</w:t>
      </w:r>
    </w:p>
    <w:p w14:paraId="088EFF86" w14:textId="77777777" w:rsidR="002B0194" w:rsidRPr="00FB7886" w:rsidRDefault="002B0194">
      <w:pPr>
        <w:ind w:left="432"/>
        <w:rPr>
          <w:szCs w:val="24"/>
        </w:rPr>
      </w:pPr>
    </w:p>
    <w:p w14:paraId="70ED6D67" w14:textId="13644EE2" w:rsidR="002B0194" w:rsidRPr="00FB7886" w:rsidRDefault="002B0194" w:rsidP="00483BD6">
      <w:pPr>
        <w:numPr>
          <w:ilvl w:val="0"/>
          <w:numId w:val="11"/>
        </w:numPr>
        <w:rPr>
          <w:szCs w:val="24"/>
        </w:rPr>
      </w:pPr>
      <w:r w:rsidRPr="00FB7886">
        <w:rPr>
          <w:szCs w:val="24"/>
          <w:u w:val="single"/>
        </w:rPr>
        <w:t>ARM 17.8.504 Air Quality Permit Application Fees</w:t>
      </w:r>
      <w:r w:rsidRPr="00FB7886">
        <w:rPr>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F4754D">
        <w:rPr>
          <w:szCs w:val="24"/>
        </w:rPr>
        <w:t>DEQ</w:t>
      </w:r>
      <w:r w:rsidRPr="00FB7886">
        <w:rPr>
          <w:szCs w:val="24"/>
        </w:rPr>
        <w:t xml:space="preserve">.  </w:t>
      </w:r>
      <w:r w:rsidR="0044678C">
        <w:rPr>
          <w:szCs w:val="24"/>
        </w:rPr>
        <w:t>AFCS</w:t>
      </w:r>
      <w:r w:rsidRPr="00595D68">
        <w:rPr>
          <w:szCs w:val="24"/>
        </w:rPr>
        <w:t xml:space="preserve"> submitted the appropriate permit application fee for the current permit action</w:t>
      </w:r>
      <w:r w:rsidR="00595D68" w:rsidRPr="00595D68">
        <w:rPr>
          <w:szCs w:val="24"/>
        </w:rPr>
        <w:t>.</w:t>
      </w:r>
    </w:p>
    <w:p w14:paraId="5F8AEB52" w14:textId="77777777" w:rsidR="002B0194" w:rsidRPr="00FB7886" w:rsidRDefault="002B0194">
      <w:pPr>
        <w:ind w:left="864"/>
        <w:rPr>
          <w:szCs w:val="24"/>
        </w:rPr>
      </w:pPr>
    </w:p>
    <w:p w14:paraId="6F729FFF" w14:textId="147F691E" w:rsidR="002B0194" w:rsidRPr="00FB7886" w:rsidRDefault="002B0194" w:rsidP="00483BD6">
      <w:pPr>
        <w:numPr>
          <w:ilvl w:val="0"/>
          <w:numId w:val="11"/>
        </w:numPr>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pPr>
        <w:rPr>
          <w:szCs w:val="24"/>
        </w:rPr>
      </w:pPr>
    </w:p>
    <w:p w14:paraId="581F1F93" w14:textId="00544D05" w:rsidR="002B0194" w:rsidRPr="00FB7886" w:rsidRDefault="002B0194">
      <w:pPr>
        <w:pStyle w:val="BodyTextIndent"/>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483BD6">
      <w:pPr>
        <w:numPr>
          <w:ilvl w:val="0"/>
          <w:numId w:val="7"/>
        </w:numPr>
        <w:rPr>
          <w:szCs w:val="24"/>
        </w:rPr>
      </w:pPr>
      <w:r w:rsidRPr="00FB7886">
        <w:rPr>
          <w:szCs w:val="24"/>
        </w:rPr>
        <w:t>ARM 17.8, Subchapter 7 – Permit, Construction, and Operation of Air Contaminant Sources, including, but not limited to:</w:t>
      </w:r>
    </w:p>
    <w:p w14:paraId="2FEA33C9" w14:textId="77777777" w:rsidR="002B0194" w:rsidRPr="00FB7886" w:rsidRDefault="002B0194">
      <w:pPr>
        <w:ind w:left="432"/>
        <w:rPr>
          <w:szCs w:val="24"/>
        </w:rPr>
      </w:pPr>
    </w:p>
    <w:p w14:paraId="46D18541" w14:textId="77777777" w:rsidR="002B0194" w:rsidRPr="00FB7886" w:rsidRDefault="002B0194" w:rsidP="00483BD6">
      <w:pPr>
        <w:numPr>
          <w:ilvl w:val="0"/>
          <w:numId w:val="12"/>
        </w:numPr>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3DAA314C" w14:textId="77777777" w:rsidR="00B24457" w:rsidRDefault="00B24457" w:rsidP="00C02FC6">
      <w:pPr>
        <w:rPr>
          <w:szCs w:val="24"/>
        </w:rPr>
      </w:pPr>
    </w:p>
    <w:p w14:paraId="50A924BC" w14:textId="164F886D" w:rsidR="002B0194" w:rsidRPr="00FB7886" w:rsidRDefault="002B0194" w:rsidP="00483BD6">
      <w:pPr>
        <w:numPr>
          <w:ilvl w:val="0"/>
          <w:numId w:val="12"/>
        </w:numPr>
        <w:rPr>
          <w:szCs w:val="24"/>
        </w:rPr>
      </w:pPr>
      <w:r w:rsidRPr="00FB7886">
        <w:rPr>
          <w:szCs w:val="24"/>
          <w:u w:val="single"/>
        </w:rPr>
        <w:t>ARM 17.8.743 Montana Air Quality Permits--When Required</w:t>
      </w:r>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r w:rsidR="0044678C">
        <w:rPr>
          <w:szCs w:val="24"/>
        </w:rPr>
        <w:t>AFCS</w:t>
      </w:r>
      <w:r w:rsidRPr="00FB7886">
        <w:rPr>
          <w:szCs w:val="24"/>
        </w:rPr>
        <w:t xml:space="preserve"> </w:t>
      </w:r>
      <w:r w:rsidR="00091EC7">
        <w:rPr>
          <w:szCs w:val="24"/>
        </w:rPr>
        <w:t xml:space="preserve">does not have a PTE greater than 25 tons per year of any </w:t>
      </w:r>
      <w:r w:rsidR="0074782D">
        <w:rPr>
          <w:szCs w:val="24"/>
        </w:rPr>
        <w:t>pollutant</w:t>
      </w:r>
      <w:r w:rsidR="00F44D3D">
        <w:rPr>
          <w:szCs w:val="24"/>
        </w:rPr>
        <w:t xml:space="preserve">. However, </w:t>
      </w:r>
      <w:r w:rsidR="0044678C">
        <w:rPr>
          <w:szCs w:val="24"/>
        </w:rPr>
        <w:t>AFCS</w:t>
      </w:r>
      <w:r w:rsidR="00F44D3D">
        <w:rPr>
          <w:szCs w:val="24"/>
        </w:rPr>
        <w:t xml:space="preserve"> </w:t>
      </w:r>
      <w:r w:rsidR="00D46793">
        <w:rPr>
          <w:szCs w:val="24"/>
        </w:rPr>
        <w:t>owns and</w:t>
      </w:r>
      <w:r w:rsidR="00F44D3D">
        <w:rPr>
          <w:szCs w:val="24"/>
        </w:rPr>
        <w:t xml:space="preserve"> operate</w:t>
      </w:r>
      <w:r w:rsidR="00D46793">
        <w:rPr>
          <w:szCs w:val="24"/>
        </w:rPr>
        <w:t>s</w:t>
      </w:r>
      <w:r w:rsidR="00F44D3D">
        <w:rPr>
          <w:szCs w:val="24"/>
        </w:rPr>
        <w:t xml:space="preserve"> an incinerator. Pursuant to </w:t>
      </w:r>
      <w:r w:rsidR="00653903">
        <w:rPr>
          <w:szCs w:val="24"/>
        </w:rPr>
        <w:t>ARM 17.8.743(1)(c)</w:t>
      </w:r>
      <w:r w:rsidR="00F44D3D">
        <w:rPr>
          <w:szCs w:val="24"/>
        </w:rPr>
        <w:t xml:space="preserve">, all incinerators require an MAQP prior to construction and operation regardless of PTE. </w:t>
      </w:r>
      <w:r w:rsidR="0074782D">
        <w:rPr>
          <w:szCs w:val="24"/>
        </w:rPr>
        <w:t xml:space="preserve"> </w:t>
      </w:r>
      <w:r w:rsidR="00F44D3D">
        <w:rPr>
          <w:szCs w:val="24"/>
        </w:rPr>
        <w:t>T</w:t>
      </w:r>
      <w:r w:rsidR="0074782D">
        <w:rPr>
          <w:szCs w:val="24"/>
        </w:rPr>
        <w:t>herefore</w:t>
      </w:r>
      <w:r w:rsidR="00F44D3D">
        <w:rPr>
          <w:szCs w:val="24"/>
        </w:rPr>
        <w:t>,</w:t>
      </w:r>
      <w:r w:rsidR="0074782D">
        <w:rPr>
          <w:szCs w:val="24"/>
        </w:rPr>
        <w:t xml:space="preserve"> a </w:t>
      </w:r>
      <w:r w:rsidR="00A666C1">
        <w:rPr>
          <w:szCs w:val="24"/>
        </w:rPr>
        <w:t xml:space="preserve">MAQP </w:t>
      </w:r>
      <w:r w:rsidR="0074782D">
        <w:rPr>
          <w:szCs w:val="24"/>
        </w:rPr>
        <w:t>is required.</w:t>
      </w:r>
    </w:p>
    <w:p w14:paraId="03F32993" w14:textId="77777777" w:rsidR="002B0194" w:rsidRPr="00FB7886" w:rsidRDefault="002B0194">
      <w:pPr>
        <w:rPr>
          <w:szCs w:val="24"/>
        </w:rPr>
      </w:pPr>
    </w:p>
    <w:p w14:paraId="228EA7BF" w14:textId="05BA58DD" w:rsidR="002B0194" w:rsidRPr="00FB7886" w:rsidRDefault="002B0194" w:rsidP="00483BD6">
      <w:pPr>
        <w:numPr>
          <w:ilvl w:val="0"/>
          <w:numId w:val="12"/>
        </w:numPr>
        <w:rPr>
          <w:szCs w:val="24"/>
          <w:u w:val="single"/>
        </w:rPr>
      </w:pPr>
      <w:r w:rsidRPr="00FB7886">
        <w:rPr>
          <w:szCs w:val="24"/>
          <w:u w:val="single"/>
        </w:rPr>
        <w:t>ARM 17.8.744 Montana Air Quality Permits--General Exclusions</w:t>
      </w:r>
      <w:r w:rsidRPr="00FB7886">
        <w:rPr>
          <w:szCs w:val="24"/>
        </w:rPr>
        <w:t xml:space="preserve">.  This rule identifies the activities that are not subject to the </w:t>
      </w:r>
      <w:r w:rsidR="00F44D3D">
        <w:rPr>
          <w:szCs w:val="24"/>
        </w:rPr>
        <w:t>MAQP</w:t>
      </w:r>
      <w:r w:rsidRPr="00FB7886">
        <w:rPr>
          <w:szCs w:val="24"/>
        </w:rPr>
        <w:t xml:space="preserve"> program.</w:t>
      </w:r>
    </w:p>
    <w:p w14:paraId="55C61ED4" w14:textId="77777777" w:rsidR="002B0194" w:rsidRPr="00FB7886" w:rsidRDefault="002B0194">
      <w:pPr>
        <w:rPr>
          <w:szCs w:val="24"/>
          <w:u w:val="single"/>
        </w:rPr>
      </w:pPr>
    </w:p>
    <w:p w14:paraId="2C99A00E" w14:textId="07120A5F" w:rsidR="002B0194" w:rsidRPr="00FB7886" w:rsidRDefault="002B0194" w:rsidP="00483BD6">
      <w:pPr>
        <w:numPr>
          <w:ilvl w:val="0"/>
          <w:numId w:val="12"/>
        </w:numPr>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w:t>
      </w:r>
      <w:r w:rsidR="00653903">
        <w:rPr>
          <w:szCs w:val="24"/>
        </w:rPr>
        <w:t>MAQP</w:t>
      </w:r>
      <w:r w:rsidRPr="00FB7886">
        <w:rPr>
          <w:szCs w:val="24"/>
        </w:rPr>
        <w:t xml:space="preserve"> Program.  </w:t>
      </w:r>
    </w:p>
    <w:p w14:paraId="1C9E084A" w14:textId="77777777" w:rsidR="002B0194" w:rsidRPr="00FB7886" w:rsidRDefault="002B0194">
      <w:pPr>
        <w:rPr>
          <w:szCs w:val="24"/>
        </w:rPr>
      </w:pPr>
    </w:p>
    <w:p w14:paraId="75B0B221" w14:textId="72D7C6D7" w:rsidR="002B0194" w:rsidRPr="00FB7886" w:rsidRDefault="002B0194" w:rsidP="00483BD6">
      <w:pPr>
        <w:numPr>
          <w:ilvl w:val="0"/>
          <w:numId w:val="12"/>
        </w:numPr>
        <w:rPr>
          <w:szCs w:val="24"/>
        </w:rPr>
      </w:pPr>
      <w:r w:rsidRPr="00FB7886">
        <w:rPr>
          <w:szCs w:val="24"/>
          <w:u w:val="single"/>
        </w:rPr>
        <w:t>ARM 17.8.748 New or Modified Emitting Units--Permit Application Requirements</w:t>
      </w:r>
      <w:r w:rsidRPr="00FB7886">
        <w:rPr>
          <w:szCs w:val="24"/>
        </w:rPr>
        <w:t xml:space="preserve">.  (1) This rule requires that a permit application be submitted prior to installation, </w:t>
      </w:r>
      <w:r w:rsidR="006F7629" w:rsidRPr="00FB7886">
        <w:rPr>
          <w:szCs w:val="24"/>
        </w:rPr>
        <w:t>modification</w:t>
      </w:r>
      <w:r w:rsidRPr="00FB7886">
        <w:rPr>
          <w:szCs w:val="24"/>
        </w:rPr>
        <w:t>, or use of a s</w:t>
      </w:r>
      <w:r w:rsidRPr="00595D68">
        <w:rPr>
          <w:szCs w:val="24"/>
        </w:rPr>
        <w:t xml:space="preserve">ource.  </w:t>
      </w:r>
      <w:r w:rsidR="0044678C">
        <w:rPr>
          <w:szCs w:val="24"/>
        </w:rPr>
        <w:t>AFCS</w:t>
      </w:r>
      <w:r w:rsidR="00205895" w:rsidRPr="00595D68">
        <w:rPr>
          <w:szCs w:val="24"/>
        </w:rPr>
        <w:t xml:space="preserve"> submitted the required permit application for the current permit action</w:t>
      </w:r>
      <w:r w:rsidR="00595D68" w:rsidRPr="00595D68">
        <w:rPr>
          <w:szCs w:val="24"/>
        </w:rPr>
        <w:t>.</w:t>
      </w:r>
      <w:r w:rsidR="00205895" w:rsidRPr="00A03244">
        <w:rPr>
          <w:szCs w:val="24"/>
        </w:rPr>
        <w:t xml:space="preserve">  </w:t>
      </w:r>
      <w:r w:rsidRPr="00FB7886">
        <w:rPr>
          <w:szCs w:val="24"/>
        </w:rPr>
        <w:t xml:space="preserve">7) This rule requires that the applicant notify the public by </w:t>
      </w:r>
      <w:r w:rsidRPr="00FB7886">
        <w:rPr>
          <w:szCs w:val="24"/>
        </w:rPr>
        <w:lastRenderedPageBreak/>
        <w:t>means of legal publication in a newspaper of general circulation in the area affected by the application for a permit.</w:t>
      </w:r>
      <w:r w:rsidR="00205895" w:rsidRPr="00A03244">
        <w:rPr>
          <w:szCs w:val="24"/>
        </w:rPr>
        <w:t xml:space="preserve">  </w:t>
      </w:r>
      <w:r w:rsidR="0044678C">
        <w:rPr>
          <w:szCs w:val="24"/>
        </w:rPr>
        <w:t>AFCS</w:t>
      </w:r>
      <w:r w:rsidR="00205895" w:rsidRPr="00153B19">
        <w:rPr>
          <w:szCs w:val="24"/>
        </w:rPr>
        <w:t xml:space="preserve"> submitted an affidavit of publication of public notice for</w:t>
      </w:r>
      <w:r w:rsidR="00153B19">
        <w:rPr>
          <w:szCs w:val="24"/>
        </w:rPr>
        <w:t xml:space="preserve"> t</w:t>
      </w:r>
      <w:r w:rsidR="00153B19" w:rsidRPr="007777F2">
        <w:rPr>
          <w:szCs w:val="24"/>
        </w:rPr>
        <w:t>he</w:t>
      </w:r>
      <w:r w:rsidR="00205895" w:rsidRPr="007777F2">
        <w:rPr>
          <w:szCs w:val="24"/>
        </w:rPr>
        <w:t xml:space="preserve"> </w:t>
      </w:r>
      <w:r w:rsidR="00153B19" w:rsidRPr="007777F2">
        <w:rPr>
          <w:szCs w:val="24"/>
        </w:rPr>
        <w:t>January 1</w:t>
      </w:r>
      <w:r w:rsidR="004A0D79" w:rsidRPr="007777F2">
        <w:rPr>
          <w:szCs w:val="24"/>
        </w:rPr>
        <w:t>4</w:t>
      </w:r>
      <w:r w:rsidR="00153B19" w:rsidRPr="007777F2">
        <w:rPr>
          <w:szCs w:val="24"/>
        </w:rPr>
        <w:t>, 2026,</w:t>
      </w:r>
      <w:r w:rsidR="00205895" w:rsidRPr="007777F2">
        <w:rPr>
          <w:szCs w:val="24"/>
        </w:rPr>
        <w:t xml:space="preserve"> issue of the </w:t>
      </w:r>
      <w:r w:rsidR="004A0D79" w:rsidRPr="007777F2">
        <w:rPr>
          <w:szCs w:val="24"/>
        </w:rPr>
        <w:t>Dillonite</w:t>
      </w:r>
      <w:r w:rsidR="007777F2" w:rsidRPr="007777F2">
        <w:rPr>
          <w:szCs w:val="24"/>
        </w:rPr>
        <w:t xml:space="preserve"> Daily</w:t>
      </w:r>
      <w:r w:rsidR="00205895" w:rsidRPr="007777F2">
        <w:rPr>
          <w:szCs w:val="24"/>
        </w:rPr>
        <w:t>, a newspaper of general circulation in the Town of</w:t>
      </w:r>
      <w:r w:rsidR="00153B19" w:rsidRPr="007777F2">
        <w:rPr>
          <w:szCs w:val="24"/>
        </w:rPr>
        <w:t xml:space="preserve"> </w:t>
      </w:r>
      <w:r w:rsidR="00EA233B" w:rsidRPr="007777F2">
        <w:rPr>
          <w:szCs w:val="24"/>
        </w:rPr>
        <w:t>Dillon</w:t>
      </w:r>
      <w:r w:rsidR="00205895" w:rsidRPr="007777F2">
        <w:rPr>
          <w:szCs w:val="24"/>
        </w:rPr>
        <w:t xml:space="preserve"> in </w:t>
      </w:r>
      <w:r w:rsidR="00EA233B" w:rsidRPr="007777F2">
        <w:rPr>
          <w:szCs w:val="24"/>
        </w:rPr>
        <w:t>Beaverhead</w:t>
      </w:r>
      <w:r w:rsidR="00205895" w:rsidRPr="007777F2">
        <w:rPr>
          <w:szCs w:val="24"/>
        </w:rPr>
        <w:t xml:space="preserve"> County, as pro</w:t>
      </w:r>
      <w:r w:rsidR="00205895" w:rsidRPr="00153B19">
        <w:rPr>
          <w:szCs w:val="24"/>
        </w:rPr>
        <w:t>of of compliance with the public notice requirements.</w:t>
      </w:r>
    </w:p>
    <w:p w14:paraId="16AEA57C" w14:textId="77777777" w:rsidR="002B0194" w:rsidRPr="00FB7886" w:rsidRDefault="002B0194">
      <w:pPr>
        <w:rPr>
          <w:szCs w:val="24"/>
        </w:rPr>
      </w:pPr>
    </w:p>
    <w:p w14:paraId="450F4583" w14:textId="61DC767C" w:rsidR="002B0194" w:rsidRPr="00FB7886" w:rsidRDefault="002B0194" w:rsidP="00483BD6">
      <w:pPr>
        <w:numPr>
          <w:ilvl w:val="0"/>
          <w:numId w:val="12"/>
        </w:numPr>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pPr>
        <w:rPr>
          <w:szCs w:val="24"/>
        </w:rPr>
      </w:pPr>
    </w:p>
    <w:p w14:paraId="413CD397" w14:textId="77777777" w:rsidR="002B0194" w:rsidRPr="00FB7886" w:rsidRDefault="002B0194" w:rsidP="00483BD6">
      <w:pPr>
        <w:numPr>
          <w:ilvl w:val="0"/>
          <w:numId w:val="12"/>
        </w:numPr>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pPr>
        <w:rPr>
          <w:szCs w:val="24"/>
        </w:rPr>
      </w:pPr>
    </w:p>
    <w:p w14:paraId="4A30AA02" w14:textId="45635846" w:rsidR="002B0194" w:rsidRPr="00FB7886" w:rsidRDefault="002B0194" w:rsidP="00483BD6">
      <w:pPr>
        <w:numPr>
          <w:ilvl w:val="0"/>
          <w:numId w:val="12"/>
        </w:numPr>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pPr>
        <w:rPr>
          <w:szCs w:val="24"/>
        </w:rPr>
      </w:pPr>
    </w:p>
    <w:p w14:paraId="63EEEF3F" w14:textId="4BF50D1C" w:rsidR="002B0194" w:rsidRPr="00FB7886" w:rsidRDefault="002B0194" w:rsidP="00483BD6">
      <w:pPr>
        <w:numPr>
          <w:ilvl w:val="0"/>
          <w:numId w:val="12"/>
        </w:numPr>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44678C">
        <w:rPr>
          <w:szCs w:val="24"/>
        </w:rPr>
        <w:t>AFCS</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2171939B" w14:textId="77777777" w:rsidR="00B24457" w:rsidRPr="00FB7886" w:rsidRDefault="00B24457">
      <w:pPr>
        <w:rPr>
          <w:szCs w:val="24"/>
        </w:rPr>
      </w:pPr>
    </w:p>
    <w:p w14:paraId="7132E441" w14:textId="6199BC96" w:rsidR="002B0194" w:rsidRPr="00595D68" w:rsidRDefault="002B0194" w:rsidP="00483BD6">
      <w:pPr>
        <w:numPr>
          <w:ilvl w:val="0"/>
          <w:numId w:val="12"/>
        </w:numPr>
        <w:rPr>
          <w:szCs w:val="24"/>
        </w:rPr>
      </w:pPr>
      <w:r w:rsidRPr="00595D68">
        <w:rPr>
          <w:szCs w:val="24"/>
          <w:u w:val="single"/>
        </w:rPr>
        <w:t>ARM 17.8.759 Review of Permit Applications</w:t>
      </w:r>
      <w:r w:rsidRPr="00595D68">
        <w:rPr>
          <w:szCs w:val="24"/>
        </w:rPr>
        <w:t xml:space="preserve">.  This rule describes </w:t>
      </w:r>
      <w:r w:rsidR="00F4754D" w:rsidRPr="00595D68">
        <w:rPr>
          <w:szCs w:val="24"/>
        </w:rPr>
        <w:t>DEQ</w:t>
      </w:r>
      <w:r w:rsidRPr="00595D68">
        <w:rPr>
          <w:szCs w:val="24"/>
        </w:rPr>
        <w:t>’s responsibilities for processing permit applications and making permit decisions on those permit applications that do not require the preparation of an environmental impact statement.</w:t>
      </w:r>
    </w:p>
    <w:p w14:paraId="2E614E27" w14:textId="77777777" w:rsidR="002B0194" w:rsidRPr="00FB7886" w:rsidRDefault="002B0194">
      <w:pPr>
        <w:rPr>
          <w:szCs w:val="24"/>
        </w:rPr>
      </w:pPr>
    </w:p>
    <w:p w14:paraId="65FFEA2F" w14:textId="77777777" w:rsidR="002B0194" w:rsidRPr="00FB7886" w:rsidRDefault="002B0194" w:rsidP="00483BD6">
      <w:pPr>
        <w:numPr>
          <w:ilvl w:val="0"/>
          <w:numId w:val="12"/>
        </w:numPr>
        <w:rPr>
          <w:szCs w:val="24"/>
        </w:rPr>
      </w:pPr>
      <w:r w:rsidRPr="00FB7886">
        <w:rPr>
          <w:szCs w:val="24"/>
          <w:u w:val="single"/>
        </w:rPr>
        <w:t>ARM 17.8.762 Duration of Permit</w:t>
      </w:r>
      <w:r w:rsidRPr="00FB7886">
        <w:rPr>
          <w:szCs w:val="24"/>
        </w:rPr>
        <w:t xml:space="preserve">.  An air quality permit shall be valid until revoked or modified, as provided in this subchapter, except that a permit issued prior to construction of a new or </w:t>
      </w:r>
      <w:r w:rsidR="006F7629" w:rsidRPr="00FB7886">
        <w:rPr>
          <w:szCs w:val="24"/>
        </w:rPr>
        <w:t>modified</w:t>
      </w:r>
      <w:r w:rsidRPr="00FB7886">
        <w:rPr>
          <w:szCs w:val="24"/>
        </w:rPr>
        <w:t xml:space="preserve"> source may contain a condition providing that the permit will expire unless construction is commenced within the time specified in the permit, which in no event may be less than 1 year after the permit is issued.</w:t>
      </w:r>
    </w:p>
    <w:p w14:paraId="25C7F9DF" w14:textId="77777777" w:rsidR="002B0194" w:rsidRPr="00FB7886" w:rsidRDefault="002B0194">
      <w:pPr>
        <w:rPr>
          <w:szCs w:val="24"/>
        </w:rPr>
      </w:pPr>
    </w:p>
    <w:p w14:paraId="03C9AFF7" w14:textId="77777777" w:rsidR="002B0194" w:rsidRPr="00FB7886" w:rsidRDefault="002B0194" w:rsidP="00483BD6">
      <w:pPr>
        <w:numPr>
          <w:ilvl w:val="0"/>
          <w:numId w:val="12"/>
        </w:numPr>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pPr>
        <w:rPr>
          <w:szCs w:val="24"/>
        </w:rPr>
      </w:pPr>
      <w:r w:rsidRPr="00FB7886">
        <w:rPr>
          <w:szCs w:val="24"/>
        </w:rPr>
        <w:t xml:space="preserve"> </w:t>
      </w:r>
    </w:p>
    <w:p w14:paraId="4CC4D178" w14:textId="77777777" w:rsidR="002B0194" w:rsidRPr="00FB7886" w:rsidRDefault="002B0194" w:rsidP="00483BD6">
      <w:pPr>
        <w:numPr>
          <w:ilvl w:val="0"/>
          <w:numId w:val="12"/>
        </w:numPr>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of emissions as a result of those changed conditions.  The owner or operator of a facility may not increase the facility’s emissions beyond permit limits unless the increase meets the criteria in ARM 17.8.745 for a de minimis change not requiring a permit, or unless the owner or operator </w:t>
      </w:r>
      <w:r w:rsidRPr="00FB7886">
        <w:rPr>
          <w:szCs w:val="24"/>
        </w:rPr>
        <w:lastRenderedPageBreak/>
        <w:t>applies for and receives another permit in accordance with ARM 17.8.748, ARM 17.8.749, ARM 17.8.752, ARM 17.8.755, and ARM 17.8.756, and with all applicable requirements in ARM Title 17, Chapter 8, Subchapters 8, 9, and 10.</w:t>
      </w:r>
    </w:p>
    <w:p w14:paraId="35A4D22B" w14:textId="77777777" w:rsidR="002B0194" w:rsidRPr="00FB7886" w:rsidRDefault="002B0194">
      <w:pPr>
        <w:rPr>
          <w:szCs w:val="24"/>
        </w:rPr>
      </w:pPr>
    </w:p>
    <w:p w14:paraId="0F1F92D7" w14:textId="4CB1A1A6" w:rsidR="002B0194" w:rsidRPr="00FB7886" w:rsidRDefault="002B0194" w:rsidP="00483BD6">
      <w:pPr>
        <w:numPr>
          <w:ilvl w:val="0"/>
          <w:numId w:val="12"/>
        </w:numPr>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49510611" w14:textId="77777777" w:rsidR="002B0194" w:rsidRPr="00FB7886" w:rsidRDefault="002B0194">
      <w:pPr>
        <w:rPr>
          <w:szCs w:val="24"/>
        </w:rPr>
      </w:pPr>
    </w:p>
    <w:p w14:paraId="44628A59" w14:textId="0A75669A" w:rsidR="002B0194" w:rsidRPr="00595D68" w:rsidRDefault="002B0194" w:rsidP="00483BD6">
      <w:pPr>
        <w:numPr>
          <w:ilvl w:val="0"/>
          <w:numId w:val="12"/>
        </w:numPr>
        <w:rPr>
          <w:szCs w:val="24"/>
        </w:rPr>
      </w:pPr>
      <w:r w:rsidRPr="00595D68">
        <w:rPr>
          <w:szCs w:val="24"/>
          <w:u w:val="single"/>
        </w:rPr>
        <w:t>ARM 17.8.770 Additional Requirements for Incinerators</w:t>
      </w:r>
      <w:r w:rsidRPr="00595D68">
        <w:rPr>
          <w:szCs w:val="24"/>
        </w:rPr>
        <w:t xml:space="preserve">.  This rule specifies the additional information that must be submitted to </w:t>
      </w:r>
      <w:r w:rsidR="00F4754D" w:rsidRPr="00595D68">
        <w:rPr>
          <w:szCs w:val="24"/>
        </w:rPr>
        <w:t>DEQ</w:t>
      </w:r>
      <w:r w:rsidRPr="00595D68">
        <w:rPr>
          <w:szCs w:val="24"/>
        </w:rPr>
        <w:t xml:space="preserve"> for incineration facilities subject to 75-2-215, Montana Code Annotated (MCA).</w:t>
      </w:r>
    </w:p>
    <w:p w14:paraId="13625FD0" w14:textId="77777777" w:rsidR="00E52159" w:rsidRPr="00595D68" w:rsidRDefault="00E52159" w:rsidP="00E52159">
      <w:pPr>
        <w:rPr>
          <w:szCs w:val="24"/>
        </w:rPr>
      </w:pPr>
    </w:p>
    <w:p w14:paraId="40025C1F" w14:textId="77777777" w:rsidR="00E52159" w:rsidRPr="00595D68" w:rsidRDefault="00E52159" w:rsidP="00E52159">
      <w:pPr>
        <w:ind w:left="1284" w:hanging="420"/>
        <w:rPr>
          <w:szCs w:val="24"/>
        </w:rPr>
      </w:pPr>
      <w:r w:rsidRPr="00595D68">
        <w:rPr>
          <w:szCs w:val="24"/>
        </w:rPr>
        <w:t>17.</w:t>
      </w:r>
      <w:r w:rsidRPr="00595D68">
        <w:rPr>
          <w:szCs w:val="24"/>
        </w:rPr>
        <w:tab/>
      </w:r>
      <w:r w:rsidRPr="00595D68">
        <w:rPr>
          <w:szCs w:val="24"/>
          <w:u w:val="single"/>
        </w:rPr>
        <w:t>ARM 17.8.771 Mercury Emission Standards for Mercury-Emitting Generating Units</w:t>
      </w:r>
      <w:r w:rsidRPr="00595D68">
        <w:rPr>
          <w:szCs w:val="24"/>
        </w:rPr>
        <w:t>.  This rule identifies mercury emission limitation requirements, mercury control strategy requirements, and application requirements for mercury-emitting generating units.</w:t>
      </w:r>
    </w:p>
    <w:p w14:paraId="3594D586" w14:textId="77777777" w:rsidR="002B0194" w:rsidRPr="00FB7886" w:rsidRDefault="002B0194">
      <w:pPr>
        <w:rPr>
          <w:szCs w:val="24"/>
        </w:rPr>
      </w:pPr>
    </w:p>
    <w:p w14:paraId="29D03B5D" w14:textId="77777777" w:rsidR="002B0194" w:rsidRPr="00FB7886" w:rsidRDefault="002B0194" w:rsidP="00483BD6">
      <w:pPr>
        <w:pStyle w:val="BodyTextIndent2"/>
        <w:numPr>
          <w:ilvl w:val="0"/>
          <w:numId w:val="7"/>
        </w:numPr>
        <w:rPr>
          <w:sz w:val="24"/>
          <w:szCs w:val="24"/>
        </w:rPr>
      </w:pPr>
      <w:r w:rsidRPr="00FB7886">
        <w:rPr>
          <w:sz w:val="24"/>
          <w:szCs w:val="24"/>
        </w:rPr>
        <w:t>ARM 17.8, Subchapter 8 – Prevention of Significant Deterioration of Air Quality, including, but not limited to:</w:t>
      </w:r>
    </w:p>
    <w:p w14:paraId="348235C7" w14:textId="77777777" w:rsidR="002B0194" w:rsidRPr="00FB7886" w:rsidRDefault="002B0194">
      <w:pPr>
        <w:ind w:left="432"/>
        <w:rPr>
          <w:szCs w:val="24"/>
        </w:rPr>
      </w:pPr>
    </w:p>
    <w:p w14:paraId="0255E8B7" w14:textId="77777777" w:rsidR="002B0194" w:rsidRPr="00FB7886" w:rsidRDefault="002B0194" w:rsidP="00483BD6">
      <w:pPr>
        <w:numPr>
          <w:ilvl w:val="0"/>
          <w:numId w:val="13"/>
        </w:numPr>
        <w:rPr>
          <w:szCs w:val="24"/>
        </w:rPr>
      </w:pPr>
      <w:r w:rsidRPr="00FB7886">
        <w:rPr>
          <w:szCs w:val="24"/>
          <w:u w:val="single"/>
        </w:rPr>
        <w:t>ARM 17.8.801 Definitions</w:t>
      </w:r>
      <w:r w:rsidRPr="00FB7886">
        <w:rPr>
          <w:szCs w:val="24"/>
        </w:rPr>
        <w:t>.  This rule is a list of applicable definitions used in this subchapter.</w:t>
      </w:r>
    </w:p>
    <w:p w14:paraId="34CD6AA8" w14:textId="77777777" w:rsidR="002B0194" w:rsidRDefault="002B0194">
      <w:pPr>
        <w:ind w:left="864"/>
        <w:rPr>
          <w:szCs w:val="24"/>
        </w:rPr>
      </w:pPr>
    </w:p>
    <w:p w14:paraId="3F62991B" w14:textId="77777777" w:rsidR="00B24457" w:rsidRPr="00FB7886" w:rsidRDefault="00B24457">
      <w:pPr>
        <w:ind w:left="864"/>
        <w:rPr>
          <w:szCs w:val="24"/>
        </w:rPr>
      </w:pPr>
    </w:p>
    <w:p w14:paraId="47816F06" w14:textId="77777777" w:rsidR="002B0194" w:rsidRPr="00FB7886" w:rsidRDefault="002B0194" w:rsidP="00483BD6">
      <w:pPr>
        <w:numPr>
          <w:ilvl w:val="0"/>
          <w:numId w:val="13"/>
        </w:numPr>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02F13BB7" w:rsidR="002B0194" w:rsidRPr="00595D68" w:rsidRDefault="002B0194">
      <w:pPr>
        <w:ind w:left="864"/>
        <w:rPr>
          <w:szCs w:val="24"/>
        </w:rPr>
      </w:pPr>
      <w:r w:rsidRPr="00595D68">
        <w:rPr>
          <w:szCs w:val="24"/>
        </w:rPr>
        <w:t xml:space="preserve">This facility is not a major stationary source </w:t>
      </w:r>
      <w:r w:rsidR="00685431" w:rsidRPr="00595D68">
        <w:rPr>
          <w:szCs w:val="24"/>
        </w:rPr>
        <w:t>because</w:t>
      </w:r>
      <w:r w:rsidRPr="00595D68">
        <w:rPr>
          <w:szCs w:val="24"/>
        </w:rPr>
        <w:t xml:space="preserve"> this facility is not a listed source and the facility's PTE is below 250 tons per year of any pollutant (excluding fugitive emissions).  </w:t>
      </w:r>
    </w:p>
    <w:p w14:paraId="7F09066E" w14:textId="77777777" w:rsidR="002B0194" w:rsidRPr="00FB7886" w:rsidRDefault="002B0194">
      <w:pPr>
        <w:ind w:left="864"/>
        <w:rPr>
          <w:szCs w:val="24"/>
          <w:highlight w:val="yellow"/>
        </w:rPr>
      </w:pPr>
    </w:p>
    <w:p w14:paraId="7F782FDD" w14:textId="77777777" w:rsidR="002B0194" w:rsidRPr="00FB7886" w:rsidRDefault="002B0194" w:rsidP="00483BD6">
      <w:pPr>
        <w:numPr>
          <w:ilvl w:val="0"/>
          <w:numId w:val="7"/>
        </w:numPr>
        <w:rPr>
          <w:szCs w:val="24"/>
        </w:rPr>
      </w:pPr>
      <w:r w:rsidRPr="00FB7886">
        <w:rPr>
          <w:szCs w:val="24"/>
        </w:rPr>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483BD6">
      <w:pPr>
        <w:numPr>
          <w:ilvl w:val="0"/>
          <w:numId w:val="14"/>
        </w:numPr>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pPr>
        <w:ind w:left="864"/>
        <w:rPr>
          <w:szCs w:val="24"/>
        </w:rPr>
      </w:pPr>
    </w:p>
    <w:p w14:paraId="4E3DF8BB" w14:textId="77777777" w:rsidR="002B0194" w:rsidRPr="00FB7886" w:rsidRDefault="002B0194" w:rsidP="00483BD6">
      <w:pPr>
        <w:numPr>
          <w:ilvl w:val="0"/>
          <w:numId w:val="15"/>
        </w:numPr>
        <w:rPr>
          <w:szCs w:val="24"/>
        </w:rPr>
      </w:pPr>
      <w:r w:rsidRPr="00FB7886">
        <w:rPr>
          <w:szCs w:val="24"/>
        </w:rPr>
        <w:t>PTE &gt; 100 tons/year of any pollutant;</w:t>
      </w:r>
    </w:p>
    <w:p w14:paraId="3A7BEA83" w14:textId="77777777" w:rsidR="002B0194" w:rsidRPr="00FB7886" w:rsidRDefault="002B0194">
      <w:pPr>
        <w:ind w:left="1296"/>
        <w:rPr>
          <w:szCs w:val="24"/>
        </w:rPr>
      </w:pPr>
    </w:p>
    <w:p w14:paraId="3EE06F7E" w14:textId="26EBC493" w:rsidR="002B0194" w:rsidRPr="00FB7886" w:rsidRDefault="002B0194" w:rsidP="00483BD6">
      <w:pPr>
        <w:numPr>
          <w:ilvl w:val="0"/>
          <w:numId w:val="15"/>
        </w:numPr>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pPr>
        <w:rPr>
          <w:szCs w:val="24"/>
        </w:rPr>
      </w:pPr>
    </w:p>
    <w:p w14:paraId="0C9A4E95" w14:textId="77777777" w:rsidR="002B0194" w:rsidRPr="00FB7886" w:rsidRDefault="002B0194" w:rsidP="00483BD6">
      <w:pPr>
        <w:numPr>
          <w:ilvl w:val="0"/>
          <w:numId w:val="15"/>
        </w:numPr>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73F68A2C" w:rsidR="002B0194" w:rsidRPr="00FB7886" w:rsidRDefault="002B0194" w:rsidP="00483BD6">
      <w:pPr>
        <w:pStyle w:val="BodyTextIndent3"/>
        <w:numPr>
          <w:ilvl w:val="0"/>
          <w:numId w:val="14"/>
        </w:numPr>
        <w:rPr>
          <w:sz w:val="24"/>
          <w:szCs w:val="24"/>
        </w:rPr>
      </w:pPr>
      <w:r w:rsidRPr="00FB7886">
        <w:rPr>
          <w:sz w:val="24"/>
          <w:szCs w:val="24"/>
          <w:u w:val="single"/>
        </w:rPr>
        <w:t>ARM 17.8.1204 Air Quality Operating Permit Program</w:t>
      </w:r>
      <w:r w:rsidRPr="00FB7886">
        <w:rPr>
          <w:sz w:val="24"/>
          <w:szCs w:val="24"/>
        </w:rPr>
        <w:t xml:space="preserve">.  (1) Title V of the FCAA amendments of 1990 requires that all sources, as defined in ARM 17.8.1204(1), obtain </w:t>
      </w:r>
      <w:r w:rsidRPr="00FB7886">
        <w:rPr>
          <w:sz w:val="24"/>
          <w:szCs w:val="24"/>
        </w:rPr>
        <w:lastRenderedPageBreak/>
        <w:t xml:space="preserve">a Title V Operating Permit.  In reviewing and issuing </w:t>
      </w:r>
      <w:r w:rsidR="002548DF" w:rsidRPr="00FB7886">
        <w:rPr>
          <w:sz w:val="24"/>
          <w:szCs w:val="24"/>
        </w:rPr>
        <w:t>MAQP</w:t>
      </w:r>
      <w:r w:rsidRPr="00FB7886">
        <w:rPr>
          <w:sz w:val="24"/>
          <w:szCs w:val="24"/>
        </w:rPr>
        <w:t xml:space="preserve"> #</w:t>
      </w:r>
      <w:r w:rsidR="00697F78">
        <w:rPr>
          <w:sz w:val="24"/>
          <w:szCs w:val="24"/>
        </w:rPr>
        <w:t>5350</w:t>
      </w:r>
      <w:r w:rsidR="00890031">
        <w:rPr>
          <w:sz w:val="24"/>
          <w:szCs w:val="24"/>
        </w:rPr>
        <w:t>-00</w:t>
      </w:r>
      <w:r w:rsidRPr="00FB7886">
        <w:rPr>
          <w:sz w:val="24"/>
          <w:szCs w:val="24"/>
        </w:rPr>
        <w:t xml:space="preserve"> for </w:t>
      </w:r>
      <w:r w:rsidR="0044678C">
        <w:rPr>
          <w:sz w:val="24"/>
          <w:szCs w:val="24"/>
        </w:rPr>
        <w:t>AFCS</w:t>
      </w:r>
      <w:r w:rsidRPr="00FB7886">
        <w:rPr>
          <w:sz w:val="24"/>
          <w:szCs w:val="24"/>
        </w:rPr>
        <w:t>, the following conclusions were made</w:t>
      </w:r>
      <w:r w:rsidR="00B76BF8" w:rsidRPr="00FB7886">
        <w:rPr>
          <w:sz w:val="24"/>
          <w:szCs w:val="24"/>
        </w:rPr>
        <w:t>:</w:t>
      </w:r>
    </w:p>
    <w:p w14:paraId="03C43F3F" w14:textId="77777777" w:rsidR="002B0194" w:rsidRPr="00FB7886" w:rsidRDefault="002B0194">
      <w:pPr>
        <w:ind w:left="864"/>
        <w:rPr>
          <w:szCs w:val="24"/>
        </w:rPr>
      </w:pPr>
    </w:p>
    <w:p w14:paraId="1ABB0B43" w14:textId="77777777" w:rsidR="002B0194" w:rsidRPr="00FB7886" w:rsidRDefault="002B0194" w:rsidP="00483BD6">
      <w:pPr>
        <w:numPr>
          <w:ilvl w:val="0"/>
          <w:numId w:val="16"/>
        </w:numPr>
        <w:rPr>
          <w:szCs w:val="24"/>
        </w:rPr>
      </w:pPr>
      <w:r w:rsidRPr="00FB7886">
        <w:rPr>
          <w:szCs w:val="24"/>
        </w:rPr>
        <w:t>The facility’s PTE is less than 100 tons/year for any pollutant.</w:t>
      </w:r>
    </w:p>
    <w:p w14:paraId="14ABC5BC" w14:textId="77777777" w:rsidR="002B0194" w:rsidRPr="00FB7886" w:rsidRDefault="002B0194">
      <w:pPr>
        <w:ind w:left="1296"/>
        <w:rPr>
          <w:szCs w:val="24"/>
        </w:rPr>
      </w:pPr>
    </w:p>
    <w:p w14:paraId="1CCD8036" w14:textId="77777777" w:rsidR="002B0194" w:rsidRPr="00FB7886" w:rsidRDefault="002B0194" w:rsidP="00483BD6">
      <w:pPr>
        <w:numPr>
          <w:ilvl w:val="0"/>
          <w:numId w:val="16"/>
        </w:numPr>
        <w:rPr>
          <w:szCs w:val="24"/>
        </w:rPr>
      </w:pPr>
      <w:r w:rsidRPr="00FB7886">
        <w:rPr>
          <w:szCs w:val="24"/>
        </w:rPr>
        <w:t>The facility’s PTE is less than 10 tons/year for any one HAP and less than 25 tons/year for all HAPs.</w:t>
      </w:r>
    </w:p>
    <w:p w14:paraId="12BC52F7" w14:textId="77777777" w:rsidR="002B0194" w:rsidRPr="00FB7886" w:rsidRDefault="002B0194">
      <w:pPr>
        <w:rPr>
          <w:szCs w:val="24"/>
        </w:rPr>
      </w:pPr>
    </w:p>
    <w:p w14:paraId="5DC77BCF" w14:textId="77777777" w:rsidR="002B0194" w:rsidRPr="00FB7886" w:rsidRDefault="002B0194" w:rsidP="00483BD6">
      <w:pPr>
        <w:numPr>
          <w:ilvl w:val="0"/>
          <w:numId w:val="16"/>
        </w:numPr>
        <w:rPr>
          <w:szCs w:val="24"/>
        </w:rPr>
      </w:pPr>
      <w:r w:rsidRPr="00FB7886">
        <w:rPr>
          <w:szCs w:val="24"/>
        </w:rPr>
        <w:t>This source is not located in a serious PM</w:t>
      </w:r>
      <w:r w:rsidRPr="00FB7886">
        <w:rPr>
          <w:szCs w:val="24"/>
          <w:vertAlign w:val="subscript"/>
        </w:rPr>
        <w:t>10</w:t>
      </w:r>
      <w:r w:rsidRPr="00FB7886">
        <w:rPr>
          <w:szCs w:val="24"/>
        </w:rPr>
        <w:t xml:space="preserve"> nonattainment area.</w:t>
      </w:r>
    </w:p>
    <w:p w14:paraId="48E5A93D" w14:textId="77777777" w:rsidR="002B0194" w:rsidRPr="00FB7886" w:rsidRDefault="002B0194">
      <w:pPr>
        <w:rPr>
          <w:szCs w:val="24"/>
        </w:rPr>
      </w:pPr>
    </w:p>
    <w:p w14:paraId="2D9A585C" w14:textId="77777777" w:rsidR="002B0194" w:rsidRPr="00FB7886" w:rsidRDefault="002B0194" w:rsidP="00483BD6">
      <w:pPr>
        <w:numPr>
          <w:ilvl w:val="0"/>
          <w:numId w:val="16"/>
        </w:numPr>
        <w:rPr>
          <w:szCs w:val="24"/>
        </w:rPr>
      </w:pPr>
      <w:r w:rsidRPr="00FB7886">
        <w:rPr>
          <w:szCs w:val="24"/>
        </w:rPr>
        <w:t>This facility is not subject to any current NSPS.</w:t>
      </w:r>
    </w:p>
    <w:p w14:paraId="153C9B0A" w14:textId="77777777" w:rsidR="002B0194" w:rsidRPr="00FB7886" w:rsidRDefault="002B0194">
      <w:pPr>
        <w:rPr>
          <w:szCs w:val="24"/>
        </w:rPr>
      </w:pPr>
    </w:p>
    <w:p w14:paraId="51148B66" w14:textId="77777777" w:rsidR="002B0194" w:rsidRPr="00FB7886" w:rsidRDefault="002B0194" w:rsidP="00483BD6">
      <w:pPr>
        <w:numPr>
          <w:ilvl w:val="0"/>
          <w:numId w:val="16"/>
        </w:numPr>
        <w:rPr>
          <w:szCs w:val="24"/>
        </w:rPr>
      </w:pPr>
      <w:r w:rsidRPr="00FB7886">
        <w:rPr>
          <w:szCs w:val="24"/>
        </w:rPr>
        <w:t>This facility is not subject to any current NESHAP standards.</w:t>
      </w:r>
    </w:p>
    <w:p w14:paraId="1C34ADCF" w14:textId="77777777" w:rsidR="002B0194" w:rsidRPr="00FB7886" w:rsidRDefault="002B0194">
      <w:pPr>
        <w:rPr>
          <w:szCs w:val="24"/>
        </w:rPr>
      </w:pPr>
    </w:p>
    <w:p w14:paraId="2BFCAB4D" w14:textId="77777777" w:rsidR="002B0194" w:rsidRPr="00FB7886" w:rsidRDefault="002B0194" w:rsidP="00483BD6">
      <w:pPr>
        <w:numPr>
          <w:ilvl w:val="0"/>
          <w:numId w:val="16"/>
        </w:numPr>
        <w:rPr>
          <w:szCs w:val="24"/>
        </w:rPr>
      </w:pPr>
      <w:r w:rsidRPr="00FB7886">
        <w:rPr>
          <w:szCs w:val="24"/>
        </w:rPr>
        <w:t>This source is not a Title IV affected source, or a solid waste combustion unit.</w:t>
      </w:r>
    </w:p>
    <w:p w14:paraId="17447F4B" w14:textId="77777777" w:rsidR="002B0194" w:rsidRPr="00FB7886" w:rsidRDefault="002B0194">
      <w:pPr>
        <w:rPr>
          <w:szCs w:val="24"/>
        </w:rPr>
      </w:pPr>
    </w:p>
    <w:p w14:paraId="39D41D50" w14:textId="77777777" w:rsidR="002B0194" w:rsidRPr="00FB7886" w:rsidRDefault="002B0194" w:rsidP="00483BD6">
      <w:pPr>
        <w:numPr>
          <w:ilvl w:val="0"/>
          <w:numId w:val="16"/>
        </w:numPr>
        <w:rPr>
          <w:szCs w:val="24"/>
        </w:rPr>
      </w:pPr>
      <w:r w:rsidRPr="00FB7886">
        <w:rPr>
          <w:szCs w:val="24"/>
        </w:rPr>
        <w:t>This source is not an EPA designated Title V source.</w:t>
      </w:r>
    </w:p>
    <w:p w14:paraId="19756154" w14:textId="77777777" w:rsidR="002B0194" w:rsidRPr="00FB7886" w:rsidRDefault="002B0194">
      <w:pPr>
        <w:rPr>
          <w:szCs w:val="24"/>
        </w:rPr>
      </w:pPr>
    </w:p>
    <w:p w14:paraId="71415A5E" w14:textId="08471537" w:rsidR="002B0194" w:rsidRPr="00FB7886" w:rsidRDefault="002B0194" w:rsidP="00C52F2B">
      <w:pPr>
        <w:ind w:left="1152"/>
        <w:rPr>
          <w:szCs w:val="24"/>
        </w:rPr>
      </w:pPr>
      <w:r w:rsidRPr="00FB7886">
        <w:rPr>
          <w:szCs w:val="24"/>
        </w:rPr>
        <w:t xml:space="preserve">Based on these facts, </w:t>
      </w:r>
      <w:r w:rsidR="00F4754D">
        <w:rPr>
          <w:szCs w:val="24"/>
        </w:rPr>
        <w:t>DEQ</w:t>
      </w:r>
      <w:r w:rsidRPr="00FB7886">
        <w:rPr>
          <w:szCs w:val="24"/>
        </w:rPr>
        <w:t xml:space="preserve"> determined that </w:t>
      </w:r>
      <w:r w:rsidR="0044678C">
        <w:rPr>
          <w:szCs w:val="24"/>
        </w:rPr>
        <w:t>AFCS</w:t>
      </w:r>
      <w:r w:rsidRPr="00FB7886">
        <w:rPr>
          <w:szCs w:val="24"/>
        </w:rPr>
        <w:t xml:space="preserve"> will be a minor source of emissions as defined under Title V. </w:t>
      </w:r>
    </w:p>
    <w:p w14:paraId="1E0C7B89" w14:textId="77777777" w:rsidR="005C42E2" w:rsidRPr="00FB7886" w:rsidRDefault="005C42E2">
      <w:pPr>
        <w:rPr>
          <w:szCs w:val="24"/>
        </w:rPr>
      </w:pPr>
    </w:p>
    <w:p w14:paraId="4653CBEE" w14:textId="2BAC3D98" w:rsidR="002B0194" w:rsidRPr="00FB7886" w:rsidRDefault="00AF395A" w:rsidP="00153B19">
      <w:pPr>
        <w:pStyle w:val="Heading1"/>
      </w:pPr>
      <w:bookmarkStart w:id="18" w:name="_Toc223955021"/>
      <w:bookmarkStart w:id="19" w:name="_Toc223955136"/>
      <w:r>
        <w:t xml:space="preserve">Section </w:t>
      </w:r>
      <w:r w:rsidR="00153B19">
        <w:t xml:space="preserve">III. </w:t>
      </w:r>
      <w:r w:rsidR="002B0194" w:rsidRPr="00FB7886">
        <w:t>BACT Determination</w:t>
      </w:r>
      <w:bookmarkEnd w:id="18"/>
      <w:bookmarkEnd w:id="19"/>
    </w:p>
    <w:p w14:paraId="17C33883" w14:textId="77777777" w:rsidR="002B0194" w:rsidRPr="00FB7886" w:rsidRDefault="002B0194">
      <w:pPr>
        <w:rPr>
          <w:szCs w:val="24"/>
        </w:rPr>
      </w:pPr>
    </w:p>
    <w:p w14:paraId="613DDBA3" w14:textId="5E35C21C" w:rsidR="00595D68" w:rsidRPr="00595D68" w:rsidRDefault="00595D68" w:rsidP="00595D68">
      <w:pPr>
        <w:ind w:left="432"/>
        <w:rPr>
          <w:szCs w:val="24"/>
        </w:rPr>
      </w:pPr>
      <w:r w:rsidRPr="00595D68">
        <w:rPr>
          <w:szCs w:val="24"/>
        </w:rPr>
        <w:t>A BACT determination is required for each new or modified source.</w:t>
      </w:r>
      <w:r w:rsidR="002C101E">
        <w:rPr>
          <w:szCs w:val="24"/>
        </w:rPr>
        <w:t xml:space="preserve"> </w:t>
      </w:r>
      <w:r w:rsidR="0044678C">
        <w:rPr>
          <w:szCs w:val="24"/>
        </w:rPr>
        <w:t>AFCS</w:t>
      </w:r>
      <w:r w:rsidRPr="00595D68">
        <w:rPr>
          <w:szCs w:val="24"/>
        </w:rPr>
        <w:t xml:space="preserve"> shall install on the new or modified source the maximum air pollution control capability, which is technically practicable and economically feasible, except that BACT shall be utilized.</w:t>
      </w:r>
    </w:p>
    <w:p w14:paraId="1D1FDC5A" w14:textId="77777777" w:rsidR="00595D68" w:rsidRPr="00595D68" w:rsidRDefault="00595D68" w:rsidP="00595D68">
      <w:pPr>
        <w:rPr>
          <w:szCs w:val="24"/>
        </w:rPr>
      </w:pPr>
    </w:p>
    <w:p w14:paraId="719BAAE7" w14:textId="38BE11E6" w:rsidR="00595D68" w:rsidRPr="00595D68" w:rsidRDefault="00595D68" w:rsidP="00980955">
      <w:pPr>
        <w:ind w:left="432"/>
        <w:rPr>
          <w:szCs w:val="24"/>
        </w:rPr>
      </w:pPr>
      <w:r w:rsidRPr="00595D68">
        <w:rPr>
          <w:szCs w:val="24"/>
        </w:rPr>
        <w:t>DEQ prepared the following BACT analysis and determination. The following control options have been reviewed and analyzed by DEQ to determine BACT.</w:t>
      </w:r>
      <w:r w:rsidR="00980955">
        <w:rPr>
          <w:szCs w:val="24"/>
        </w:rPr>
        <w:t xml:space="preserve"> </w:t>
      </w:r>
      <w:r w:rsidRPr="00595D68">
        <w:rPr>
          <w:szCs w:val="24"/>
        </w:rPr>
        <w:t xml:space="preserve">The control options selected have controls and control costs comparable to other recently permitted similar sources and can achieve the appropriate emission standards.  </w:t>
      </w:r>
    </w:p>
    <w:p w14:paraId="21F23C89" w14:textId="77777777" w:rsidR="00595D68" w:rsidRPr="00595D68" w:rsidRDefault="00595D68" w:rsidP="00C02FC6">
      <w:pPr>
        <w:rPr>
          <w:szCs w:val="24"/>
          <w:highlight w:val="yellow"/>
        </w:rPr>
      </w:pPr>
    </w:p>
    <w:p w14:paraId="1DCD77C0" w14:textId="77777777" w:rsidR="006C74CE" w:rsidRPr="00F43DF3" w:rsidRDefault="006C74CE" w:rsidP="006C74CE">
      <w:pPr>
        <w:ind w:firstLine="360"/>
        <w:rPr>
          <w:b/>
          <w:bCs/>
          <w:szCs w:val="32"/>
          <w:u w:val="single"/>
        </w:rPr>
      </w:pPr>
      <w:r w:rsidRPr="00F43DF3">
        <w:rPr>
          <w:b/>
          <w:bCs/>
          <w:szCs w:val="32"/>
          <w:u w:val="single"/>
        </w:rPr>
        <w:t>NO</w:t>
      </w:r>
      <w:r w:rsidRPr="00F43DF3">
        <w:rPr>
          <w:b/>
          <w:bCs/>
          <w:szCs w:val="32"/>
          <w:vertAlign w:val="subscript"/>
        </w:rPr>
        <w:t>x</w:t>
      </w:r>
      <w:r w:rsidRPr="00F43DF3">
        <w:rPr>
          <w:b/>
          <w:bCs/>
          <w:szCs w:val="32"/>
          <w:u w:val="single"/>
        </w:rPr>
        <w:t xml:space="preserve"> BACT:</w:t>
      </w:r>
    </w:p>
    <w:p w14:paraId="6E77CD2D" w14:textId="77777777" w:rsidR="006C74CE" w:rsidRPr="00F43DF3" w:rsidRDefault="006C74CE" w:rsidP="006C74CE">
      <w:pPr>
        <w:ind w:left="432"/>
        <w:rPr>
          <w:szCs w:val="32"/>
        </w:rPr>
      </w:pPr>
      <w:r w:rsidRPr="00F43DF3">
        <w:rPr>
          <w:szCs w:val="32"/>
        </w:rPr>
        <w:t xml:space="preserve"> </w:t>
      </w:r>
    </w:p>
    <w:p w14:paraId="05071BAE" w14:textId="77777777" w:rsidR="006C74CE" w:rsidRPr="00F43DF3" w:rsidRDefault="006C74CE" w:rsidP="006C74CE">
      <w:pPr>
        <w:ind w:firstLine="360"/>
        <w:rPr>
          <w:b/>
          <w:bCs/>
          <w:szCs w:val="32"/>
        </w:rPr>
      </w:pPr>
      <w:r w:rsidRPr="00F43DF3">
        <w:rPr>
          <w:b/>
          <w:bCs/>
          <w:szCs w:val="32"/>
        </w:rPr>
        <w:t>Step 1: Identify All Available Control Technologies</w:t>
      </w:r>
    </w:p>
    <w:p w14:paraId="7CBD9E13" w14:textId="77777777" w:rsidR="006C74CE" w:rsidRPr="00F43DF3" w:rsidRDefault="006C74CE" w:rsidP="006C74CE">
      <w:pPr>
        <w:ind w:left="432"/>
        <w:rPr>
          <w:szCs w:val="32"/>
        </w:rPr>
      </w:pPr>
    </w:p>
    <w:p w14:paraId="11664421" w14:textId="77777777" w:rsidR="006C74CE" w:rsidRPr="00F43DF3" w:rsidRDefault="006C74CE" w:rsidP="006C74CE">
      <w:pPr>
        <w:ind w:left="360"/>
        <w:rPr>
          <w:szCs w:val="32"/>
        </w:rPr>
      </w:pPr>
      <w:bookmarkStart w:id="20" w:name="_Hlk223869582"/>
      <w:r w:rsidRPr="00F43DF3">
        <w:rPr>
          <w:szCs w:val="32"/>
        </w:rPr>
        <w:t>By design</w:t>
      </w:r>
      <w:r>
        <w:rPr>
          <w:szCs w:val="32"/>
        </w:rPr>
        <w:t>, the</w:t>
      </w:r>
      <w:r w:rsidRPr="00F43DF3">
        <w:rPr>
          <w:szCs w:val="32"/>
        </w:rPr>
        <w:t xml:space="preserve"> cremation unit</w:t>
      </w:r>
      <w:r>
        <w:rPr>
          <w:szCs w:val="32"/>
        </w:rPr>
        <w:t xml:space="preserve"> </w:t>
      </w:r>
      <w:r w:rsidRPr="00F43DF3">
        <w:rPr>
          <w:szCs w:val="32"/>
        </w:rPr>
        <w:t xml:space="preserve">will have a secondary, afterburner chamber, which </w:t>
      </w:r>
      <w:r>
        <w:rPr>
          <w:szCs w:val="32"/>
        </w:rPr>
        <w:t>will</w:t>
      </w:r>
      <w:r w:rsidRPr="00F43DF3">
        <w:rPr>
          <w:szCs w:val="32"/>
        </w:rPr>
        <w:t xml:space="preserve"> require additional fuel combustion to reach the required temperature range for crematorium operations. Therefore, because the afterburner chamber is integral and required (see BACT </w:t>
      </w:r>
      <w:r>
        <w:rPr>
          <w:szCs w:val="32"/>
        </w:rPr>
        <w:t>determination</w:t>
      </w:r>
      <w:r w:rsidRPr="00F43DF3">
        <w:rPr>
          <w:szCs w:val="32"/>
        </w:rPr>
        <w:t xml:space="preserve"> for VOC, PM, </w:t>
      </w:r>
      <w:r>
        <w:rPr>
          <w:szCs w:val="32"/>
        </w:rPr>
        <w:t xml:space="preserve">and </w:t>
      </w:r>
      <w:r w:rsidRPr="00F43DF3">
        <w:rPr>
          <w:szCs w:val="32"/>
        </w:rPr>
        <w:t>CO, below), the control technologies for NO</w:t>
      </w:r>
      <w:r w:rsidRPr="00F43DF3">
        <w:rPr>
          <w:szCs w:val="32"/>
          <w:vertAlign w:val="subscript"/>
        </w:rPr>
        <w:t>x</w:t>
      </w:r>
      <w:r w:rsidRPr="00F43DF3">
        <w:rPr>
          <w:szCs w:val="32"/>
        </w:rPr>
        <w:t xml:space="preserve"> emissions reduction identified below, constitute available </w:t>
      </w:r>
      <w:r>
        <w:rPr>
          <w:szCs w:val="32"/>
        </w:rPr>
        <w:t xml:space="preserve">add-on </w:t>
      </w:r>
      <w:r w:rsidRPr="00F43DF3">
        <w:rPr>
          <w:szCs w:val="32"/>
        </w:rPr>
        <w:t>technologies, listed top-down by control effectiveness</w:t>
      </w:r>
      <w:r>
        <w:rPr>
          <w:szCs w:val="32"/>
        </w:rPr>
        <w:t>. The combustion process will generate NOx either from the primary combustion chamber or from the secondary combustion chamber.</w:t>
      </w:r>
    </w:p>
    <w:bookmarkEnd w:id="20"/>
    <w:p w14:paraId="1B5057F8" w14:textId="77777777" w:rsidR="006C74CE" w:rsidRPr="00F43DF3" w:rsidRDefault="006C74CE" w:rsidP="006C74CE"/>
    <w:p w14:paraId="744B7E7C" w14:textId="77777777" w:rsidR="006C74CE" w:rsidRDefault="006C74CE" w:rsidP="006C74CE">
      <w:pPr>
        <w:ind w:left="432"/>
      </w:pPr>
      <w:r w:rsidRPr="00F43DF3">
        <w:rPr>
          <w:szCs w:val="32"/>
        </w:rPr>
        <w:t>Low NO</w:t>
      </w:r>
      <w:r w:rsidRPr="00F43DF3">
        <w:rPr>
          <w:szCs w:val="32"/>
          <w:vertAlign w:val="subscript"/>
        </w:rPr>
        <w:t>X</w:t>
      </w:r>
      <w:r w:rsidRPr="00F43DF3">
        <w:rPr>
          <w:szCs w:val="32"/>
        </w:rPr>
        <w:t xml:space="preserve"> Burners: A survey in 2022 by GeoInsight, found that Low NO</w:t>
      </w:r>
      <w:r w:rsidRPr="00F43DF3">
        <w:rPr>
          <w:szCs w:val="32"/>
          <w:vertAlign w:val="subscript"/>
        </w:rPr>
        <w:t>X</w:t>
      </w:r>
      <w:r w:rsidRPr="00F43DF3">
        <w:rPr>
          <w:szCs w:val="32"/>
        </w:rPr>
        <w:t xml:space="preserve"> Burners are not commercially available for this type of application. Therefore, Low NO</w:t>
      </w:r>
      <w:r w:rsidRPr="00F43DF3">
        <w:rPr>
          <w:szCs w:val="32"/>
          <w:vertAlign w:val="subscript"/>
        </w:rPr>
        <w:t>X</w:t>
      </w:r>
      <w:r w:rsidRPr="00F43DF3">
        <w:rPr>
          <w:szCs w:val="32"/>
        </w:rPr>
        <w:t xml:space="preserve"> Burners are </w:t>
      </w:r>
      <w:r>
        <w:rPr>
          <w:szCs w:val="32"/>
        </w:rPr>
        <w:t xml:space="preserve">not considered in this NOx BACT analysis </w:t>
      </w:r>
      <w:r w:rsidRPr="00F43DF3">
        <w:rPr>
          <w:szCs w:val="32"/>
        </w:rPr>
        <w:t>(</w:t>
      </w:r>
      <w:r w:rsidRPr="00F43DF3">
        <w:rPr>
          <w:i/>
          <w:iCs/>
        </w:rPr>
        <w:t>San Joaquin Valley Unified Air Pollution Control District Best Available Control Technology (BACT) Guideline 1.9.3</w:t>
      </w:r>
      <w:r w:rsidRPr="00F43DF3">
        <w:t>*).</w:t>
      </w:r>
    </w:p>
    <w:p w14:paraId="33C2AEF2" w14:textId="77777777" w:rsidR="006C74CE" w:rsidRDefault="006C74CE" w:rsidP="006C74CE">
      <w:pPr>
        <w:ind w:left="432"/>
      </w:pPr>
      <w:r w:rsidRPr="00F43DF3">
        <w:t xml:space="preserve">Available </w:t>
      </w:r>
      <w:r>
        <w:t>strategies</w:t>
      </w:r>
      <w:r w:rsidRPr="00F43DF3">
        <w:t xml:space="preserve"> for NO</w:t>
      </w:r>
      <w:r w:rsidRPr="00F43DF3">
        <w:rPr>
          <w:vertAlign w:val="subscript"/>
        </w:rPr>
        <w:t>X</w:t>
      </w:r>
      <w:r w:rsidRPr="00F43DF3">
        <w:t xml:space="preserve"> </w:t>
      </w:r>
      <w:r>
        <w:t xml:space="preserve">control </w:t>
      </w:r>
      <w:r w:rsidRPr="00F43DF3">
        <w:t xml:space="preserve">include </w:t>
      </w:r>
      <w:r>
        <w:t>those</w:t>
      </w:r>
      <w:r w:rsidRPr="00F43DF3">
        <w:t xml:space="preserve"> </w:t>
      </w:r>
      <w:r>
        <w:t>listed below.</w:t>
      </w:r>
    </w:p>
    <w:p w14:paraId="4EBE4657" w14:textId="77777777" w:rsidR="006C74CE" w:rsidRDefault="006C74CE" w:rsidP="006C74CE">
      <w:pPr>
        <w:ind w:left="432"/>
      </w:pPr>
    </w:p>
    <w:p w14:paraId="749D5BEE" w14:textId="77777777" w:rsidR="006C74CE" w:rsidRPr="00983563" w:rsidRDefault="006C74CE" w:rsidP="00F826F2">
      <w:pPr>
        <w:pStyle w:val="ListParagraph"/>
        <w:numPr>
          <w:ilvl w:val="0"/>
          <w:numId w:val="60"/>
        </w:numPr>
      </w:pPr>
      <w:r w:rsidRPr="00983563">
        <w:lastRenderedPageBreak/>
        <w:t>Selective Catalytic Reduction (SCR)</w:t>
      </w:r>
    </w:p>
    <w:p w14:paraId="53DCC1FB" w14:textId="77777777" w:rsidR="006C74CE" w:rsidRPr="00983563" w:rsidRDefault="006C74CE" w:rsidP="00F826F2">
      <w:pPr>
        <w:pStyle w:val="ListParagraph"/>
        <w:numPr>
          <w:ilvl w:val="0"/>
          <w:numId w:val="60"/>
        </w:numPr>
      </w:pPr>
      <w:r w:rsidRPr="00983563">
        <w:t>Selective Noncatalytic Reduction (SNCR)</w:t>
      </w:r>
    </w:p>
    <w:p w14:paraId="570A9239" w14:textId="77777777" w:rsidR="006C74CE" w:rsidRPr="00983563" w:rsidRDefault="006C74CE" w:rsidP="00F826F2">
      <w:pPr>
        <w:pStyle w:val="ListParagraph"/>
        <w:numPr>
          <w:ilvl w:val="0"/>
          <w:numId w:val="60"/>
        </w:numPr>
      </w:pPr>
      <w:r w:rsidRPr="00983563">
        <w:t>Pipeline quality natural gas or propane fuel only</w:t>
      </w:r>
    </w:p>
    <w:p w14:paraId="4B987EF4" w14:textId="77777777" w:rsidR="006C74CE" w:rsidRPr="00983563" w:rsidRDefault="006C74CE" w:rsidP="00F826F2">
      <w:pPr>
        <w:pStyle w:val="ListParagraph"/>
        <w:numPr>
          <w:ilvl w:val="0"/>
          <w:numId w:val="60"/>
        </w:numPr>
      </w:pPr>
      <w:r w:rsidRPr="00983563">
        <w:t>Proper design and operation, including the development of operating procedures, require operating training, and have procedures on-site at the unit and have training records and documentation available upon request</w:t>
      </w:r>
    </w:p>
    <w:p w14:paraId="344B4636" w14:textId="77777777" w:rsidR="006C74CE" w:rsidRPr="00983563" w:rsidRDefault="006C74CE" w:rsidP="00F826F2">
      <w:pPr>
        <w:pStyle w:val="ListParagraph"/>
        <w:numPr>
          <w:ilvl w:val="0"/>
          <w:numId w:val="60"/>
        </w:numPr>
      </w:pPr>
      <w:r w:rsidRPr="00983563">
        <w:t>Only incinerate/cremate human and animal remains and any corresponding container unless approved in writing by DEQ. (Pet and Human corpses are generally low in nitrogen content so not burning materials high in nitrogen serves to minimize NOx formation from the waste)</w:t>
      </w:r>
      <w:r>
        <w:t>.</w:t>
      </w:r>
    </w:p>
    <w:p w14:paraId="46D14ADA" w14:textId="77777777" w:rsidR="006C74CE" w:rsidRPr="00F43DF3" w:rsidRDefault="006C74CE" w:rsidP="006C74CE">
      <w:pPr>
        <w:ind w:left="432"/>
      </w:pPr>
    </w:p>
    <w:p w14:paraId="663160BD" w14:textId="77777777" w:rsidR="006C74CE" w:rsidRPr="00F43DF3" w:rsidRDefault="006C74CE" w:rsidP="006C74CE">
      <w:pPr>
        <w:ind w:firstLine="432"/>
        <w:rPr>
          <w:b/>
          <w:bCs/>
          <w:szCs w:val="32"/>
        </w:rPr>
      </w:pPr>
      <w:r w:rsidRPr="00F43DF3">
        <w:rPr>
          <w:b/>
          <w:bCs/>
          <w:szCs w:val="32"/>
        </w:rPr>
        <w:t>Step 2: Eliminate Technically Infeasible Control Options</w:t>
      </w:r>
    </w:p>
    <w:p w14:paraId="0F5920CF" w14:textId="77777777" w:rsidR="006C74CE" w:rsidRPr="00F43DF3" w:rsidRDefault="006C74CE" w:rsidP="006C74CE">
      <w:pPr>
        <w:ind w:left="432"/>
      </w:pPr>
      <w:r w:rsidRPr="00F43DF3">
        <w:rPr>
          <w:szCs w:val="32"/>
        </w:rPr>
        <w:tab/>
      </w:r>
    </w:p>
    <w:p w14:paraId="694C591F" w14:textId="6ED6AB69" w:rsidR="006C74CE" w:rsidRPr="00F43DF3" w:rsidRDefault="006C74CE" w:rsidP="006C74CE">
      <w:pPr>
        <w:ind w:left="432"/>
        <w:rPr>
          <w:szCs w:val="32"/>
        </w:rPr>
      </w:pPr>
      <w:r w:rsidRPr="00F43DF3">
        <w:t xml:space="preserve">Selective Catalytic Reduction: SCR is a </w:t>
      </w:r>
      <w:r>
        <w:t>post-combustion technology</w:t>
      </w:r>
      <w:r w:rsidRPr="00F43DF3">
        <w:t xml:space="preserve"> involving the chemical reduction of NO</w:t>
      </w:r>
      <w:r w:rsidRPr="00F43DF3">
        <w:rPr>
          <w:vertAlign w:val="subscript"/>
        </w:rPr>
        <w:t>X</w:t>
      </w:r>
      <w:r w:rsidRPr="00F43DF3">
        <w:t xml:space="preserve"> using a metal-based catalyst</w:t>
      </w:r>
      <w:r>
        <w:t xml:space="preserve"> and using either urea or ammonia as an injected reactant</w:t>
      </w:r>
      <w:r w:rsidRPr="00F43DF3">
        <w:t xml:space="preserve"> to increase the rate that NO</w:t>
      </w:r>
      <w:r w:rsidRPr="00F43DF3">
        <w:rPr>
          <w:vertAlign w:val="subscript"/>
        </w:rPr>
        <w:t>X</w:t>
      </w:r>
      <w:r w:rsidRPr="00F43DF3">
        <w:t xml:space="preserve"> is reduced</w:t>
      </w:r>
      <w:r>
        <w:t xml:space="preserve"> to N2 gas.</w:t>
      </w:r>
      <w:r w:rsidRPr="00F43DF3">
        <w:t xml:space="preserve"> Typically, this technology is used in </w:t>
      </w:r>
      <w:r>
        <w:t xml:space="preserve">very large </w:t>
      </w:r>
      <w:r w:rsidRPr="00F43DF3">
        <w:t>stationary source fossil fuel-fired combustion units</w:t>
      </w:r>
      <w:r>
        <w:t>.</w:t>
      </w:r>
      <w:r w:rsidRPr="00F43DF3">
        <w:t xml:space="preserve"> However, SCR is generally used for sources that require a high level of NO</w:t>
      </w:r>
      <w:r w:rsidRPr="00F43DF3">
        <w:rPr>
          <w:vertAlign w:val="subscript"/>
        </w:rPr>
        <w:t>X</w:t>
      </w:r>
      <w:r w:rsidRPr="00F43DF3">
        <w:t xml:space="preserve"> reduction</w:t>
      </w:r>
      <w:r>
        <w:t xml:space="preserve"> and have high levels of uncontrolled NOx emissions. SCR reduction levels can reach 90 percent or higher.</w:t>
      </w:r>
      <w:r w:rsidRPr="00F43DF3">
        <w:t xml:space="preserve"> </w:t>
      </w:r>
      <w:r w:rsidR="00F87942">
        <w:t>The majority of permitted</w:t>
      </w:r>
      <w:r w:rsidRPr="00F43DF3">
        <w:t xml:space="preserve"> crematorium</w:t>
      </w:r>
      <w:r>
        <w:t>s</w:t>
      </w:r>
      <w:r w:rsidRPr="00F43DF3">
        <w:t xml:space="preserve"> use natural gas or propane, and p</w:t>
      </w:r>
      <w:r w:rsidRPr="00F43DF3">
        <w:rPr>
          <w:szCs w:val="32"/>
        </w:rPr>
        <w:t xml:space="preserve">otential emissions of </w:t>
      </w:r>
      <w:r>
        <w:rPr>
          <w:szCs w:val="32"/>
        </w:rPr>
        <w:t>NOx emissions are relatively low based on AP-42 emission factors for NOx plus emissions factors typically used for combusting medical waste.</w:t>
      </w:r>
      <w:r w:rsidRPr="00F43DF3">
        <w:rPr>
          <w:szCs w:val="32"/>
        </w:rPr>
        <w:t xml:space="preserve"> </w:t>
      </w:r>
    </w:p>
    <w:p w14:paraId="3103F5BF" w14:textId="77777777" w:rsidR="006C74CE" w:rsidRPr="00F43DF3" w:rsidRDefault="006C74CE" w:rsidP="006C74CE">
      <w:pPr>
        <w:ind w:left="432"/>
        <w:rPr>
          <w:szCs w:val="32"/>
        </w:rPr>
      </w:pPr>
    </w:p>
    <w:p w14:paraId="7FF7610C" w14:textId="77777777" w:rsidR="006C74CE" w:rsidRPr="00F43DF3" w:rsidRDefault="006C74CE" w:rsidP="006C74CE">
      <w:pPr>
        <w:ind w:left="432"/>
        <w:rPr>
          <w:szCs w:val="32"/>
        </w:rPr>
      </w:pPr>
      <w:r>
        <w:rPr>
          <w:szCs w:val="32"/>
        </w:rPr>
        <w:t xml:space="preserve">To be effective, </w:t>
      </w:r>
      <w:r w:rsidRPr="00F43DF3">
        <w:rPr>
          <w:szCs w:val="32"/>
        </w:rPr>
        <w:t xml:space="preserve">SCR is typically incorporated into continuously operating systems, whereas a crematorium necessarily operates in a batch mode, meaning it requires </w:t>
      </w:r>
      <w:r>
        <w:rPr>
          <w:szCs w:val="32"/>
        </w:rPr>
        <w:t>a cool down</w:t>
      </w:r>
      <w:r w:rsidRPr="00F43DF3">
        <w:rPr>
          <w:szCs w:val="32"/>
        </w:rPr>
        <w:t xml:space="preserve"> between runs to allow for the collection of residual remains. </w:t>
      </w:r>
      <w:r>
        <w:rPr>
          <w:szCs w:val="32"/>
        </w:rPr>
        <w:t>Further, t</w:t>
      </w:r>
      <w:r w:rsidRPr="00F43DF3">
        <w:rPr>
          <w:szCs w:val="32"/>
        </w:rPr>
        <w:t xml:space="preserve">he optimum operating range for SCR in practice is typically 480 to 800ºF and the incinerator exhaust stream </w:t>
      </w:r>
      <w:r>
        <w:rPr>
          <w:szCs w:val="32"/>
        </w:rPr>
        <w:t>must be maintained at a minimum of</w:t>
      </w:r>
      <w:r w:rsidRPr="00F43DF3">
        <w:rPr>
          <w:szCs w:val="32"/>
        </w:rPr>
        <w:t xml:space="preserve"> 1</w:t>
      </w:r>
      <w:r>
        <w:rPr>
          <w:szCs w:val="32"/>
        </w:rPr>
        <w:t>5</w:t>
      </w:r>
      <w:r w:rsidRPr="00F43DF3">
        <w:rPr>
          <w:szCs w:val="32"/>
        </w:rPr>
        <w:t xml:space="preserve">00 </w:t>
      </w:r>
      <w:bookmarkStart w:id="21" w:name="_Hlk192134493"/>
      <w:r w:rsidRPr="00F43DF3">
        <w:rPr>
          <w:szCs w:val="32"/>
        </w:rPr>
        <w:t>º</w:t>
      </w:r>
      <w:bookmarkEnd w:id="21"/>
      <w:r w:rsidRPr="00F43DF3">
        <w:rPr>
          <w:szCs w:val="32"/>
        </w:rPr>
        <w:t xml:space="preserve">F, falling outside of SCR’s optimum operating range. Based on this information, SCR is deemed technically infeasible and removed from further consideration as BACT. </w:t>
      </w:r>
    </w:p>
    <w:p w14:paraId="50530032" w14:textId="77777777" w:rsidR="006C74CE" w:rsidRPr="00F43DF3" w:rsidRDefault="006C74CE" w:rsidP="006C74CE">
      <w:pPr>
        <w:ind w:left="432"/>
        <w:rPr>
          <w:szCs w:val="32"/>
        </w:rPr>
      </w:pPr>
    </w:p>
    <w:p w14:paraId="1B3B5B4D" w14:textId="77777777" w:rsidR="006C74CE" w:rsidRDefault="006C74CE" w:rsidP="006C74CE">
      <w:pPr>
        <w:ind w:left="432"/>
        <w:rPr>
          <w:szCs w:val="32"/>
        </w:rPr>
      </w:pPr>
      <w:r w:rsidRPr="00F43DF3">
        <w:rPr>
          <w:szCs w:val="32"/>
        </w:rPr>
        <w:t xml:space="preserve">Selective Noncatalytic Reduction: SNCR is a post-combustion control technology based on the chemical reduction of nitrogen oxides into </w:t>
      </w:r>
      <w:r>
        <w:rPr>
          <w:szCs w:val="32"/>
        </w:rPr>
        <w:t>N2 gas</w:t>
      </w:r>
      <w:r w:rsidRPr="00F43DF3">
        <w:rPr>
          <w:szCs w:val="32"/>
        </w:rPr>
        <w:t xml:space="preserve"> and water vapor using urea or ammonia injection (</w:t>
      </w:r>
      <w:r w:rsidRPr="00F43DF3">
        <w:rPr>
          <w:i/>
          <w:iCs/>
          <w:szCs w:val="32"/>
        </w:rPr>
        <w:t>Section 4 NO</w:t>
      </w:r>
      <w:r w:rsidRPr="00F43DF3">
        <w:rPr>
          <w:i/>
          <w:iCs/>
          <w:szCs w:val="32"/>
          <w:vertAlign w:val="subscript"/>
        </w:rPr>
        <w:t>X</w:t>
      </w:r>
      <w:r w:rsidRPr="00F43DF3">
        <w:rPr>
          <w:i/>
          <w:iCs/>
          <w:szCs w:val="32"/>
        </w:rPr>
        <w:t xml:space="preserve"> Controls</w:t>
      </w:r>
      <w:r w:rsidRPr="00F43DF3">
        <w:rPr>
          <w:szCs w:val="32"/>
        </w:rPr>
        <w:t>). SNCR is typically used to control NO</w:t>
      </w:r>
      <w:r w:rsidRPr="00F43DF3">
        <w:rPr>
          <w:szCs w:val="32"/>
          <w:vertAlign w:val="subscript"/>
        </w:rPr>
        <w:t>X</w:t>
      </w:r>
      <w:r w:rsidRPr="00F43DF3">
        <w:rPr>
          <w:szCs w:val="32"/>
        </w:rPr>
        <w:t xml:space="preserve"> emissions from </w:t>
      </w:r>
      <w:r w:rsidRPr="00FB39AF">
        <w:rPr>
          <w:szCs w:val="32"/>
        </w:rPr>
        <w:t xml:space="preserve">boilers, thermal incinerators, municipal and hazardous waste combustions units, cement kilns, process heaters, and glass furnaces. SNCR is also less effective at controlling NOx emissions </w:t>
      </w:r>
      <w:r>
        <w:rPr>
          <w:szCs w:val="32"/>
        </w:rPr>
        <w:t>with</w:t>
      </w:r>
      <w:r w:rsidRPr="00FB39AF">
        <w:rPr>
          <w:szCs w:val="32"/>
        </w:rPr>
        <w:t xml:space="preserve"> reduction levels in the range of 25 to 65 percent as compared to SCR. Similar</w:t>
      </w:r>
      <w:r>
        <w:rPr>
          <w:szCs w:val="32"/>
        </w:rPr>
        <w:t xml:space="preserve"> to reasoning for SCR, a crematorium is a batch process where burn cycles do not last more than a couple of hours, and injection of ammonia/urea into a batch process is not conductive to reaching a steady state chemical reaction of maintaining a steady state reduction process of NOx. </w:t>
      </w:r>
      <w:r w:rsidRPr="00F43DF3">
        <w:rPr>
          <w:szCs w:val="32"/>
        </w:rPr>
        <w:t xml:space="preserve">Based on </w:t>
      </w:r>
      <w:r>
        <w:rPr>
          <w:szCs w:val="32"/>
        </w:rPr>
        <w:t xml:space="preserve">the requirements to operate an SNCR system, it is eliminated as a technical control option. </w:t>
      </w:r>
      <w:r w:rsidRPr="00F43DF3">
        <w:rPr>
          <w:szCs w:val="32"/>
        </w:rPr>
        <w:t xml:space="preserve"> </w:t>
      </w:r>
    </w:p>
    <w:p w14:paraId="4F2A6A58" w14:textId="77777777" w:rsidR="006C74CE" w:rsidRDefault="006C74CE" w:rsidP="006C74CE">
      <w:pPr>
        <w:ind w:left="432"/>
        <w:rPr>
          <w:szCs w:val="32"/>
        </w:rPr>
      </w:pPr>
    </w:p>
    <w:p w14:paraId="293E95DA" w14:textId="4F7E5294" w:rsidR="006C74CE" w:rsidRDefault="006C74CE" w:rsidP="006C74CE">
      <w:pPr>
        <w:ind w:left="432"/>
        <w:rPr>
          <w:szCs w:val="32"/>
        </w:rPr>
      </w:pPr>
      <w:bookmarkStart w:id="22" w:name="_Hlk223794570"/>
      <w:r w:rsidRPr="00437319">
        <w:rPr>
          <w:szCs w:val="32"/>
        </w:rPr>
        <w:t>Pipeline quality natural gas or propane fuel only</w:t>
      </w:r>
      <w:bookmarkEnd w:id="22"/>
      <w:r w:rsidR="002C101E">
        <w:rPr>
          <w:szCs w:val="32"/>
        </w:rPr>
        <w:t>:</w:t>
      </w:r>
      <w:r>
        <w:rPr>
          <w:szCs w:val="32"/>
        </w:rPr>
        <w:t xml:space="preserve"> Natural gas and propane that have been commercially produced, particularly natural gas identified as “pipeline quality” is very low in contaminations such as N</w:t>
      </w:r>
      <w:r w:rsidRPr="003F7954">
        <w:rPr>
          <w:szCs w:val="32"/>
          <w:vertAlign w:val="subscript"/>
        </w:rPr>
        <w:t>2</w:t>
      </w:r>
      <w:r>
        <w:rPr>
          <w:szCs w:val="32"/>
        </w:rPr>
        <w:t xml:space="preserve"> gas, therefore the contribution of nitrogen to produce NOx from these fuel gases, which are considered “clean burning,” helps to minimize additional formation of NOx.  Therefore, because the combustion of natural gas or propane fuel constitutes an available and technically feasible strategy for NOx reduction, it is a viable option to carry forward to Step 3 for further consideration as BACT for NOx.</w:t>
      </w:r>
    </w:p>
    <w:p w14:paraId="6107848A" w14:textId="77777777" w:rsidR="006C74CE" w:rsidRDefault="006C74CE" w:rsidP="006C74CE">
      <w:pPr>
        <w:ind w:left="432"/>
        <w:rPr>
          <w:szCs w:val="32"/>
        </w:rPr>
      </w:pPr>
    </w:p>
    <w:p w14:paraId="787492BF" w14:textId="77777777" w:rsidR="006C74CE" w:rsidRDefault="006C74CE" w:rsidP="006C74CE">
      <w:pPr>
        <w:ind w:left="432"/>
        <w:rPr>
          <w:szCs w:val="28"/>
        </w:rPr>
      </w:pPr>
      <w:bookmarkStart w:id="23" w:name="_Hlk223794591"/>
      <w:r w:rsidRPr="005F7C57">
        <w:rPr>
          <w:szCs w:val="28"/>
        </w:rPr>
        <w:t>Proper design and operation, including the development of operating procedures, requir</w:t>
      </w:r>
      <w:r>
        <w:rPr>
          <w:szCs w:val="28"/>
        </w:rPr>
        <w:t>ing</w:t>
      </w:r>
      <w:r w:rsidRPr="005F7C57">
        <w:rPr>
          <w:szCs w:val="28"/>
        </w:rPr>
        <w:t xml:space="preserve"> operating training, hav</w:t>
      </w:r>
      <w:r>
        <w:rPr>
          <w:szCs w:val="28"/>
        </w:rPr>
        <w:t>ing</w:t>
      </w:r>
      <w:r w:rsidRPr="005F7C57">
        <w:rPr>
          <w:szCs w:val="28"/>
        </w:rPr>
        <w:t xml:space="preserve"> procedures on-site at the </w:t>
      </w:r>
      <w:r>
        <w:rPr>
          <w:szCs w:val="28"/>
        </w:rPr>
        <w:t xml:space="preserve">cremation </w:t>
      </w:r>
      <w:r w:rsidRPr="005F7C57">
        <w:rPr>
          <w:szCs w:val="28"/>
        </w:rPr>
        <w:t>unit and hav</w:t>
      </w:r>
      <w:r>
        <w:rPr>
          <w:szCs w:val="28"/>
        </w:rPr>
        <w:t>ing</w:t>
      </w:r>
      <w:r w:rsidRPr="005F7C57">
        <w:rPr>
          <w:szCs w:val="28"/>
        </w:rPr>
        <w:t xml:space="preserve"> training records and documentation available upon request</w:t>
      </w:r>
      <w:r>
        <w:rPr>
          <w:szCs w:val="28"/>
        </w:rPr>
        <w:t xml:space="preserve">. </w:t>
      </w:r>
      <w:bookmarkEnd w:id="23"/>
      <w:r>
        <w:rPr>
          <w:szCs w:val="28"/>
        </w:rPr>
        <w:t xml:space="preserve">Operating a cremation unit appropriately will limit emissions of all regulated pollutants, including NOx.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keep</w:t>
      </w:r>
      <w:r>
        <w:rPr>
          <w:szCs w:val="28"/>
        </w:rPr>
        <w:t>ing</w:t>
      </w:r>
      <w:r w:rsidRPr="00F43DF3">
        <w:rPr>
          <w:szCs w:val="28"/>
        </w:rPr>
        <w:t xml:space="preserve"> a physical copy of the operating procedures manual on</w:t>
      </w:r>
      <w:r>
        <w:rPr>
          <w:szCs w:val="28"/>
        </w:rPr>
        <w:t>-</w:t>
      </w:r>
      <w:r w:rsidRPr="00F43DF3">
        <w:rPr>
          <w:szCs w:val="28"/>
        </w:rPr>
        <w:t>site at all times</w:t>
      </w:r>
      <w:r>
        <w:rPr>
          <w:szCs w:val="28"/>
        </w:rPr>
        <w:t xml:space="preserve"> constitutes an available and technically feasible strategy to limit NOx emissions</w:t>
      </w:r>
      <w:r w:rsidRPr="00F43DF3">
        <w:rPr>
          <w:szCs w:val="28"/>
        </w:rPr>
        <w:t>.</w:t>
      </w:r>
      <w:r>
        <w:rPr>
          <w:szCs w:val="28"/>
        </w:rPr>
        <w:t xml:space="preserve"> </w:t>
      </w:r>
      <w:r>
        <w:rPr>
          <w:szCs w:val="32"/>
        </w:rPr>
        <w:t>Therefore, because proper design and operation constitutes an available and technically feasible strategy for NOx reduction</w:t>
      </w:r>
      <w:r>
        <w:rPr>
          <w:szCs w:val="28"/>
        </w:rPr>
        <w:t>, I it is a viable option to carry forward to Step 3</w:t>
      </w:r>
      <w:r w:rsidRPr="00F33696">
        <w:rPr>
          <w:szCs w:val="32"/>
        </w:rPr>
        <w:t xml:space="preserve"> </w:t>
      </w:r>
      <w:r>
        <w:rPr>
          <w:szCs w:val="32"/>
        </w:rPr>
        <w:t>for further consideration as BACT for NOx</w:t>
      </w:r>
      <w:r>
        <w:rPr>
          <w:szCs w:val="28"/>
        </w:rPr>
        <w:t>.</w:t>
      </w:r>
    </w:p>
    <w:p w14:paraId="2B2EA9D1" w14:textId="77777777" w:rsidR="006C74CE" w:rsidRDefault="006C74CE" w:rsidP="006C74CE">
      <w:pPr>
        <w:ind w:left="432"/>
        <w:rPr>
          <w:szCs w:val="28"/>
        </w:rPr>
      </w:pPr>
    </w:p>
    <w:p w14:paraId="3835774A" w14:textId="77777777" w:rsidR="006C74CE" w:rsidRDefault="006C74CE" w:rsidP="006C74CE">
      <w:pPr>
        <w:ind w:left="432"/>
        <w:rPr>
          <w:szCs w:val="28"/>
        </w:rPr>
      </w:pPr>
      <w:bookmarkStart w:id="24" w:name="_Hlk223794610"/>
      <w:r w:rsidRPr="00B461B4">
        <w:rPr>
          <w:szCs w:val="28"/>
        </w:rPr>
        <w:t>Only incinerate/cremate human and animal remains and any corresponding container unless approved in writing by DEQ.</w:t>
      </w:r>
      <w:r>
        <w:rPr>
          <w:szCs w:val="28"/>
        </w:rPr>
        <w:t xml:space="preserve"> </w:t>
      </w:r>
      <w:bookmarkEnd w:id="24"/>
      <w:r>
        <w:rPr>
          <w:szCs w:val="28"/>
        </w:rPr>
        <w:t xml:space="preserve">Combusting only planned waste materials that have a low and known nitrogen content is important to minimize additional NOx formation.  </w:t>
      </w:r>
      <w:r>
        <w:rPr>
          <w:szCs w:val="32"/>
        </w:rPr>
        <w:t>Therefore, incinerating materials with low nitrogen content constitutes an available and technically feasible strategy for NOx reduction,</w:t>
      </w:r>
      <w:r>
        <w:rPr>
          <w:szCs w:val="28"/>
        </w:rPr>
        <w:t xml:space="preserve"> it is a viable option to carry forward to Step 3</w:t>
      </w:r>
      <w:r w:rsidRPr="005E4A40">
        <w:rPr>
          <w:szCs w:val="32"/>
        </w:rPr>
        <w:t xml:space="preserve"> </w:t>
      </w:r>
      <w:r>
        <w:rPr>
          <w:szCs w:val="32"/>
        </w:rPr>
        <w:t>for further consideration as BACT for NOx</w:t>
      </w:r>
      <w:r>
        <w:rPr>
          <w:szCs w:val="28"/>
        </w:rPr>
        <w:t xml:space="preserve">. </w:t>
      </w:r>
    </w:p>
    <w:p w14:paraId="762E2CD8" w14:textId="77777777" w:rsidR="006C74CE" w:rsidRPr="00F43DF3" w:rsidRDefault="006C74CE" w:rsidP="006C74CE"/>
    <w:p w14:paraId="647B47F0" w14:textId="77777777" w:rsidR="006C74CE" w:rsidRPr="00F43DF3" w:rsidRDefault="006C74CE" w:rsidP="006C74CE">
      <w:pPr>
        <w:ind w:left="432"/>
        <w:rPr>
          <w:b/>
          <w:bCs/>
        </w:rPr>
      </w:pPr>
      <w:r w:rsidRPr="00F43DF3">
        <w:rPr>
          <w:b/>
          <w:bCs/>
        </w:rPr>
        <w:t>Step 3: Rank Remaining Control Technologies by Control Effectiveness</w:t>
      </w:r>
    </w:p>
    <w:p w14:paraId="6883AA8F" w14:textId="77777777" w:rsidR="006C74CE" w:rsidRPr="00F43DF3" w:rsidRDefault="006C74CE" w:rsidP="006C74CE">
      <w:pPr>
        <w:ind w:left="432"/>
      </w:pPr>
    </w:p>
    <w:p w14:paraId="1E333121" w14:textId="77777777" w:rsidR="006C74CE" w:rsidRDefault="006C74CE" w:rsidP="006C74CE">
      <w:pPr>
        <w:ind w:left="432"/>
      </w:pPr>
      <w:r w:rsidRPr="00F43DF3">
        <w:t>The remaining</w:t>
      </w:r>
      <w:r>
        <w:t xml:space="preserve"> available and technically feasible control strategies/technologies are </w:t>
      </w:r>
      <w:r w:rsidRPr="00F43DF3">
        <w:t xml:space="preserve">listed below. </w:t>
      </w:r>
    </w:p>
    <w:p w14:paraId="2CF07829" w14:textId="77777777" w:rsidR="006C74CE" w:rsidRDefault="006C74CE" w:rsidP="006C74CE">
      <w:pPr>
        <w:ind w:left="432"/>
      </w:pPr>
    </w:p>
    <w:p w14:paraId="203E8713" w14:textId="77777777" w:rsidR="006C74CE" w:rsidRPr="00393152" w:rsidRDefault="006C74CE" w:rsidP="00F826F2">
      <w:pPr>
        <w:pStyle w:val="ListParagraph"/>
        <w:numPr>
          <w:ilvl w:val="0"/>
          <w:numId w:val="60"/>
        </w:numPr>
      </w:pPr>
      <w:r w:rsidRPr="00393152">
        <w:t>Pipeline quality natural gas or propane fuel only</w:t>
      </w:r>
    </w:p>
    <w:p w14:paraId="19D0B700" w14:textId="77777777" w:rsidR="006C74CE" w:rsidRDefault="006C74CE" w:rsidP="00F826F2">
      <w:pPr>
        <w:pStyle w:val="ListParagraph"/>
        <w:numPr>
          <w:ilvl w:val="0"/>
          <w:numId w:val="60"/>
        </w:numPr>
      </w:pPr>
      <w:r w:rsidRPr="00341E31">
        <w:t>Proper design and operation, including the development of operating procedures, require operating training, and have procedures on-site at the unit and have training records and documentation available upon request.</w:t>
      </w:r>
    </w:p>
    <w:p w14:paraId="77093F55" w14:textId="77777777" w:rsidR="006C74CE" w:rsidRPr="001573F0" w:rsidRDefault="006C74CE" w:rsidP="00F826F2">
      <w:pPr>
        <w:pStyle w:val="ListParagraph"/>
        <w:numPr>
          <w:ilvl w:val="0"/>
          <w:numId w:val="60"/>
        </w:numPr>
      </w:pPr>
      <w:r w:rsidRPr="00B461B4">
        <w:rPr>
          <w:szCs w:val="28"/>
        </w:rPr>
        <w:t>Only incinerate/cremate human and animal remains and any corresponding container unless approved in writing by DEQ.</w:t>
      </w:r>
    </w:p>
    <w:p w14:paraId="38CF92E5" w14:textId="77777777" w:rsidR="006C74CE" w:rsidRDefault="006C74CE" w:rsidP="006C74CE">
      <w:pPr>
        <w:ind w:left="360"/>
      </w:pPr>
    </w:p>
    <w:p w14:paraId="0E432E24" w14:textId="77777777" w:rsidR="006C74CE" w:rsidRPr="001573F0" w:rsidRDefault="006C74CE" w:rsidP="006C74CE">
      <w:pPr>
        <w:ind w:left="360"/>
      </w:pPr>
      <w:r>
        <w:t>The estimated contributions for each of the three strategies are deemed equivalent as shown below. No percentage in preventing NOx emissions can be assigned with any certainty.</w:t>
      </w:r>
    </w:p>
    <w:p w14:paraId="7B35E204" w14:textId="77777777" w:rsidR="006C74CE" w:rsidRPr="00F43DF3" w:rsidRDefault="006C74CE" w:rsidP="00F87942">
      <w:pPr>
        <w:rPr>
          <w:b/>
          <w:bCs/>
        </w:rPr>
      </w:pPr>
    </w:p>
    <w:tbl>
      <w:tblPr>
        <w:tblStyle w:val="TableGrid"/>
        <w:tblW w:w="0" w:type="auto"/>
        <w:tblInd w:w="558" w:type="dxa"/>
        <w:tblLook w:val="04A0" w:firstRow="1" w:lastRow="0" w:firstColumn="1" w:lastColumn="0" w:noHBand="0" w:noVBand="1"/>
      </w:tblPr>
      <w:tblGrid>
        <w:gridCol w:w="6390"/>
        <w:gridCol w:w="2250"/>
      </w:tblGrid>
      <w:tr w:rsidR="006C74CE" w:rsidRPr="00F43DF3" w14:paraId="417628ED" w14:textId="77777777" w:rsidTr="006A3276">
        <w:tc>
          <w:tcPr>
            <w:tcW w:w="6390" w:type="dxa"/>
          </w:tcPr>
          <w:p w14:paraId="5D2CA7D1" w14:textId="77777777" w:rsidR="006C74CE" w:rsidRPr="001D6DE7" w:rsidRDefault="006C74CE" w:rsidP="006A3276">
            <w:pPr>
              <w:jc w:val="center"/>
              <w:rPr>
                <w:b/>
                <w:bCs/>
                <w:sz w:val="22"/>
                <w:szCs w:val="22"/>
              </w:rPr>
            </w:pPr>
            <w:bookmarkStart w:id="25" w:name="_Hlk223870033"/>
            <w:r w:rsidRPr="001D6DE7">
              <w:rPr>
                <w:b/>
                <w:bCs/>
                <w:sz w:val="22"/>
                <w:szCs w:val="22"/>
              </w:rPr>
              <w:t>Technology/Strategy</w:t>
            </w:r>
          </w:p>
        </w:tc>
        <w:tc>
          <w:tcPr>
            <w:tcW w:w="2250" w:type="dxa"/>
          </w:tcPr>
          <w:p w14:paraId="152EDA37" w14:textId="77777777" w:rsidR="006C74CE" w:rsidRPr="001D6DE7" w:rsidRDefault="006C74CE" w:rsidP="006A3276">
            <w:pPr>
              <w:jc w:val="center"/>
              <w:rPr>
                <w:b/>
                <w:bCs/>
                <w:sz w:val="22"/>
                <w:szCs w:val="22"/>
              </w:rPr>
            </w:pPr>
            <w:r w:rsidRPr="001D6DE7">
              <w:rPr>
                <w:b/>
                <w:bCs/>
                <w:sz w:val="22"/>
                <w:szCs w:val="22"/>
              </w:rPr>
              <w:t>Ranking</w:t>
            </w:r>
          </w:p>
        </w:tc>
      </w:tr>
      <w:tr w:rsidR="006C74CE" w:rsidRPr="00F43DF3" w14:paraId="0F6133D7" w14:textId="77777777" w:rsidTr="006A3276">
        <w:tc>
          <w:tcPr>
            <w:tcW w:w="6390" w:type="dxa"/>
          </w:tcPr>
          <w:p w14:paraId="6D0CE7BC" w14:textId="77777777" w:rsidR="006C74CE" w:rsidRPr="001D6DE7" w:rsidRDefault="006C74CE" w:rsidP="006A3276">
            <w:pPr>
              <w:rPr>
                <w:sz w:val="22"/>
                <w:szCs w:val="22"/>
              </w:rPr>
            </w:pPr>
            <w:r>
              <w:rPr>
                <w:sz w:val="22"/>
                <w:szCs w:val="22"/>
              </w:rPr>
              <w:t>Shall only us p</w:t>
            </w:r>
            <w:r w:rsidRPr="001D6DE7">
              <w:rPr>
                <w:sz w:val="22"/>
                <w:szCs w:val="22"/>
              </w:rPr>
              <w:t>ipeline quality natural gas or propane fuel</w:t>
            </w:r>
          </w:p>
        </w:tc>
        <w:tc>
          <w:tcPr>
            <w:tcW w:w="2250" w:type="dxa"/>
          </w:tcPr>
          <w:p w14:paraId="2322F6C2" w14:textId="77777777" w:rsidR="006C74CE" w:rsidRPr="001D6DE7" w:rsidRDefault="006C74CE" w:rsidP="006A3276">
            <w:pPr>
              <w:ind w:left="720"/>
              <w:contextualSpacing/>
              <w:rPr>
                <w:sz w:val="22"/>
                <w:szCs w:val="22"/>
              </w:rPr>
            </w:pPr>
            <w:r w:rsidRPr="001D6DE7">
              <w:rPr>
                <w:sz w:val="22"/>
                <w:szCs w:val="22"/>
              </w:rPr>
              <w:t>1</w:t>
            </w:r>
          </w:p>
        </w:tc>
      </w:tr>
      <w:tr w:rsidR="006C74CE" w:rsidRPr="00F43DF3" w14:paraId="5477FA5A" w14:textId="77777777" w:rsidTr="006A3276">
        <w:tc>
          <w:tcPr>
            <w:tcW w:w="6390" w:type="dxa"/>
          </w:tcPr>
          <w:p w14:paraId="1F0E7DE6" w14:textId="77777777" w:rsidR="006C74CE" w:rsidRPr="001D6DE7" w:rsidRDefault="006C74CE" w:rsidP="006A3276">
            <w:pPr>
              <w:rPr>
                <w:sz w:val="22"/>
                <w:szCs w:val="22"/>
              </w:rPr>
            </w:pPr>
            <w:r w:rsidRPr="007802A4">
              <w:rPr>
                <w:sz w:val="22"/>
                <w:szCs w:val="22"/>
              </w:rPr>
              <w:t>Proper design and operation, including the development of operating procedures, require operating training, and have procedures on-site at the unit and have training records and documentation available upon request</w:t>
            </w:r>
          </w:p>
        </w:tc>
        <w:tc>
          <w:tcPr>
            <w:tcW w:w="2250" w:type="dxa"/>
          </w:tcPr>
          <w:p w14:paraId="0A009C47" w14:textId="77777777" w:rsidR="006C74CE" w:rsidRPr="001D6DE7" w:rsidDel="00E9759E" w:rsidRDefault="006C74CE" w:rsidP="006A3276">
            <w:pPr>
              <w:ind w:left="720"/>
              <w:contextualSpacing/>
              <w:rPr>
                <w:sz w:val="22"/>
                <w:szCs w:val="22"/>
              </w:rPr>
            </w:pPr>
            <w:r w:rsidRPr="001D6DE7">
              <w:rPr>
                <w:sz w:val="22"/>
                <w:szCs w:val="22"/>
              </w:rPr>
              <w:t>1</w:t>
            </w:r>
          </w:p>
        </w:tc>
      </w:tr>
      <w:tr w:rsidR="006C74CE" w:rsidRPr="00F43DF3" w14:paraId="2478EBD2" w14:textId="77777777" w:rsidTr="006A3276">
        <w:tc>
          <w:tcPr>
            <w:tcW w:w="6390" w:type="dxa"/>
          </w:tcPr>
          <w:p w14:paraId="19CC2F21" w14:textId="77777777" w:rsidR="006C74CE" w:rsidRPr="001D6DE7" w:rsidRDefault="006C74CE" w:rsidP="006A3276">
            <w:pPr>
              <w:rPr>
                <w:sz w:val="22"/>
                <w:szCs w:val="22"/>
              </w:rPr>
            </w:pPr>
            <w:bookmarkStart w:id="26" w:name="_Hlk223868518"/>
            <w:r w:rsidRPr="001D6DE7">
              <w:rPr>
                <w:sz w:val="22"/>
                <w:szCs w:val="22"/>
              </w:rPr>
              <w:t>Only incinerate/cremate human and animal remains and any corresponding container unless approved in writing by DEQ</w:t>
            </w:r>
            <w:bookmarkEnd w:id="26"/>
          </w:p>
        </w:tc>
        <w:tc>
          <w:tcPr>
            <w:tcW w:w="2250" w:type="dxa"/>
          </w:tcPr>
          <w:p w14:paraId="4938D60F" w14:textId="77777777" w:rsidR="006C74CE" w:rsidRPr="001D6DE7" w:rsidRDefault="006C74CE" w:rsidP="006A3276">
            <w:pPr>
              <w:ind w:left="720"/>
              <w:contextualSpacing/>
              <w:rPr>
                <w:sz w:val="22"/>
                <w:szCs w:val="22"/>
              </w:rPr>
            </w:pPr>
            <w:r w:rsidRPr="001D6DE7">
              <w:rPr>
                <w:sz w:val="22"/>
                <w:szCs w:val="22"/>
              </w:rPr>
              <w:t>1</w:t>
            </w:r>
          </w:p>
        </w:tc>
      </w:tr>
      <w:bookmarkEnd w:id="25"/>
    </w:tbl>
    <w:p w14:paraId="4DFBA01E" w14:textId="77777777" w:rsidR="006C74CE" w:rsidRPr="00F43DF3" w:rsidRDefault="006C74CE" w:rsidP="006C74CE">
      <w:pPr>
        <w:ind w:left="432"/>
      </w:pPr>
    </w:p>
    <w:p w14:paraId="493A8E04" w14:textId="77777777" w:rsidR="006C74CE" w:rsidRPr="00F43DF3" w:rsidRDefault="006C74CE" w:rsidP="006C74CE">
      <w:pPr>
        <w:ind w:left="432"/>
        <w:rPr>
          <w:b/>
          <w:bCs/>
          <w:szCs w:val="32"/>
        </w:rPr>
      </w:pPr>
      <w:r w:rsidRPr="00F43DF3">
        <w:rPr>
          <w:b/>
          <w:bCs/>
          <w:szCs w:val="32"/>
        </w:rPr>
        <w:t xml:space="preserve">Step 4: Evaluate Most Effective Controls and Document Results </w:t>
      </w:r>
    </w:p>
    <w:p w14:paraId="6667179A" w14:textId="77777777" w:rsidR="006C74CE" w:rsidRDefault="006C74CE" w:rsidP="006C74CE">
      <w:pPr>
        <w:rPr>
          <w:szCs w:val="32"/>
        </w:rPr>
      </w:pPr>
    </w:p>
    <w:p w14:paraId="1C015B38" w14:textId="77777777" w:rsidR="006C74CE" w:rsidRPr="000E553A" w:rsidRDefault="006C74CE" w:rsidP="00F826F2">
      <w:pPr>
        <w:pStyle w:val="ListParagraph"/>
        <w:numPr>
          <w:ilvl w:val="0"/>
          <w:numId w:val="6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32"/>
        </w:rPr>
      </w:pPr>
      <w:bookmarkStart w:id="27" w:name="_Hlk223871391"/>
      <w:r w:rsidRPr="000E553A">
        <w:rPr>
          <w:szCs w:val="32"/>
        </w:rPr>
        <w:t>Pipeline quality natural gas or propane fuel only</w:t>
      </w:r>
    </w:p>
    <w:p w14:paraId="7B1538E0" w14:textId="77777777" w:rsidR="006C74CE" w:rsidRPr="000E553A" w:rsidRDefault="006C74CE" w:rsidP="00F826F2">
      <w:pPr>
        <w:pStyle w:val="ListParagraph"/>
        <w:numPr>
          <w:ilvl w:val="0"/>
          <w:numId w:val="6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32"/>
        </w:rPr>
      </w:pPr>
      <w:r w:rsidRPr="000E553A">
        <w:rPr>
          <w:szCs w:val="32"/>
        </w:rPr>
        <w:t>Proper design and operation, including the development of operating procedures, require operating training, and have procedures on-site at the unit and have training records and documentation available upon request.</w:t>
      </w:r>
    </w:p>
    <w:p w14:paraId="7833D8CA" w14:textId="77777777" w:rsidR="006C74CE" w:rsidRPr="000E553A" w:rsidRDefault="006C74CE" w:rsidP="00F826F2">
      <w:pPr>
        <w:pStyle w:val="ListParagraph"/>
        <w:numPr>
          <w:ilvl w:val="0"/>
          <w:numId w:val="6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32"/>
        </w:rPr>
      </w:pPr>
      <w:r w:rsidRPr="000E553A">
        <w:rPr>
          <w:szCs w:val="32"/>
        </w:rPr>
        <w:lastRenderedPageBreak/>
        <w:t>Only incinerate/cremate human and animal remains and any corresponding container unless approved in writing by DEQ.</w:t>
      </w:r>
    </w:p>
    <w:p w14:paraId="7810C17A" w14:textId="77777777" w:rsidR="006C74CE" w:rsidRPr="00F43DF3" w:rsidRDefault="006C74CE" w:rsidP="006C74CE">
      <w:pPr>
        <w:rPr>
          <w:szCs w:val="32"/>
        </w:rPr>
      </w:pPr>
    </w:p>
    <w:p w14:paraId="35DB6E84"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8"/>
        </w:rPr>
      </w:pPr>
      <w:r w:rsidRPr="001A7512">
        <w:rPr>
          <w:szCs w:val="28"/>
        </w:rPr>
        <w:t>Pipeline quality natural gas and propane constitute inherently clean fuels that are readily available and commonly used for crematorium operations. Therefore, combustion of natural gas or propane only for crematorium operations with no add-on controls will limit potential emissions of all regulated pollutants, including NO</w:t>
      </w:r>
      <w:r>
        <w:rPr>
          <w:szCs w:val="28"/>
        </w:rPr>
        <w:t>x</w:t>
      </w:r>
      <w:r w:rsidRPr="001A7512">
        <w:rPr>
          <w:szCs w:val="28"/>
        </w:rPr>
        <w:t xml:space="preserve">. </w:t>
      </w:r>
    </w:p>
    <w:p w14:paraId="3E2B87E8"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8"/>
        </w:rPr>
      </w:pPr>
    </w:p>
    <w:p w14:paraId="2709B3D6"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8"/>
        </w:rPr>
      </w:pPr>
      <w:r>
        <w:rPr>
          <w:szCs w:val="28"/>
        </w:rPr>
        <w:t xml:space="preserve">Operating a cremation unit appropriately will limit emissions of all regulated pollutants, including NOx.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keep</w:t>
      </w:r>
      <w:r>
        <w:rPr>
          <w:szCs w:val="28"/>
        </w:rPr>
        <w:t>ing</w:t>
      </w:r>
      <w:r w:rsidRPr="00F43DF3">
        <w:rPr>
          <w:szCs w:val="28"/>
        </w:rPr>
        <w:t xml:space="preserve"> a physical copy of the operating procedures manual onsite at all times</w:t>
      </w:r>
      <w:r>
        <w:rPr>
          <w:szCs w:val="28"/>
        </w:rPr>
        <w:t xml:space="preserve"> constitutes an available and technically feasible strategy to limit NOx emissions</w:t>
      </w:r>
      <w:r w:rsidRPr="00F43DF3">
        <w:rPr>
          <w:szCs w:val="28"/>
        </w:rPr>
        <w:t>.</w:t>
      </w:r>
      <w:r>
        <w:rPr>
          <w:szCs w:val="28"/>
        </w:rPr>
        <w:t xml:space="preserve"> </w:t>
      </w:r>
    </w:p>
    <w:p w14:paraId="3A44E971"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28"/>
        </w:rPr>
      </w:pPr>
    </w:p>
    <w:p w14:paraId="00BC5F95"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Pr>
          <w:szCs w:val="28"/>
        </w:rPr>
        <w:t>Finally, limiting the crematorium to only incinerating human and animal remains with the corresponding container also with ensure low nitrogen content of the waste.</w:t>
      </w:r>
    </w:p>
    <w:bookmarkEnd w:id="27"/>
    <w:p w14:paraId="55AB8E33" w14:textId="77777777" w:rsidR="006C74CE" w:rsidRPr="00F43DF3" w:rsidRDefault="006C74CE" w:rsidP="006C74CE">
      <w:pPr>
        <w:ind w:left="432"/>
        <w:rPr>
          <w:szCs w:val="32"/>
        </w:rPr>
      </w:pPr>
    </w:p>
    <w:p w14:paraId="317B27C6" w14:textId="77777777" w:rsidR="006C74CE" w:rsidRPr="00F43DF3" w:rsidRDefault="006C74CE" w:rsidP="006C74CE">
      <w:pPr>
        <w:ind w:left="432"/>
        <w:rPr>
          <w:b/>
          <w:bCs/>
          <w:szCs w:val="32"/>
        </w:rPr>
      </w:pPr>
      <w:r w:rsidRPr="00F43DF3">
        <w:rPr>
          <w:b/>
          <w:bCs/>
          <w:szCs w:val="32"/>
        </w:rPr>
        <w:t>Step 5: Identify BACT</w:t>
      </w:r>
    </w:p>
    <w:p w14:paraId="5CB1B5CA" w14:textId="77777777" w:rsidR="006C74CE" w:rsidRPr="00F43DF3" w:rsidRDefault="006C74CE" w:rsidP="006C74CE">
      <w:pPr>
        <w:ind w:left="432"/>
        <w:rPr>
          <w:szCs w:val="32"/>
        </w:rPr>
      </w:pPr>
    </w:p>
    <w:p w14:paraId="2897DE93" w14:textId="77777777" w:rsidR="006C74CE" w:rsidRDefault="006C74CE" w:rsidP="006C74CE">
      <w:pPr>
        <w:ind w:left="432"/>
        <w:rPr>
          <w:szCs w:val="28"/>
        </w:rPr>
      </w:pPr>
      <w:bookmarkStart w:id="28" w:name="_Hlk223872239"/>
      <w:r w:rsidRPr="00AB2011">
        <w:rPr>
          <w:szCs w:val="28"/>
        </w:rPr>
        <w:t>Based on the previous four steps and these conclusions, DEQ determined that the following represents BACT.</w:t>
      </w:r>
    </w:p>
    <w:p w14:paraId="65427F39" w14:textId="77777777" w:rsidR="006C74CE" w:rsidRDefault="006C74CE" w:rsidP="006C74CE">
      <w:pPr>
        <w:ind w:left="432"/>
        <w:rPr>
          <w:szCs w:val="28"/>
        </w:rPr>
      </w:pPr>
    </w:p>
    <w:p w14:paraId="43179509" w14:textId="77777777" w:rsidR="006C74CE" w:rsidRDefault="006C74CE" w:rsidP="006C74CE">
      <w:pPr>
        <w:ind w:left="432"/>
        <w:rPr>
          <w:szCs w:val="28"/>
        </w:rPr>
      </w:pPr>
      <w:r>
        <w:rPr>
          <w:szCs w:val="28"/>
        </w:rPr>
        <w:t>AFCS shall only use pipeline quality natural gas or propane fuel.</w:t>
      </w:r>
      <w:r w:rsidRPr="00B657DC">
        <w:t xml:space="preserve"> </w:t>
      </w:r>
    </w:p>
    <w:p w14:paraId="7ABD4040" w14:textId="77777777" w:rsidR="006C74CE" w:rsidRDefault="006C74CE" w:rsidP="006C74CE">
      <w:pPr>
        <w:ind w:left="432"/>
        <w:rPr>
          <w:szCs w:val="28"/>
        </w:rPr>
      </w:pPr>
    </w:p>
    <w:p w14:paraId="4956CA1D" w14:textId="77777777" w:rsidR="006C74CE" w:rsidRDefault="006C74CE" w:rsidP="006C74CE">
      <w:pPr>
        <w:ind w:left="432"/>
        <w:rPr>
          <w:szCs w:val="28"/>
        </w:rPr>
      </w:pPr>
      <w:r w:rsidRPr="0028607B">
        <w:rPr>
          <w:szCs w:val="28"/>
        </w:rPr>
        <w:t>Shall develop operating procedures, require operating training, and have procedures on-site at the unit and have training records and documentation available upon request</w:t>
      </w:r>
      <w:r>
        <w:rPr>
          <w:szCs w:val="28"/>
        </w:rPr>
        <w:t>.</w:t>
      </w:r>
    </w:p>
    <w:p w14:paraId="2194A5E9" w14:textId="77777777" w:rsidR="006C74CE" w:rsidRDefault="006C74CE" w:rsidP="006C74CE">
      <w:pPr>
        <w:ind w:left="432"/>
        <w:rPr>
          <w:szCs w:val="28"/>
        </w:rPr>
      </w:pPr>
    </w:p>
    <w:p w14:paraId="5EAD9A48" w14:textId="77777777" w:rsidR="006C74CE" w:rsidRPr="00F43DF3" w:rsidRDefault="006C74CE" w:rsidP="006C74CE">
      <w:pPr>
        <w:ind w:left="432"/>
        <w:rPr>
          <w:szCs w:val="28"/>
        </w:rPr>
      </w:pPr>
      <w:r>
        <w:rPr>
          <w:szCs w:val="28"/>
        </w:rPr>
        <w:t>AFCS shall o</w:t>
      </w:r>
      <w:r w:rsidRPr="00AF2E97">
        <w:rPr>
          <w:szCs w:val="28"/>
        </w:rPr>
        <w:t>nly incinerate/cremate human and animal remains and any corresponding container unless approved in writing by DEQ.</w:t>
      </w:r>
    </w:p>
    <w:bookmarkEnd w:id="28"/>
    <w:p w14:paraId="4504B6AA"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32"/>
        </w:rPr>
      </w:pPr>
    </w:p>
    <w:p w14:paraId="60E070EC"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sidRPr="00F43DF3">
        <w:rPr>
          <w:szCs w:val="32"/>
        </w:rPr>
        <w:t xml:space="preserve">The BACT conclusions prescribed under </w:t>
      </w:r>
      <w:r>
        <w:rPr>
          <w:szCs w:val="32"/>
        </w:rPr>
        <w:t>MAQP #5350-00</w:t>
      </w:r>
      <w:r w:rsidRPr="00F43DF3">
        <w:rPr>
          <w:szCs w:val="32"/>
        </w:rPr>
        <w:t xml:space="preserve"> provide comparable controls and control cost to other recently permitted similar sources and are capable of achieving the appropriate emission standards. </w:t>
      </w:r>
    </w:p>
    <w:p w14:paraId="1D58ED6C" w14:textId="77777777" w:rsidR="006C74CE" w:rsidRPr="00F43DF3" w:rsidRDefault="006C74CE" w:rsidP="006C74CE">
      <w:pPr>
        <w:rPr>
          <w:sz w:val="22"/>
        </w:rPr>
      </w:pPr>
    </w:p>
    <w:p w14:paraId="7798F9FC" w14:textId="77777777" w:rsidR="006C74CE" w:rsidRPr="00F43DF3" w:rsidRDefault="006C74CE" w:rsidP="006C74CE">
      <w:pPr>
        <w:ind w:left="432"/>
        <w:rPr>
          <w:b/>
          <w:bCs/>
          <w:szCs w:val="32"/>
          <w:u w:val="single"/>
        </w:rPr>
      </w:pPr>
      <w:r w:rsidRPr="00F43DF3">
        <w:rPr>
          <w:b/>
          <w:bCs/>
          <w:szCs w:val="32"/>
          <w:u w:val="single"/>
        </w:rPr>
        <w:t>PM/PM</w:t>
      </w:r>
      <w:r w:rsidRPr="00F43DF3">
        <w:rPr>
          <w:b/>
          <w:bCs/>
          <w:szCs w:val="32"/>
          <w:u w:val="single"/>
          <w:vertAlign w:val="subscript"/>
        </w:rPr>
        <w:t>10</w:t>
      </w:r>
      <w:r w:rsidRPr="00F43DF3">
        <w:rPr>
          <w:b/>
          <w:bCs/>
          <w:szCs w:val="32"/>
          <w:u w:val="single"/>
        </w:rPr>
        <w:t>/PM</w:t>
      </w:r>
      <w:r w:rsidRPr="00F43DF3">
        <w:rPr>
          <w:b/>
          <w:bCs/>
          <w:szCs w:val="32"/>
          <w:u w:val="single"/>
          <w:vertAlign w:val="subscript"/>
        </w:rPr>
        <w:t xml:space="preserve">2.5 </w:t>
      </w:r>
      <w:r w:rsidRPr="00F43DF3">
        <w:rPr>
          <w:b/>
          <w:bCs/>
          <w:szCs w:val="32"/>
          <w:u w:val="single"/>
        </w:rPr>
        <w:t>BACT:</w:t>
      </w:r>
    </w:p>
    <w:p w14:paraId="42BB29C4" w14:textId="77777777" w:rsidR="006C74CE" w:rsidRPr="00F43DF3" w:rsidRDefault="006C74CE" w:rsidP="006C74CE">
      <w:pPr>
        <w:ind w:left="432"/>
        <w:rPr>
          <w:szCs w:val="32"/>
        </w:rPr>
      </w:pPr>
      <w:r w:rsidRPr="00F43DF3">
        <w:rPr>
          <w:szCs w:val="32"/>
        </w:rPr>
        <w:t xml:space="preserve"> </w:t>
      </w:r>
    </w:p>
    <w:p w14:paraId="213E095D" w14:textId="77777777" w:rsidR="006C74CE" w:rsidRPr="00F43DF3" w:rsidRDefault="006C74CE" w:rsidP="006C74CE">
      <w:pPr>
        <w:ind w:left="432"/>
        <w:rPr>
          <w:b/>
          <w:bCs/>
          <w:szCs w:val="32"/>
        </w:rPr>
      </w:pPr>
      <w:bookmarkStart w:id="29" w:name="_Hlk223872772"/>
      <w:r w:rsidRPr="00F43DF3">
        <w:rPr>
          <w:b/>
          <w:bCs/>
          <w:szCs w:val="32"/>
        </w:rPr>
        <w:t>Step 1: Identify All Available Control Technologies</w:t>
      </w:r>
    </w:p>
    <w:p w14:paraId="63FA015C" w14:textId="77777777" w:rsidR="006C74CE" w:rsidRPr="00F43DF3" w:rsidRDefault="006C74CE" w:rsidP="006C74CE">
      <w:pPr>
        <w:ind w:left="432"/>
        <w:rPr>
          <w:szCs w:val="32"/>
        </w:rPr>
      </w:pPr>
    </w:p>
    <w:p w14:paraId="091318B1" w14:textId="77777777" w:rsidR="006C74CE" w:rsidRDefault="006C74CE" w:rsidP="006C74CE">
      <w:pPr>
        <w:ind w:left="432"/>
        <w:rPr>
          <w:szCs w:val="32"/>
        </w:rPr>
      </w:pPr>
      <w:r w:rsidRPr="00F43DF3">
        <w:rPr>
          <w:szCs w:val="32"/>
        </w:rPr>
        <w:t>By design, the proposed cremation unit will have a</w:t>
      </w:r>
      <w:r>
        <w:rPr>
          <w:szCs w:val="32"/>
        </w:rPr>
        <w:t>n integral</w:t>
      </w:r>
      <w:r w:rsidRPr="00F43DF3">
        <w:rPr>
          <w:szCs w:val="32"/>
        </w:rPr>
        <w:t xml:space="preserve"> secondary afterburner chamber. In addition to the standard afterburner, the control technologies for particulate matter (PM) reduction identified below constitute available technologies</w:t>
      </w:r>
      <w:r>
        <w:rPr>
          <w:szCs w:val="32"/>
        </w:rPr>
        <w:t>.</w:t>
      </w:r>
    </w:p>
    <w:p w14:paraId="3CA6F1DA" w14:textId="77777777" w:rsidR="006C74CE" w:rsidRDefault="006C74CE" w:rsidP="006C74CE">
      <w:pPr>
        <w:ind w:left="432"/>
        <w:rPr>
          <w:szCs w:val="32"/>
        </w:rPr>
      </w:pPr>
    </w:p>
    <w:p w14:paraId="6B9910D5" w14:textId="77777777" w:rsidR="006C74CE" w:rsidRPr="00F666B7" w:rsidRDefault="006C74CE" w:rsidP="00F826F2">
      <w:pPr>
        <w:pStyle w:val="ListParagraph"/>
        <w:numPr>
          <w:ilvl w:val="0"/>
          <w:numId w:val="65"/>
        </w:numPr>
      </w:pPr>
      <w:r w:rsidRPr="00F666B7">
        <w:t>Baghouse</w:t>
      </w:r>
    </w:p>
    <w:p w14:paraId="6A27B702" w14:textId="77777777" w:rsidR="006C74CE" w:rsidRPr="00F666B7" w:rsidRDefault="006C74CE" w:rsidP="00F826F2">
      <w:pPr>
        <w:pStyle w:val="ListParagraph"/>
        <w:numPr>
          <w:ilvl w:val="0"/>
          <w:numId w:val="65"/>
        </w:numPr>
      </w:pPr>
      <w:r w:rsidRPr="00F666B7">
        <w:t>Wet Scrubber</w:t>
      </w:r>
    </w:p>
    <w:p w14:paraId="10A4BCD8" w14:textId="77777777" w:rsidR="006C74CE" w:rsidRPr="00F666B7" w:rsidRDefault="006C74CE" w:rsidP="00F826F2">
      <w:pPr>
        <w:pStyle w:val="ListParagraph"/>
        <w:numPr>
          <w:ilvl w:val="0"/>
          <w:numId w:val="65"/>
        </w:numPr>
      </w:pPr>
      <w:r w:rsidRPr="00F666B7">
        <w:t>Dry Scrubber</w:t>
      </w:r>
    </w:p>
    <w:p w14:paraId="1AED5A47" w14:textId="77777777" w:rsidR="006C74CE" w:rsidRPr="00F666B7" w:rsidRDefault="006C74CE" w:rsidP="00F826F2">
      <w:pPr>
        <w:pStyle w:val="ListParagraph"/>
        <w:numPr>
          <w:ilvl w:val="0"/>
          <w:numId w:val="65"/>
        </w:numPr>
      </w:pPr>
      <w:r w:rsidRPr="00F666B7">
        <w:t>Venturi Scrubber</w:t>
      </w:r>
    </w:p>
    <w:p w14:paraId="1EAD04ED" w14:textId="77777777" w:rsidR="006C74CE" w:rsidRPr="00F666B7" w:rsidRDefault="006C74CE" w:rsidP="00F826F2">
      <w:pPr>
        <w:pStyle w:val="ListParagraph"/>
        <w:numPr>
          <w:ilvl w:val="0"/>
          <w:numId w:val="65"/>
        </w:numPr>
      </w:pPr>
      <w:r w:rsidRPr="00F666B7">
        <w:t>Electrostatic Precipitator</w:t>
      </w:r>
    </w:p>
    <w:p w14:paraId="6EA2B53D" w14:textId="77777777" w:rsidR="006C74CE" w:rsidRPr="00F666B7" w:rsidRDefault="006C74CE" w:rsidP="00F826F2">
      <w:pPr>
        <w:pStyle w:val="ListParagraph"/>
        <w:numPr>
          <w:ilvl w:val="0"/>
          <w:numId w:val="65"/>
        </w:numPr>
      </w:pPr>
      <w:r w:rsidRPr="00F666B7">
        <w:t>Afterburner (Integral)</w:t>
      </w:r>
    </w:p>
    <w:p w14:paraId="730FC763" w14:textId="77777777" w:rsidR="006C74CE" w:rsidRPr="00F666B7" w:rsidRDefault="006C74CE" w:rsidP="00F826F2">
      <w:pPr>
        <w:pStyle w:val="ListParagraph"/>
        <w:numPr>
          <w:ilvl w:val="0"/>
          <w:numId w:val="65"/>
        </w:numPr>
      </w:pPr>
      <w:r w:rsidRPr="00F666B7">
        <w:lastRenderedPageBreak/>
        <w:t>Utilize only low sulfur natural gas (described as pipeline quality) or propane utilizing good combustion practices to minimize emissions</w:t>
      </w:r>
    </w:p>
    <w:p w14:paraId="3F612643" w14:textId="77777777" w:rsidR="006C74CE" w:rsidRPr="00F666B7" w:rsidRDefault="006C74CE" w:rsidP="00F826F2">
      <w:pPr>
        <w:pStyle w:val="ListParagraph"/>
        <w:numPr>
          <w:ilvl w:val="0"/>
          <w:numId w:val="65"/>
        </w:numPr>
      </w:pPr>
      <w:r w:rsidRPr="00F666B7">
        <w:t>Only incinerate/cremate human and animal remains and any corresponding container unless approved in writing by DEQ</w:t>
      </w:r>
    </w:p>
    <w:p w14:paraId="0D05B794" w14:textId="77777777" w:rsidR="006C74CE" w:rsidRPr="00F666B7" w:rsidRDefault="006C74CE" w:rsidP="00F826F2">
      <w:pPr>
        <w:pStyle w:val="ListParagraph"/>
        <w:numPr>
          <w:ilvl w:val="0"/>
          <w:numId w:val="65"/>
        </w:numPr>
      </w:pPr>
      <w:bookmarkStart w:id="30" w:name="_Hlk223936625"/>
      <w:r w:rsidRPr="00F666B7">
        <w:t>Visible Opacity Less than 10% over Six Minutes</w:t>
      </w:r>
    </w:p>
    <w:p w14:paraId="2F605713" w14:textId="77777777" w:rsidR="006C74CE" w:rsidRPr="00F666B7" w:rsidRDefault="006C74CE" w:rsidP="00F826F2">
      <w:pPr>
        <w:pStyle w:val="ListParagraph"/>
        <w:numPr>
          <w:ilvl w:val="0"/>
          <w:numId w:val="65"/>
        </w:numPr>
      </w:pPr>
      <w:r w:rsidRPr="00F666B7">
        <w:t>PM less than 0.10 gr/scf corrected to 12% CO</w:t>
      </w:r>
      <w:r w:rsidRPr="00F666B7">
        <w:rPr>
          <w:vertAlign w:val="subscript"/>
        </w:rPr>
        <w:t>2</w:t>
      </w:r>
    </w:p>
    <w:p w14:paraId="1DF9311F" w14:textId="77777777" w:rsidR="006C74CE" w:rsidRPr="00F666B7" w:rsidRDefault="006C74CE" w:rsidP="00F826F2">
      <w:pPr>
        <w:pStyle w:val="ListParagraph"/>
        <w:numPr>
          <w:ilvl w:val="0"/>
          <w:numId w:val="65"/>
        </w:numPr>
      </w:pPr>
      <w:bookmarkStart w:id="31" w:name="_Hlk223859328"/>
      <w:bookmarkStart w:id="32" w:name="_Hlk223859950"/>
      <w:bookmarkEnd w:id="30"/>
      <w:r w:rsidRPr="00F666B7">
        <w:t>Under the category of Design, Equipment, Work Practice, and Operational Standards the following strategies:</w:t>
      </w:r>
    </w:p>
    <w:p w14:paraId="7BDE3518" w14:textId="77777777" w:rsidR="006C74CE" w:rsidRPr="004C3961" w:rsidRDefault="006C74CE" w:rsidP="00F826F2">
      <w:pPr>
        <w:pStyle w:val="ListParagraph"/>
        <w:numPr>
          <w:ilvl w:val="0"/>
          <w:numId w:val="61"/>
        </w:numPr>
      </w:pPr>
      <w:r w:rsidRPr="004C3961">
        <w:t>Preheating of the secondary chamber to a minimum temperature</w:t>
      </w:r>
      <w:r>
        <w:t xml:space="preserve"> of 1500</w:t>
      </w:r>
      <w:r w:rsidRPr="004C3961">
        <w:t xml:space="preserve"> F prior to feed introduction in the primary chamber</w:t>
      </w:r>
    </w:p>
    <w:p w14:paraId="16A7DAD3" w14:textId="77777777" w:rsidR="006C74CE" w:rsidRPr="004C3961" w:rsidRDefault="006C74CE" w:rsidP="00F826F2">
      <w:pPr>
        <w:pStyle w:val="ListParagraph"/>
        <w:numPr>
          <w:ilvl w:val="0"/>
          <w:numId w:val="61"/>
        </w:numPr>
      </w:pPr>
      <w:r w:rsidRPr="004C3961">
        <w:t>Both the primary and secondary chamber shall each have their own individual burner</w:t>
      </w:r>
    </w:p>
    <w:p w14:paraId="408282EE" w14:textId="77777777" w:rsidR="006C74CE" w:rsidRPr="004C3961" w:rsidRDefault="006C74CE" w:rsidP="00F826F2">
      <w:pPr>
        <w:pStyle w:val="ListParagraph"/>
        <w:numPr>
          <w:ilvl w:val="0"/>
          <w:numId w:val="61"/>
        </w:numPr>
      </w:pPr>
      <w:r w:rsidRPr="004C3961">
        <w:t>Maintaining a minimum hourly average secondary combustion chamber temperature</w:t>
      </w:r>
      <w:r>
        <w:t xml:space="preserve"> of 1500 F</w:t>
      </w:r>
      <w:r w:rsidRPr="004C3961">
        <w:t xml:space="preserve"> with </w:t>
      </w:r>
      <w:r>
        <w:t>no</w:t>
      </w:r>
      <w:r w:rsidRPr="004C3961">
        <w:t xml:space="preserve"> single occurrence lower </w:t>
      </w:r>
      <w:r>
        <w:t>than 1450 F</w:t>
      </w:r>
    </w:p>
    <w:p w14:paraId="69E5B9BA" w14:textId="77777777" w:rsidR="006C74CE" w:rsidRPr="004C3961" w:rsidRDefault="006C74CE" w:rsidP="00F826F2">
      <w:pPr>
        <w:pStyle w:val="ListParagraph"/>
        <w:numPr>
          <w:ilvl w:val="0"/>
          <w:numId w:val="61"/>
        </w:numPr>
      </w:pPr>
      <w:bookmarkStart w:id="33" w:name="_Hlk224203359"/>
      <w:bookmarkStart w:id="34" w:name="_Hlk223867046"/>
      <w:r>
        <w:t>Maintaining the secondary combustion chamber temperature setpoint, for 30 minutes after waste feed has stopped</w:t>
      </w:r>
      <w:bookmarkEnd w:id="33"/>
    </w:p>
    <w:bookmarkEnd w:id="34"/>
    <w:p w14:paraId="2D130989" w14:textId="77777777" w:rsidR="006C74CE" w:rsidRPr="004C3961" w:rsidRDefault="006C74CE" w:rsidP="00F826F2">
      <w:pPr>
        <w:pStyle w:val="ListParagraph"/>
        <w:numPr>
          <w:ilvl w:val="0"/>
          <w:numId w:val="61"/>
        </w:numPr>
      </w:pPr>
      <w:r w:rsidRPr="004C3961">
        <w:t>Develop operating procedures, require operating training, and have procedures on-site at the unit and have training records and documentation available upon request</w:t>
      </w:r>
      <w:bookmarkEnd w:id="31"/>
      <w:r w:rsidRPr="004C3961">
        <w:t>.</w:t>
      </w:r>
    </w:p>
    <w:bookmarkEnd w:id="29"/>
    <w:bookmarkEnd w:id="32"/>
    <w:p w14:paraId="4E619500" w14:textId="77777777" w:rsidR="006C74CE" w:rsidRDefault="006C74CE" w:rsidP="006C74CE">
      <w:pPr>
        <w:rPr>
          <w:szCs w:val="32"/>
        </w:rPr>
      </w:pPr>
    </w:p>
    <w:p w14:paraId="109DFEBD" w14:textId="77777777" w:rsidR="006C74CE" w:rsidRPr="005B5872" w:rsidRDefault="006C74CE" w:rsidP="006C74CE">
      <w:pPr>
        <w:ind w:left="432"/>
        <w:rPr>
          <w:b/>
          <w:bCs/>
          <w:szCs w:val="32"/>
        </w:rPr>
      </w:pPr>
      <w:r w:rsidRPr="005B5872">
        <w:rPr>
          <w:b/>
          <w:bCs/>
          <w:szCs w:val="32"/>
        </w:rPr>
        <w:t>Design, Equipment, Work Practice and Operation</w:t>
      </w:r>
      <w:r>
        <w:rPr>
          <w:b/>
          <w:bCs/>
          <w:szCs w:val="32"/>
        </w:rPr>
        <w:t xml:space="preserve"> Standard Analysis</w:t>
      </w:r>
    </w:p>
    <w:p w14:paraId="1842550E" w14:textId="77777777" w:rsidR="006C74CE" w:rsidRDefault="006C74CE" w:rsidP="006C74CE">
      <w:pPr>
        <w:ind w:left="432"/>
        <w:rPr>
          <w:szCs w:val="32"/>
        </w:rPr>
      </w:pPr>
    </w:p>
    <w:p w14:paraId="43C5BCFF" w14:textId="77777777" w:rsidR="006C74CE" w:rsidRDefault="006C74CE" w:rsidP="006C74CE">
      <w:pPr>
        <w:ind w:left="432"/>
        <w:rPr>
          <w:szCs w:val="32"/>
        </w:rPr>
      </w:pPr>
      <w:r>
        <w:rPr>
          <w:szCs w:val="32"/>
        </w:rPr>
        <w:t xml:space="preserve">Since the PM analysis is the first consideration of </w:t>
      </w:r>
      <w:bookmarkStart w:id="35" w:name="_Hlk223867364"/>
      <w:r>
        <w:rPr>
          <w:szCs w:val="32"/>
        </w:rPr>
        <w:t xml:space="preserve">Design, Equipment, Work Practice and Operation </w:t>
      </w:r>
      <w:bookmarkEnd w:id="35"/>
      <w:r>
        <w:rPr>
          <w:szCs w:val="32"/>
        </w:rPr>
        <w:t>standards as ARM 17.8.752 references, an analysis is conducted for the proposed specific design, equipment, work practice and operational standards.</w:t>
      </w:r>
    </w:p>
    <w:p w14:paraId="13F06459" w14:textId="77777777" w:rsidR="006C74CE" w:rsidRDefault="006C74CE" w:rsidP="006C74CE">
      <w:pPr>
        <w:ind w:left="432"/>
        <w:rPr>
          <w:szCs w:val="32"/>
        </w:rPr>
      </w:pPr>
    </w:p>
    <w:p w14:paraId="0846586B" w14:textId="77777777" w:rsidR="006C74CE" w:rsidRDefault="006C74CE" w:rsidP="006C74CE">
      <w:pPr>
        <w:ind w:left="432"/>
        <w:rPr>
          <w:b/>
          <w:bCs/>
          <w:szCs w:val="32"/>
        </w:rPr>
      </w:pPr>
      <w:r w:rsidRPr="006A3762">
        <w:rPr>
          <w:b/>
          <w:bCs/>
          <w:szCs w:val="32"/>
        </w:rPr>
        <w:t>Secondary Combustion Chamber Setpoint</w:t>
      </w:r>
    </w:p>
    <w:p w14:paraId="070318A7" w14:textId="77777777" w:rsidR="00F9781B" w:rsidRPr="006A3762" w:rsidRDefault="00F9781B" w:rsidP="006C74CE">
      <w:pPr>
        <w:ind w:left="432"/>
        <w:rPr>
          <w:b/>
          <w:bCs/>
          <w:szCs w:val="32"/>
        </w:rPr>
      </w:pPr>
    </w:p>
    <w:p w14:paraId="0DBAA930" w14:textId="1A0F73FE" w:rsidR="006C74CE" w:rsidRDefault="002C101E" w:rsidP="006C74CE">
      <w:pPr>
        <w:ind w:left="432"/>
        <w:rPr>
          <w:szCs w:val="32"/>
        </w:rPr>
      </w:pPr>
      <w:r>
        <w:rPr>
          <w:szCs w:val="32"/>
        </w:rPr>
        <w:t>A review of</w:t>
      </w:r>
      <w:r w:rsidR="006C74CE">
        <w:rPr>
          <w:szCs w:val="32"/>
        </w:rPr>
        <w:t xml:space="preserve"> recently permitted Montana crematoriums</w:t>
      </w:r>
      <w:r>
        <w:rPr>
          <w:szCs w:val="32"/>
        </w:rPr>
        <w:t xml:space="preserve"> </w:t>
      </w:r>
      <w:r w:rsidR="00EF0D6E">
        <w:rPr>
          <w:szCs w:val="32"/>
        </w:rPr>
        <w:t>show</w:t>
      </w:r>
      <w:r>
        <w:rPr>
          <w:szCs w:val="32"/>
        </w:rPr>
        <w:t xml:space="preserve">s </w:t>
      </w:r>
      <w:r w:rsidR="006C74CE">
        <w:rPr>
          <w:szCs w:val="32"/>
        </w:rPr>
        <w:t xml:space="preserve">the required secondary chamber setpoints have ranged from 1400 </w:t>
      </w:r>
      <w:r>
        <w:rPr>
          <w:szCs w:val="32"/>
        </w:rPr>
        <w:t xml:space="preserve">to </w:t>
      </w:r>
      <w:r w:rsidR="006C74CE">
        <w:rPr>
          <w:szCs w:val="32"/>
        </w:rPr>
        <w:t>1700 ºF. Further</w:t>
      </w:r>
      <w:r w:rsidR="00506460">
        <w:rPr>
          <w:szCs w:val="32"/>
        </w:rPr>
        <w:t>,</w:t>
      </w:r>
      <w:r w:rsidR="006C74CE">
        <w:rPr>
          <w:szCs w:val="32"/>
        </w:rPr>
        <w:t xml:space="preserve"> many permits also require, no more than a single reading at 50 to 100 deg ºF lower than the setpoint during the combustion process. Therefore, the existing Montana permits do have a range for allowable operating setpoints with no clear explanation on the differences between units.  In general, higher operating temperatures are expected to have a higher destruction efficiency as is the case in the combustion in the various type of thermal combustors that exist.  </w:t>
      </w:r>
      <w:r w:rsidR="00EF0D6E">
        <w:rPr>
          <w:szCs w:val="32"/>
        </w:rPr>
        <w:t xml:space="preserve">A review of crematorium website literature indicates that generally between 1400-1800 F is an expected operating range for the secondary combustion chamber.  </w:t>
      </w:r>
    </w:p>
    <w:p w14:paraId="4CF93F46" w14:textId="77777777" w:rsidR="006C74CE" w:rsidRDefault="006C74CE" w:rsidP="006C74CE">
      <w:pPr>
        <w:ind w:left="432"/>
        <w:rPr>
          <w:szCs w:val="32"/>
        </w:rPr>
      </w:pPr>
    </w:p>
    <w:p w14:paraId="28540061" w14:textId="708BA842" w:rsidR="006C74CE" w:rsidRDefault="006C74CE" w:rsidP="006C74CE">
      <w:pPr>
        <w:ind w:left="432"/>
        <w:rPr>
          <w:szCs w:val="32"/>
        </w:rPr>
      </w:pPr>
      <w:r>
        <w:rPr>
          <w:szCs w:val="32"/>
        </w:rPr>
        <w:t xml:space="preserve">No absolute operating temperatures appear to be mandated for cremation units; therefore, the set point determination for the proposed MAQP #5350-00 is based on best professional judgement using the following information.  Montana has cremation units already operating with setpoints as low as 1400 ºF, i.e. permitted operations, and no specific information relative to any public complaints is available related the operation of these sites. Therefore, if all other design and operational standards are being followed, the 1500 ºF setpoint is an acceptable secondary combustion chamber temperature. Further, DEQ is recommending a minimum temperature of no less than 1450 F for a single occurrence for all </w:t>
      </w:r>
      <w:r w:rsidR="00506460">
        <w:rPr>
          <w:szCs w:val="32"/>
        </w:rPr>
        <w:t>c</w:t>
      </w:r>
      <w:r>
        <w:rPr>
          <w:szCs w:val="32"/>
        </w:rPr>
        <w:t>rematoriums</w:t>
      </w:r>
      <w:r w:rsidR="00506460">
        <w:rPr>
          <w:szCs w:val="32"/>
        </w:rPr>
        <w:t xml:space="preserve"> operating in Montana</w:t>
      </w:r>
      <w:r>
        <w:rPr>
          <w:szCs w:val="32"/>
        </w:rPr>
        <w:t>. This is based on a general understanding of statistical process variability in industrial processes, and that a single occurrence is unlikely to cause undue concern.</w:t>
      </w:r>
    </w:p>
    <w:p w14:paraId="399F5657" w14:textId="77777777" w:rsidR="006C74CE" w:rsidRDefault="006C74CE" w:rsidP="006C74CE">
      <w:pPr>
        <w:ind w:left="432"/>
        <w:rPr>
          <w:szCs w:val="32"/>
        </w:rPr>
      </w:pPr>
    </w:p>
    <w:p w14:paraId="30C01DED" w14:textId="77777777" w:rsidR="006C74CE" w:rsidRDefault="006C74CE" w:rsidP="006C74CE">
      <w:pPr>
        <w:ind w:left="432"/>
        <w:rPr>
          <w:b/>
          <w:bCs/>
          <w:szCs w:val="32"/>
        </w:rPr>
      </w:pPr>
      <w:bookmarkStart w:id="36" w:name="_Hlk226112692"/>
      <w:r w:rsidRPr="001C061A">
        <w:rPr>
          <w:b/>
          <w:bCs/>
          <w:szCs w:val="32"/>
        </w:rPr>
        <w:lastRenderedPageBreak/>
        <w:t xml:space="preserve">Preheating of the secondary chamber to a minimum temperature </w:t>
      </w:r>
      <w:r>
        <w:rPr>
          <w:b/>
          <w:bCs/>
          <w:szCs w:val="32"/>
        </w:rPr>
        <w:t>of 1500 F</w:t>
      </w:r>
      <w:r w:rsidRPr="001C061A">
        <w:rPr>
          <w:b/>
          <w:bCs/>
          <w:szCs w:val="32"/>
        </w:rPr>
        <w:t xml:space="preserve"> prior to feed introduction in the primary chamber</w:t>
      </w:r>
    </w:p>
    <w:p w14:paraId="45D32CBB" w14:textId="77777777" w:rsidR="00F9781B" w:rsidRDefault="00F9781B" w:rsidP="006C74CE">
      <w:pPr>
        <w:ind w:left="432"/>
        <w:rPr>
          <w:b/>
          <w:bCs/>
          <w:szCs w:val="32"/>
        </w:rPr>
      </w:pPr>
    </w:p>
    <w:p w14:paraId="5548CA2A" w14:textId="77777777" w:rsidR="006C74CE" w:rsidRPr="00E84331" w:rsidRDefault="006C74CE" w:rsidP="006C74CE">
      <w:pPr>
        <w:ind w:left="432"/>
        <w:rPr>
          <w:szCs w:val="32"/>
        </w:rPr>
      </w:pPr>
      <w:r w:rsidRPr="00E84331">
        <w:rPr>
          <w:szCs w:val="32"/>
        </w:rPr>
        <w:t>To avoid initial off-gassing, the secondary chamber must be up to the temperature setpoint prior to waste introduction.</w:t>
      </w:r>
      <w:r>
        <w:rPr>
          <w:szCs w:val="32"/>
        </w:rPr>
        <w:t xml:space="preserve"> This is protective of air quality by ensuring no waste gas is allowed to enter the secondary chamber without being at the required setpoint.</w:t>
      </w:r>
    </w:p>
    <w:p w14:paraId="64808885" w14:textId="77777777" w:rsidR="006C74CE" w:rsidRDefault="006C74CE" w:rsidP="006C74CE">
      <w:pPr>
        <w:ind w:left="432"/>
        <w:rPr>
          <w:b/>
          <w:bCs/>
          <w:szCs w:val="32"/>
        </w:rPr>
      </w:pPr>
    </w:p>
    <w:p w14:paraId="3202394C" w14:textId="77777777" w:rsidR="006C74CE" w:rsidRDefault="006C74CE" w:rsidP="006C74CE">
      <w:pPr>
        <w:ind w:left="432"/>
        <w:rPr>
          <w:b/>
          <w:bCs/>
          <w:szCs w:val="32"/>
        </w:rPr>
      </w:pPr>
      <w:r w:rsidRPr="00765086">
        <w:rPr>
          <w:b/>
          <w:bCs/>
          <w:szCs w:val="32"/>
        </w:rPr>
        <w:t>Both the primary and secondary chamber shall each have their own individual burner</w:t>
      </w:r>
    </w:p>
    <w:p w14:paraId="18D447B1" w14:textId="77777777" w:rsidR="00F9781B" w:rsidRPr="00765086" w:rsidRDefault="00F9781B" w:rsidP="006C74CE">
      <w:pPr>
        <w:ind w:left="432"/>
        <w:rPr>
          <w:b/>
          <w:bCs/>
          <w:szCs w:val="32"/>
        </w:rPr>
      </w:pPr>
    </w:p>
    <w:p w14:paraId="1A5CF06E" w14:textId="77777777" w:rsidR="006C74CE" w:rsidRDefault="006C74CE" w:rsidP="006C74CE">
      <w:pPr>
        <w:ind w:left="432"/>
        <w:rPr>
          <w:szCs w:val="32"/>
        </w:rPr>
      </w:pPr>
      <w:r>
        <w:rPr>
          <w:szCs w:val="32"/>
        </w:rPr>
        <w:t>In order to have a realistic operation where the secondary chamber is pre-heated prior to feed introduction, it is necessary to be able to heat the secondary chamber with its own burner, and once at temperature, introduce the waste and begin heating the primary chamber with its own burner.</w:t>
      </w:r>
    </w:p>
    <w:p w14:paraId="7A805AF0" w14:textId="77777777" w:rsidR="006C74CE" w:rsidRDefault="006C74CE" w:rsidP="006C74CE">
      <w:pPr>
        <w:ind w:left="432"/>
        <w:rPr>
          <w:szCs w:val="32"/>
        </w:rPr>
      </w:pPr>
    </w:p>
    <w:p w14:paraId="292DA51F" w14:textId="77777777" w:rsidR="006C74CE" w:rsidRDefault="006C74CE" w:rsidP="006C74CE">
      <w:pPr>
        <w:ind w:left="432"/>
        <w:rPr>
          <w:b/>
          <w:bCs/>
          <w:szCs w:val="32"/>
        </w:rPr>
      </w:pPr>
      <w:r w:rsidRPr="00DE32BA">
        <w:rPr>
          <w:b/>
          <w:bCs/>
          <w:szCs w:val="32"/>
        </w:rPr>
        <w:t>Maintaining secondary temperature setpoint for 30 minutes after waste feed has stopped</w:t>
      </w:r>
    </w:p>
    <w:p w14:paraId="7A6D1E2B" w14:textId="77777777" w:rsidR="00F9781B" w:rsidRPr="00DE32BA" w:rsidRDefault="00F9781B" w:rsidP="006C74CE">
      <w:pPr>
        <w:ind w:left="432"/>
        <w:rPr>
          <w:b/>
          <w:bCs/>
          <w:szCs w:val="32"/>
        </w:rPr>
      </w:pPr>
    </w:p>
    <w:p w14:paraId="3FE1639E" w14:textId="5ECC49A8" w:rsidR="00F9781B" w:rsidRDefault="006C74CE" w:rsidP="00C02FC6">
      <w:pPr>
        <w:ind w:left="432"/>
        <w:rPr>
          <w:szCs w:val="32"/>
        </w:rPr>
      </w:pPr>
      <w:r>
        <w:rPr>
          <w:szCs w:val="32"/>
        </w:rPr>
        <w:t xml:space="preserve">To ensure complete combustion, the secondary chamber setpoint must be satisfied for a full 30 minutes after the waste feed has stopped. This is a reasonable strategy to ensure all solids and waste gases are fully combusted prior to beginning any cool down step. </w:t>
      </w:r>
      <w:bookmarkEnd w:id="36"/>
    </w:p>
    <w:p w14:paraId="4D9565CA" w14:textId="77777777" w:rsidR="00F9781B" w:rsidRPr="004C3961" w:rsidRDefault="00F9781B" w:rsidP="006C74CE">
      <w:pPr>
        <w:rPr>
          <w:szCs w:val="32"/>
        </w:rPr>
      </w:pPr>
    </w:p>
    <w:p w14:paraId="3E62A2C7" w14:textId="77777777" w:rsidR="006C74CE" w:rsidRPr="00F43DF3" w:rsidRDefault="006C74CE" w:rsidP="006C74CE">
      <w:pPr>
        <w:ind w:left="432"/>
        <w:rPr>
          <w:b/>
          <w:bCs/>
          <w:szCs w:val="32"/>
        </w:rPr>
      </w:pPr>
      <w:r w:rsidRPr="004C3961">
        <w:rPr>
          <w:b/>
          <w:bCs/>
          <w:szCs w:val="32"/>
        </w:rPr>
        <w:t>Step 2: Eliminate Technically Infeasible Control Options</w:t>
      </w:r>
    </w:p>
    <w:p w14:paraId="690B81B6" w14:textId="77777777" w:rsidR="006C74CE" w:rsidRPr="00F43DF3" w:rsidRDefault="006C74CE" w:rsidP="006C74CE">
      <w:pPr>
        <w:rPr>
          <w:szCs w:val="32"/>
        </w:rPr>
      </w:pPr>
    </w:p>
    <w:p w14:paraId="797BFFA7" w14:textId="77777777" w:rsidR="006C74CE" w:rsidRPr="00F43DF3" w:rsidRDefault="006C74CE" w:rsidP="006C74CE">
      <w:pPr>
        <w:ind w:left="432"/>
        <w:rPr>
          <w:szCs w:val="32"/>
        </w:rPr>
      </w:pPr>
      <w:r w:rsidRPr="00F43DF3">
        <w:rPr>
          <w:szCs w:val="32"/>
        </w:rPr>
        <w:t>Baghouse: A baghouse utilizes fabric filters to control PM emissions in industrial applications where high-efficiency particle collection is required. The primary benefit is the ability to remove particles in a range of sizes from submicron to several hundred microns in diameter to a control efficiency of 99 percent or greater (</w:t>
      </w:r>
      <w:r w:rsidRPr="00F43DF3">
        <w:rPr>
          <w:i/>
          <w:iCs/>
          <w:szCs w:val="32"/>
        </w:rPr>
        <w:t>Regulations</w:t>
      </w:r>
      <w:r w:rsidRPr="00F43DF3">
        <w:rPr>
          <w:szCs w:val="32"/>
        </w:rPr>
        <w:t xml:space="preserve">). </w:t>
      </w:r>
      <w:r>
        <w:rPr>
          <w:szCs w:val="32"/>
        </w:rPr>
        <w:t xml:space="preserve">Operation of a baghouse to control particulate matter emissions from a cremation unit is, at least in theory, technically feasible. </w:t>
      </w:r>
    </w:p>
    <w:p w14:paraId="250B9006" w14:textId="77777777" w:rsidR="006C74CE" w:rsidRPr="00F43DF3" w:rsidRDefault="006C74CE" w:rsidP="006C74CE">
      <w:pPr>
        <w:ind w:left="864"/>
        <w:rPr>
          <w:szCs w:val="32"/>
        </w:rPr>
      </w:pPr>
    </w:p>
    <w:p w14:paraId="47A0EE73" w14:textId="77777777" w:rsidR="006C74CE" w:rsidRPr="00F43DF3" w:rsidRDefault="006C74CE" w:rsidP="006C74CE">
      <w:pPr>
        <w:ind w:left="432"/>
        <w:rPr>
          <w:szCs w:val="32"/>
        </w:rPr>
      </w:pPr>
      <w:r w:rsidRPr="00F43DF3">
        <w:rPr>
          <w:szCs w:val="32"/>
        </w:rPr>
        <w:t xml:space="preserve">Wet Scrubber: A wet scrubber utilizes a liquid to remove pollutants from an exhaust stream through the process of absorption. Most wet scrubbers operate in an excess of 90% removal efficiencies, depending on pollutant (Scrubber for Gaseous Control). For this analysis, a spray tower will be analyzed. A spray tower is the simplest type of scrubber. In this type of scrubber, particulate-laden air passes into a chamber where it contacts a liquid spray produced by spray nozzles. Typical control efficiencies for particles larger than 5 microns is as great as 90%, and for particles below 3 microns around 50% (Section 6 Particulate Matter Controls – Wet Scrubber). Wet scrubbers are best for applications with inlet temperatures of less than 700 ºF. The temperature of the cremation unit is approximately </w:t>
      </w:r>
      <w:r>
        <w:rPr>
          <w:szCs w:val="32"/>
        </w:rPr>
        <w:t>15</w:t>
      </w:r>
      <w:r w:rsidRPr="00F43DF3">
        <w:rPr>
          <w:szCs w:val="32"/>
        </w:rPr>
        <w:t>00 ºF. Therefore, a Wet Scrubber (</w:t>
      </w:r>
      <w:r w:rsidRPr="00F43DF3">
        <w:rPr>
          <w:i/>
          <w:iCs/>
          <w:szCs w:val="32"/>
        </w:rPr>
        <w:t>Spray Tower</w:t>
      </w:r>
      <w:r w:rsidRPr="00F43DF3">
        <w:rPr>
          <w:szCs w:val="32"/>
        </w:rPr>
        <w:t xml:space="preserve">) is deemed technically infeasible and will not be considered further. </w:t>
      </w:r>
    </w:p>
    <w:p w14:paraId="03E89B6E" w14:textId="77777777" w:rsidR="006C74CE" w:rsidRPr="00F43DF3" w:rsidRDefault="006C74CE" w:rsidP="006C74CE">
      <w:pPr>
        <w:ind w:left="864"/>
        <w:rPr>
          <w:szCs w:val="32"/>
        </w:rPr>
      </w:pPr>
    </w:p>
    <w:p w14:paraId="0D9F82C9" w14:textId="77777777" w:rsidR="006C74CE" w:rsidRDefault="006C74CE" w:rsidP="006C74CE">
      <w:pPr>
        <w:ind w:left="432"/>
        <w:rPr>
          <w:szCs w:val="32"/>
        </w:rPr>
      </w:pPr>
      <w:r w:rsidRPr="0065100C">
        <w:rPr>
          <w:szCs w:val="32"/>
        </w:rPr>
        <w:t>Dry Scrubber. A dry scrubber is</w:t>
      </w:r>
      <w:r>
        <w:rPr>
          <w:szCs w:val="32"/>
        </w:rPr>
        <w:t xml:space="preserve"> either identified as a spray dryer absorber or a circulating dry scrubber. Each type of scrubber utilizes a slurry sprayed into an absorber vessel where contact with the waste gas occurs. The collected solids are then collected at the discharge of the absorber vessel on a fabric filter.  Temperatures for dry scrubbing are typically done at much lower temperatures than those present in the secondary combustion chamber temperature.  Dry scrubbers are also intended to be operated on a continuous basis and are not compatible with batch processing as required for crematoriums. Dry scrubbing is deemed technically infeasible and will not be considered further.</w:t>
      </w:r>
    </w:p>
    <w:p w14:paraId="3B6918DC" w14:textId="77777777" w:rsidR="006C74CE" w:rsidRDefault="006C74CE" w:rsidP="006C74CE">
      <w:pPr>
        <w:ind w:left="432"/>
        <w:rPr>
          <w:szCs w:val="32"/>
        </w:rPr>
      </w:pPr>
    </w:p>
    <w:p w14:paraId="49EB8078" w14:textId="77777777" w:rsidR="006C74CE" w:rsidRDefault="006C74CE" w:rsidP="006C74CE">
      <w:pPr>
        <w:ind w:left="432"/>
        <w:rPr>
          <w:szCs w:val="32"/>
        </w:rPr>
      </w:pPr>
      <w:r w:rsidRPr="0028457B">
        <w:rPr>
          <w:szCs w:val="32"/>
        </w:rPr>
        <w:lastRenderedPageBreak/>
        <w:t>Venturi Scrubber: A venturi scrubber is a specific type of wet scrubber that has a “converging-diverging” flow channel where the system of the cross-sectional area of the channel decreases then increases along the length of the channel. In the converging section, the decrease in area causes the waste gas velocity and turbulence to increase. The scrubbing liquid is injected into the scrubber slightly upstream of the throat or directly into the throat section. These types of scrubbers are more expensive than a spray tower, cyclonic, or tray tower scrubbers, but have higher collection efficiencies ranging from 70 to 99% for particles larger than 1 micron in diameter and greater than 50% for submicron particles (Section 6 Particulate Matter Controls – Wet Scrubber). Per the EPA Fact Sheet (EPA-452/F-03-017), the optimal temperature range for a venturi scrubber to reduce PM emissions for exhaust streams is 40 to 750 ºF. This cremation unit will have an exhaust stream around 1</w:t>
      </w:r>
      <w:r>
        <w:rPr>
          <w:szCs w:val="32"/>
        </w:rPr>
        <w:t>5</w:t>
      </w:r>
      <w:r w:rsidRPr="0028457B">
        <w:rPr>
          <w:szCs w:val="32"/>
        </w:rPr>
        <w:t>00 ºF, falling outside of that optimal temperature range. Therefore, a venturi scrubber is deemed infeasible and will not be considered further.</w:t>
      </w:r>
    </w:p>
    <w:p w14:paraId="6AAC5F8C" w14:textId="77777777" w:rsidR="006C74CE" w:rsidRDefault="006C74CE" w:rsidP="006C74CE">
      <w:pPr>
        <w:ind w:left="432"/>
        <w:rPr>
          <w:szCs w:val="32"/>
        </w:rPr>
      </w:pPr>
    </w:p>
    <w:p w14:paraId="71DA6389" w14:textId="77777777" w:rsidR="006C74CE" w:rsidRDefault="006C74CE" w:rsidP="006C74CE">
      <w:pPr>
        <w:ind w:left="432"/>
        <w:rPr>
          <w:szCs w:val="32"/>
        </w:rPr>
      </w:pPr>
      <w:r w:rsidRPr="00F43DF3">
        <w:rPr>
          <w:szCs w:val="32"/>
        </w:rPr>
        <w:t>Electrostatic Precipitator (ESP): Is a particle control device that uses electrical forces to move particles out of the gas stream and onto collector plates. Once the particles are on the plates, they must be removed from the plates without re-entraining them into the gas stream. This is usually accomplished by knocking the particles loose from the plates, allowing the collected layer of particles to slide down into a hopper from which they are evacuated (</w:t>
      </w:r>
      <w:r w:rsidRPr="00F43DF3">
        <w:rPr>
          <w:i/>
          <w:iCs/>
          <w:szCs w:val="32"/>
        </w:rPr>
        <w:t>Section 6 Particulate Matter Controls – ESP</w:t>
      </w:r>
      <w:r w:rsidRPr="00F43DF3">
        <w:rPr>
          <w:szCs w:val="32"/>
        </w:rPr>
        <w:t>). Most dry ESPs operate at a maximum temperature of 700 ºF and most wet ESPs operate at a maximum temperature of 190◦F (</w:t>
      </w:r>
      <w:r w:rsidRPr="00F43DF3">
        <w:rPr>
          <w:i/>
          <w:iCs/>
          <w:szCs w:val="32"/>
        </w:rPr>
        <w:t xml:space="preserve">Monitoring by Control Technique – Electrostatic Precipitator). </w:t>
      </w:r>
      <w:r>
        <w:rPr>
          <w:szCs w:val="32"/>
        </w:rPr>
        <w:t>The proposed</w:t>
      </w:r>
      <w:r w:rsidRPr="00F43DF3">
        <w:rPr>
          <w:szCs w:val="32"/>
        </w:rPr>
        <w:t xml:space="preserve"> cremation unit will operate at approximately 1,</w:t>
      </w:r>
      <w:r>
        <w:rPr>
          <w:szCs w:val="32"/>
        </w:rPr>
        <w:t>5</w:t>
      </w:r>
      <w:r w:rsidRPr="00F43DF3">
        <w:rPr>
          <w:szCs w:val="32"/>
        </w:rPr>
        <w:t xml:space="preserve">00 ºF, making an ESP incapable of handling these temperatures. Therefore, an ESP is deemed technically infeasible and will not be considered further. </w:t>
      </w:r>
    </w:p>
    <w:p w14:paraId="62296B44" w14:textId="77777777" w:rsidR="006C74CE" w:rsidRDefault="006C74CE" w:rsidP="006C74CE">
      <w:pPr>
        <w:ind w:left="432"/>
        <w:rPr>
          <w:szCs w:val="32"/>
        </w:rPr>
      </w:pPr>
    </w:p>
    <w:p w14:paraId="6A04EA24" w14:textId="77777777" w:rsidR="006C74CE" w:rsidRDefault="006C74CE" w:rsidP="006C74CE">
      <w:pPr>
        <w:ind w:left="432"/>
        <w:rPr>
          <w:szCs w:val="32"/>
        </w:rPr>
      </w:pPr>
      <w:bookmarkStart w:id="37" w:name="_Hlk223862652"/>
      <w:bookmarkStart w:id="38" w:name="_Hlk223874005"/>
      <w:r>
        <w:t>Natural Gas or Propane Fuel Only. When firing natural gas or propane, p</w:t>
      </w:r>
      <w:r w:rsidRPr="00F43DF3">
        <w:rPr>
          <w:szCs w:val="32"/>
        </w:rPr>
        <w:t xml:space="preserve">otential emissions of all regulated pollutants, including </w:t>
      </w:r>
      <w:r>
        <w:rPr>
          <w:szCs w:val="32"/>
        </w:rPr>
        <w:t>particulate matter</w:t>
      </w:r>
      <w:r w:rsidRPr="00F43DF3">
        <w:rPr>
          <w:szCs w:val="32"/>
        </w:rPr>
        <w:t>, are relatively low</w:t>
      </w:r>
      <w:r>
        <w:rPr>
          <w:szCs w:val="32"/>
        </w:rPr>
        <w:t>. Using natural gas or propane fuel only is technically feasible for crematorium operations.</w:t>
      </w:r>
    </w:p>
    <w:p w14:paraId="59974A22" w14:textId="77777777" w:rsidR="006C74CE" w:rsidRDefault="006C74CE" w:rsidP="006C74CE">
      <w:pPr>
        <w:ind w:left="432"/>
        <w:rPr>
          <w:szCs w:val="32"/>
        </w:rPr>
      </w:pPr>
    </w:p>
    <w:p w14:paraId="1C03D923" w14:textId="77777777" w:rsidR="006C74CE" w:rsidRDefault="006C74CE" w:rsidP="006C74CE">
      <w:pPr>
        <w:ind w:left="432"/>
        <w:rPr>
          <w:szCs w:val="32"/>
        </w:rPr>
      </w:pPr>
      <w:r w:rsidRPr="00794B92">
        <w:rPr>
          <w:szCs w:val="32"/>
        </w:rPr>
        <w:t>Only incinerate/cremate human and animal remains and any corresponding container unless approved in writing by DEQ</w:t>
      </w:r>
      <w:r>
        <w:rPr>
          <w:szCs w:val="32"/>
        </w:rPr>
        <w:t>. In order to prevent unnecessary PM formation, non-approved waste materials cannot be combusted in the crematorium.</w:t>
      </w:r>
    </w:p>
    <w:p w14:paraId="5AADE4F0" w14:textId="77777777" w:rsidR="006C74CE" w:rsidRDefault="006C74CE" w:rsidP="006C74CE">
      <w:pPr>
        <w:ind w:left="432"/>
        <w:rPr>
          <w:szCs w:val="32"/>
        </w:rPr>
      </w:pPr>
    </w:p>
    <w:p w14:paraId="5C34A121" w14:textId="77777777" w:rsidR="006C74CE" w:rsidRPr="00E04166" w:rsidRDefault="006C74CE" w:rsidP="006C74CE">
      <w:pPr>
        <w:ind w:left="432"/>
        <w:rPr>
          <w:szCs w:val="32"/>
        </w:rPr>
      </w:pPr>
      <w:r w:rsidRPr="00E04166">
        <w:rPr>
          <w:szCs w:val="32"/>
        </w:rPr>
        <w:t>Visible Opacity Less than 10% over Six Minutes</w:t>
      </w:r>
    </w:p>
    <w:p w14:paraId="6A1655F0" w14:textId="77777777" w:rsidR="006C74CE" w:rsidRDefault="006C74CE" w:rsidP="006C74CE">
      <w:pPr>
        <w:ind w:left="432"/>
        <w:rPr>
          <w:szCs w:val="32"/>
          <w:vertAlign w:val="subscript"/>
        </w:rPr>
      </w:pPr>
      <w:r w:rsidRPr="00E04166">
        <w:rPr>
          <w:szCs w:val="32"/>
        </w:rPr>
        <w:t>PM less than 0.10 gr/scf corrected to 12% CO</w:t>
      </w:r>
      <w:r w:rsidRPr="00E04166">
        <w:rPr>
          <w:szCs w:val="32"/>
          <w:vertAlign w:val="subscript"/>
        </w:rPr>
        <w:t>2</w:t>
      </w:r>
    </w:p>
    <w:p w14:paraId="75EBC80D" w14:textId="77777777" w:rsidR="006C74CE" w:rsidRDefault="006C74CE" w:rsidP="006C74CE">
      <w:pPr>
        <w:ind w:left="432"/>
        <w:rPr>
          <w:szCs w:val="32"/>
          <w:vertAlign w:val="subscript"/>
        </w:rPr>
      </w:pPr>
    </w:p>
    <w:p w14:paraId="7166A231" w14:textId="77777777" w:rsidR="006C74CE" w:rsidRDefault="006C74CE" w:rsidP="006C74CE">
      <w:pPr>
        <w:ind w:left="432"/>
        <w:rPr>
          <w:szCs w:val="32"/>
        </w:rPr>
      </w:pPr>
      <w:r>
        <w:rPr>
          <w:szCs w:val="32"/>
        </w:rPr>
        <w:t>Both the opacity and PM limits are required to be met and with proper operation and design of the crematory; therefore, it is expected the opacity and PM limits would be achieved; however, these limits remain numeric limits for PM.</w:t>
      </w:r>
    </w:p>
    <w:p w14:paraId="09691B3B" w14:textId="77777777" w:rsidR="006C74CE" w:rsidRDefault="006C74CE" w:rsidP="006C74CE">
      <w:pPr>
        <w:rPr>
          <w:szCs w:val="32"/>
        </w:rPr>
      </w:pPr>
    </w:p>
    <w:p w14:paraId="2046496D" w14:textId="35E0BB66" w:rsidR="006C74CE" w:rsidRPr="00C37A65" w:rsidRDefault="006C74CE" w:rsidP="006C74CE">
      <w:pPr>
        <w:ind w:left="432"/>
      </w:pPr>
      <w:r w:rsidRPr="00C37A65">
        <w:t xml:space="preserve">Under the category of </w:t>
      </w:r>
      <w:bookmarkStart w:id="39" w:name="_Hlk223860051"/>
      <w:r w:rsidRPr="00C37A65">
        <w:t xml:space="preserve">Design, Equipment, Work Practice, and Operational Standards </w:t>
      </w:r>
      <w:bookmarkEnd w:id="39"/>
      <w:r w:rsidRPr="00C37A65">
        <w:t>the following strategies</w:t>
      </w:r>
      <w:r w:rsidR="00EF0D6E">
        <w:t xml:space="preserve"> apply</w:t>
      </w:r>
      <w:r w:rsidRPr="00C37A65">
        <w:t>:</w:t>
      </w:r>
    </w:p>
    <w:p w14:paraId="437BADC5" w14:textId="77777777" w:rsidR="006C74CE" w:rsidRPr="00F666B7" w:rsidRDefault="006C74CE" w:rsidP="00F826F2">
      <w:pPr>
        <w:pStyle w:val="ListParagraph"/>
        <w:numPr>
          <w:ilvl w:val="0"/>
          <w:numId w:val="66"/>
        </w:numPr>
      </w:pPr>
      <w:r w:rsidRPr="00F666B7">
        <w:t xml:space="preserve">Preheating of the secondary chamber to a minimum temperature </w:t>
      </w:r>
      <w:r>
        <w:t>of 1500</w:t>
      </w:r>
      <w:r w:rsidRPr="00F666B7">
        <w:t xml:space="preserve"> ºF prior to feed introduction in the primary chamber</w:t>
      </w:r>
    </w:p>
    <w:p w14:paraId="7AC629DE" w14:textId="77777777" w:rsidR="006C74CE" w:rsidRPr="00F666B7" w:rsidRDefault="006C74CE" w:rsidP="00F826F2">
      <w:pPr>
        <w:pStyle w:val="ListParagraph"/>
        <w:numPr>
          <w:ilvl w:val="0"/>
          <w:numId w:val="66"/>
        </w:numPr>
      </w:pPr>
      <w:r w:rsidRPr="00F666B7">
        <w:t>Both the primary and secondary chamber shall each have their own individual burner</w:t>
      </w:r>
    </w:p>
    <w:p w14:paraId="1F41188B" w14:textId="0EA42368" w:rsidR="006C74CE" w:rsidRPr="00F666B7" w:rsidRDefault="006C74CE" w:rsidP="00F826F2">
      <w:pPr>
        <w:pStyle w:val="ListParagraph"/>
        <w:numPr>
          <w:ilvl w:val="0"/>
          <w:numId w:val="66"/>
        </w:numPr>
      </w:pPr>
      <w:r w:rsidRPr="00F666B7">
        <w:t xml:space="preserve">Maintaining a minimum hourly average secondary combustion chamber temperature </w:t>
      </w:r>
      <w:r>
        <w:t>of 1500</w:t>
      </w:r>
      <w:r w:rsidRPr="00F666B7">
        <w:t xml:space="preserve"> ºF with no single occurrence lower than 1450 ºF.</w:t>
      </w:r>
    </w:p>
    <w:p w14:paraId="1F575FBE" w14:textId="77777777" w:rsidR="006C74CE" w:rsidRDefault="006C74CE" w:rsidP="00F826F2">
      <w:pPr>
        <w:pStyle w:val="ListParagraph"/>
        <w:numPr>
          <w:ilvl w:val="0"/>
          <w:numId w:val="66"/>
        </w:numPr>
      </w:pPr>
      <w:r w:rsidRPr="00282805">
        <w:t>Maintaining the secondary combustion chamber temperature setpoint, for 30 minutes after waste feed has stopped</w:t>
      </w:r>
      <w:r w:rsidRPr="00282805" w:rsidDel="00282805">
        <w:t xml:space="preserve"> </w:t>
      </w:r>
    </w:p>
    <w:p w14:paraId="7600CE4B" w14:textId="77777777" w:rsidR="006C74CE" w:rsidRPr="00F666B7" w:rsidRDefault="006C74CE" w:rsidP="00F826F2">
      <w:pPr>
        <w:pStyle w:val="ListParagraph"/>
        <w:numPr>
          <w:ilvl w:val="0"/>
          <w:numId w:val="66"/>
        </w:numPr>
      </w:pPr>
      <w:r w:rsidRPr="00F666B7">
        <w:lastRenderedPageBreak/>
        <w:t>Develop operating procedures, require operating training, and have procedures on-site at the unit and have training records and documentation available upon request.</w:t>
      </w:r>
    </w:p>
    <w:bookmarkEnd w:id="37"/>
    <w:p w14:paraId="17F6FE06" w14:textId="77777777" w:rsidR="006C74CE" w:rsidRDefault="006C74CE" w:rsidP="006C74CE">
      <w:pPr>
        <w:rPr>
          <w:szCs w:val="32"/>
        </w:rPr>
      </w:pPr>
    </w:p>
    <w:p w14:paraId="797BD982" w14:textId="77777777" w:rsidR="006C74CE" w:rsidRDefault="006C74CE" w:rsidP="006C74CE">
      <w:pPr>
        <w:ind w:left="432"/>
        <w:rPr>
          <w:szCs w:val="28"/>
        </w:rPr>
      </w:pPr>
      <w:r>
        <w:rPr>
          <w:szCs w:val="28"/>
        </w:rPr>
        <w:t xml:space="preserve">The above </w:t>
      </w:r>
      <w:r w:rsidRPr="005F1EDB">
        <w:rPr>
          <w:szCs w:val="28"/>
        </w:rPr>
        <w:t>Design, Equipment, Work Practice, and Operational Standards</w:t>
      </w:r>
      <w:r>
        <w:rPr>
          <w:szCs w:val="28"/>
        </w:rPr>
        <w:t xml:space="preserve"> will limit emissions of all regulated pollutants, including particulate matter.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w:t>
      </w:r>
      <w:r>
        <w:rPr>
          <w:szCs w:val="28"/>
        </w:rPr>
        <w:t>having available</w:t>
      </w:r>
      <w:r w:rsidRPr="00F43DF3">
        <w:rPr>
          <w:szCs w:val="28"/>
        </w:rPr>
        <w:t xml:space="preserve"> onsite at all times</w:t>
      </w:r>
      <w:r>
        <w:rPr>
          <w:szCs w:val="28"/>
        </w:rPr>
        <w:t xml:space="preserve"> constitutes an available and technically feasible strategy to limit particulate matter emissions</w:t>
      </w:r>
      <w:r w:rsidRPr="00F43DF3">
        <w:rPr>
          <w:szCs w:val="28"/>
        </w:rPr>
        <w:t>.</w:t>
      </w:r>
    </w:p>
    <w:bookmarkEnd w:id="38"/>
    <w:p w14:paraId="1F544C4F" w14:textId="77777777" w:rsidR="006C74CE" w:rsidRPr="00F43DF3" w:rsidRDefault="006C74CE" w:rsidP="006C74CE"/>
    <w:p w14:paraId="000044C0" w14:textId="77777777" w:rsidR="006C74CE" w:rsidRPr="00F43DF3" w:rsidRDefault="006C74CE" w:rsidP="006C74CE">
      <w:pPr>
        <w:ind w:left="432"/>
        <w:rPr>
          <w:b/>
          <w:bCs/>
        </w:rPr>
      </w:pPr>
      <w:r w:rsidRPr="00F43DF3">
        <w:rPr>
          <w:b/>
          <w:bCs/>
        </w:rPr>
        <w:t>Step 3: Rank Remaining Control Technologies by Control Effectiveness</w:t>
      </w:r>
    </w:p>
    <w:p w14:paraId="255A2942" w14:textId="77777777" w:rsidR="006C74CE" w:rsidRPr="00F43DF3" w:rsidRDefault="006C74CE" w:rsidP="006C74CE">
      <w:pPr>
        <w:ind w:left="432"/>
        <w:rPr>
          <w:b/>
          <w:bCs/>
        </w:rPr>
      </w:pPr>
    </w:p>
    <w:p w14:paraId="0EED829A" w14:textId="1855A9CE" w:rsidR="006C74CE" w:rsidRDefault="006C74CE" w:rsidP="006C74CE">
      <w:pPr>
        <w:ind w:left="432"/>
      </w:pPr>
      <w:r>
        <w:t xml:space="preserve">The remaining control options are identified and ranked by control effectiveness below.  Control efficiencies are shown for a baghouse and the existing baseline afterburner.  All other control strategies are shown equivalent to one another with a ranking of “3”. </w:t>
      </w:r>
    </w:p>
    <w:p w14:paraId="48B802FF" w14:textId="77777777" w:rsidR="006C74CE" w:rsidRDefault="006C74CE" w:rsidP="006C74CE">
      <w:pPr>
        <w:ind w:left="432"/>
      </w:pPr>
    </w:p>
    <w:tbl>
      <w:tblPr>
        <w:tblStyle w:val="TableGrid"/>
        <w:tblW w:w="0" w:type="auto"/>
        <w:tblInd w:w="558" w:type="dxa"/>
        <w:tblLook w:val="04A0" w:firstRow="1" w:lastRow="0" w:firstColumn="1" w:lastColumn="0" w:noHBand="0" w:noVBand="1"/>
      </w:tblPr>
      <w:tblGrid>
        <w:gridCol w:w="6218"/>
        <w:gridCol w:w="2574"/>
      </w:tblGrid>
      <w:tr w:rsidR="006C74CE" w:rsidRPr="00F43DF3" w14:paraId="248EF2E6" w14:textId="77777777" w:rsidTr="00F87942">
        <w:tc>
          <w:tcPr>
            <w:tcW w:w="6218" w:type="dxa"/>
          </w:tcPr>
          <w:p w14:paraId="042836F9" w14:textId="77777777" w:rsidR="006C74CE" w:rsidRPr="00F43DF3" w:rsidRDefault="006C74CE" w:rsidP="006A3276">
            <w:pPr>
              <w:jc w:val="center"/>
              <w:rPr>
                <w:b/>
                <w:bCs/>
                <w:szCs w:val="40"/>
              </w:rPr>
            </w:pPr>
            <w:bookmarkStart w:id="40" w:name="_Hlk223874119"/>
            <w:r w:rsidRPr="00F43DF3">
              <w:rPr>
                <w:b/>
                <w:bCs/>
                <w:szCs w:val="40"/>
              </w:rPr>
              <w:t>Technology</w:t>
            </w:r>
          </w:p>
        </w:tc>
        <w:tc>
          <w:tcPr>
            <w:tcW w:w="2574" w:type="dxa"/>
          </w:tcPr>
          <w:p w14:paraId="15D196B2" w14:textId="77777777" w:rsidR="006C74CE" w:rsidRPr="00F43DF3" w:rsidRDefault="006C74CE" w:rsidP="006A3276">
            <w:pPr>
              <w:jc w:val="center"/>
              <w:rPr>
                <w:b/>
                <w:bCs/>
                <w:szCs w:val="48"/>
              </w:rPr>
            </w:pPr>
            <w:r w:rsidRPr="00F43DF3">
              <w:rPr>
                <w:b/>
                <w:bCs/>
                <w:szCs w:val="48"/>
              </w:rPr>
              <w:t>Control Efficiency (%)</w:t>
            </w:r>
            <w:r>
              <w:rPr>
                <w:b/>
                <w:bCs/>
                <w:szCs w:val="48"/>
              </w:rPr>
              <w:t xml:space="preserve"> and Rank</w:t>
            </w:r>
          </w:p>
        </w:tc>
      </w:tr>
      <w:tr w:rsidR="006C74CE" w:rsidRPr="00F43DF3" w14:paraId="03C27A79" w14:textId="77777777" w:rsidTr="00F87942">
        <w:tc>
          <w:tcPr>
            <w:tcW w:w="6218" w:type="dxa"/>
          </w:tcPr>
          <w:p w14:paraId="1B0918EE" w14:textId="77777777" w:rsidR="006C74CE" w:rsidRPr="00F43DF3" w:rsidRDefault="006C74CE" w:rsidP="006A3276">
            <w:pPr>
              <w:rPr>
                <w:szCs w:val="40"/>
              </w:rPr>
            </w:pPr>
            <w:r w:rsidRPr="00F43DF3">
              <w:rPr>
                <w:szCs w:val="40"/>
              </w:rPr>
              <w:t>Baghouse</w:t>
            </w:r>
          </w:p>
        </w:tc>
        <w:tc>
          <w:tcPr>
            <w:tcW w:w="2574" w:type="dxa"/>
          </w:tcPr>
          <w:p w14:paraId="470E1EDA" w14:textId="77777777" w:rsidR="006C74CE" w:rsidRPr="00F43DF3" w:rsidRDefault="006C74CE" w:rsidP="006A3276">
            <w:pPr>
              <w:jc w:val="center"/>
              <w:rPr>
                <w:szCs w:val="48"/>
              </w:rPr>
            </w:pPr>
            <w:r>
              <w:rPr>
                <w:szCs w:val="48"/>
              </w:rPr>
              <w:t xml:space="preserve">1, </w:t>
            </w:r>
            <w:r w:rsidRPr="00F43DF3">
              <w:rPr>
                <w:szCs w:val="48"/>
              </w:rPr>
              <w:t>99+</w:t>
            </w:r>
          </w:p>
        </w:tc>
      </w:tr>
      <w:tr w:rsidR="006C74CE" w:rsidRPr="00F43DF3" w14:paraId="186BE48C" w14:textId="77777777" w:rsidTr="00F87942">
        <w:tc>
          <w:tcPr>
            <w:tcW w:w="6218" w:type="dxa"/>
          </w:tcPr>
          <w:p w14:paraId="56E12F4D" w14:textId="77777777" w:rsidR="006C74CE" w:rsidRPr="00F43DF3" w:rsidRDefault="006C74CE" w:rsidP="006A3276">
            <w:pPr>
              <w:rPr>
                <w:szCs w:val="40"/>
              </w:rPr>
            </w:pPr>
            <w:bookmarkStart w:id="41" w:name="_Hlk189490619"/>
            <w:r w:rsidRPr="00F43DF3">
              <w:rPr>
                <w:szCs w:val="40"/>
              </w:rPr>
              <w:t xml:space="preserve">Afterburner </w:t>
            </w:r>
            <w:bookmarkEnd w:id="41"/>
            <w:r>
              <w:rPr>
                <w:szCs w:val="40"/>
              </w:rPr>
              <w:t>(Baseline)</w:t>
            </w:r>
          </w:p>
        </w:tc>
        <w:tc>
          <w:tcPr>
            <w:tcW w:w="2574" w:type="dxa"/>
          </w:tcPr>
          <w:p w14:paraId="17E0716B" w14:textId="77777777" w:rsidR="006C74CE" w:rsidRPr="00F43DF3" w:rsidRDefault="006C74CE" w:rsidP="006A3276">
            <w:pPr>
              <w:jc w:val="center"/>
              <w:rPr>
                <w:szCs w:val="48"/>
              </w:rPr>
            </w:pPr>
            <w:r>
              <w:rPr>
                <w:szCs w:val="48"/>
              </w:rPr>
              <w:t xml:space="preserve">2, </w:t>
            </w:r>
            <w:r w:rsidRPr="00F43DF3">
              <w:rPr>
                <w:szCs w:val="48"/>
              </w:rPr>
              <w:t>98</w:t>
            </w:r>
          </w:p>
        </w:tc>
      </w:tr>
      <w:tr w:rsidR="006C74CE" w:rsidRPr="00F43DF3" w14:paraId="53266BF1" w14:textId="77777777" w:rsidTr="00F87942">
        <w:tc>
          <w:tcPr>
            <w:tcW w:w="6218" w:type="dxa"/>
          </w:tcPr>
          <w:p w14:paraId="7E2B9E0E" w14:textId="77777777" w:rsidR="006C74CE" w:rsidRPr="007B2B7C" w:rsidRDefault="006C74CE" w:rsidP="006A3276">
            <w:pPr>
              <w:rPr>
                <w:szCs w:val="32"/>
              </w:rPr>
            </w:pPr>
            <w:r>
              <w:rPr>
                <w:szCs w:val="32"/>
              </w:rPr>
              <w:t>Pipeline Quality natural gas or propane</w:t>
            </w:r>
          </w:p>
        </w:tc>
        <w:tc>
          <w:tcPr>
            <w:tcW w:w="2574" w:type="dxa"/>
          </w:tcPr>
          <w:p w14:paraId="6A5B7F10" w14:textId="77777777" w:rsidR="006C74CE" w:rsidRDefault="006C74CE" w:rsidP="006A3276">
            <w:pPr>
              <w:jc w:val="center"/>
              <w:rPr>
                <w:szCs w:val="48"/>
              </w:rPr>
            </w:pPr>
            <w:r>
              <w:rPr>
                <w:szCs w:val="48"/>
              </w:rPr>
              <w:t>3</w:t>
            </w:r>
          </w:p>
        </w:tc>
      </w:tr>
      <w:tr w:rsidR="006C74CE" w:rsidRPr="00F43DF3" w14:paraId="2F9B7A02" w14:textId="77777777" w:rsidTr="00F87942">
        <w:tc>
          <w:tcPr>
            <w:tcW w:w="6218" w:type="dxa"/>
          </w:tcPr>
          <w:p w14:paraId="0407E24F" w14:textId="77777777" w:rsidR="006C74CE" w:rsidRPr="007B2B7C" w:rsidRDefault="006C74CE" w:rsidP="006A3276">
            <w:pPr>
              <w:rPr>
                <w:szCs w:val="32"/>
              </w:rPr>
            </w:pPr>
            <w:r w:rsidRPr="00502001">
              <w:rPr>
                <w:szCs w:val="32"/>
              </w:rPr>
              <w:t>Only incinerate/cremate human and animal remains and any corresponding container unless approved in writing by DEQ</w:t>
            </w:r>
          </w:p>
        </w:tc>
        <w:tc>
          <w:tcPr>
            <w:tcW w:w="2574" w:type="dxa"/>
          </w:tcPr>
          <w:p w14:paraId="3D819770" w14:textId="77777777" w:rsidR="006C74CE" w:rsidRDefault="006C74CE" w:rsidP="006A3276">
            <w:pPr>
              <w:jc w:val="center"/>
              <w:rPr>
                <w:szCs w:val="48"/>
              </w:rPr>
            </w:pPr>
            <w:r>
              <w:rPr>
                <w:szCs w:val="48"/>
              </w:rPr>
              <w:t>3</w:t>
            </w:r>
          </w:p>
        </w:tc>
      </w:tr>
      <w:tr w:rsidR="006C74CE" w:rsidRPr="00F43DF3" w14:paraId="6D8A6DDB" w14:textId="77777777" w:rsidTr="00F87942">
        <w:tc>
          <w:tcPr>
            <w:tcW w:w="6218" w:type="dxa"/>
          </w:tcPr>
          <w:p w14:paraId="7AA45BCA" w14:textId="77777777" w:rsidR="006C74CE" w:rsidRDefault="006C74CE" w:rsidP="006A3276">
            <w:pPr>
              <w:rPr>
                <w:szCs w:val="32"/>
              </w:rPr>
            </w:pPr>
            <w:r w:rsidRPr="007B2B7C">
              <w:rPr>
                <w:szCs w:val="32"/>
              </w:rPr>
              <w:t xml:space="preserve">Preheating of the secondary chamber to a minimum temperature </w:t>
            </w:r>
            <w:r>
              <w:rPr>
                <w:szCs w:val="32"/>
              </w:rPr>
              <w:t>1500</w:t>
            </w:r>
            <w:r w:rsidRPr="007B2B7C">
              <w:rPr>
                <w:szCs w:val="32"/>
              </w:rPr>
              <w:t xml:space="preserve"> F prior to feed introduction in the primary chamber</w:t>
            </w:r>
          </w:p>
        </w:tc>
        <w:tc>
          <w:tcPr>
            <w:tcW w:w="2574" w:type="dxa"/>
          </w:tcPr>
          <w:p w14:paraId="0E625603" w14:textId="77777777" w:rsidR="006C74CE" w:rsidRDefault="006C74CE" w:rsidP="006A3276">
            <w:pPr>
              <w:jc w:val="center"/>
              <w:rPr>
                <w:szCs w:val="48"/>
              </w:rPr>
            </w:pPr>
            <w:r>
              <w:rPr>
                <w:szCs w:val="48"/>
              </w:rPr>
              <w:t>3</w:t>
            </w:r>
          </w:p>
        </w:tc>
      </w:tr>
      <w:tr w:rsidR="006C74CE" w:rsidRPr="00F43DF3" w14:paraId="60F21364" w14:textId="77777777" w:rsidTr="00F87942">
        <w:tc>
          <w:tcPr>
            <w:tcW w:w="6218" w:type="dxa"/>
          </w:tcPr>
          <w:p w14:paraId="72A5504F" w14:textId="77777777" w:rsidR="006C74CE" w:rsidRDefault="006C74CE" w:rsidP="006A3276">
            <w:pPr>
              <w:rPr>
                <w:szCs w:val="32"/>
              </w:rPr>
            </w:pPr>
            <w:r w:rsidRPr="006D29DF">
              <w:rPr>
                <w:szCs w:val="32"/>
              </w:rPr>
              <w:t>Both the primary and secondary chamber shall each have their own individual burner</w:t>
            </w:r>
          </w:p>
        </w:tc>
        <w:tc>
          <w:tcPr>
            <w:tcW w:w="2574" w:type="dxa"/>
          </w:tcPr>
          <w:p w14:paraId="4B06DA50" w14:textId="77777777" w:rsidR="006C74CE" w:rsidRDefault="006C74CE" w:rsidP="006A3276">
            <w:pPr>
              <w:jc w:val="center"/>
              <w:rPr>
                <w:szCs w:val="48"/>
              </w:rPr>
            </w:pPr>
            <w:r>
              <w:rPr>
                <w:szCs w:val="48"/>
              </w:rPr>
              <w:t>3</w:t>
            </w:r>
          </w:p>
        </w:tc>
      </w:tr>
      <w:tr w:rsidR="006C74CE" w:rsidRPr="00F43DF3" w14:paraId="49FCBC80" w14:textId="77777777" w:rsidTr="00F87942">
        <w:tc>
          <w:tcPr>
            <w:tcW w:w="6218" w:type="dxa"/>
          </w:tcPr>
          <w:p w14:paraId="41DEC57C" w14:textId="77777777" w:rsidR="006C74CE" w:rsidRDefault="006C74CE" w:rsidP="006A3276">
            <w:pPr>
              <w:rPr>
                <w:szCs w:val="32"/>
              </w:rPr>
            </w:pPr>
            <w:r w:rsidRPr="006D29DF">
              <w:rPr>
                <w:szCs w:val="32"/>
              </w:rPr>
              <w:t xml:space="preserve">Maintaining a minimum hourly average secondary combustion chamber temperature </w:t>
            </w:r>
            <w:r>
              <w:rPr>
                <w:szCs w:val="32"/>
              </w:rPr>
              <w:t>of 1500 F</w:t>
            </w:r>
            <w:r w:rsidRPr="006D29DF">
              <w:rPr>
                <w:szCs w:val="32"/>
              </w:rPr>
              <w:t xml:space="preserve"> with </w:t>
            </w:r>
            <w:r>
              <w:rPr>
                <w:szCs w:val="32"/>
              </w:rPr>
              <w:t>no</w:t>
            </w:r>
            <w:r w:rsidRPr="006D29DF">
              <w:rPr>
                <w:szCs w:val="32"/>
              </w:rPr>
              <w:t xml:space="preserve"> single occurrence lower </w:t>
            </w:r>
            <w:r>
              <w:rPr>
                <w:szCs w:val="32"/>
              </w:rPr>
              <w:t>than 1450 F</w:t>
            </w:r>
          </w:p>
        </w:tc>
        <w:tc>
          <w:tcPr>
            <w:tcW w:w="2574" w:type="dxa"/>
          </w:tcPr>
          <w:p w14:paraId="1A4AFDF1" w14:textId="77777777" w:rsidR="006C74CE" w:rsidRDefault="006C74CE" w:rsidP="006A3276">
            <w:pPr>
              <w:jc w:val="center"/>
              <w:rPr>
                <w:szCs w:val="48"/>
              </w:rPr>
            </w:pPr>
            <w:r>
              <w:rPr>
                <w:szCs w:val="48"/>
              </w:rPr>
              <w:t>3</w:t>
            </w:r>
          </w:p>
        </w:tc>
      </w:tr>
      <w:tr w:rsidR="006C74CE" w:rsidRPr="00F43DF3" w14:paraId="4E0DAC94" w14:textId="77777777" w:rsidTr="00F87942">
        <w:tc>
          <w:tcPr>
            <w:tcW w:w="6218" w:type="dxa"/>
          </w:tcPr>
          <w:p w14:paraId="7FD84BF2" w14:textId="77777777" w:rsidR="006C74CE" w:rsidRDefault="006C74CE" w:rsidP="006A3276">
            <w:pPr>
              <w:rPr>
                <w:szCs w:val="32"/>
              </w:rPr>
            </w:pPr>
            <w:r>
              <w:rPr>
                <w:szCs w:val="32"/>
              </w:rPr>
              <w:t>Maintaining the secondary combustion chamber temperature setpoint, for 30 minutes after waste feed has stopped</w:t>
            </w:r>
          </w:p>
        </w:tc>
        <w:tc>
          <w:tcPr>
            <w:tcW w:w="2574" w:type="dxa"/>
          </w:tcPr>
          <w:p w14:paraId="27E66DC3" w14:textId="77777777" w:rsidR="006C74CE" w:rsidRDefault="006C74CE" w:rsidP="006A3276">
            <w:pPr>
              <w:jc w:val="center"/>
              <w:rPr>
                <w:szCs w:val="48"/>
              </w:rPr>
            </w:pPr>
            <w:r>
              <w:rPr>
                <w:szCs w:val="48"/>
              </w:rPr>
              <w:t>3</w:t>
            </w:r>
          </w:p>
        </w:tc>
      </w:tr>
      <w:bookmarkEnd w:id="40"/>
    </w:tbl>
    <w:p w14:paraId="7DA28254" w14:textId="77777777" w:rsidR="006C74CE" w:rsidRDefault="006C74CE" w:rsidP="006C74CE">
      <w:pPr>
        <w:ind w:left="432"/>
      </w:pPr>
    </w:p>
    <w:p w14:paraId="5E6EC52D" w14:textId="77777777" w:rsidR="006C74CE" w:rsidRPr="00F43DF3" w:rsidRDefault="006C74CE" w:rsidP="006C74CE">
      <w:pPr>
        <w:ind w:left="432"/>
        <w:rPr>
          <w:b/>
          <w:bCs/>
        </w:rPr>
      </w:pPr>
      <w:r w:rsidRPr="00F43DF3">
        <w:rPr>
          <w:b/>
          <w:bCs/>
        </w:rPr>
        <w:t xml:space="preserve">Step 4: Evaluate Most Effective Controls and Document Results </w:t>
      </w:r>
    </w:p>
    <w:p w14:paraId="5A8F4881" w14:textId="77777777" w:rsidR="006C74CE" w:rsidRPr="00F43DF3" w:rsidRDefault="006C74CE" w:rsidP="006C74CE"/>
    <w:p w14:paraId="45DD720D" w14:textId="66ED33D2" w:rsidR="006C74CE" w:rsidRDefault="006C74CE" w:rsidP="006C74CE">
      <w:pPr>
        <w:ind w:left="432"/>
        <w:rPr>
          <w:szCs w:val="32"/>
        </w:rPr>
      </w:pPr>
      <w:bookmarkStart w:id="42" w:name="_Hlk223879151"/>
      <w:r>
        <w:rPr>
          <w:szCs w:val="32"/>
        </w:rPr>
        <w:t xml:space="preserve">Baghouse. As discussed in the Emission Inventory section presented </w:t>
      </w:r>
      <w:r w:rsidR="00734F42">
        <w:rPr>
          <w:szCs w:val="32"/>
        </w:rPr>
        <w:t>later</w:t>
      </w:r>
      <w:r>
        <w:rPr>
          <w:szCs w:val="32"/>
        </w:rPr>
        <w:t>, there would be an estimated 0.</w:t>
      </w:r>
      <w:r w:rsidR="00734F42">
        <w:rPr>
          <w:szCs w:val="32"/>
        </w:rPr>
        <w:t>52</w:t>
      </w:r>
      <w:r>
        <w:rPr>
          <w:szCs w:val="32"/>
        </w:rPr>
        <w:t xml:space="preserve"> tons per year of PM emitted from </w:t>
      </w:r>
      <w:r w:rsidR="00A50E45">
        <w:rPr>
          <w:szCs w:val="32"/>
        </w:rPr>
        <w:t>the proposed</w:t>
      </w:r>
      <w:r>
        <w:rPr>
          <w:szCs w:val="32"/>
        </w:rPr>
        <w:t xml:space="preserve"> crematorium unit. </w:t>
      </w:r>
      <w:r w:rsidR="00E813A2">
        <w:rPr>
          <w:szCs w:val="32"/>
        </w:rPr>
        <w:t xml:space="preserve">DEQ’s research </w:t>
      </w:r>
      <w:r>
        <w:rPr>
          <w:szCs w:val="32"/>
        </w:rPr>
        <w:t xml:space="preserve">determined for a similarly sized unit that a baghouse would cost $17,448 per ton of PM removed. Based on this determination, baghouse control is deemed not to be cost effective and is eliminated from further consideration. </w:t>
      </w:r>
    </w:p>
    <w:p w14:paraId="5B6D39DB" w14:textId="77777777" w:rsidR="006C74CE" w:rsidRDefault="006C74CE" w:rsidP="006C74CE">
      <w:pPr>
        <w:ind w:left="432"/>
        <w:rPr>
          <w:szCs w:val="32"/>
        </w:rPr>
      </w:pPr>
    </w:p>
    <w:p w14:paraId="08517E4C" w14:textId="77777777" w:rsidR="006C74CE" w:rsidRDefault="006C74CE" w:rsidP="006C74CE">
      <w:pPr>
        <w:ind w:left="432"/>
        <w:rPr>
          <w:szCs w:val="32"/>
        </w:rPr>
      </w:pPr>
      <w:bookmarkStart w:id="43" w:name="_Hlk223868045"/>
      <w:r>
        <w:t>Natural Gas or Propane Fuel Only. When firing natural gas or propane, p</w:t>
      </w:r>
      <w:r w:rsidRPr="00F43DF3">
        <w:rPr>
          <w:szCs w:val="32"/>
        </w:rPr>
        <w:t xml:space="preserve">otential emissions of all regulated pollutants, including </w:t>
      </w:r>
      <w:r>
        <w:rPr>
          <w:szCs w:val="32"/>
        </w:rPr>
        <w:t>particulate matter are less than if other higher molecular weight fuels were being combusted.  Emission factors for PM generation are much lower with fuels such as natural gas and propane as compared to any other higher molecular weight carbon-based fuel.</w:t>
      </w:r>
    </w:p>
    <w:p w14:paraId="3966E720" w14:textId="77777777" w:rsidR="006C74CE" w:rsidRDefault="006C74CE" w:rsidP="006C74CE">
      <w:pPr>
        <w:ind w:left="432"/>
        <w:rPr>
          <w:szCs w:val="32"/>
        </w:rPr>
      </w:pPr>
    </w:p>
    <w:p w14:paraId="3BBD9556" w14:textId="77777777" w:rsidR="006C74CE" w:rsidRDefault="006C74CE" w:rsidP="006C74CE">
      <w:pPr>
        <w:ind w:left="432"/>
        <w:rPr>
          <w:szCs w:val="32"/>
        </w:rPr>
      </w:pPr>
      <w:r>
        <w:rPr>
          <w:szCs w:val="32"/>
        </w:rPr>
        <w:lastRenderedPageBreak/>
        <w:t>O</w:t>
      </w:r>
      <w:r w:rsidRPr="002A232A">
        <w:rPr>
          <w:szCs w:val="32"/>
        </w:rPr>
        <w:t>nly incinerate/cremate human and animal remains and any corresponding container unless approved in writing by DEQ</w:t>
      </w:r>
      <w:r>
        <w:rPr>
          <w:szCs w:val="32"/>
        </w:rPr>
        <w:t>. Preventing the combustion of waste that may generate higher levels of PM is necessary to protect the established PM loading limit, as highlighted below.</w:t>
      </w:r>
    </w:p>
    <w:p w14:paraId="7316CE7E" w14:textId="77777777" w:rsidR="006C74CE" w:rsidRDefault="006C74CE" w:rsidP="006C74CE">
      <w:pPr>
        <w:ind w:left="432"/>
        <w:rPr>
          <w:szCs w:val="32"/>
        </w:rPr>
      </w:pPr>
    </w:p>
    <w:p w14:paraId="4CFCB833" w14:textId="77777777" w:rsidR="006C74CE" w:rsidRPr="00EB7DFA" w:rsidRDefault="006C74CE" w:rsidP="006C74CE">
      <w:pPr>
        <w:ind w:left="432"/>
        <w:rPr>
          <w:szCs w:val="32"/>
        </w:rPr>
      </w:pPr>
      <w:bookmarkStart w:id="44" w:name="_Hlk223936844"/>
      <w:r w:rsidRPr="00EB7DFA">
        <w:rPr>
          <w:szCs w:val="32"/>
        </w:rPr>
        <w:t>Visible Opacity Less than 10% over Six Minutes</w:t>
      </w:r>
      <w:r>
        <w:rPr>
          <w:szCs w:val="32"/>
        </w:rPr>
        <w:t xml:space="preserve">. Demonstration of opacity below this level assures that proper combustion is occurring. </w:t>
      </w:r>
      <w:r w:rsidRPr="00EB7DFA">
        <w:rPr>
          <w:szCs w:val="32"/>
        </w:rPr>
        <w:t xml:space="preserve">PM </w:t>
      </w:r>
      <w:r>
        <w:rPr>
          <w:szCs w:val="32"/>
        </w:rPr>
        <w:t xml:space="preserve">emissions </w:t>
      </w:r>
      <w:r w:rsidRPr="00EB7DFA">
        <w:rPr>
          <w:szCs w:val="32"/>
        </w:rPr>
        <w:t>less than 0.10 gr/scf corrected to 12% CO</w:t>
      </w:r>
      <w:r w:rsidRPr="00930481">
        <w:rPr>
          <w:szCs w:val="32"/>
          <w:vertAlign w:val="subscript"/>
        </w:rPr>
        <w:t>2</w:t>
      </w:r>
      <w:r>
        <w:rPr>
          <w:szCs w:val="32"/>
          <w:vertAlign w:val="subscript"/>
        </w:rPr>
        <w:t xml:space="preserve">. </w:t>
      </w:r>
      <w:r>
        <w:rPr>
          <w:szCs w:val="32"/>
        </w:rPr>
        <w:t>assures that proper combustion is occurring.</w:t>
      </w:r>
    </w:p>
    <w:bookmarkEnd w:id="44"/>
    <w:p w14:paraId="16336342" w14:textId="77777777" w:rsidR="006C74CE" w:rsidRPr="00EB7DFA" w:rsidRDefault="006C74CE" w:rsidP="006C74CE">
      <w:pPr>
        <w:ind w:left="432"/>
        <w:rPr>
          <w:szCs w:val="32"/>
        </w:rPr>
      </w:pPr>
    </w:p>
    <w:p w14:paraId="4C738F93" w14:textId="77777777" w:rsidR="006C74CE" w:rsidRDefault="006C74CE" w:rsidP="006C74CE">
      <w:pPr>
        <w:ind w:left="432"/>
        <w:rPr>
          <w:szCs w:val="32"/>
        </w:rPr>
      </w:pPr>
      <w:r w:rsidRPr="00EB7DFA">
        <w:rPr>
          <w:szCs w:val="32"/>
        </w:rPr>
        <w:t>Both the opacity and PM limits are required to be met</w:t>
      </w:r>
      <w:r>
        <w:rPr>
          <w:szCs w:val="32"/>
        </w:rPr>
        <w:t>.</w:t>
      </w:r>
      <w:r w:rsidRPr="00EB7DFA">
        <w:rPr>
          <w:szCs w:val="32"/>
        </w:rPr>
        <w:t xml:space="preserve"> </w:t>
      </w:r>
      <w:r>
        <w:rPr>
          <w:szCs w:val="32"/>
        </w:rPr>
        <w:t>W</w:t>
      </w:r>
      <w:r w:rsidRPr="00EB7DFA">
        <w:rPr>
          <w:szCs w:val="32"/>
        </w:rPr>
        <w:t xml:space="preserve">ith proper operation and design of the crematory, </w:t>
      </w:r>
      <w:r>
        <w:rPr>
          <w:szCs w:val="32"/>
        </w:rPr>
        <w:t xml:space="preserve">it is expected </w:t>
      </w:r>
      <w:r w:rsidRPr="00EB7DFA">
        <w:rPr>
          <w:szCs w:val="32"/>
        </w:rPr>
        <w:t xml:space="preserve">the opacity and PM </w:t>
      </w:r>
      <w:r>
        <w:rPr>
          <w:szCs w:val="32"/>
        </w:rPr>
        <w:t>limits would</w:t>
      </w:r>
      <w:r w:rsidRPr="00EB7DFA">
        <w:rPr>
          <w:szCs w:val="32"/>
        </w:rPr>
        <w:t xml:space="preserve"> be achieved.</w:t>
      </w:r>
    </w:p>
    <w:p w14:paraId="0857E7E0" w14:textId="77777777" w:rsidR="006C74CE" w:rsidRDefault="006C74CE" w:rsidP="006C74CE">
      <w:pPr>
        <w:rPr>
          <w:szCs w:val="32"/>
        </w:rPr>
      </w:pPr>
    </w:p>
    <w:p w14:paraId="2F673E50" w14:textId="77777777" w:rsidR="006C74CE" w:rsidRPr="00C37A65" w:rsidRDefault="006C74CE" w:rsidP="006C74CE">
      <w:pPr>
        <w:ind w:left="432"/>
      </w:pPr>
      <w:r w:rsidRPr="00C37A65">
        <w:t>Under the category of Design, Equipment, Work Practice, and Operational Standards the following strategies</w:t>
      </w:r>
      <w:r>
        <w:t xml:space="preserve"> work together to prevent excessive PM formation.</w:t>
      </w:r>
    </w:p>
    <w:p w14:paraId="26CE56E9" w14:textId="77777777" w:rsidR="006C74CE" w:rsidRPr="00F666B7" w:rsidRDefault="006C74CE" w:rsidP="00F826F2">
      <w:pPr>
        <w:pStyle w:val="ListParagraph"/>
        <w:numPr>
          <w:ilvl w:val="0"/>
          <w:numId w:val="67"/>
        </w:numPr>
      </w:pPr>
      <w:r w:rsidRPr="00F666B7">
        <w:t xml:space="preserve">Preheating of the secondary chamber to a minimum temperature </w:t>
      </w:r>
      <w:r>
        <w:t>of 1500</w:t>
      </w:r>
      <w:r w:rsidRPr="00F666B7">
        <w:t xml:space="preserve"> ºF prior to feed introduction in the primary chamber</w:t>
      </w:r>
    </w:p>
    <w:p w14:paraId="54E8E5EF" w14:textId="77777777" w:rsidR="006C74CE" w:rsidRPr="00F666B7" w:rsidRDefault="006C74CE" w:rsidP="00F826F2">
      <w:pPr>
        <w:pStyle w:val="ListParagraph"/>
        <w:numPr>
          <w:ilvl w:val="0"/>
          <w:numId w:val="67"/>
        </w:numPr>
      </w:pPr>
      <w:r w:rsidRPr="00F666B7">
        <w:t>Both the primary and secondary chamber shall each have their own individual burner</w:t>
      </w:r>
    </w:p>
    <w:p w14:paraId="05C9F1FF" w14:textId="77777777" w:rsidR="006C74CE" w:rsidRPr="00F666B7" w:rsidRDefault="006C74CE" w:rsidP="00F826F2">
      <w:pPr>
        <w:pStyle w:val="ListParagraph"/>
        <w:numPr>
          <w:ilvl w:val="0"/>
          <w:numId w:val="67"/>
        </w:numPr>
      </w:pPr>
      <w:r w:rsidRPr="00F666B7">
        <w:t xml:space="preserve">Maintaining a minimum hourly average secondary combustion chamber temperature </w:t>
      </w:r>
      <w:r>
        <w:t>of 1500</w:t>
      </w:r>
      <w:r w:rsidRPr="00F666B7">
        <w:t xml:space="preserve"> ºF with no single occurrence lower than 1450 ºF</w:t>
      </w:r>
    </w:p>
    <w:p w14:paraId="2F5573E4" w14:textId="77777777" w:rsidR="006C74CE" w:rsidRDefault="006C74CE" w:rsidP="00F826F2">
      <w:pPr>
        <w:pStyle w:val="ListParagraph"/>
        <w:numPr>
          <w:ilvl w:val="0"/>
          <w:numId w:val="67"/>
        </w:numPr>
      </w:pPr>
      <w:r w:rsidRPr="00282805">
        <w:t>Maintaining the secondary combustion chamber temperature setpoint, for 30 minutes after waste feed has stopped</w:t>
      </w:r>
      <w:r w:rsidRPr="00282805" w:rsidDel="00282805">
        <w:t xml:space="preserve"> </w:t>
      </w:r>
    </w:p>
    <w:p w14:paraId="7C4BCAC4" w14:textId="77777777" w:rsidR="006C74CE" w:rsidRPr="00F666B7" w:rsidRDefault="006C74CE" w:rsidP="00F826F2">
      <w:pPr>
        <w:pStyle w:val="ListParagraph"/>
        <w:numPr>
          <w:ilvl w:val="0"/>
          <w:numId w:val="67"/>
        </w:numPr>
      </w:pPr>
      <w:r w:rsidRPr="00F666B7">
        <w:t>Develop operating procedures, require operating training, and have procedures on-site at the unit and have training records and documentation available upon request.</w:t>
      </w:r>
    </w:p>
    <w:bookmarkEnd w:id="42"/>
    <w:bookmarkEnd w:id="43"/>
    <w:p w14:paraId="02AEB259" w14:textId="77777777" w:rsidR="006C74CE" w:rsidRDefault="006C74CE" w:rsidP="006C74CE">
      <w:pPr>
        <w:ind w:left="432"/>
        <w:rPr>
          <w:szCs w:val="32"/>
        </w:rPr>
      </w:pPr>
    </w:p>
    <w:p w14:paraId="02FCBE9A" w14:textId="77777777" w:rsidR="006C74CE" w:rsidRDefault="006C74CE" w:rsidP="006C74CE">
      <w:pPr>
        <w:ind w:left="432"/>
        <w:rPr>
          <w:szCs w:val="32"/>
        </w:rPr>
      </w:pPr>
      <w:r>
        <w:rPr>
          <w:szCs w:val="32"/>
        </w:rPr>
        <w:t>Afterburner (Baseline).  Because the integral afterburner is already providing a high destruction efficiency for the PM and off-gases entering from the primary combustion chamber, limited amount of additional PM destruction is possible. The cost of the integral afterburner is included in the cost of the cremation unit and all operating cremation units in Montana are required to have a secondary combustion chamber.</w:t>
      </w:r>
    </w:p>
    <w:p w14:paraId="3528CB40" w14:textId="77777777" w:rsidR="006C74CE" w:rsidRDefault="006C74CE" w:rsidP="006C74CE">
      <w:pPr>
        <w:ind w:left="432"/>
        <w:rPr>
          <w:szCs w:val="32"/>
        </w:rPr>
      </w:pPr>
    </w:p>
    <w:p w14:paraId="790A34A7" w14:textId="77777777" w:rsidR="006C74CE" w:rsidRDefault="006C74CE" w:rsidP="006C74CE">
      <w:pPr>
        <w:ind w:left="432"/>
        <w:rPr>
          <w:szCs w:val="32"/>
        </w:rPr>
      </w:pPr>
      <w:r>
        <w:rPr>
          <w:szCs w:val="32"/>
        </w:rPr>
        <w:t>All of the above items, including each of the above bulleted items, under Design, Equipment, Work Practice and Operational standards provides for strategies that each serve to maximize the effectiveness of the integral secondary combustion chamber and therefore remain on the list to be carried forward to Step 5.</w:t>
      </w:r>
    </w:p>
    <w:p w14:paraId="1792DE23"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32"/>
        </w:rPr>
      </w:pPr>
    </w:p>
    <w:p w14:paraId="786094BE" w14:textId="77777777" w:rsidR="006C74CE" w:rsidRPr="00F43DF3" w:rsidRDefault="006C74CE" w:rsidP="006C74CE">
      <w:pPr>
        <w:ind w:left="432"/>
        <w:rPr>
          <w:b/>
          <w:bCs/>
          <w:szCs w:val="32"/>
        </w:rPr>
      </w:pPr>
      <w:r w:rsidRPr="00F43DF3">
        <w:rPr>
          <w:b/>
          <w:bCs/>
          <w:szCs w:val="32"/>
        </w:rPr>
        <w:t>Step 5: Identify BACT</w:t>
      </w:r>
    </w:p>
    <w:p w14:paraId="2C37276C" w14:textId="77777777" w:rsidR="006C74CE" w:rsidRPr="00F43DF3" w:rsidRDefault="006C74CE" w:rsidP="006C74CE">
      <w:pPr>
        <w:ind w:left="432"/>
        <w:rPr>
          <w:szCs w:val="32"/>
        </w:rPr>
      </w:pPr>
    </w:p>
    <w:p w14:paraId="5AF03160" w14:textId="77777777" w:rsidR="006C74CE" w:rsidRPr="00F43DF3" w:rsidRDefault="006C74CE" w:rsidP="006C74CE">
      <w:pPr>
        <w:ind w:left="432"/>
        <w:rPr>
          <w:szCs w:val="32"/>
        </w:rPr>
      </w:pPr>
      <w:r>
        <w:rPr>
          <w:szCs w:val="28"/>
        </w:rPr>
        <w:t xml:space="preserve">The BACT analysis assumes that a facility </w:t>
      </w:r>
      <w:r w:rsidRPr="00F43DF3">
        <w:rPr>
          <w:szCs w:val="32"/>
        </w:rPr>
        <w:t xml:space="preserve">proposes to install and operate a crematorium equipped with a secondary chamber designed specifically to reduce the amount of pollutants, including PM, emitted by the incinerator. Previous research done by DEQ, including similar BACT analyses for crematoriums, have not required additional air pollution control equipment beyond the control of the secondary chamber, which maintains a stable temperature and retention of combustion gases within. </w:t>
      </w:r>
    </w:p>
    <w:p w14:paraId="4BA3133B"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32"/>
        </w:rPr>
      </w:pPr>
    </w:p>
    <w:p w14:paraId="4A2592BA"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Pr>
          <w:szCs w:val="32"/>
        </w:rPr>
        <w:t xml:space="preserve">Based on the previous four steps and these conclusions, DEQ determined that the following represents BACT. </w:t>
      </w:r>
    </w:p>
    <w:p w14:paraId="1E7AD0AD"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p>
    <w:p w14:paraId="68A42DEC" w14:textId="77777777" w:rsidR="006C74CE" w:rsidRPr="00427CA6" w:rsidRDefault="006C74CE" w:rsidP="00F826F2">
      <w:pPr>
        <w:pStyle w:val="ListParagraph"/>
        <w:numPr>
          <w:ilvl w:val="0"/>
          <w:numId w:val="63"/>
        </w:numPr>
      </w:pPr>
      <w:bookmarkStart w:id="45" w:name="_Hlk223876903"/>
      <w:r w:rsidRPr="00427CA6">
        <w:t>Shall only use pipeline quality natural gas or propane</w:t>
      </w:r>
    </w:p>
    <w:p w14:paraId="1A8B888B" w14:textId="77777777" w:rsidR="006C74CE" w:rsidRPr="00427CA6" w:rsidRDefault="006C74CE" w:rsidP="00F826F2">
      <w:pPr>
        <w:pStyle w:val="ListParagraph"/>
        <w:numPr>
          <w:ilvl w:val="0"/>
          <w:numId w:val="63"/>
        </w:numPr>
        <w:rPr>
          <w:szCs w:val="32"/>
        </w:rPr>
      </w:pPr>
      <w:r w:rsidRPr="00427CA6">
        <w:rPr>
          <w:szCs w:val="32"/>
        </w:rPr>
        <w:t>Only incinerate/cremate human and animal remains and any corresponding container unless approved in writing by DEQ</w:t>
      </w:r>
    </w:p>
    <w:p w14:paraId="45991B86" w14:textId="77777777" w:rsidR="006C74CE" w:rsidRPr="00427CA6" w:rsidRDefault="006C74CE" w:rsidP="00F826F2">
      <w:pPr>
        <w:pStyle w:val="ListParagraph"/>
        <w:numPr>
          <w:ilvl w:val="0"/>
          <w:numId w:val="63"/>
        </w:numPr>
        <w:rPr>
          <w:szCs w:val="32"/>
        </w:rPr>
      </w:pPr>
      <w:r w:rsidRPr="00427CA6">
        <w:rPr>
          <w:szCs w:val="32"/>
        </w:rPr>
        <w:lastRenderedPageBreak/>
        <w:t>Visible Opacity Less than 10% over Six Minutes</w:t>
      </w:r>
    </w:p>
    <w:p w14:paraId="2AF27B9D" w14:textId="77777777" w:rsidR="006C74CE" w:rsidRPr="00427CA6" w:rsidRDefault="006C74CE" w:rsidP="00F826F2">
      <w:pPr>
        <w:pStyle w:val="ListParagraph"/>
        <w:numPr>
          <w:ilvl w:val="0"/>
          <w:numId w:val="63"/>
        </w:numPr>
        <w:rPr>
          <w:szCs w:val="32"/>
        </w:rPr>
      </w:pPr>
      <w:r w:rsidRPr="00427CA6">
        <w:rPr>
          <w:szCs w:val="32"/>
        </w:rPr>
        <w:t xml:space="preserve">PM </w:t>
      </w:r>
      <w:r>
        <w:rPr>
          <w:szCs w:val="32"/>
        </w:rPr>
        <w:t xml:space="preserve">emissions </w:t>
      </w:r>
      <w:r w:rsidRPr="00427CA6">
        <w:rPr>
          <w:szCs w:val="32"/>
        </w:rPr>
        <w:t>less than 0.10 gr/scf corrected to 12% CO</w:t>
      </w:r>
      <w:r w:rsidRPr="00427CA6">
        <w:rPr>
          <w:szCs w:val="32"/>
          <w:vertAlign w:val="subscript"/>
        </w:rPr>
        <w:t>2</w:t>
      </w:r>
    </w:p>
    <w:p w14:paraId="337CFB0C" w14:textId="77777777" w:rsidR="006C74CE" w:rsidRDefault="006C74CE" w:rsidP="006C74CE">
      <w:pPr>
        <w:rPr>
          <w:szCs w:val="32"/>
        </w:rPr>
      </w:pPr>
    </w:p>
    <w:p w14:paraId="5CB7B9FF" w14:textId="77777777" w:rsidR="006C74CE" w:rsidRPr="00C37A65" w:rsidRDefault="006C74CE" w:rsidP="006C74CE">
      <w:pPr>
        <w:ind w:left="432"/>
      </w:pPr>
      <w:r w:rsidRPr="00C37A65">
        <w:t>Under the category of Design, Equipment, Work Practice, and Operational Standards the following strategies</w:t>
      </w:r>
      <w:r>
        <w:t xml:space="preserve"> are required.</w:t>
      </w:r>
    </w:p>
    <w:p w14:paraId="0F676626" w14:textId="77777777" w:rsidR="006C74CE" w:rsidRPr="00F666B7" w:rsidRDefault="006C74CE" w:rsidP="00F826F2">
      <w:pPr>
        <w:pStyle w:val="ListParagraph"/>
        <w:numPr>
          <w:ilvl w:val="0"/>
          <w:numId w:val="68"/>
        </w:numPr>
      </w:pPr>
      <w:r w:rsidRPr="00F666B7">
        <w:t xml:space="preserve">Preheating of the secondary chamber to a minimum temperature </w:t>
      </w:r>
      <w:r>
        <w:t>of 1500</w:t>
      </w:r>
      <w:r w:rsidRPr="00F666B7">
        <w:t xml:space="preserve"> ºF prior to feed introduction in the primary chamber</w:t>
      </w:r>
    </w:p>
    <w:p w14:paraId="0CC6729C" w14:textId="77777777" w:rsidR="006C74CE" w:rsidRPr="00F666B7" w:rsidRDefault="006C74CE" w:rsidP="00F826F2">
      <w:pPr>
        <w:pStyle w:val="ListParagraph"/>
        <w:numPr>
          <w:ilvl w:val="0"/>
          <w:numId w:val="68"/>
        </w:numPr>
      </w:pPr>
      <w:r w:rsidRPr="00F666B7">
        <w:t>Both the primary and secondary chamber shall each have their own individual burner</w:t>
      </w:r>
    </w:p>
    <w:p w14:paraId="342783FE" w14:textId="77777777" w:rsidR="006C74CE" w:rsidRPr="00F666B7" w:rsidRDefault="006C74CE" w:rsidP="00F826F2">
      <w:pPr>
        <w:pStyle w:val="ListParagraph"/>
        <w:numPr>
          <w:ilvl w:val="0"/>
          <w:numId w:val="68"/>
        </w:numPr>
      </w:pPr>
      <w:r w:rsidRPr="00F666B7">
        <w:t xml:space="preserve">Maintaining a minimum hourly average secondary combustion chamber temperature </w:t>
      </w:r>
      <w:r>
        <w:t>of 1500</w:t>
      </w:r>
      <w:r w:rsidRPr="00F666B7">
        <w:t xml:space="preserve"> ºF with no single occurrence lower than 1450 ºF</w:t>
      </w:r>
    </w:p>
    <w:p w14:paraId="6AFF7F63" w14:textId="77777777" w:rsidR="006C74CE" w:rsidRDefault="006C74CE" w:rsidP="00F826F2">
      <w:pPr>
        <w:pStyle w:val="ListParagraph"/>
        <w:numPr>
          <w:ilvl w:val="0"/>
          <w:numId w:val="68"/>
        </w:numPr>
      </w:pPr>
      <w:r w:rsidRPr="00282805">
        <w:t>Maintaining the secondary combustion chamber temperature setpoint, for 30 minutes after waste feed has stopped</w:t>
      </w:r>
      <w:r w:rsidRPr="00282805" w:rsidDel="00282805">
        <w:t xml:space="preserve"> </w:t>
      </w:r>
    </w:p>
    <w:p w14:paraId="66C6EA2E" w14:textId="77777777" w:rsidR="006C74CE" w:rsidRPr="00F666B7" w:rsidRDefault="006C74CE" w:rsidP="00F826F2">
      <w:pPr>
        <w:pStyle w:val="ListParagraph"/>
        <w:numPr>
          <w:ilvl w:val="0"/>
          <w:numId w:val="68"/>
        </w:numPr>
      </w:pPr>
      <w:r w:rsidRPr="00F666B7">
        <w:t>Shall develop operating procedures, require operating training, and have procedures on-site at the unit and have training records and documentation available upon request</w:t>
      </w:r>
    </w:p>
    <w:bookmarkEnd w:id="45"/>
    <w:p w14:paraId="7812D23B"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5181461"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sidRPr="00F43DF3">
        <w:rPr>
          <w:szCs w:val="32"/>
        </w:rPr>
        <w:t xml:space="preserve">The control options selected have controls and control costs comparable to other recently permitted similar sources and are capable of achieving the appropriate emission standards. The BACT conclusions prescribed under </w:t>
      </w:r>
      <w:r>
        <w:rPr>
          <w:szCs w:val="32"/>
        </w:rPr>
        <w:t>MAQP #5350-00</w:t>
      </w:r>
      <w:r w:rsidRPr="00F43DF3">
        <w:rPr>
          <w:szCs w:val="32"/>
        </w:rPr>
        <w:t xml:space="preserve"> provides comparable controls and control cost</w:t>
      </w:r>
      <w:r>
        <w:rPr>
          <w:szCs w:val="32"/>
        </w:rPr>
        <w:t>s</w:t>
      </w:r>
      <w:r w:rsidRPr="00F43DF3">
        <w:rPr>
          <w:szCs w:val="32"/>
        </w:rPr>
        <w:t xml:space="preserve"> to other recently permitted similar sources and are capable of achieving the appropriate emission standards.</w:t>
      </w:r>
    </w:p>
    <w:p w14:paraId="07D272EE"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F8FD5F3" w14:textId="77777777" w:rsidR="006C74CE" w:rsidRPr="00F43DF3" w:rsidRDefault="006C74CE" w:rsidP="006C74CE">
      <w:pPr>
        <w:ind w:left="432"/>
        <w:rPr>
          <w:b/>
          <w:bCs/>
          <w:szCs w:val="32"/>
          <w:u w:val="single"/>
        </w:rPr>
      </w:pPr>
      <w:r>
        <w:rPr>
          <w:b/>
          <w:bCs/>
          <w:szCs w:val="32"/>
          <w:u w:val="single"/>
        </w:rPr>
        <w:t>SO</w:t>
      </w:r>
      <w:r w:rsidRPr="000821F0">
        <w:rPr>
          <w:b/>
          <w:bCs/>
          <w:szCs w:val="32"/>
          <w:u w:val="single"/>
          <w:vertAlign w:val="subscript"/>
        </w:rPr>
        <w:t>2</w:t>
      </w:r>
      <w:r w:rsidRPr="00F43DF3">
        <w:rPr>
          <w:b/>
          <w:bCs/>
          <w:szCs w:val="32"/>
          <w:vertAlign w:val="subscript"/>
        </w:rPr>
        <w:t xml:space="preserve"> </w:t>
      </w:r>
      <w:r w:rsidRPr="00F43DF3">
        <w:rPr>
          <w:b/>
          <w:bCs/>
          <w:szCs w:val="32"/>
          <w:u w:val="single"/>
        </w:rPr>
        <w:t>BACT:</w:t>
      </w:r>
    </w:p>
    <w:p w14:paraId="3C0F9BAD" w14:textId="77777777" w:rsidR="006C74CE" w:rsidRPr="00F43DF3" w:rsidRDefault="006C74CE" w:rsidP="006C74CE">
      <w:pPr>
        <w:ind w:left="432"/>
        <w:rPr>
          <w:szCs w:val="32"/>
        </w:rPr>
      </w:pPr>
      <w:r w:rsidRPr="00F43DF3">
        <w:rPr>
          <w:szCs w:val="32"/>
        </w:rPr>
        <w:t xml:space="preserve"> </w:t>
      </w:r>
    </w:p>
    <w:p w14:paraId="3DD411DE" w14:textId="77777777" w:rsidR="006C74CE" w:rsidRPr="00F43DF3" w:rsidRDefault="006C74CE" w:rsidP="006C74CE">
      <w:pPr>
        <w:ind w:left="432"/>
        <w:rPr>
          <w:b/>
          <w:bCs/>
          <w:szCs w:val="32"/>
        </w:rPr>
      </w:pPr>
      <w:r w:rsidRPr="00F43DF3">
        <w:rPr>
          <w:b/>
          <w:bCs/>
          <w:szCs w:val="32"/>
        </w:rPr>
        <w:t>Step 1: Identify All Available Control Technologies</w:t>
      </w:r>
    </w:p>
    <w:p w14:paraId="0BBE3935" w14:textId="77777777" w:rsidR="006C74CE" w:rsidRPr="00F43DF3" w:rsidRDefault="006C74CE" w:rsidP="006C74CE">
      <w:pPr>
        <w:ind w:left="432"/>
        <w:rPr>
          <w:szCs w:val="32"/>
        </w:rPr>
      </w:pPr>
    </w:p>
    <w:p w14:paraId="1BA56BA4" w14:textId="77777777" w:rsidR="006C74CE" w:rsidRDefault="006C74CE" w:rsidP="006C74CE">
      <w:pPr>
        <w:ind w:left="432"/>
        <w:rPr>
          <w:szCs w:val="32"/>
        </w:rPr>
      </w:pPr>
      <w:r w:rsidRPr="003E0498">
        <w:rPr>
          <w:szCs w:val="32"/>
        </w:rPr>
        <w:t>By design, the proposed cremation unit will have a secondary, afterburner chamber, which will require additional fuel combustion to reach the required temperature range for crematorium operations. Therefore, because the afterburner chamber is integral and required (see BACT determination for VOC, PM, and CO</w:t>
      </w:r>
      <w:r>
        <w:rPr>
          <w:szCs w:val="32"/>
        </w:rPr>
        <w:t>)</w:t>
      </w:r>
      <w:r w:rsidRPr="003E0498">
        <w:rPr>
          <w:szCs w:val="32"/>
        </w:rPr>
        <w:t xml:space="preserve">, the control technologies for </w:t>
      </w:r>
      <w:r>
        <w:rPr>
          <w:szCs w:val="32"/>
        </w:rPr>
        <w:t>SO</w:t>
      </w:r>
      <w:r w:rsidRPr="000821F0">
        <w:rPr>
          <w:szCs w:val="32"/>
          <w:vertAlign w:val="subscript"/>
        </w:rPr>
        <w:t>2</w:t>
      </w:r>
      <w:r w:rsidRPr="003E0498">
        <w:rPr>
          <w:szCs w:val="32"/>
        </w:rPr>
        <w:t xml:space="preserve"> emissions reduction identified below, constitute available technologies</w:t>
      </w:r>
      <w:r>
        <w:rPr>
          <w:szCs w:val="32"/>
        </w:rPr>
        <w:t>.</w:t>
      </w:r>
      <w:r w:rsidRPr="003E0498">
        <w:rPr>
          <w:szCs w:val="32"/>
        </w:rPr>
        <w:t xml:space="preserve"> The combustion process will generate </w:t>
      </w:r>
      <w:r>
        <w:rPr>
          <w:szCs w:val="32"/>
        </w:rPr>
        <w:t>SO</w:t>
      </w:r>
      <w:r w:rsidRPr="000821F0">
        <w:rPr>
          <w:szCs w:val="32"/>
          <w:vertAlign w:val="subscript"/>
        </w:rPr>
        <w:t>2</w:t>
      </w:r>
      <w:r w:rsidRPr="003E0498">
        <w:rPr>
          <w:szCs w:val="32"/>
        </w:rPr>
        <w:t xml:space="preserve"> either from the primary combustion chamber </w:t>
      </w:r>
      <w:r>
        <w:rPr>
          <w:szCs w:val="32"/>
        </w:rPr>
        <w:t>and/</w:t>
      </w:r>
      <w:r w:rsidRPr="003E0498">
        <w:rPr>
          <w:szCs w:val="32"/>
        </w:rPr>
        <w:t>or from the secondary combustion chamber.</w:t>
      </w:r>
    </w:p>
    <w:p w14:paraId="341F2DB3" w14:textId="77777777" w:rsidR="006C74CE" w:rsidRDefault="006C74CE" w:rsidP="006C74CE">
      <w:pPr>
        <w:ind w:left="432"/>
        <w:rPr>
          <w:szCs w:val="32"/>
        </w:rPr>
      </w:pPr>
    </w:p>
    <w:p w14:paraId="2B28EB91" w14:textId="5B5EDD5B" w:rsidR="006C74CE" w:rsidRDefault="006C74CE" w:rsidP="006C74CE">
      <w:pPr>
        <w:ind w:left="432"/>
        <w:rPr>
          <w:szCs w:val="32"/>
        </w:rPr>
      </w:pPr>
      <w:r w:rsidRPr="00F43DF3">
        <w:rPr>
          <w:szCs w:val="32"/>
        </w:rPr>
        <w:t>The cremation unit must use pipeline quality natural gas or propane</w:t>
      </w:r>
      <w:r>
        <w:rPr>
          <w:szCs w:val="32"/>
        </w:rPr>
        <w:t xml:space="preserve"> (see all other pollutant-specific BACT determinations),</w:t>
      </w:r>
      <w:r w:rsidRPr="00F43DF3">
        <w:rPr>
          <w:szCs w:val="32"/>
        </w:rPr>
        <w:t xml:space="preserve"> and both constitute low sulfur fuels, thereby limiting potential </w:t>
      </w:r>
      <w:r>
        <w:rPr>
          <w:szCs w:val="32"/>
        </w:rPr>
        <w:t>SO</w:t>
      </w:r>
      <w:r w:rsidRPr="000821F0">
        <w:rPr>
          <w:szCs w:val="32"/>
          <w:vertAlign w:val="subscript"/>
        </w:rPr>
        <w:t>2</w:t>
      </w:r>
      <w:r w:rsidRPr="00F43DF3">
        <w:rPr>
          <w:szCs w:val="32"/>
        </w:rPr>
        <w:t xml:space="preserve"> emissions. </w:t>
      </w:r>
      <w:r>
        <w:rPr>
          <w:szCs w:val="32"/>
        </w:rPr>
        <w:t>The waste feed for crematoriums is also low in sulfur content limiting the magnitude of SO</w:t>
      </w:r>
      <w:r w:rsidRPr="000821F0">
        <w:rPr>
          <w:szCs w:val="32"/>
          <w:vertAlign w:val="subscript"/>
        </w:rPr>
        <w:t>2</w:t>
      </w:r>
      <w:r>
        <w:rPr>
          <w:szCs w:val="32"/>
        </w:rPr>
        <w:t xml:space="preserve"> generation. </w:t>
      </w:r>
      <w:r w:rsidRPr="00F43DF3">
        <w:rPr>
          <w:szCs w:val="32"/>
        </w:rPr>
        <w:t xml:space="preserve">In addition to low sulfur fuels, the following control technologies for </w:t>
      </w:r>
      <w:r>
        <w:rPr>
          <w:szCs w:val="32"/>
        </w:rPr>
        <w:t>SO</w:t>
      </w:r>
      <w:r w:rsidRPr="000821F0">
        <w:rPr>
          <w:szCs w:val="32"/>
          <w:vertAlign w:val="subscript"/>
        </w:rPr>
        <w:t>2</w:t>
      </w:r>
      <w:r w:rsidRPr="00F43DF3">
        <w:rPr>
          <w:szCs w:val="32"/>
        </w:rPr>
        <w:t xml:space="preserve"> reduction are available:</w:t>
      </w:r>
    </w:p>
    <w:p w14:paraId="5BE1F4B6" w14:textId="77777777" w:rsidR="006C74CE" w:rsidRDefault="006C74CE" w:rsidP="006C74CE">
      <w:pPr>
        <w:ind w:left="432"/>
        <w:rPr>
          <w:szCs w:val="32"/>
        </w:rPr>
      </w:pPr>
    </w:p>
    <w:p w14:paraId="0675DE8F" w14:textId="77777777" w:rsidR="006C74CE" w:rsidRPr="00F666B7" w:rsidRDefault="006C74CE" w:rsidP="00F826F2">
      <w:pPr>
        <w:pStyle w:val="ListParagraph"/>
        <w:numPr>
          <w:ilvl w:val="0"/>
          <w:numId w:val="64"/>
        </w:numPr>
        <w:rPr>
          <w:szCs w:val="32"/>
        </w:rPr>
      </w:pPr>
      <w:r w:rsidRPr="00F666B7">
        <w:rPr>
          <w:szCs w:val="32"/>
        </w:rPr>
        <w:t>Wet Scrubber</w:t>
      </w:r>
    </w:p>
    <w:p w14:paraId="72E7D1C3" w14:textId="77777777" w:rsidR="006C74CE" w:rsidRPr="00F666B7" w:rsidRDefault="006C74CE" w:rsidP="00F826F2">
      <w:pPr>
        <w:pStyle w:val="ListParagraph"/>
        <w:numPr>
          <w:ilvl w:val="0"/>
          <w:numId w:val="64"/>
        </w:numPr>
        <w:rPr>
          <w:szCs w:val="32"/>
        </w:rPr>
      </w:pPr>
      <w:r w:rsidRPr="00F666B7">
        <w:rPr>
          <w:szCs w:val="32"/>
        </w:rPr>
        <w:t>Dry Scrubber</w:t>
      </w:r>
    </w:p>
    <w:p w14:paraId="4267206C" w14:textId="77777777" w:rsidR="006C74CE" w:rsidRPr="00F666B7" w:rsidRDefault="006C74CE" w:rsidP="00F826F2">
      <w:pPr>
        <w:pStyle w:val="ListParagraph"/>
        <w:numPr>
          <w:ilvl w:val="0"/>
          <w:numId w:val="64"/>
        </w:numPr>
        <w:rPr>
          <w:szCs w:val="32"/>
        </w:rPr>
      </w:pPr>
      <w:r w:rsidRPr="00F666B7">
        <w:rPr>
          <w:szCs w:val="32"/>
        </w:rPr>
        <w:t>Pipeline quality natural gas or propane fuel only</w:t>
      </w:r>
    </w:p>
    <w:p w14:paraId="0953AF5F" w14:textId="77777777" w:rsidR="006C74CE" w:rsidRPr="00F666B7" w:rsidRDefault="006C74CE" w:rsidP="00F826F2">
      <w:pPr>
        <w:pStyle w:val="ListParagraph"/>
        <w:numPr>
          <w:ilvl w:val="0"/>
          <w:numId w:val="64"/>
        </w:numPr>
        <w:rPr>
          <w:szCs w:val="32"/>
        </w:rPr>
      </w:pPr>
      <w:r w:rsidRPr="00F666B7">
        <w:rPr>
          <w:szCs w:val="32"/>
        </w:rPr>
        <w:t>Proper design and operation, including the development of operating procedures, require operating training, and have procedures on-site at the unit and have training records and documentation available upon request</w:t>
      </w:r>
    </w:p>
    <w:p w14:paraId="6A7B84B5" w14:textId="77777777" w:rsidR="006C74CE" w:rsidRPr="00F666B7" w:rsidRDefault="006C74CE" w:rsidP="00F826F2">
      <w:pPr>
        <w:pStyle w:val="ListParagraph"/>
        <w:numPr>
          <w:ilvl w:val="0"/>
          <w:numId w:val="64"/>
        </w:numPr>
        <w:rPr>
          <w:szCs w:val="32"/>
        </w:rPr>
      </w:pPr>
      <w:r w:rsidRPr="00F666B7">
        <w:rPr>
          <w:szCs w:val="32"/>
        </w:rPr>
        <w:t>Only incinerate/cremate human and animal remains and any corresponding container unless approved in writing by DEQ. (Pet and Human corpses are generally low in sulfur content so not burning materials high in sulfur serves to minimize SO</w:t>
      </w:r>
      <w:r w:rsidRPr="00F666B7">
        <w:rPr>
          <w:szCs w:val="32"/>
          <w:vertAlign w:val="subscript"/>
        </w:rPr>
        <w:t>2</w:t>
      </w:r>
      <w:r w:rsidRPr="00F666B7">
        <w:rPr>
          <w:szCs w:val="32"/>
        </w:rPr>
        <w:t xml:space="preserve"> formation from the waste)</w:t>
      </w:r>
    </w:p>
    <w:p w14:paraId="1F9F129C" w14:textId="77777777" w:rsidR="006C74CE" w:rsidRPr="00F43DF3" w:rsidRDefault="006C74CE" w:rsidP="006C74CE">
      <w:pPr>
        <w:rPr>
          <w:szCs w:val="32"/>
        </w:rPr>
      </w:pPr>
    </w:p>
    <w:p w14:paraId="3499B201" w14:textId="77777777" w:rsidR="006C74CE" w:rsidRPr="00F43DF3" w:rsidRDefault="006C74CE" w:rsidP="006C74CE">
      <w:pPr>
        <w:ind w:left="432"/>
        <w:rPr>
          <w:b/>
          <w:bCs/>
          <w:szCs w:val="32"/>
        </w:rPr>
      </w:pPr>
      <w:r w:rsidRPr="00F43DF3">
        <w:rPr>
          <w:b/>
          <w:bCs/>
          <w:szCs w:val="32"/>
        </w:rPr>
        <w:t>Step 2: Eliminate Technically Infeasible Control Options</w:t>
      </w:r>
    </w:p>
    <w:p w14:paraId="074EA735" w14:textId="77777777" w:rsidR="006C74CE" w:rsidRPr="00F43DF3" w:rsidRDefault="006C74CE" w:rsidP="006C74CE">
      <w:pPr>
        <w:ind w:left="432"/>
        <w:rPr>
          <w:szCs w:val="32"/>
        </w:rPr>
      </w:pPr>
    </w:p>
    <w:p w14:paraId="6F7163BC" w14:textId="77777777" w:rsidR="006C74CE" w:rsidRPr="00F43DF3" w:rsidRDefault="006C74CE" w:rsidP="006C74CE">
      <w:pPr>
        <w:ind w:left="432"/>
        <w:rPr>
          <w:szCs w:val="32"/>
        </w:rPr>
      </w:pPr>
      <w:r w:rsidRPr="00F43DF3">
        <w:rPr>
          <w:szCs w:val="32"/>
        </w:rPr>
        <w:t xml:space="preserve">Wet Scrubber: A wet scrubber process would be technically feasible for the reduction of </w:t>
      </w:r>
      <w:r>
        <w:rPr>
          <w:szCs w:val="32"/>
        </w:rPr>
        <w:t>SO</w:t>
      </w:r>
      <w:r w:rsidRPr="000821F0">
        <w:rPr>
          <w:szCs w:val="32"/>
          <w:vertAlign w:val="subscript"/>
        </w:rPr>
        <w:t>2</w:t>
      </w:r>
      <w:r w:rsidRPr="00F43DF3">
        <w:rPr>
          <w:szCs w:val="32"/>
        </w:rPr>
        <w:t xml:space="preserve"> emissions from the proposed cremation unit. A wet scrubber utilizes a liquid to remove pollutants from an exhaust stream through the process of absorption. Most wet scrubbers operate in an excess of 90% removal efficiencies, depending on pollutant (</w:t>
      </w:r>
      <w:r w:rsidRPr="00F43DF3">
        <w:rPr>
          <w:i/>
          <w:iCs/>
          <w:szCs w:val="32"/>
        </w:rPr>
        <w:t>Scrubber for Gaseous Control</w:t>
      </w:r>
      <w:r w:rsidRPr="00F43DF3">
        <w:rPr>
          <w:szCs w:val="32"/>
        </w:rPr>
        <w:t>). Typically, the applications that utilize a wet scrubber have an inlet temperature of 700 ºF or less. With this cremation unit, the inlet temperature would be approximately 1,</w:t>
      </w:r>
      <w:r>
        <w:rPr>
          <w:szCs w:val="32"/>
        </w:rPr>
        <w:t>5</w:t>
      </w:r>
      <w:r w:rsidRPr="00F43DF3">
        <w:rPr>
          <w:szCs w:val="32"/>
        </w:rPr>
        <w:t xml:space="preserve">00 ºF. Therefore, the use of a wet scrubber is deemed technically infeasible and will not be evaluated for consideration further. </w:t>
      </w:r>
    </w:p>
    <w:p w14:paraId="6C0C0813" w14:textId="77777777" w:rsidR="006C74CE" w:rsidRPr="00F43DF3" w:rsidRDefault="006C74CE" w:rsidP="006C74CE">
      <w:pPr>
        <w:ind w:left="432"/>
        <w:rPr>
          <w:szCs w:val="32"/>
        </w:rPr>
      </w:pPr>
    </w:p>
    <w:p w14:paraId="249EA695" w14:textId="77777777" w:rsidR="006C74CE" w:rsidRDefault="006C74CE" w:rsidP="006C74CE">
      <w:pPr>
        <w:ind w:left="432"/>
        <w:rPr>
          <w:szCs w:val="32"/>
        </w:rPr>
      </w:pPr>
      <w:r w:rsidRPr="00F43DF3">
        <w:rPr>
          <w:szCs w:val="32"/>
        </w:rPr>
        <w:t>Dry Scrubber: A dry scrubber injects either dry, powdered sorbent or an aqueous slurry hat contains a high concentration of the sorbent. The water then evaporates in the high temperature of the flue gas, leaving solid sorbent particles that react with the sorbet. Dry scrubbers have lower removal efficiencies than wet scrubbers with efficiencies between 85 and 95% but tend to be lower in costs. Two types of dry scrubbers in the Dry Flue Gas Desulfurization Systems, the Dry Lime FGD/SDA system and the post combustion circulating dry scrubber (CDS), will be compared in this analysis (</w:t>
      </w:r>
      <w:r w:rsidRPr="00F43DF3">
        <w:rPr>
          <w:i/>
          <w:iCs/>
          <w:szCs w:val="32"/>
        </w:rPr>
        <w:t>Section 5 SO</w:t>
      </w:r>
      <w:r w:rsidRPr="00F43DF3">
        <w:rPr>
          <w:i/>
          <w:iCs/>
          <w:szCs w:val="32"/>
          <w:vertAlign w:val="subscript"/>
        </w:rPr>
        <w:t>2</w:t>
      </w:r>
      <w:r w:rsidRPr="00F43DF3">
        <w:rPr>
          <w:i/>
          <w:iCs/>
          <w:szCs w:val="32"/>
        </w:rPr>
        <w:t xml:space="preserve"> and Acid Gas Controls</w:t>
      </w:r>
      <w:r w:rsidRPr="00F43DF3">
        <w:rPr>
          <w:szCs w:val="32"/>
        </w:rPr>
        <w:t>). After research done by DEQ, crematoriums do not operate in practice with the addition of a dry scrubber. Therefore, dry scrubbers, both the SDA and CDS method, are deemed technically infeasible</w:t>
      </w:r>
      <w:r>
        <w:rPr>
          <w:szCs w:val="32"/>
        </w:rPr>
        <w:t xml:space="preserve"> and will not be considered further</w:t>
      </w:r>
      <w:r w:rsidRPr="00F43DF3">
        <w:rPr>
          <w:szCs w:val="32"/>
        </w:rPr>
        <w:t>.</w:t>
      </w:r>
    </w:p>
    <w:p w14:paraId="75696855" w14:textId="77777777" w:rsidR="006C74CE" w:rsidRDefault="006C74CE" w:rsidP="006C74CE">
      <w:pPr>
        <w:ind w:left="432"/>
      </w:pPr>
      <w:bookmarkStart w:id="46" w:name="_Hlk222752612"/>
    </w:p>
    <w:p w14:paraId="67D48CA6" w14:textId="77777777" w:rsidR="006C74CE" w:rsidRDefault="006C74CE" w:rsidP="006C74CE">
      <w:pPr>
        <w:ind w:left="432"/>
        <w:rPr>
          <w:szCs w:val="32"/>
        </w:rPr>
      </w:pPr>
      <w:r w:rsidRPr="001A6D96">
        <w:t>Pipeline quality natural gas or propane fuel only</w:t>
      </w:r>
      <w:r>
        <w:t>. Both fuels are inherently low in sulfur. Therefore, when combusting natural gas or propane for cremation unit operation, p</w:t>
      </w:r>
      <w:r w:rsidRPr="00F43DF3">
        <w:rPr>
          <w:szCs w:val="32"/>
        </w:rPr>
        <w:t xml:space="preserve">otential </w:t>
      </w:r>
      <w:r>
        <w:rPr>
          <w:szCs w:val="32"/>
        </w:rPr>
        <w:t>SO</w:t>
      </w:r>
      <w:r w:rsidRPr="00E64171">
        <w:rPr>
          <w:szCs w:val="32"/>
          <w:vertAlign w:val="subscript"/>
        </w:rPr>
        <w:t>2</w:t>
      </w:r>
      <w:r>
        <w:rPr>
          <w:szCs w:val="32"/>
        </w:rPr>
        <w:t xml:space="preserve"> </w:t>
      </w:r>
      <w:r w:rsidRPr="00F43DF3">
        <w:rPr>
          <w:szCs w:val="32"/>
        </w:rPr>
        <w:t xml:space="preserve">emissions are </w:t>
      </w:r>
      <w:r>
        <w:rPr>
          <w:szCs w:val="32"/>
        </w:rPr>
        <w:t>inherently</w:t>
      </w:r>
      <w:r w:rsidRPr="00F43DF3">
        <w:rPr>
          <w:szCs w:val="32"/>
        </w:rPr>
        <w:t xml:space="preserve"> low</w:t>
      </w:r>
      <w:r>
        <w:rPr>
          <w:szCs w:val="32"/>
        </w:rPr>
        <w:t>. Using natural gas or propane fuel only is technically feasible for crematorium operations.</w:t>
      </w:r>
    </w:p>
    <w:p w14:paraId="60249B3D" w14:textId="77777777" w:rsidR="006C74CE" w:rsidRDefault="006C74CE" w:rsidP="006C74CE">
      <w:pPr>
        <w:ind w:left="432"/>
        <w:rPr>
          <w:szCs w:val="32"/>
        </w:rPr>
      </w:pPr>
    </w:p>
    <w:p w14:paraId="77645251" w14:textId="77777777" w:rsidR="006C74CE" w:rsidRDefault="006C74CE" w:rsidP="006C74CE">
      <w:pPr>
        <w:ind w:left="432"/>
        <w:rPr>
          <w:szCs w:val="28"/>
        </w:rPr>
      </w:pPr>
      <w:r w:rsidRPr="00A012CA">
        <w:rPr>
          <w:szCs w:val="28"/>
        </w:rPr>
        <w:t>Proper design and operation, including the development of operating procedures, require operating training, and have procedures on-site at the unit and have training records and documentation available upon request</w:t>
      </w:r>
      <w:r>
        <w:rPr>
          <w:szCs w:val="28"/>
        </w:rPr>
        <w:t>. Operating a cremation unit appropriately will limit emissions of all regulated pollutants, including SO</w:t>
      </w:r>
      <w:r w:rsidRPr="00E64171">
        <w:rPr>
          <w:szCs w:val="28"/>
          <w:vertAlign w:val="subscript"/>
        </w:rPr>
        <w:t>2</w:t>
      </w:r>
      <w:r>
        <w:rPr>
          <w:szCs w:val="28"/>
        </w:rPr>
        <w:t xml:space="preserve">.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keep</w:t>
      </w:r>
      <w:r>
        <w:rPr>
          <w:szCs w:val="28"/>
        </w:rPr>
        <w:t>ing</w:t>
      </w:r>
      <w:r w:rsidRPr="00F43DF3">
        <w:rPr>
          <w:szCs w:val="28"/>
        </w:rPr>
        <w:t xml:space="preserve"> a physical copy of the operating procedures manual onsite at all times</w:t>
      </w:r>
      <w:r>
        <w:rPr>
          <w:szCs w:val="28"/>
        </w:rPr>
        <w:t xml:space="preserve"> constitutes an available and technically feasible strategy to limit SO</w:t>
      </w:r>
      <w:r w:rsidRPr="00E64171">
        <w:rPr>
          <w:szCs w:val="28"/>
          <w:vertAlign w:val="subscript"/>
        </w:rPr>
        <w:t>2</w:t>
      </w:r>
      <w:r>
        <w:rPr>
          <w:szCs w:val="28"/>
        </w:rPr>
        <w:t xml:space="preserve"> emissions</w:t>
      </w:r>
      <w:r w:rsidRPr="00F43DF3">
        <w:rPr>
          <w:szCs w:val="28"/>
        </w:rPr>
        <w:t>.</w:t>
      </w:r>
    </w:p>
    <w:p w14:paraId="5EB6E17D" w14:textId="77777777" w:rsidR="006C74CE" w:rsidRDefault="006C74CE" w:rsidP="006C74CE">
      <w:pPr>
        <w:ind w:left="432"/>
        <w:rPr>
          <w:szCs w:val="32"/>
        </w:rPr>
      </w:pPr>
    </w:p>
    <w:p w14:paraId="28F56030" w14:textId="77777777" w:rsidR="006C74CE" w:rsidRPr="00997283" w:rsidRDefault="006C74CE" w:rsidP="006C74CE">
      <w:pPr>
        <w:ind w:left="432"/>
        <w:rPr>
          <w:szCs w:val="32"/>
        </w:rPr>
      </w:pPr>
      <w:r w:rsidRPr="00C97AAD">
        <w:rPr>
          <w:szCs w:val="32"/>
        </w:rPr>
        <w:t>Only incinerate/cremate human and animal remains and any corresponding container unless approved in writing by DEQ.</w:t>
      </w:r>
      <w:r>
        <w:rPr>
          <w:szCs w:val="32"/>
        </w:rPr>
        <w:t xml:space="preserve"> </w:t>
      </w:r>
      <w:r w:rsidRPr="00C51020">
        <w:rPr>
          <w:szCs w:val="32"/>
        </w:rPr>
        <w:t xml:space="preserve">Pet and Human corpses are generally low in sulfur content so not burning materials high in </w:t>
      </w:r>
      <w:r>
        <w:rPr>
          <w:szCs w:val="32"/>
        </w:rPr>
        <w:t>sulfur</w:t>
      </w:r>
      <w:r w:rsidRPr="00C51020">
        <w:rPr>
          <w:szCs w:val="32"/>
        </w:rPr>
        <w:t xml:space="preserve"> serves to minimize SO</w:t>
      </w:r>
      <w:r w:rsidRPr="00E64171">
        <w:rPr>
          <w:szCs w:val="32"/>
          <w:vertAlign w:val="subscript"/>
        </w:rPr>
        <w:t>2</w:t>
      </w:r>
      <w:r w:rsidRPr="00C51020">
        <w:rPr>
          <w:szCs w:val="32"/>
        </w:rPr>
        <w:t xml:space="preserve"> formation</w:t>
      </w:r>
      <w:r>
        <w:rPr>
          <w:szCs w:val="32"/>
        </w:rPr>
        <w:t>.</w:t>
      </w:r>
      <w:r w:rsidRPr="00C51020">
        <w:rPr>
          <w:szCs w:val="32"/>
        </w:rPr>
        <w:t xml:space="preserve"> </w:t>
      </w:r>
    </w:p>
    <w:bookmarkEnd w:id="46"/>
    <w:p w14:paraId="6877DADD" w14:textId="77777777" w:rsidR="006C74CE" w:rsidRDefault="006C74CE" w:rsidP="006C74CE">
      <w:pPr>
        <w:ind w:left="432"/>
        <w:rPr>
          <w:szCs w:val="32"/>
        </w:rPr>
      </w:pPr>
    </w:p>
    <w:p w14:paraId="591450C9" w14:textId="77777777" w:rsidR="006C74CE" w:rsidRPr="00F43DF3" w:rsidRDefault="006C74CE" w:rsidP="006C74CE">
      <w:pPr>
        <w:ind w:left="432"/>
        <w:rPr>
          <w:b/>
          <w:bCs/>
          <w:szCs w:val="32"/>
        </w:rPr>
      </w:pPr>
      <w:r w:rsidRPr="00F43DF3">
        <w:rPr>
          <w:b/>
          <w:bCs/>
          <w:szCs w:val="32"/>
        </w:rPr>
        <w:t>Step 3: Rank Remaining Control Technologies by Control Effectiveness</w:t>
      </w:r>
    </w:p>
    <w:p w14:paraId="7B6C1C90" w14:textId="77777777" w:rsidR="006C74CE" w:rsidRDefault="006C74CE" w:rsidP="006C74CE">
      <w:pPr>
        <w:rPr>
          <w:szCs w:val="32"/>
        </w:rPr>
      </w:pPr>
    </w:p>
    <w:p w14:paraId="7D90AF94" w14:textId="77777777" w:rsidR="006C74CE" w:rsidRDefault="006C74CE" w:rsidP="006C74CE">
      <w:pPr>
        <w:ind w:left="432"/>
        <w:rPr>
          <w:szCs w:val="32"/>
        </w:rPr>
      </w:pPr>
      <w:r>
        <w:rPr>
          <w:szCs w:val="32"/>
        </w:rPr>
        <w:t>The only remaining available and technically feasible control options are identified below.</w:t>
      </w:r>
    </w:p>
    <w:p w14:paraId="32ACB6EE" w14:textId="77777777" w:rsidR="006C74CE" w:rsidRDefault="006C74CE" w:rsidP="006C74CE">
      <w:pPr>
        <w:ind w:left="432"/>
        <w:rPr>
          <w:szCs w:val="32"/>
        </w:rPr>
      </w:pPr>
    </w:p>
    <w:p w14:paraId="26F28D2C" w14:textId="77777777" w:rsidR="006C74CE" w:rsidRPr="00292437" w:rsidRDefault="006C74CE" w:rsidP="00F826F2">
      <w:pPr>
        <w:pStyle w:val="ListParagraph"/>
        <w:numPr>
          <w:ilvl w:val="0"/>
          <w:numId w:val="60"/>
        </w:numPr>
        <w:rPr>
          <w:szCs w:val="32"/>
        </w:rPr>
      </w:pPr>
      <w:r w:rsidRPr="00292437">
        <w:rPr>
          <w:szCs w:val="32"/>
        </w:rPr>
        <w:t>Pipeline quality natural gas or propane fuel only</w:t>
      </w:r>
    </w:p>
    <w:p w14:paraId="421E9A1D" w14:textId="77777777" w:rsidR="006C74CE" w:rsidRPr="00292437" w:rsidRDefault="006C74CE" w:rsidP="00F826F2">
      <w:pPr>
        <w:pStyle w:val="ListParagraph"/>
        <w:numPr>
          <w:ilvl w:val="0"/>
          <w:numId w:val="60"/>
        </w:numPr>
        <w:rPr>
          <w:szCs w:val="32"/>
        </w:rPr>
      </w:pPr>
      <w:r w:rsidRPr="00292437">
        <w:rPr>
          <w:szCs w:val="32"/>
        </w:rPr>
        <w:t>Proper design and operation, including the development of operating procedures, require operating training, and have procedures on-site at the unit and have training records and documentation available upon request</w:t>
      </w:r>
    </w:p>
    <w:p w14:paraId="2B0B2F2A" w14:textId="77777777" w:rsidR="006C74CE" w:rsidRDefault="006C74CE" w:rsidP="00F826F2">
      <w:pPr>
        <w:pStyle w:val="ListParagraph"/>
        <w:numPr>
          <w:ilvl w:val="0"/>
          <w:numId w:val="60"/>
        </w:numPr>
        <w:rPr>
          <w:szCs w:val="32"/>
        </w:rPr>
      </w:pPr>
      <w:r w:rsidRPr="00292437">
        <w:rPr>
          <w:szCs w:val="32"/>
        </w:rPr>
        <w:lastRenderedPageBreak/>
        <w:t xml:space="preserve">Only incinerate/cremate human and animal remains and any corresponding container unless approved in writing by DEQ </w:t>
      </w:r>
    </w:p>
    <w:p w14:paraId="671D35EC" w14:textId="77777777" w:rsidR="006C74CE" w:rsidRDefault="006C74CE" w:rsidP="006C74CE">
      <w:pPr>
        <w:ind w:left="432"/>
        <w:rPr>
          <w:szCs w:val="32"/>
        </w:rPr>
      </w:pPr>
    </w:p>
    <w:p w14:paraId="66AA8C81" w14:textId="77777777" w:rsidR="006C74CE" w:rsidRDefault="006C74CE" w:rsidP="006C74CE">
      <w:pPr>
        <w:ind w:left="432"/>
        <w:rPr>
          <w:szCs w:val="32"/>
        </w:rPr>
      </w:pPr>
      <w:r>
        <w:rPr>
          <w:szCs w:val="32"/>
        </w:rPr>
        <w:t>Each of the three control strategies are considered equivalent and no numerical control percentages are applied. They are each designated as “1” to show their assumed equivalence.</w:t>
      </w:r>
    </w:p>
    <w:p w14:paraId="37DD0EAD" w14:textId="77777777" w:rsidR="006C74CE" w:rsidRPr="00F43DF3" w:rsidRDefault="006C74CE" w:rsidP="006C74CE">
      <w:pPr>
        <w:rPr>
          <w:szCs w:val="32"/>
        </w:rPr>
      </w:pPr>
    </w:p>
    <w:tbl>
      <w:tblPr>
        <w:tblStyle w:val="TableGrid"/>
        <w:tblW w:w="0" w:type="auto"/>
        <w:tblInd w:w="558" w:type="dxa"/>
        <w:tblLook w:val="04A0" w:firstRow="1" w:lastRow="0" w:firstColumn="1" w:lastColumn="0" w:noHBand="0" w:noVBand="1"/>
      </w:tblPr>
      <w:tblGrid>
        <w:gridCol w:w="5595"/>
        <w:gridCol w:w="3197"/>
      </w:tblGrid>
      <w:tr w:rsidR="006C74CE" w:rsidRPr="00F43DF3" w14:paraId="605EE7AF" w14:textId="77777777" w:rsidTr="00734F42">
        <w:tc>
          <w:tcPr>
            <w:tcW w:w="5595" w:type="dxa"/>
          </w:tcPr>
          <w:p w14:paraId="0F03ABDE" w14:textId="77777777" w:rsidR="006C74CE" w:rsidRPr="003B32DF" w:rsidRDefault="006C74CE" w:rsidP="006A3276">
            <w:pPr>
              <w:jc w:val="center"/>
              <w:rPr>
                <w:b/>
                <w:bCs/>
                <w:szCs w:val="40"/>
              </w:rPr>
            </w:pPr>
            <w:r w:rsidRPr="003B32DF">
              <w:rPr>
                <w:b/>
                <w:bCs/>
                <w:szCs w:val="40"/>
              </w:rPr>
              <w:t>Technology</w:t>
            </w:r>
          </w:p>
        </w:tc>
        <w:tc>
          <w:tcPr>
            <w:tcW w:w="3197" w:type="dxa"/>
          </w:tcPr>
          <w:p w14:paraId="1AE50E36" w14:textId="77777777" w:rsidR="006C74CE" w:rsidRPr="003B32DF" w:rsidRDefault="006C74CE" w:rsidP="006A3276">
            <w:pPr>
              <w:jc w:val="center"/>
              <w:rPr>
                <w:b/>
                <w:bCs/>
                <w:szCs w:val="40"/>
              </w:rPr>
            </w:pPr>
            <w:r w:rsidRPr="003B32DF">
              <w:rPr>
                <w:b/>
                <w:bCs/>
                <w:szCs w:val="40"/>
              </w:rPr>
              <w:t>Ranking</w:t>
            </w:r>
          </w:p>
        </w:tc>
      </w:tr>
      <w:tr w:rsidR="006C74CE" w:rsidRPr="00F43DF3" w14:paraId="20E5F2EA" w14:textId="77777777" w:rsidTr="00734F42">
        <w:tc>
          <w:tcPr>
            <w:tcW w:w="5595" w:type="dxa"/>
          </w:tcPr>
          <w:p w14:paraId="33EB1C03" w14:textId="77777777" w:rsidR="006C74CE" w:rsidRPr="003B32DF" w:rsidRDefault="006C74CE" w:rsidP="006A3276">
            <w:pPr>
              <w:jc w:val="both"/>
              <w:rPr>
                <w:szCs w:val="40"/>
              </w:rPr>
            </w:pPr>
            <w:r w:rsidRPr="003B32DF">
              <w:rPr>
                <w:szCs w:val="40"/>
              </w:rPr>
              <w:t>Pipeline quality natural gas or propane fuel only</w:t>
            </w:r>
          </w:p>
        </w:tc>
        <w:tc>
          <w:tcPr>
            <w:tcW w:w="3197" w:type="dxa"/>
          </w:tcPr>
          <w:p w14:paraId="5D9E6718" w14:textId="77777777" w:rsidR="006C74CE" w:rsidRPr="003B32DF" w:rsidRDefault="006C74CE" w:rsidP="006A3276">
            <w:pPr>
              <w:jc w:val="center"/>
              <w:rPr>
                <w:szCs w:val="40"/>
              </w:rPr>
            </w:pPr>
            <w:r w:rsidRPr="003B32DF">
              <w:rPr>
                <w:szCs w:val="40"/>
              </w:rPr>
              <w:t>1</w:t>
            </w:r>
          </w:p>
        </w:tc>
      </w:tr>
      <w:tr w:rsidR="006C74CE" w:rsidRPr="00F43DF3" w14:paraId="0C94912F" w14:textId="77777777" w:rsidTr="00734F42">
        <w:tc>
          <w:tcPr>
            <w:tcW w:w="5595" w:type="dxa"/>
          </w:tcPr>
          <w:p w14:paraId="30A4C3C4" w14:textId="77777777" w:rsidR="006C74CE" w:rsidRPr="003B32DF" w:rsidRDefault="006C74CE" w:rsidP="006A3276">
            <w:pPr>
              <w:jc w:val="both"/>
              <w:rPr>
                <w:szCs w:val="40"/>
              </w:rPr>
            </w:pPr>
            <w:r w:rsidRPr="003B32DF">
              <w:t>Proper design and operation, including the development of operating procedures, require operating training, and have procedures on-site at the unit and have training records and documentation available upon request</w:t>
            </w:r>
          </w:p>
        </w:tc>
        <w:tc>
          <w:tcPr>
            <w:tcW w:w="3197" w:type="dxa"/>
          </w:tcPr>
          <w:p w14:paraId="3BF6F7FE" w14:textId="77777777" w:rsidR="006C74CE" w:rsidRPr="003B32DF" w:rsidRDefault="006C74CE" w:rsidP="006A3276">
            <w:pPr>
              <w:jc w:val="center"/>
              <w:rPr>
                <w:szCs w:val="40"/>
              </w:rPr>
            </w:pPr>
            <w:r w:rsidRPr="003B32DF">
              <w:t>1</w:t>
            </w:r>
          </w:p>
        </w:tc>
      </w:tr>
      <w:tr w:rsidR="006C74CE" w:rsidRPr="00F43DF3" w14:paraId="3BAEC73B" w14:textId="77777777" w:rsidTr="00734F42">
        <w:tc>
          <w:tcPr>
            <w:tcW w:w="5595" w:type="dxa"/>
          </w:tcPr>
          <w:p w14:paraId="3A927D9C" w14:textId="77777777" w:rsidR="006C74CE" w:rsidRPr="003B32DF" w:rsidRDefault="006C74CE" w:rsidP="006A3276">
            <w:pPr>
              <w:jc w:val="both"/>
              <w:rPr>
                <w:szCs w:val="40"/>
              </w:rPr>
            </w:pPr>
            <w:r w:rsidRPr="003B32DF">
              <w:rPr>
                <w:szCs w:val="40"/>
              </w:rPr>
              <w:t xml:space="preserve">Only incinerate/cremate human and animal remains and any corresponding container unless approved in writing by DEQ add-on control  </w:t>
            </w:r>
          </w:p>
        </w:tc>
        <w:tc>
          <w:tcPr>
            <w:tcW w:w="3197" w:type="dxa"/>
          </w:tcPr>
          <w:p w14:paraId="20E992BB" w14:textId="77777777" w:rsidR="006C74CE" w:rsidRPr="003B32DF" w:rsidRDefault="006C74CE" w:rsidP="006A3276">
            <w:pPr>
              <w:jc w:val="center"/>
              <w:rPr>
                <w:szCs w:val="40"/>
              </w:rPr>
            </w:pPr>
            <w:r w:rsidRPr="003B32DF">
              <w:rPr>
                <w:szCs w:val="40"/>
              </w:rPr>
              <w:t>1</w:t>
            </w:r>
          </w:p>
        </w:tc>
      </w:tr>
    </w:tbl>
    <w:p w14:paraId="3B1DFE39" w14:textId="77777777" w:rsidR="006C74CE" w:rsidRPr="00F43DF3" w:rsidRDefault="006C74CE" w:rsidP="006C74CE">
      <w:pPr>
        <w:ind w:left="432"/>
        <w:rPr>
          <w:szCs w:val="32"/>
        </w:rPr>
      </w:pPr>
    </w:p>
    <w:p w14:paraId="08AE97BE" w14:textId="77777777" w:rsidR="006C74CE" w:rsidRPr="00F43DF3" w:rsidRDefault="006C74CE" w:rsidP="006C74CE">
      <w:pPr>
        <w:ind w:left="432"/>
        <w:rPr>
          <w:b/>
          <w:bCs/>
          <w:szCs w:val="32"/>
        </w:rPr>
      </w:pPr>
      <w:r w:rsidRPr="00F43DF3">
        <w:rPr>
          <w:b/>
          <w:bCs/>
          <w:szCs w:val="32"/>
        </w:rPr>
        <w:t xml:space="preserve">Step 4: Evaluate Most Effective Controls and Document Results </w:t>
      </w:r>
    </w:p>
    <w:p w14:paraId="2D000EFE" w14:textId="77777777" w:rsidR="006C74CE" w:rsidRDefault="006C74CE" w:rsidP="006C74CE">
      <w:pPr>
        <w:ind w:left="432"/>
        <w:rPr>
          <w:szCs w:val="32"/>
        </w:rPr>
      </w:pPr>
    </w:p>
    <w:p w14:paraId="764BFE3C" w14:textId="77777777" w:rsidR="006C74CE" w:rsidRPr="00D90D0D" w:rsidRDefault="006C74CE" w:rsidP="006C74CE">
      <w:pPr>
        <w:ind w:left="432"/>
        <w:rPr>
          <w:szCs w:val="32"/>
        </w:rPr>
      </w:pPr>
      <w:r w:rsidRPr="00D90D0D">
        <w:rPr>
          <w:szCs w:val="32"/>
        </w:rPr>
        <w:t>Pipeline quality natural gas or propane fuel only. Pipeline quality natural gas and propane constitute inherently clean fuels that are readily available and commonly used for crematorium operations. Therefore, combustion of natural gas or propane only for crematorium operations with no add-on controls will limit potential emissions of all regulated pollutants, including SO</w:t>
      </w:r>
      <w:r w:rsidRPr="00D90D0D">
        <w:rPr>
          <w:szCs w:val="32"/>
          <w:vertAlign w:val="subscript"/>
        </w:rPr>
        <w:t>2</w:t>
      </w:r>
      <w:r w:rsidRPr="00D90D0D">
        <w:rPr>
          <w:szCs w:val="32"/>
        </w:rPr>
        <w:t>.</w:t>
      </w:r>
    </w:p>
    <w:p w14:paraId="5C654D70" w14:textId="77777777" w:rsidR="006C74CE" w:rsidRDefault="006C74CE" w:rsidP="006C74CE">
      <w:pPr>
        <w:ind w:left="432"/>
        <w:rPr>
          <w:szCs w:val="32"/>
        </w:rPr>
      </w:pPr>
    </w:p>
    <w:p w14:paraId="3558B574" w14:textId="77777777" w:rsidR="006C74CE" w:rsidRPr="00D90D0D" w:rsidRDefault="006C74CE" w:rsidP="006C74CE">
      <w:pPr>
        <w:ind w:left="432"/>
        <w:rPr>
          <w:szCs w:val="32"/>
        </w:rPr>
      </w:pPr>
      <w:r w:rsidRPr="00D90D0D">
        <w:rPr>
          <w:szCs w:val="32"/>
        </w:rPr>
        <w:t>Proper design and operation, including the development of operating procedures, require operating training, and have procedures on-site at the unit and have training records and documentation available upon request. Operating a cremation unit appropriately will limit emissions of all regulated pollutants, including SO</w:t>
      </w:r>
      <w:r w:rsidRPr="00D90D0D">
        <w:rPr>
          <w:szCs w:val="32"/>
          <w:vertAlign w:val="subscript"/>
        </w:rPr>
        <w:t>2</w:t>
      </w:r>
      <w:r w:rsidRPr="00D90D0D">
        <w:rPr>
          <w:szCs w:val="32"/>
        </w:rPr>
        <w:t>. Therefore, development of an operating procedures manual for each cremation unit, training operators using the operations manual, and keeping a physical copy of the operating procedures manual onsite at all times constitutes an available and technically feasible strategy to limit SO</w:t>
      </w:r>
      <w:r w:rsidRPr="00D90D0D">
        <w:rPr>
          <w:szCs w:val="32"/>
          <w:vertAlign w:val="subscript"/>
        </w:rPr>
        <w:t>2</w:t>
      </w:r>
      <w:r w:rsidRPr="00D90D0D">
        <w:rPr>
          <w:szCs w:val="32"/>
        </w:rPr>
        <w:t xml:space="preserve"> emissions.</w:t>
      </w:r>
    </w:p>
    <w:p w14:paraId="2735EEF8" w14:textId="77777777" w:rsidR="006C74CE" w:rsidRDefault="006C74CE" w:rsidP="006C74CE">
      <w:pPr>
        <w:ind w:left="432"/>
        <w:rPr>
          <w:szCs w:val="32"/>
        </w:rPr>
      </w:pPr>
    </w:p>
    <w:p w14:paraId="5B1D730A" w14:textId="77777777" w:rsidR="006C74CE" w:rsidRPr="00D90D0D" w:rsidRDefault="006C74CE" w:rsidP="005F2B22">
      <w:pPr>
        <w:ind w:left="450"/>
        <w:rPr>
          <w:szCs w:val="32"/>
        </w:rPr>
      </w:pPr>
      <w:r w:rsidRPr="00D90D0D">
        <w:rPr>
          <w:szCs w:val="32"/>
        </w:rPr>
        <w:t>Only incinerate/cremate human and animal remains and any corresponding container unless approved in writing by DEQ.</w:t>
      </w:r>
    </w:p>
    <w:p w14:paraId="13D32366" w14:textId="77777777" w:rsidR="006C74CE" w:rsidRPr="00D90D0D" w:rsidRDefault="006C74CE" w:rsidP="006C74CE">
      <w:pPr>
        <w:ind w:left="432"/>
        <w:rPr>
          <w:szCs w:val="32"/>
        </w:rPr>
      </w:pPr>
    </w:p>
    <w:p w14:paraId="2601AE96" w14:textId="77777777" w:rsidR="006C74CE" w:rsidRPr="00D90D0D" w:rsidRDefault="006C74CE" w:rsidP="006C74CE">
      <w:pPr>
        <w:ind w:left="432"/>
        <w:rPr>
          <w:szCs w:val="32"/>
        </w:rPr>
      </w:pPr>
      <w:r w:rsidRPr="00D90D0D">
        <w:rPr>
          <w:szCs w:val="32"/>
        </w:rPr>
        <w:t>Finally, limiting the crematorium to only incinerating human and animal remains with the corresponding container also with ensure low sulfur content of the waste.</w:t>
      </w:r>
    </w:p>
    <w:p w14:paraId="2993829E" w14:textId="77777777" w:rsidR="006C74CE" w:rsidRDefault="006C74CE" w:rsidP="006C74CE">
      <w:pPr>
        <w:ind w:left="432"/>
        <w:rPr>
          <w:szCs w:val="32"/>
        </w:rPr>
      </w:pPr>
    </w:p>
    <w:p w14:paraId="1B069DE0" w14:textId="77777777" w:rsidR="006C74CE" w:rsidRDefault="006C74CE" w:rsidP="006C74CE">
      <w:pPr>
        <w:ind w:left="432"/>
        <w:rPr>
          <w:szCs w:val="32"/>
        </w:rPr>
      </w:pPr>
      <w:r>
        <w:rPr>
          <w:szCs w:val="32"/>
        </w:rPr>
        <w:t>Each of these strategies are equally important in minimizing SO</w:t>
      </w:r>
      <w:r w:rsidRPr="002403EE">
        <w:rPr>
          <w:szCs w:val="32"/>
          <w:vertAlign w:val="subscript"/>
        </w:rPr>
        <w:t>2</w:t>
      </w:r>
      <w:r>
        <w:rPr>
          <w:szCs w:val="32"/>
        </w:rPr>
        <w:t xml:space="preserve"> formation.</w:t>
      </w:r>
    </w:p>
    <w:p w14:paraId="67E34FDF" w14:textId="77777777" w:rsidR="006C74CE" w:rsidRPr="00F43DF3" w:rsidRDefault="006C74CE" w:rsidP="006C74CE">
      <w:pPr>
        <w:ind w:left="432"/>
        <w:rPr>
          <w:szCs w:val="32"/>
        </w:rPr>
      </w:pPr>
    </w:p>
    <w:p w14:paraId="167C1261" w14:textId="77777777" w:rsidR="006C74CE" w:rsidRPr="00F43DF3" w:rsidRDefault="006C74CE" w:rsidP="006C74CE">
      <w:pPr>
        <w:ind w:left="432"/>
        <w:rPr>
          <w:b/>
          <w:bCs/>
          <w:szCs w:val="32"/>
        </w:rPr>
      </w:pPr>
      <w:r w:rsidRPr="00F43DF3">
        <w:rPr>
          <w:b/>
          <w:bCs/>
          <w:szCs w:val="32"/>
        </w:rPr>
        <w:t>Step 5: Identify BACT</w:t>
      </w:r>
    </w:p>
    <w:p w14:paraId="30D9CA16" w14:textId="77777777" w:rsidR="006C74CE" w:rsidRDefault="006C74CE" w:rsidP="006C74CE">
      <w:pPr>
        <w:ind w:left="432"/>
        <w:rPr>
          <w:szCs w:val="32"/>
        </w:rPr>
      </w:pPr>
    </w:p>
    <w:p w14:paraId="2E2A8656" w14:textId="77777777" w:rsidR="006C74CE" w:rsidRDefault="006C74CE" w:rsidP="006C74CE">
      <w:pPr>
        <w:ind w:left="432"/>
        <w:rPr>
          <w:szCs w:val="32"/>
        </w:rPr>
      </w:pPr>
      <w:r w:rsidRPr="000F33EC">
        <w:rPr>
          <w:szCs w:val="32"/>
        </w:rPr>
        <w:t>Based on the previous four steps and these conclusions, DEQ determined that the following represents BACT.</w:t>
      </w:r>
    </w:p>
    <w:p w14:paraId="30704AA3" w14:textId="77777777" w:rsidR="006C74CE" w:rsidRDefault="006C74CE" w:rsidP="006C74CE">
      <w:pPr>
        <w:ind w:left="432"/>
        <w:rPr>
          <w:szCs w:val="32"/>
        </w:rPr>
      </w:pPr>
    </w:p>
    <w:p w14:paraId="5EEC2E4C" w14:textId="77777777" w:rsidR="006C74CE" w:rsidRPr="00D90D0D" w:rsidRDefault="006C74CE" w:rsidP="00F826F2">
      <w:pPr>
        <w:pStyle w:val="ListParagraph"/>
        <w:numPr>
          <w:ilvl w:val="0"/>
          <w:numId w:val="69"/>
        </w:numPr>
        <w:rPr>
          <w:szCs w:val="32"/>
        </w:rPr>
      </w:pPr>
      <w:r>
        <w:rPr>
          <w:szCs w:val="32"/>
        </w:rPr>
        <w:t>AFCS</w:t>
      </w:r>
      <w:r w:rsidRPr="00D90D0D">
        <w:rPr>
          <w:szCs w:val="32"/>
        </w:rPr>
        <w:t xml:space="preserve"> shall only use pipeline quality natural gas or propane fuel. </w:t>
      </w:r>
    </w:p>
    <w:p w14:paraId="25B906B5" w14:textId="77777777" w:rsidR="006C74CE" w:rsidRPr="005B6874" w:rsidRDefault="006C74CE" w:rsidP="006C74CE">
      <w:pPr>
        <w:ind w:left="432"/>
        <w:rPr>
          <w:szCs w:val="32"/>
        </w:rPr>
      </w:pPr>
    </w:p>
    <w:p w14:paraId="46431336" w14:textId="77777777" w:rsidR="006C74CE" w:rsidRPr="00D90D0D" w:rsidRDefault="006C74CE" w:rsidP="00F826F2">
      <w:pPr>
        <w:pStyle w:val="ListParagraph"/>
        <w:numPr>
          <w:ilvl w:val="0"/>
          <w:numId w:val="69"/>
        </w:numPr>
        <w:rPr>
          <w:szCs w:val="32"/>
        </w:rPr>
      </w:pPr>
      <w:r>
        <w:rPr>
          <w:szCs w:val="32"/>
        </w:rPr>
        <w:t>AFCS</w:t>
      </w:r>
      <w:r w:rsidRPr="00D90D0D">
        <w:rPr>
          <w:szCs w:val="32"/>
        </w:rPr>
        <w:t xml:space="preserve"> shall utilize proper design and operation, including the development of operating procedures, require operating training, and have procedures on-site at the unit and have training records and documentation available upon request.  </w:t>
      </w:r>
    </w:p>
    <w:p w14:paraId="1644E712" w14:textId="77777777" w:rsidR="006C74CE" w:rsidRPr="005B6874" w:rsidRDefault="006C74CE" w:rsidP="006C74CE">
      <w:pPr>
        <w:ind w:left="432"/>
        <w:rPr>
          <w:szCs w:val="32"/>
        </w:rPr>
      </w:pPr>
    </w:p>
    <w:p w14:paraId="6C6158F4" w14:textId="77777777" w:rsidR="006C74CE" w:rsidRPr="00D90D0D" w:rsidRDefault="006C74CE" w:rsidP="00F826F2">
      <w:pPr>
        <w:pStyle w:val="ListParagraph"/>
        <w:numPr>
          <w:ilvl w:val="0"/>
          <w:numId w:val="69"/>
        </w:numPr>
        <w:rPr>
          <w:szCs w:val="32"/>
        </w:rPr>
      </w:pPr>
      <w:r>
        <w:rPr>
          <w:szCs w:val="32"/>
        </w:rPr>
        <w:t>AFCS</w:t>
      </w:r>
      <w:r w:rsidRPr="00D90D0D">
        <w:rPr>
          <w:szCs w:val="32"/>
        </w:rPr>
        <w:t xml:space="preserve"> shall only incinerate/cremate human and animal remains and any corresponding container unless approved in writing by DEQ.</w:t>
      </w:r>
    </w:p>
    <w:p w14:paraId="6D9E8A6A" w14:textId="77777777" w:rsidR="006C74CE" w:rsidRDefault="006C74CE" w:rsidP="006C74CE">
      <w:pPr>
        <w:ind w:left="432"/>
        <w:rPr>
          <w:szCs w:val="32"/>
        </w:rPr>
      </w:pPr>
    </w:p>
    <w:p w14:paraId="7630F56C"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sidRPr="00F43DF3">
        <w:rPr>
          <w:szCs w:val="32"/>
        </w:rPr>
        <w:t xml:space="preserve">The control options selected have controls and control costs comparable to other recently permitted similar sources and are capable of achieving the appropriate emission standards. The BACT conclusions prescribed under </w:t>
      </w:r>
      <w:r>
        <w:rPr>
          <w:szCs w:val="32"/>
        </w:rPr>
        <w:t>MAQP #5350-00</w:t>
      </w:r>
      <w:r w:rsidRPr="00F43DF3">
        <w:rPr>
          <w:szCs w:val="32"/>
        </w:rPr>
        <w:t xml:space="preserve"> provides comparable controls and control cost to other recently permitted similar sources and are capable of achieving the appropriate emission standards.</w:t>
      </w:r>
    </w:p>
    <w:p w14:paraId="4F44263F" w14:textId="77777777" w:rsidR="006C74CE" w:rsidRPr="00F43DF3" w:rsidRDefault="006C74CE" w:rsidP="006C74CE">
      <w:pPr>
        <w:rPr>
          <w:sz w:val="22"/>
        </w:rPr>
      </w:pPr>
    </w:p>
    <w:p w14:paraId="047C1C07" w14:textId="77777777" w:rsidR="006C74CE" w:rsidRPr="00F43DF3" w:rsidRDefault="006C74CE" w:rsidP="006C74CE">
      <w:pPr>
        <w:ind w:left="432"/>
        <w:rPr>
          <w:b/>
          <w:bCs/>
          <w:szCs w:val="32"/>
          <w:u w:val="single"/>
        </w:rPr>
      </w:pPr>
      <w:r w:rsidRPr="00F43DF3">
        <w:rPr>
          <w:b/>
          <w:bCs/>
          <w:szCs w:val="32"/>
          <w:u w:val="single"/>
        </w:rPr>
        <w:t>VOC and CO BACT Analysis:</w:t>
      </w:r>
    </w:p>
    <w:p w14:paraId="284BE38E" w14:textId="77777777" w:rsidR="006C74CE" w:rsidRDefault="006C74CE" w:rsidP="006C74CE">
      <w:pPr>
        <w:ind w:left="432"/>
        <w:rPr>
          <w:szCs w:val="32"/>
        </w:rPr>
      </w:pPr>
      <w:r w:rsidRPr="00F43DF3">
        <w:rPr>
          <w:szCs w:val="32"/>
        </w:rPr>
        <w:t xml:space="preserve"> </w:t>
      </w:r>
    </w:p>
    <w:p w14:paraId="02657C1B" w14:textId="77777777" w:rsidR="006C74CE" w:rsidRDefault="006C74CE" w:rsidP="006C74CE">
      <w:pPr>
        <w:ind w:left="432"/>
        <w:rPr>
          <w:szCs w:val="32"/>
        </w:rPr>
      </w:pPr>
      <w:r>
        <w:rPr>
          <w:szCs w:val="32"/>
        </w:rPr>
        <w:t>As the control technologies and strategies are similar for CO and VOC control they are analyzed together.</w:t>
      </w:r>
      <w:r w:rsidRPr="0041185D">
        <w:t xml:space="preserve"> </w:t>
      </w:r>
      <w:r w:rsidRPr="0041185D">
        <w:rPr>
          <w:szCs w:val="32"/>
        </w:rPr>
        <w:t>Due to emissions of CO and VOC both resulting from incomplete combustion processes, this BACT analysis and determination applies to both pollutants, as controlling VOC emissions will inherently control the CO emissions simultaneously. The EPA Air Pollution Control Cost Manual does not currently contain a section that is specifically related to CO emission control devices, along with research of other state BACT analysis have no specifications concerning CO emissions as a singular entity. Therefore, based on previous DEQ determinations, along with the combustion process, allows for the CO and VOC BACT to be conducted together</w:t>
      </w:r>
    </w:p>
    <w:p w14:paraId="0A56D029" w14:textId="77777777" w:rsidR="006C74CE" w:rsidRPr="00F43DF3" w:rsidRDefault="006C74CE" w:rsidP="006C74CE">
      <w:pPr>
        <w:ind w:left="432"/>
        <w:rPr>
          <w:szCs w:val="32"/>
        </w:rPr>
      </w:pPr>
    </w:p>
    <w:p w14:paraId="3F7C58CA" w14:textId="77777777" w:rsidR="006C74CE" w:rsidRPr="00BE32B7" w:rsidRDefault="006C74CE" w:rsidP="006C74CE">
      <w:pPr>
        <w:ind w:left="432"/>
        <w:rPr>
          <w:b/>
          <w:bCs/>
          <w:szCs w:val="32"/>
        </w:rPr>
      </w:pPr>
      <w:r w:rsidRPr="00BE32B7">
        <w:rPr>
          <w:b/>
          <w:bCs/>
          <w:szCs w:val="32"/>
        </w:rPr>
        <w:t>Step 1: Identify All Available Control Technologies</w:t>
      </w:r>
    </w:p>
    <w:p w14:paraId="20670814" w14:textId="77777777" w:rsidR="006C74CE" w:rsidRDefault="006C74CE" w:rsidP="006C74CE">
      <w:pPr>
        <w:ind w:left="432"/>
        <w:rPr>
          <w:szCs w:val="32"/>
        </w:rPr>
      </w:pPr>
      <w:r w:rsidRPr="00F43DF3">
        <w:rPr>
          <w:szCs w:val="32"/>
        </w:rPr>
        <w:t>By design, the proposed cremation unit will have a</w:t>
      </w:r>
      <w:r>
        <w:rPr>
          <w:szCs w:val="32"/>
        </w:rPr>
        <w:t>n integral</w:t>
      </w:r>
      <w:r w:rsidRPr="00F43DF3">
        <w:rPr>
          <w:szCs w:val="32"/>
        </w:rPr>
        <w:t xml:space="preserve"> secondary afterburner chamber. In addition to the standard afterburner, the control technologies for </w:t>
      </w:r>
      <w:r>
        <w:rPr>
          <w:szCs w:val="32"/>
        </w:rPr>
        <w:t>VOC and CO</w:t>
      </w:r>
      <w:r w:rsidRPr="00F43DF3">
        <w:rPr>
          <w:szCs w:val="32"/>
        </w:rPr>
        <w:t xml:space="preserve"> reduction identified below constitute available technologies</w:t>
      </w:r>
      <w:r>
        <w:rPr>
          <w:szCs w:val="32"/>
        </w:rPr>
        <w:t>.</w:t>
      </w:r>
    </w:p>
    <w:p w14:paraId="2BADB57E" w14:textId="77777777" w:rsidR="006C74CE" w:rsidRPr="004C3961" w:rsidRDefault="006C74CE" w:rsidP="006C74CE"/>
    <w:p w14:paraId="42186E87" w14:textId="77777777" w:rsidR="006C74CE" w:rsidRPr="00D90D0D" w:rsidRDefault="006C74CE" w:rsidP="00F826F2">
      <w:pPr>
        <w:pStyle w:val="ListParagraph"/>
        <w:numPr>
          <w:ilvl w:val="0"/>
          <w:numId w:val="70"/>
        </w:numPr>
      </w:pPr>
      <w:r w:rsidRPr="00D90D0D">
        <w:t>Carbon Adsorber</w:t>
      </w:r>
    </w:p>
    <w:p w14:paraId="3E54FD05" w14:textId="77777777" w:rsidR="006C74CE" w:rsidRPr="00D90D0D" w:rsidRDefault="006C74CE" w:rsidP="00F826F2">
      <w:pPr>
        <w:pStyle w:val="ListParagraph"/>
        <w:numPr>
          <w:ilvl w:val="0"/>
          <w:numId w:val="70"/>
        </w:numPr>
      </w:pPr>
      <w:r w:rsidRPr="00D90D0D">
        <w:t>Condenser</w:t>
      </w:r>
    </w:p>
    <w:p w14:paraId="5D7B89B2" w14:textId="77777777" w:rsidR="006C74CE" w:rsidRPr="00D90D0D" w:rsidRDefault="006C74CE" w:rsidP="00F826F2">
      <w:pPr>
        <w:pStyle w:val="ListParagraph"/>
        <w:numPr>
          <w:ilvl w:val="0"/>
          <w:numId w:val="70"/>
        </w:numPr>
      </w:pPr>
      <w:r w:rsidRPr="00D90D0D">
        <w:t>Additional afterburner</w:t>
      </w:r>
    </w:p>
    <w:p w14:paraId="675E6C8B" w14:textId="77777777" w:rsidR="006C74CE" w:rsidRPr="00D90D0D" w:rsidRDefault="006C74CE" w:rsidP="00F826F2">
      <w:pPr>
        <w:pStyle w:val="ListParagraph"/>
        <w:numPr>
          <w:ilvl w:val="0"/>
          <w:numId w:val="70"/>
        </w:numPr>
      </w:pPr>
      <w:r w:rsidRPr="00D90D0D">
        <w:t>Afterburner (Integral)</w:t>
      </w:r>
    </w:p>
    <w:p w14:paraId="2C770C81" w14:textId="77777777" w:rsidR="006C74CE" w:rsidRPr="00D90D0D" w:rsidRDefault="006C74CE" w:rsidP="00F826F2">
      <w:pPr>
        <w:pStyle w:val="ListParagraph"/>
        <w:numPr>
          <w:ilvl w:val="0"/>
          <w:numId w:val="70"/>
        </w:numPr>
      </w:pPr>
      <w:r w:rsidRPr="00D90D0D">
        <w:t>Utilize only low sulfur natural gas (described as pipeline quality) or propane utilizing good combustion practices to minimize emissions</w:t>
      </w:r>
    </w:p>
    <w:p w14:paraId="6E277BF0" w14:textId="77777777" w:rsidR="006C74CE" w:rsidRPr="00D90D0D" w:rsidRDefault="006C74CE" w:rsidP="00F826F2">
      <w:pPr>
        <w:pStyle w:val="ListParagraph"/>
        <w:numPr>
          <w:ilvl w:val="0"/>
          <w:numId w:val="70"/>
        </w:numPr>
      </w:pPr>
      <w:r w:rsidRPr="00D90D0D">
        <w:t>Only incinerate/cremate human and animal remains and any corresponding container unless approved in writing by DEQ</w:t>
      </w:r>
    </w:p>
    <w:p w14:paraId="7BCAA689" w14:textId="77777777" w:rsidR="006C74CE" w:rsidRPr="00D90D0D" w:rsidRDefault="006C74CE" w:rsidP="00F826F2">
      <w:pPr>
        <w:pStyle w:val="ListParagraph"/>
        <w:numPr>
          <w:ilvl w:val="0"/>
          <w:numId w:val="70"/>
        </w:numPr>
      </w:pPr>
      <w:r w:rsidRPr="00D90D0D">
        <w:t>Under the category of Design, Equipment, Work Practice, and Operational Standards the following strategies:</w:t>
      </w:r>
    </w:p>
    <w:p w14:paraId="2863DBD1" w14:textId="77777777" w:rsidR="006C74CE" w:rsidRPr="004C3961" w:rsidRDefault="006C74CE" w:rsidP="00F826F2">
      <w:pPr>
        <w:pStyle w:val="ListParagraph"/>
        <w:numPr>
          <w:ilvl w:val="0"/>
          <w:numId w:val="61"/>
        </w:numPr>
      </w:pPr>
      <w:r w:rsidRPr="004C3961">
        <w:t>Preheating of the secondary chamber to a minimum temperature</w:t>
      </w:r>
      <w:r>
        <w:t xml:space="preserve"> of 1500</w:t>
      </w:r>
      <w:r w:rsidRPr="004C3961">
        <w:t xml:space="preserve"> F prior to feed introduction in the primary chamber</w:t>
      </w:r>
    </w:p>
    <w:p w14:paraId="19F4B91E" w14:textId="77777777" w:rsidR="006C74CE" w:rsidRPr="004C3961" w:rsidRDefault="006C74CE" w:rsidP="00F826F2">
      <w:pPr>
        <w:pStyle w:val="ListParagraph"/>
        <w:numPr>
          <w:ilvl w:val="0"/>
          <w:numId w:val="61"/>
        </w:numPr>
      </w:pPr>
      <w:r w:rsidRPr="004C3961">
        <w:t>Both the primary and secondary chamber shall each have their own individual burner</w:t>
      </w:r>
    </w:p>
    <w:p w14:paraId="5C6E85B8" w14:textId="77777777" w:rsidR="006C74CE" w:rsidRPr="004C3961" w:rsidRDefault="006C74CE" w:rsidP="00F826F2">
      <w:pPr>
        <w:pStyle w:val="ListParagraph"/>
        <w:numPr>
          <w:ilvl w:val="0"/>
          <w:numId w:val="61"/>
        </w:numPr>
      </w:pPr>
      <w:r w:rsidRPr="004C3961">
        <w:t>Maintaining a minimum hourly average secondary combustion chamber temperature</w:t>
      </w:r>
      <w:r>
        <w:t xml:space="preserve"> of 1500 F</w:t>
      </w:r>
      <w:r w:rsidRPr="004C3961">
        <w:t xml:space="preserve"> with </w:t>
      </w:r>
      <w:r>
        <w:t>no</w:t>
      </w:r>
      <w:r w:rsidRPr="004C3961">
        <w:t xml:space="preserve"> single occurrence lower </w:t>
      </w:r>
      <w:r>
        <w:t>than 1450 F</w:t>
      </w:r>
    </w:p>
    <w:p w14:paraId="170CCB2C" w14:textId="77777777" w:rsidR="006C74CE" w:rsidRPr="004C3961" w:rsidRDefault="006C74CE" w:rsidP="00F826F2">
      <w:pPr>
        <w:pStyle w:val="ListParagraph"/>
        <w:numPr>
          <w:ilvl w:val="0"/>
          <w:numId w:val="61"/>
        </w:numPr>
      </w:pPr>
      <w:r>
        <w:t>Maintaining the secondary combustion chamber temperature setpoint, for 30 minutes after waste feed has stopped</w:t>
      </w:r>
    </w:p>
    <w:p w14:paraId="60DB1CF7" w14:textId="77777777" w:rsidR="006C74CE" w:rsidRPr="004048E3" w:rsidRDefault="006C74CE" w:rsidP="00F826F2">
      <w:pPr>
        <w:pStyle w:val="ListParagraph"/>
        <w:numPr>
          <w:ilvl w:val="0"/>
          <w:numId w:val="61"/>
        </w:numPr>
      </w:pPr>
      <w:r w:rsidRPr="004C3961">
        <w:t>Develop operating procedures, require operating training, and have procedures on-site at the unit and have training records and documentation available upon request.</w:t>
      </w:r>
    </w:p>
    <w:p w14:paraId="50F32298" w14:textId="77777777" w:rsidR="006C74CE" w:rsidRPr="00F43DF3" w:rsidRDefault="006C74CE" w:rsidP="006C74CE">
      <w:pPr>
        <w:ind w:left="432"/>
        <w:rPr>
          <w:szCs w:val="32"/>
        </w:rPr>
      </w:pPr>
    </w:p>
    <w:p w14:paraId="1A830C85" w14:textId="77777777" w:rsidR="006C74CE" w:rsidRPr="00F43DF3" w:rsidRDefault="006C74CE" w:rsidP="006C74CE">
      <w:pPr>
        <w:ind w:left="432"/>
        <w:rPr>
          <w:b/>
          <w:bCs/>
          <w:szCs w:val="32"/>
        </w:rPr>
      </w:pPr>
      <w:r w:rsidRPr="00F43DF3">
        <w:rPr>
          <w:b/>
          <w:bCs/>
          <w:szCs w:val="32"/>
        </w:rPr>
        <w:lastRenderedPageBreak/>
        <w:t>Step 2: Eliminate Technically Infeasible Control Options</w:t>
      </w:r>
    </w:p>
    <w:p w14:paraId="308401FD" w14:textId="77777777" w:rsidR="006C74CE" w:rsidRPr="00F43DF3" w:rsidRDefault="006C74CE" w:rsidP="006C74CE">
      <w:pPr>
        <w:ind w:left="432"/>
        <w:rPr>
          <w:szCs w:val="32"/>
        </w:rPr>
      </w:pPr>
    </w:p>
    <w:p w14:paraId="520A53EB" w14:textId="42D68460" w:rsidR="006C74CE" w:rsidRDefault="006C74CE" w:rsidP="00506460">
      <w:pPr>
        <w:ind w:left="432"/>
        <w:rPr>
          <w:szCs w:val="32"/>
        </w:rPr>
      </w:pPr>
      <w:r w:rsidRPr="00F43DF3">
        <w:rPr>
          <w:szCs w:val="32"/>
        </w:rPr>
        <w:t>Carbon Adsorber: Carbon adsorbers control VOC emissions through adsorption. Adsorption is a non-destruction control technology utilized to remove VOCs from low to medium concentration gas streams. There are four main types of adsorption equipment and for this analysis a Fixed-Bed Unit will be analyzed due to its capability to handle low VOC concentration streams and that it can be operated intermittently (</w:t>
      </w:r>
      <w:r w:rsidRPr="00F43DF3">
        <w:rPr>
          <w:i/>
          <w:iCs/>
          <w:szCs w:val="32"/>
        </w:rPr>
        <w:t>Chapter 1 -Carbon Adsorbers</w:t>
      </w:r>
      <w:r w:rsidRPr="00F43DF3">
        <w:rPr>
          <w:szCs w:val="32"/>
        </w:rPr>
        <w:t>).</w:t>
      </w:r>
      <w:r w:rsidR="00506460">
        <w:rPr>
          <w:szCs w:val="32"/>
        </w:rPr>
        <w:t xml:space="preserve"> </w:t>
      </w:r>
      <w:r w:rsidRPr="004407A8">
        <w:rPr>
          <w:szCs w:val="32"/>
        </w:rPr>
        <w:t xml:space="preserve">The operational temperature for a carbon adsorber is typically </w:t>
      </w:r>
      <w:r>
        <w:rPr>
          <w:szCs w:val="32"/>
        </w:rPr>
        <w:t>done at ambient temperatures of 60 to 100 ºF.</w:t>
      </w:r>
      <w:r w:rsidRPr="004407A8">
        <w:rPr>
          <w:szCs w:val="32"/>
        </w:rPr>
        <w:t xml:space="preserve"> The exhaust stream from the cremation unit will be approximately 1,</w:t>
      </w:r>
      <w:r>
        <w:rPr>
          <w:szCs w:val="32"/>
        </w:rPr>
        <w:t>5</w:t>
      </w:r>
      <w:r w:rsidRPr="004407A8">
        <w:rPr>
          <w:szCs w:val="32"/>
        </w:rPr>
        <w:t xml:space="preserve">00 ºF. </w:t>
      </w:r>
      <w:r>
        <w:rPr>
          <w:szCs w:val="32"/>
        </w:rPr>
        <w:t>T</w:t>
      </w:r>
      <w:r w:rsidRPr="004407A8">
        <w:rPr>
          <w:szCs w:val="32"/>
        </w:rPr>
        <w:t>he addition of a carbon adsorber is deemed technically infeasible and will not be considered further and is deemed technically infeasible.</w:t>
      </w:r>
    </w:p>
    <w:p w14:paraId="71424B17" w14:textId="77777777" w:rsidR="006C74CE" w:rsidRDefault="006C74CE" w:rsidP="006C74CE">
      <w:pPr>
        <w:ind w:left="432"/>
        <w:rPr>
          <w:szCs w:val="32"/>
        </w:rPr>
      </w:pPr>
    </w:p>
    <w:p w14:paraId="1747A0B4" w14:textId="77777777" w:rsidR="006C74CE" w:rsidRDefault="006C74CE" w:rsidP="006C74CE">
      <w:pPr>
        <w:ind w:left="432"/>
        <w:rPr>
          <w:szCs w:val="32"/>
        </w:rPr>
      </w:pPr>
      <w:r w:rsidRPr="00F43DF3">
        <w:rPr>
          <w:szCs w:val="32"/>
        </w:rPr>
        <w:t>Condenser: Two types of condensers categories exist: refrigerated or non-refrigerated. For this, a non-refrigerated system will be analyzed as a non-refrigerated condenser are used prior to control devices. Condenser control technology reduces emissions to the atmosphere and captures or recovers VOCs</w:t>
      </w:r>
      <w:r>
        <w:rPr>
          <w:szCs w:val="32"/>
        </w:rPr>
        <w:t>.</w:t>
      </w:r>
      <w:r w:rsidRPr="00F43DF3">
        <w:rPr>
          <w:szCs w:val="32"/>
        </w:rPr>
        <w:t xml:space="preserve"> Condensation is a separation technique in which one or more volatile components of a vapor mixture are separated from the remaining vapors through saturation followed by a phase change, from a gas to a liquid. Control efficiencies range from 50-90% depending on the type of coolants used (</w:t>
      </w:r>
      <w:r w:rsidRPr="00F43DF3">
        <w:rPr>
          <w:i/>
          <w:iCs/>
          <w:szCs w:val="32"/>
        </w:rPr>
        <w:t>Refrigerated Condensers</w:t>
      </w:r>
      <w:r w:rsidRPr="00F43DF3">
        <w:rPr>
          <w:szCs w:val="32"/>
        </w:rPr>
        <w:t>). Condensers are typically utilized for equipment that have a gas outlet stream with high levels of VOCs. They are also not typically utilized for cremation units (</w:t>
      </w:r>
      <w:r w:rsidRPr="00F43DF3">
        <w:rPr>
          <w:i/>
          <w:iCs/>
          <w:szCs w:val="32"/>
        </w:rPr>
        <w:t>Monitoring by Control Technique – Condensers</w:t>
      </w:r>
      <w:r w:rsidRPr="00F43DF3">
        <w:rPr>
          <w:szCs w:val="32"/>
        </w:rPr>
        <w:t>). Based on the low level of VOC emissions</w:t>
      </w:r>
      <w:r>
        <w:rPr>
          <w:szCs w:val="32"/>
        </w:rPr>
        <w:t xml:space="preserve"> which remain after combustion in the secondary combustion chamber</w:t>
      </w:r>
      <w:r w:rsidRPr="00F43DF3">
        <w:rPr>
          <w:szCs w:val="32"/>
        </w:rPr>
        <w:t xml:space="preserve">, adding a condenser is deemed technically infeasible and will not be considered further. </w:t>
      </w:r>
    </w:p>
    <w:p w14:paraId="31ECC9DF" w14:textId="77777777" w:rsidR="006C74CE" w:rsidRDefault="006C74CE" w:rsidP="006C74CE">
      <w:pPr>
        <w:ind w:left="432"/>
        <w:rPr>
          <w:szCs w:val="32"/>
        </w:rPr>
      </w:pPr>
    </w:p>
    <w:p w14:paraId="6409377E" w14:textId="77777777" w:rsidR="006C74CE" w:rsidRDefault="006C74CE" w:rsidP="006C74CE">
      <w:pPr>
        <w:ind w:left="432"/>
        <w:rPr>
          <w:szCs w:val="32"/>
        </w:rPr>
      </w:pPr>
      <w:r>
        <w:rPr>
          <w:szCs w:val="32"/>
        </w:rPr>
        <w:t>Additional Afterburner.  The residual VOC and CO streams could be passed through an additional downstream thermal combustor.  However, since the remaining VOC and CO emissions would be a small percentage of what exits the secondary combustion chamber, it would require the add on thermal oxidizer to use additional fuel to combust the low concentration of remaining VOC and CO, thereby increasing emissions of all regulated pollutants.  However, this technology is deemed technically feasible so it will be carried forward.</w:t>
      </w:r>
    </w:p>
    <w:p w14:paraId="50A2C18D" w14:textId="77777777" w:rsidR="006C74CE" w:rsidRDefault="006C74CE" w:rsidP="006C74CE">
      <w:pPr>
        <w:ind w:left="432"/>
        <w:rPr>
          <w:szCs w:val="32"/>
        </w:rPr>
      </w:pPr>
    </w:p>
    <w:p w14:paraId="0EE823D4" w14:textId="77777777" w:rsidR="006C74CE" w:rsidRDefault="006C74CE" w:rsidP="006C74CE">
      <w:pPr>
        <w:ind w:left="432"/>
        <w:rPr>
          <w:szCs w:val="32"/>
        </w:rPr>
      </w:pPr>
      <w:r>
        <w:t>Natural Gas or Propane Fuel Only. When firing natural gas or propane, p</w:t>
      </w:r>
      <w:r w:rsidRPr="00F43DF3">
        <w:rPr>
          <w:szCs w:val="32"/>
        </w:rPr>
        <w:t xml:space="preserve">otential emissions of all regulated pollutants, including </w:t>
      </w:r>
      <w:r>
        <w:rPr>
          <w:szCs w:val="32"/>
        </w:rPr>
        <w:t>particulate matter</w:t>
      </w:r>
      <w:r w:rsidRPr="00F43DF3">
        <w:rPr>
          <w:szCs w:val="32"/>
        </w:rPr>
        <w:t>, are relatively low</w:t>
      </w:r>
      <w:r>
        <w:rPr>
          <w:szCs w:val="32"/>
        </w:rPr>
        <w:t>. Using natural gas or propane fuel only is technically feasible for crematorium operations.</w:t>
      </w:r>
    </w:p>
    <w:p w14:paraId="7AB33B2D" w14:textId="77777777" w:rsidR="006C74CE" w:rsidRDefault="006C74CE" w:rsidP="006C74CE">
      <w:pPr>
        <w:ind w:left="432"/>
        <w:rPr>
          <w:szCs w:val="32"/>
        </w:rPr>
      </w:pPr>
    </w:p>
    <w:p w14:paraId="48F23245" w14:textId="77777777" w:rsidR="006C74CE" w:rsidRDefault="006C74CE" w:rsidP="006C74CE">
      <w:pPr>
        <w:ind w:left="432"/>
        <w:rPr>
          <w:szCs w:val="32"/>
        </w:rPr>
      </w:pPr>
      <w:r w:rsidRPr="00794B92">
        <w:rPr>
          <w:szCs w:val="32"/>
        </w:rPr>
        <w:t>Only incinerate/cremate human and animal remains and any corresponding container unless approved in writing by DEQ</w:t>
      </w:r>
      <w:r>
        <w:rPr>
          <w:szCs w:val="32"/>
        </w:rPr>
        <w:t>. In order to prevent unnecessary VOC or CO formation, non-approved waste materials cannot be combusted in the crematorium.</w:t>
      </w:r>
    </w:p>
    <w:p w14:paraId="0E7F63E6" w14:textId="77777777" w:rsidR="006C74CE" w:rsidRDefault="006C74CE" w:rsidP="006C74CE">
      <w:pPr>
        <w:rPr>
          <w:szCs w:val="32"/>
        </w:rPr>
      </w:pPr>
    </w:p>
    <w:p w14:paraId="4828386F" w14:textId="77777777" w:rsidR="006C74CE" w:rsidRPr="00C37A65" w:rsidRDefault="006C74CE" w:rsidP="006C74CE">
      <w:pPr>
        <w:ind w:left="432"/>
      </w:pPr>
      <w:r w:rsidRPr="00C37A65">
        <w:t>Under the category of Design, Equipment, Work Practice, and Operational Standards the following strategies:</w:t>
      </w:r>
    </w:p>
    <w:p w14:paraId="4A09D7E9" w14:textId="77777777" w:rsidR="006C74CE" w:rsidRPr="004538F3" w:rsidRDefault="006C74CE" w:rsidP="00F826F2">
      <w:pPr>
        <w:pStyle w:val="ListParagraph"/>
        <w:numPr>
          <w:ilvl w:val="0"/>
          <w:numId w:val="71"/>
        </w:numPr>
      </w:pPr>
      <w:r w:rsidRPr="004538F3">
        <w:t xml:space="preserve">Preheating of the secondary chamber to a minimum temperature </w:t>
      </w:r>
      <w:r>
        <w:t>of 1500</w:t>
      </w:r>
      <w:r w:rsidRPr="004538F3">
        <w:t xml:space="preserve"> F prior to feed introduction in the primary chamber</w:t>
      </w:r>
    </w:p>
    <w:p w14:paraId="76ACDA76" w14:textId="77777777" w:rsidR="006C74CE" w:rsidRPr="004538F3" w:rsidRDefault="006C74CE" w:rsidP="00F826F2">
      <w:pPr>
        <w:pStyle w:val="ListParagraph"/>
        <w:numPr>
          <w:ilvl w:val="0"/>
          <w:numId w:val="71"/>
        </w:numPr>
      </w:pPr>
      <w:r w:rsidRPr="004538F3">
        <w:t>Both the primary and secondary chamber shall each have their own individual burner</w:t>
      </w:r>
    </w:p>
    <w:p w14:paraId="6045D262" w14:textId="77777777" w:rsidR="006C74CE" w:rsidRPr="004538F3" w:rsidRDefault="006C74CE" w:rsidP="00F826F2">
      <w:pPr>
        <w:pStyle w:val="ListParagraph"/>
        <w:numPr>
          <w:ilvl w:val="0"/>
          <w:numId w:val="71"/>
        </w:numPr>
      </w:pPr>
      <w:r w:rsidRPr="004538F3">
        <w:t xml:space="preserve">Maintaining a minimum hourly average secondary combustion chamber temperature </w:t>
      </w:r>
      <w:r>
        <w:t>of 1500</w:t>
      </w:r>
      <w:r w:rsidRPr="004538F3">
        <w:t xml:space="preserve"> F with no single occurrence lower than 1450 F.</w:t>
      </w:r>
    </w:p>
    <w:p w14:paraId="71A4DAA2" w14:textId="77777777" w:rsidR="006C74CE" w:rsidRPr="004538F3" w:rsidRDefault="006C74CE" w:rsidP="00F826F2">
      <w:pPr>
        <w:pStyle w:val="ListParagraph"/>
        <w:numPr>
          <w:ilvl w:val="0"/>
          <w:numId w:val="71"/>
        </w:numPr>
      </w:pPr>
      <w:r>
        <w:t>Maintaining the secondary combustion chamber temperature setpoint, for 30 minutes after waste feed has stopped</w:t>
      </w:r>
    </w:p>
    <w:p w14:paraId="5C645B4E" w14:textId="77777777" w:rsidR="006C74CE" w:rsidRPr="004538F3" w:rsidRDefault="006C74CE" w:rsidP="00F826F2">
      <w:pPr>
        <w:pStyle w:val="ListParagraph"/>
        <w:numPr>
          <w:ilvl w:val="0"/>
          <w:numId w:val="71"/>
        </w:numPr>
      </w:pPr>
      <w:r w:rsidRPr="004538F3">
        <w:lastRenderedPageBreak/>
        <w:t>Develop operating procedures, require operating training, and have procedures on-site at the unit and have training records and documentation available upon request.</w:t>
      </w:r>
    </w:p>
    <w:p w14:paraId="110FB341" w14:textId="77777777" w:rsidR="006C74CE" w:rsidRDefault="006C74CE" w:rsidP="006C74CE">
      <w:pPr>
        <w:rPr>
          <w:szCs w:val="32"/>
        </w:rPr>
      </w:pPr>
    </w:p>
    <w:p w14:paraId="225C7804" w14:textId="77777777" w:rsidR="006C74CE" w:rsidRDefault="006C74CE" w:rsidP="006C74CE">
      <w:pPr>
        <w:ind w:left="432"/>
        <w:rPr>
          <w:szCs w:val="28"/>
        </w:rPr>
      </w:pPr>
      <w:r>
        <w:rPr>
          <w:szCs w:val="28"/>
        </w:rPr>
        <w:t xml:space="preserve">The above </w:t>
      </w:r>
      <w:r w:rsidRPr="005F1EDB">
        <w:rPr>
          <w:szCs w:val="28"/>
        </w:rPr>
        <w:t>Design, Equipment, Work Practice, and Operational Standards</w:t>
      </w:r>
      <w:r>
        <w:rPr>
          <w:szCs w:val="28"/>
        </w:rPr>
        <w:t xml:space="preserve"> will limit emissions of all regulated pollutants, including particulate matter. </w:t>
      </w:r>
      <w:r w:rsidRPr="00F43DF3">
        <w:rPr>
          <w:szCs w:val="28"/>
        </w:rPr>
        <w:t>The</w:t>
      </w:r>
      <w:r>
        <w:rPr>
          <w:szCs w:val="28"/>
        </w:rPr>
        <w:t>refore, development of</w:t>
      </w:r>
      <w:r w:rsidRPr="00F43DF3">
        <w:rPr>
          <w:szCs w:val="28"/>
        </w:rPr>
        <w:t xml:space="preserve"> </w:t>
      </w:r>
      <w:r>
        <w:rPr>
          <w:szCs w:val="28"/>
        </w:rPr>
        <w:t xml:space="preserve">an </w:t>
      </w:r>
      <w:r w:rsidRPr="00F43DF3">
        <w:rPr>
          <w:szCs w:val="28"/>
        </w:rPr>
        <w:t xml:space="preserve">operating procedures manual for </w:t>
      </w:r>
      <w:r>
        <w:rPr>
          <w:szCs w:val="28"/>
        </w:rPr>
        <w:t>each</w:t>
      </w:r>
      <w:r w:rsidRPr="00F43DF3">
        <w:rPr>
          <w:szCs w:val="28"/>
        </w:rPr>
        <w:t xml:space="preserve"> cremation unit</w:t>
      </w:r>
      <w:r>
        <w:rPr>
          <w:szCs w:val="28"/>
        </w:rPr>
        <w:t>, training operators using the operations manual,</w:t>
      </w:r>
      <w:r w:rsidRPr="00F43DF3">
        <w:rPr>
          <w:szCs w:val="28"/>
        </w:rPr>
        <w:t xml:space="preserve"> and </w:t>
      </w:r>
      <w:r>
        <w:rPr>
          <w:szCs w:val="28"/>
        </w:rPr>
        <w:t>having available</w:t>
      </w:r>
      <w:r w:rsidRPr="00F43DF3">
        <w:rPr>
          <w:szCs w:val="28"/>
        </w:rPr>
        <w:t xml:space="preserve"> onsite at all times</w:t>
      </w:r>
      <w:r>
        <w:rPr>
          <w:szCs w:val="28"/>
        </w:rPr>
        <w:t xml:space="preserve"> constitutes an available and technically feasible strategy to limit particulate matter emissions</w:t>
      </w:r>
      <w:r w:rsidRPr="00F43DF3">
        <w:rPr>
          <w:szCs w:val="28"/>
        </w:rPr>
        <w:t>.</w:t>
      </w:r>
    </w:p>
    <w:p w14:paraId="5074FC28" w14:textId="77777777" w:rsidR="006C74CE" w:rsidRDefault="006C74CE" w:rsidP="006C74CE">
      <w:pPr>
        <w:ind w:left="432"/>
        <w:rPr>
          <w:b/>
          <w:bCs/>
          <w:szCs w:val="32"/>
        </w:rPr>
      </w:pPr>
    </w:p>
    <w:p w14:paraId="32FA680B" w14:textId="77777777" w:rsidR="006C74CE" w:rsidRDefault="006C74CE" w:rsidP="006C74CE">
      <w:pPr>
        <w:ind w:left="432"/>
        <w:rPr>
          <w:b/>
          <w:bCs/>
        </w:rPr>
      </w:pPr>
      <w:r w:rsidRPr="00F43DF3">
        <w:rPr>
          <w:b/>
          <w:bCs/>
        </w:rPr>
        <w:t>Step 3: Rank Remaining Control Technologies by Control Effectiveness</w:t>
      </w:r>
    </w:p>
    <w:p w14:paraId="4B763BD9" w14:textId="77777777" w:rsidR="006C74CE" w:rsidRDefault="006C74CE" w:rsidP="006C74CE">
      <w:pPr>
        <w:ind w:left="432"/>
        <w:rPr>
          <w:b/>
          <w:bCs/>
        </w:rPr>
      </w:pPr>
    </w:p>
    <w:p w14:paraId="11E2C31C" w14:textId="77777777" w:rsidR="006C74CE" w:rsidRDefault="006C74CE" w:rsidP="006C74CE">
      <w:pPr>
        <w:ind w:left="432"/>
      </w:pPr>
      <w:r w:rsidRPr="005C65AF">
        <w:t xml:space="preserve">The only remaining available and technically feasible control options are identified below. </w:t>
      </w:r>
      <w:r>
        <w:t>Control efficiencies for an afterburner and an add-on thermal combustor are shown.  The other strategies are considered equivalent to each other and designated as “3” to show equivalence.</w:t>
      </w:r>
    </w:p>
    <w:p w14:paraId="4363C364" w14:textId="77777777" w:rsidR="006C74CE" w:rsidRPr="005C65AF" w:rsidRDefault="006C74CE" w:rsidP="006C74CE">
      <w:pPr>
        <w:ind w:left="432"/>
      </w:pPr>
    </w:p>
    <w:tbl>
      <w:tblPr>
        <w:tblStyle w:val="TableGrid"/>
        <w:tblW w:w="0" w:type="auto"/>
        <w:tblInd w:w="558" w:type="dxa"/>
        <w:tblLook w:val="04A0" w:firstRow="1" w:lastRow="0" w:firstColumn="1" w:lastColumn="0" w:noHBand="0" w:noVBand="1"/>
      </w:tblPr>
      <w:tblGrid>
        <w:gridCol w:w="6218"/>
        <w:gridCol w:w="2574"/>
      </w:tblGrid>
      <w:tr w:rsidR="006C74CE" w:rsidRPr="00F43DF3" w14:paraId="52030844" w14:textId="77777777" w:rsidTr="00734F42">
        <w:tc>
          <w:tcPr>
            <w:tcW w:w="6218" w:type="dxa"/>
          </w:tcPr>
          <w:p w14:paraId="0027CD18" w14:textId="77777777" w:rsidR="006C74CE" w:rsidRPr="00F43DF3" w:rsidRDefault="006C74CE" w:rsidP="006A3276">
            <w:pPr>
              <w:jc w:val="center"/>
              <w:rPr>
                <w:b/>
                <w:bCs/>
                <w:szCs w:val="40"/>
              </w:rPr>
            </w:pPr>
            <w:r w:rsidRPr="00F43DF3">
              <w:rPr>
                <w:b/>
                <w:bCs/>
                <w:szCs w:val="40"/>
              </w:rPr>
              <w:t>Technology</w:t>
            </w:r>
          </w:p>
        </w:tc>
        <w:tc>
          <w:tcPr>
            <w:tcW w:w="2574" w:type="dxa"/>
          </w:tcPr>
          <w:p w14:paraId="11F3D36F" w14:textId="77777777" w:rsidR="006C74CE" w:rsidRPr="00F43DF3" w:rsidRDefault="006C74CE" w:rsidP="006A3276">
            <w:pPr>
              <w:jc w:val="center"/>
              <w:rPr>
                <w:b/>
                <w:bCs/>
                <w:szCs w:val="48"/>
              </w:rPr>
            </w:pPr>
            <w:r w:rsidRPr="00F43DF3">
              <w:rPr>
                <w:b/>
                <w:bCs/>
                <w:szCs w:val="48"/>
              </w:rPr>
              <w:t>Control Efficiency (%)</w:t>
            </w:r>
            <w:r>
              <w:rPr>
                <w:b/>
                <w:bCs/>
                <w:szCs w:val="48"/>
              </w:rPr>
              <w:t>and Rank</w:t>
            </w:r>
          </w:p>
        </w:tc>
      </w:tr>
      <w:tr w:rsidR="006C74CE" w:rsidRPr="00F43DF3" w14:paraId="508DCB21" w14:textId="77777777" w:rsidTr="00734F42">
        <w:tc>
          <w:tcPr>
            <w:tcW w:w="6218" w:type="dxa"/>
          </w:tcPr>
          <w:p w14:paraId="5960F0B9" w14:textId="77777777" w:rsidR="006C74CE" w:rsidRDefault="006C74CE" w:rsidP="006A3276">
            <w:pPr>
              <w:rPr>
                <w:szCs w:val="40"/>
              </w:rPr>
            </w:pPr>
            <w:r w:rsidRPr="006B10DC">
              <w:t>Afterburner (Baseline)</w:t>
            </w:r>
          </w:p>
        </w:tc>
        <w:tc>
          <w:tcPr>
            <w:tcW w:w="2574" w:type="dxa"/>
          </w:tcPr>
          <w:p w14:paraId="76FFDB52" w14:textId="77777777" w:rsidR="006C74CE" w:rsidRPr="00F43DF3" w:rsidRDefault="006C74CE" w:rsidP="006A3276">
            <w:pPr>
              <w:jc w:val="center"/>
              <w:rPr>
                <w:szCs w:val="48"/>
              </w:rPr>
            </w:pPr>
            <w:r>
              <w:t>1, 98</w:t>
            </w:r>
          </w:p>
        </w:tc>
      </w:tr>
      <w:tr w:rsidR="006C74CE" w:rsidRPr="00F43DF3" w14:paraId="7639C6D4" w14:textId="77777777" w:rsidTr="00734F42">
        <w:tc>
          <w:tcPr>
            <w:tcW w:w="6218" w:type="dxa"/>
          </w:tcPr>
          <w:p w14:paraId="6AB69205" w14:textId="77777777" w:rsidR="006C74CE" w:rsidRPr="00F43DF3" w:rsidRDefault="006C74CE" w:rsidP="006A3276">
            <w:pPr>
              <w:rPr>
                <w:szCs w:val="40"/>
              </w:rPr>
            </w:pPr>
            <w:r>
              <w:rPr>
                <w:szCs w:val="40"/>
              </w:rPr>
              <w:t>Add-On Thermal Combustor</w:t>
            </w:r>
          </w:p>
        </w:tc>
        <w:tc>
          <w:tcPr>
            <w:tcW w:w="2574" w:type="dxa"/>
          </w:tcPr>
          <w:p w14:paraId="790CAC45" w14:textId="77777777" w:rsidR="006C74CE" w:rsidRPr="00F43DF3" w:rsidRDefault="006C74CE" w:rsidP="006A3276">
            <w:pPr>
              <w:jc w:val="center"/>
              <w:rPr>
                <w:szCs w:val="48"/>
              </w:rPr>
            </w:pPr>
            <w:r>
              <w:rPr>
                <w:szCs w:val="48"/>
              </w:rPr>
              <w:t>2, 95</w:t>
            </w:r>
          </w:p>
        </w:tc>
      </w:tr>
      <w:tr w:rsidR="006C74CE" w:rsidRPr="00F43DF3" w14:paraId="7B088C0C" w14:textId="77777777" w:rsidTr="00734F42">
        <w:tc>
          <w:tcPr>
            <w:tcW w:w="6218" w:type="dxa"/>
          </w:tcPr>
          <w:p w14:paraId="218DA549" w14:textId="77777777" w:rsidR="006C74CE" w:rsidRPr="007B2B7C" w:rsidRDefault="006C74CE" w:rsidP="006A3276">
            <w:pPr>
              <w:rPr>
                <w:szCs w:val="32"/>
              </w:rPr>
            </w:pPr>
            <w:r>
              <w:rPr>
                <w:szCs w:val="32"/>
              </w:rPr>
              <w:t>Pipeline Quality natural gas or propane</w:t>
            </w:r>
          </w:p>
        </w:tc>
        <w:tc>
          <w:tcPr>
            <w:tcW w:w="2574" w:type="dxa"/>
          </w:tcPr>
          <w:p w14:paraId="520A9525" w14:textId="77777777" w:rsidR="006C74CE" w:rsidRDefault="006C74CE" w:rsidP="006A3276">
            <w:pPr>
              <w:jc w:val="center"/>
              <w:rPr>
                <w:szCs w:val="48"/>
              </w:rPr>
            </w:pPr>
            <w:r>
              <w:rPr>
                <w:szCs w:val="48"/>
              </w:rPr>
              <w:t>3</w:t>
            </w:r>
          </w:p>
        </w:tc>
      </w:tr>
      <w:tr w:rsidR="006C74CE" w:rsidRPr="00F43DF3" w14:paraId="718F1A7D" w14:textId="77777777" w:rsidTr="00734F42">
        <w:tc>
          <w:tcPr>
            <w:tcW w:w="6218" w:type="dxa"/>
          </w:tcPr>
          <w:p w14:paraId="11F19FE0" w14:textId="77777777" w:rsidR="006C74CE" w:rsidRPr="007B2B7C" w:rsidRDefault="006C74CE" w:rsidP="006A3276">
            <w:pPr>
              <w:rPr>
                <w:szCs w:val="32"/>
              </w:rPr>
            </w:pPr>
            <w:r w:rsidRPr="00502001">
              <w:rPr>
                <w:szCs w:val="32"/>
              </w:rPr>
              <w:t>Only incinerate/cremate human and animal remains and any corresponding container unless approved in writing by DEQ</w:t>
            </w:r>
          </w:p>
        </w:tc>
        <w:tc>
          <w:tcPr>
            <w:tcW w:w="2574" w:type="dxa"/>
          </w:tcPr>
          <w:p w14:paraId="7D8EFD0F" w14:textId="77777777" w:rsidR="006C74CE" w:rsidRDefault="006C74CE" w:rsidP="006A3276">
            <w:pPr>
              <w:jc w:val="center"/>
              <w:rPr>
                <w:szCs w:val="48"/>
              </w:rPr>
            </w:pPr>
            <w:r>
              <w:rPr>
                <w:szCs w:val="48"/>
              </w:rPr>
              <w:t>3</w:t>
            </w:r>
          </w:p>
        </w:tc>
      </w:tr>
      <w:tr w:rsidR="006C74CE" w:rsidRPr="00F43DF3" w14:paraId="2898FC31" w14:textId="77777777" w:rsidTr="00734F42">
        <w:tc>
          <w:tcPr>
            <w:tcW w:w="6218" w:type="dxa"/>
          </w:tcPr>
          <w:p w14:paraId="19F818EF" w14:textId="77777777" w:rsidR="006C74CE" w:rsidRDefault="006C74CE" w:rsidP="006A3276">
            <w:pPr>
              <w:rPr>
                <w:szCs w:val="32"/>
              </w:rPr>
            </w:pPr>
            <w:r w:rsidRPr="007B2B7C">
              <w:rPr>
                <w:szCs w:val="32"/>
              </w:rPr>
              <w:t xml:space="preserve">Preheating of the secondary chamber to a minimum temperature </w:t>
            </w:r>
            <w:r>
              <w:rPr>
                <w:szCs w:val="32"/>
              </w:rPr>
              <w:t>1500</w:t>
            </w:r>
            <w:r w:rsidRPr="007B2B7C">
              <w:rPr>
                <w:szCs w:val="32"/>
              </w:rPr>
              <w:t xml:space="preserve"> F prior to feed introduction in the primary chamber</w:t>
            </w:r>
          </w:p>
        </w:tc>
        <w:tc>
          <w:tcPr>
            <w:tcW w:w="2574" w:type="dxa"/>
          </w:tcPr>
          <w:p w14:paraId="5DE15579" w14:textId="77777777" w:rsidR="006C74CE" w:rsidRDefault="006C74CE" w:rsidP="006A3276">
            <w:pPr>
              <w:jc w:val="center"/>
              <w:rPr>
                <w:szCs w:val="48"/>
              </w:rPr>
            </w:pPr>
            <w:r>
              <w:rPr>
                <w:szCs w:val="48"/>
              </w:rPr>
              <w:t>3</w:t>
            </w:r>
          </w:p>
        </w:tc>
      </w:tr>
      <w:tr w:rsidR="006C74CE" w:rsidRPr="00F43DF3" w14:paraId="7FB4308A" w14:textId="77777777" w:rsidTr="00734F42">
        <w:tc>
          <w:tcPr>
            <w:tcW w:w="6218" w:type="dxa"/>
          </w:tcPr>
          <w:p w14:paraId="100FB999" w14:textId="77777777" w:rsidR="006C74CE" w:rsidRDefault="006C74CE" w:rsidP="006A3276">
            <w:pPr>
              <w:rPr>
                <w:szCs w:val="32"/>
              </w:rPr>
            </w:pPr>
            <w:r w:rsidRPr="006D29DF">
              <w:rPr>
                <w:szCs w:val="32"/>
              </w:rPr>
              <w:t>Both the primary and secondary chamber shall each have their own individual burner</w:t>
            </w:r>
          </w:p>
        </w:tc>
        <w:tc>
          <w:tcPr>
            <w:tcW w:w="2574" w:type="dxa"/>
          </w:tcPr>
          <w:p w14:paraId="464FD53C" w14:textId="77777777" w:rsidR="006C74CE" w:rsidRDefault="006C74CE" w:rsidP="006A3276">
            <w:pPr>
              <w:jc w:val="center"/>
              <w:rPr>
                <w:szCs w:val="48"/>
              </w:rPr>
            </w:pPr>
            <w:r>
              <w:rPr>
                <w:szCs w:val="48"/>
              </w:rPr>
              <w:t>3</w:t>
            </w:r>
          </w:p>
        </w:tc>
      </w:tr>
      <w:tr w:rsidR="006C74CE" w:rsidRPr="00F43DF3" w14:paraId="0F1E98A1" w14:textId="77777777" w:rsidTr="00734F42">
        <w:tc>
          <w:tcPr>
            <w:tcW w:w="6218" w:type="dxa"/>
          </w:tcPr>
          <w:p w14:paraId="3EB724DB" w14:textId="77777777" w:rsidR="006C74CE" w:rsidRDefault="006C74CE" w:rsidP="006A3276">
            <w:pPr>
              <w:rPr>
                <w:szCs w:val="32"/>
              </w:rPr>
            </w:pPr>
            <w:r w:rsidRPr="006D29DF">
              <w:rPr>
                <w:szCs w:val="32"/>
              </w:rPr>
              <w:t xml:space="preserve">Maintaining a minimum hourly average secondary combustion chamber temperature </w:t>
            </w:r>
            <w:r>
              <w:rPr>
                <w:szCs w:val="32"/>
              </w:rPr>
              <w:t>1500</w:t>
            </w:r>
            <w:r w:rsidRPr="006D29DF">
              <w:rPr>
                <w:szCs w:val="32"/>
              </w:rPr>
              <w:t xml:space="preserve"> F with a single occurrence </w:t>
            </w:r>
            <w:r>
              <w:rPr>
                <w:szCs w:val="32"/>
              </w:rPr>
              <w:t>lower than 1450 F</w:t>
            </w:r>
          </w:p>
        </w:tc>
        <w:tc>
          <w:tcPr>
            <w:tcW w:w="2574" w:type="dxa"/>
          </w:tcPr>
          <w:p w14:paraId="130DAFD1" w14:textId="77777777" w:rsidR="006C74CE" w:rsidRDefault="006C74CE" w:rsidP="006A3276">
            <w:pPr>
              <w:jc w:val="center"/>
              <w:rPr>
                <w:szCs w:val="48"/>
              </w:rPr>
            </w:pPr>
            <w:r>
              <w:rPr>
                <w:szCs w:val="48"/>
              </w:rPr>
              <w:t>3</w:t>
            </w:r>
          </w:p>
        </w:tc>
      </w:tr>
      <w:tr w:rsidR="006C74CE" w:rsidRPr="00F43DF3" w14:paraId="03A09E39" w14:textId="77777777" w:rsidTr="00734F42">
        <w:tc>
          <w:tcPr>
            <w:tcW w:w="6218" w:type="dxa"/>
          </w:tcPr>
          <w:p w14:paraId="23D218B4" w14:textId="77777777" w:rsidR="006C74CE" w:rsidRDefault="006C74CE" w:rsidP="006A3276">
            <w:pPr>
              <w:rPr>
                <w:szCs w:val="32"/>
              </w:rPr>
            </w:pPr>
            <w:r>
              <w:rPr>
                <w:szCs w:val="32"/>
              </w:rPr>
              <w:t>Maintaining the secondary combustion chamber temperature setpoint, for 30 minutes after waste feed has stopped</w:t>
            </w:r>
          </w:p>
        </w:tc>
        <w:tc>
          <w:tcPr>
            <w:tcW w:w="2574" w:type="dxa"/>
          </w:tcPr>
          <w:p w14:paraId="4E0A7E6B" w14:textId="77777777" w:rsidR="006C74CE" w:rsidRDefault="006C74CE" w:rsidP="006A3276">
            <w:pPr>
              <w:jc w:val="center"/>
              <w:rPr>
                <w:szCs w:val="48"/>
              </w:rPr>
            </w:pPr>
            <w:r>
              <w:rPr>
                <w:szCs w:val="48"/>
              </w:rPr>
              <w:t>3</w:t>
            </w:r>
          </w:p>
        </w:tc>
      </w:tr>
    </w:tbl>
    <w:p w14:paraId="43E2B1E5" w14:textId="77777777" w:rsidR="006C74CE" w:rsidRDefault="006C74CE" w:rsidP="006C74CE">
      <w:pPr>
        <w:ind w:left="432"/>
      </w:pPr>
    </w:p>
    <w:p w14:paraId="6ACF7914" w14:textId="5695D0C9" w:rsidR="006C74CE" w:rsidRDefault="006C74CE" w:rsidP="006C74CE">
      <w:pPr>
        <w:ind w:left="432"/>
      </w:pPr>
      <w:r>
        <w:t xml:space="preserve">Add on Thermal Combustor. A second downstream thermal combustor would provide for destruction of the remaining CO and </w:t>
      </w:r>
      <w:r w:rsidR="00F9781B">
        <w:t>VOCs and</w:t>
      </w:r>
      <w:r>
        <w:t xml:space="preserve"> would treat both CO and VOCs simultaneously while other the other technologies for VOCs (carbon and condensation) would have only addressed VOCs. The add-on thermal combustor is shown as 95 percent efficient because the inlet concentrations of CO and VOCs would be extremely low from the exit of the existing secondary combustion chamber due to the low inlet concentration which makes a high destruction efficiency challenging.</w:t>
      </w:r>
    </w:p>
    <w:p w14:paraId="3464DAC5" w14:textId="77777777" w:rsidR="006C74CE" w:rsidRDefault="006C74CE" w:rsidP="006C74CE">
      <w:pPr>
        <w:ind w:left="432"/>
      </w:pPr>
    </w:p>
    <w:p w14:paraId="1C297DA0" w14:textId="77777777" w:rsidR="006C74CE" w:rsidRDefault="006C74CE" w:rsidP="006C74CE">
      <w:pPr>
        <w:ind w:left="432"/>
      </w:pPr>
      <w:r>
        <w:t>Integral Afterburner. The existing afterburner should already be providing destruction of near 98 percent for the off gases entering the secondary combustion chamber.</w:t>
      </w:r>
    </w:p>
    <w:p w14:paraId="7EC53697" w14:textId="77777777" w:rsidR="006C74CE" w:rsidRDefault="006C74CE" w:rsidP="006C74CE">
      <w:pPr>
        <w:ind w:left="432"/>
      </w:pPr>
    </w:p>
    <w:p w14:paraId="6ECC4C64" w14:textId="492B846C" w:rsidR="006C74CE" w:rsidRDefault="00506460" w:rsidP="006C74CE">
      <w:pPr>
        <w:ind w:left="432"/>
      </w:pPr>
      <w:r>
        <w:t>All</w:t>
      </w:r>
      <w:r w:rsidR="006C74CE">
        <w:t xml:space="preserve"> remaining control strategies are considered equivalent to each other and ranked with equal efficiency.</w:t>
      </w:r>
    </w:p>
    <w:p w14:paraId="2E9B9D2D" w14:textId="77777777" w:rsidR="006C74CE" w:rsidRDefault="006C74CE" w:rsidP="006C74CE">
      <w:pPr>
        <w:ind w:left="432"/>
      </w:pPr>
    </w:p>
    <w:p w14:paraId="22E9A323" w14:textId="77777777" w:rsidR="006C74CE" w:rsidRPr="00A33920" w:rsidRDefault="006C74CE" w:rsidP="006C74CE">
      <w:pPr>
        <w:ind w:left="432"/>
      </w:pPr>
      <w:r w:rsidRPr="00A33920">
        <w:lastRenderedPageBreak/>
        <w:t xml:space="preserve">Natural Gas or Propane Fuel Only. When firing natural gas or propane, </w:t>
      </w:r>
      <w:r>
        <w:t>residua</w:t>
      </w:r>
      <w:r w:rsidRPr="00A33920">
        <w:t xml:space="preserve">l emissions of all regulated pollutants, including </w:t>
      </w:r>
      <w:r>
        <w:t>CO and VOCs,</w:t>
      </w:r>
      <w:r w:rsidRPr="00A33920">
        <w:t xml:space="preserve"> are relatively low. Using natural gas or propane fuel only is technically feasible for </w:t>
      </w:r>
      <w:r>
        <w:t>cremation unit</w:t>
      </w:r>
      <w:r w:rsidRPr="00A33920">
        <w:t xml:space="preserve"> operations.</w:t>
      </w:r>
    </w:p>
    <w:p w14:paraId="78243CBE" w14:textId="77777777" w:rsidR="006C74CE" w:rsidRPr="00A33920" w:rsidRDefault="006C74CE" w:rsidP="006C74CE">
      <w:pPr>
        <w:ind w:left="432"/>
      </w:pPr>
    </w:p>
    <w:p w14:paraId="213B4CB9" w14:textId="77777777" w:rsidR="006C74CE" w:rsidRPr="002F7F65" w:rsidRDefault="006C74CE" w:rsidP="006C74CE">
      <w:pPr>
        <w:ind w:left="432"/>
      </w:pPr>
      <w:r w:rsidRPr="002F7F65">
        <w:t>Only incinerate/cremate human and animal remains and any corresponding container unless approved in writing by DEQ. In order to avoid partial combustion and form CO and VOCs, non-approved waste materials cannot be combusted in the crematorium.</w:t>
      </w:r>
    </w:p>
    <w:p w14:paraId="7AFB06E2" w14:textId="77777777" w:rsidR="006C74CE" w:rsidRPr="00822D8F" w:rsidRDefault="006C74CE" w:rsidP="006C74CE">
      <w:pPr>
        <w:ind w:left="432"/>
        <w:rPr>
          <w:highlight w:val="yellow"/>
        </w:rPr>
      </w:pPr>
    </w:p>
    <w:p w14:paraId="0B43F65A" w14:textId="77777777" w:rsidR="006C74CE" w:rsidRPr="00C37A65" w:rsidRDefault="006C74CE" w:rsidP="006C74CE">
      <w:pPr>
        <w:ind w:left="432"/>
      </w:pPr>
      <w:r w:rsidRPr="00C37A65">
        <w:t>Under the category of Design, Equipment, Work Practice, and Operational Standards the following strategies:</w:t>
      </w:r>
    </w:p>
    <w:p w14:paraId="494EA40D" w14:textId="77777777" w:rsidR="006C74CE" w:rsidRPr="004538F3" w:rsidRDefault="006C74CE" w:rsidP="00F826F2">
      <w:pPr>
        <w:pStyle w:val="ListParagraph"/>
        <w:numPr>
          <w:ilvl w:val="0"/>
          <w:numId w:val="72"/>
        </w:numPr>
      </w:pPr>
      <w:r w:rsidRPr="004538F3">
        <w:t xml:space="preserve">Preheating of the secondary chamber to a minimum temperature </w:t>
      </w:r>
      <w:r>
        <w:t>of 1500</w:t>
      </w:r>
      <w:r w:rsidRPr="004538F3">
        <w:t xml:space="preserve"> F prior to feed introduction in the primary chamber</w:t>
      </w:r>
    </w:p>
    <w:p w14:paraId="68F859E4" w14:textId="77777777" w:rsidR="006C74CE" w:rsidRPr="004538F3" w:rsidRDefault="006C74CE" w:rsidP="00F826F2">
      <w:pPr>
        <w:pStyle w:val="ListParagraph"/>
        <w:numPr>
          <w:ilvl w:val="0"/>
          <w:numId w:val="72"/>
        </w:numPr>
      </w:pPr>
      <w:r w:rsidRPr="004538F3">
        <w:t>Both the primary and secondary chamber shall each have their own individual burner</w:t>
      </w:r>
    </w:p>
    <w:p w14:paraId="1A9D717F" w14:textId="77777777" w:rsidR="006C74CE" w:rsidRPr="004538F3" w:rsidRDefault="006C74CE" w:rsidP="00F826F2">
      <w:pPr>
        <w:pStyle w:val="ListParagraph"/>
        <w:numPr>
          <w:ilvl w:val="0"/>
          <w:numId w:val="72"/>
        </w:numPr>
      </w:pPr>
      <w:r w:rsidRPr="004538F3">
        <w:t xml:space="preserve">Maintaining a minimum hourly average secondary combustion chamber temperature </w:t>
      </w:r>
      <w:r>
        <w:t>of 1500</w:t>
      </w:r>
      <w:r w:rsidRPr="004538F3">
        <w:t xml:space="preserve"> F with no single occurrence lower than 1450 F.</w:t>
      </w:r>
    </w:p>
    <w:p w14:paraId="2517DDAB" w14:textId="77777777" w:rsidR="006C74CE" w:rsidRPr="004538F3" w:rsidRDefault="006C74CE" w:rsidP="00F826F2">
      <w:pPr>
        <w:pStyle w:val="ListParagraph"/>
        <w:numPr>
          <w:ilvl w:val="0"/>
          <w:numId w:val="72"/>
        </w:numPr>
      </w:pPr>
      <w:r>
        <w:t>Maintaining the secondary combustion chamber temperature setpoint, for 30 minutes after waste feed has stopped</w:t>
      </w:r>
    </w:p>
    <w:p w14:paraId="1F9FBC5E" w14:textId="77777777" w:rsidR="006C74CE" w:rsidRPr="004538F3" w:rsidRDefault="006C74CE" w:rsidP="00F826F2">
      <w:pPr>
        <w:pStyle w:val="ListParagraph"/>
        <w:numPr>
          <w:ilvl w:val="0"/>
          <w:numId w:val="72"/>
        </w:numPr>
      </w:pPr>
      <w:r w:rsidRPr="004538F3">
        <w:t>Develop operating procedures, require operating training, and have procedures on-site at the unit and have training records and documentation available upon request.</w:t>
      </w:r>
    </w:p>
    <w:p w14:paraId="4E0A346B" w14:textId="77777777" w:rsidR="006C74CE" w:rsidRPr="00F43DF3" w:rsidRDefault="006C74CE" w:rsidP="006C74CE"/>
    <w:p w14:paraId="7889D7A4" w14:textId="77777777" w:rsidR="006C74CE" w:rsidRPr="00F43DF3" w:rsidRDefault="006C74CE" w:rsidP="006C74CE">
      <w:pPr>
        <w:ind w:left="432"/>
        <w:rPr>
          <w:b/>
          <w:bCs/>
          <w:szCs w:val="32"/>
        </w:rPr>
      </w:pPr>
      <w:r w:rsidRPr="00F43DF3">
        <w:rPr>
          <w:b/>
          <w:bCs/>
          <w:szCs w:val="32"/>
        </w:rPr>
        <w:t xml:space="preserve">Step 4: Evaluate Most Effective Controls and Document Results </w:t>
      </w:r>
    </w:p>
    <w:p w14:paraId="5B22A88F" w14:textId="77777777" w:rsidR="006C74CE" w:rsidRPr="00F43DF3" w:rsidRDefault="006C74CE" w:rsidP="006C74CE">
      <w:pPr>
        <w:ind w:left="432"/>
        <w:rPr>
          <w:szCs w:val="32"/>
          <w:u w:val="single"/>
        </w:rPr>
      </w:pPr>
    </w:p>
    <w:p w14:paraId="5BA96B10" w14:textId="658AFC67" w:rsidR="006C74CE" w:rsidRDefault="006C74CE" w:rsidP="006C74CE">
      <w:pPr>
        <w:ind w:left="432"/>
        <w:rPr>
          <w:szCs w:val="32"/>
        </w:rPr>
      </w:pPr>
      <w:r w:rsidRPr="00AF2EEF">
        <w:rPr>
          <w:szCs w:val="32"/>
        </w:rPr>
        <w:t xml:space="preserve">As discussed in the Emission Inventory section presented </w:t>
      </w:r>
      <w:r w:rsidR="0005769B">
        <w:rPr>
          <w:szCs w:val="32"/>
        </w:rPr>
        <w:t>later</w:t>
      </w:r>
      <w:r w:rsidRPr="00AF2EEF">
        <w:rPr>
          <w:szCs w:val="32"/>
        </w:rPr>
        <w:t xml:space="preserve">, there would be an estimated </w:t>
      </w:r>
      <w:r w:rsidR="00B0637D">
        <w:rPr>
          <w:szCs w:val="32"/>
        </w:rPr>
        <w:t>1.51</w:t>
      </w:r>
      <w:r w:rsidRPr="00AF2EEF">
        <w:rPr>
          <w:szCs w:val="32"/>
        </w:rPr>
        <w:t xml:space="preserve"> tons per year of CO, and </w:t>
      </w:r>
      <w:r w:rsidR="00B0637D">
        <w:rPr>
          <w:szCs w:val="32"/>
        </w:rPr>
        <w:t>1.32</w:t>
      </w:r>
      <w:r w:rsidRPr="00AF2EEF">
        <w:rPr>
          <w:szCs w:val="32"/>
        </w:rPr>
        <w:t xml:space="preserve"> tons for VOCs per year emitt</w:t>
      </w:r>
      <w:r>
        <w:rPr>
          <w:szCs w:val="32"/>
        </w:rPr>
        <w:t>ed</w:t>
      </w:r>
      <w:r w:rsidRPr="00AF2EEF">
        <w:rPr>
          <w:szCs w:val="32"/>
        </w:rPr>
        <w:t xml:space="preserve"> </w:t>
      </w:r>
      <w:r w:rsidR="00B0637D">
        <w:rPr>
          <w:szCs w:val="32"/>
        </w:rPr>
        <w:t>the proposed</w:t>
      </w:r>
      <w:r w:rsidRPr="00AF2EEF">
        <w:rPr>
          <w:szCs w:val="32"/>
        </w:rPr>
        <w:t xml:space="preserve"> crematorium unit.  </w:t>
      </w:r>
      <w:r w:rsidR="005F2B22">
        <w:rPr>
          <w:szCs w:val="32"/>
        </w:rPr>
        <w:t xml:space="preserve">DEQ’s research </w:t>
      </w:r>
      <w:r w:rsidRPr="00AF2EEF">
        <w:rPr>
          <w:szCs w:val="32"/>
        </w:rPr>
        <w:t xml:space="preserve">determined that no additional controls were feasible for both CO and VOCs for a similarly sized crematorium. This is likely because they are assuming that the secondary combustion chamber is already combusting </w:t>
      </w:r>
      <w:r>
        <w:rPr>
          <w:szCs w:val="32"/>
        </w:rPr>
        <w:t>a</w:t>
      </w:r>
      <w:r w:rsidRPr="00AF2EEF">
        <w:rPr>
          <w:szCs w:val="32"/>
        </w:rPr>
        <w:t xml:space="preserve"> majority of CO and VOCs released in the primary combustion chamber. </w:t>
      </w:r>
      <w:r w:rsidR="005F2B22" w:rsidRPr="00AF2EEF">
        <w:rPr>
          <w:szCs w:val="32"/>
        </w:rPr>
        <w:t>Therefore,</w:t>
      </w:r>
      <w:r w:rsidR="005F2B22">
        <w:rPr>
          <w:szCs w:val="32"/>
        </w:rPr>
        <w:t xml:space="preserve"> </w:t>
      </w:r>
      <w:r w:rsidRPr="00AF2EEF">
        <w:rPr>
          <w:szCs w:val="32"/>
        </w:rPr>
        <w:t xml:space="preserve">installing an additional thermal combustor downstream of the secondary chamber is not warranted.  For Montana’s analysis, typical direct-fired thermal combustors generally run from $50 to $100 per acfm.  CO and VOCs are evaluated for cost effectiveness separately but even if the full </w:t>
      </w:r>
      <w:r w:rsidR="00B0637D">
        <w:rPr>
          <w:szCs w:val="32"/>
        </w:rPr>
        <w:t>2.83</w:t>
      </w:r>
      <w:r w:rsidRPr="00AF2EEF">
        <w:rPr>
          <w:szCs w:val="32"/>
        </w:rPr>
        <w:t xml:space="preserve"> tons were combusted at 50 percent destruction efficiency in the secondary combustion chamber this would only result in 95 percent destruction of </w:t>
      </w:r>
      <w:r w:rsidR="00B0637D">
        <w:rPr>
          <w:szCs w:val="32"/>
        </w:rPr>
        <w:t>1.42</w:t>
      </w:r>
      <w:r w:rsidRPr="00AF2EEF">
        <w:rPr>
          <w:szCs w:val="32"/>
        </w:rPr>
        <w:t xml:space="preserve"> tons (</w:t>
      </w:r>
      <w:r w:rsidR="00B0637D">
        <w:rPr>
          <w:szCs w:val="32"/>
        </w:rPr>
        <w:t>1.3</w:t>
      </w:r>
      <w:r w:rsidR="00E813A2">
        <w:rPr>
          <w:szCs w:val="32"/>
        </w:rPr>
        <w:t>5</w:t>
      </w:r>
      <w:r w:rsidRPr="00AF2EEF">
        <w:rPr>
          <w:szCs w:val="32"/>
        </w:rPr>
        <w:t xml:space="preserve"> tons) total combusted in the add-on thermal combustor. A 50 percent destruction efficiency is used as an estimate of what amount of VOC and CO might exit from the integral afterburner. At an estimated flow rate of 2500 acfm, this </w:t>
      </w:r>
      <w:r>
        <w:rPr>
          <w:szCs w:val="32"/>
        </w:rPr>
        <w:t>w</w:t>
      </w:r>
      <w:r w:rsidRPr="00AF2EEF">
        <w:rPr>
          <w:szCs w:val="32"/>
        </w:rPr>
        <w:t>ould result in a capital cost of approximately $125,000 assuming $50 per acfm.  With a</w:t>
      </w:r>
      <w:r>
        <w:rPr>
          <w:szCs w:val="32"/>
        </w:rPr>
        <w:t xml:space="preserve"> </w:t>
      </w:r>
      <w:r w:rsidRPr="00A87CC8">
        <w:rPr>
          <w:szCs w:val="32"/>
        </w:rPr>
        <w:t>capital cost recovery</w:t>
      </w:r>
      <w:r>
        <w:rPr>
          <w:szCs w:val="32"/>
        </w:rPr>
        <w:t xml:space="preserve"> factor of 0.10, (Fifteen year life and a 5.5% interest rate) the annual cost, just for capital, would be approximately $12,500.  On a cost per ton basis for VOC and CO combined, this would result in a cost effectiveness of $12,500/</w:t>
      </w:r>
      <w:r w:rsidR="00E813A2">
        <w:rPr>
          <w:szCs w:val="32"/>
        </w:rPr>
        <w:t>1.35</w:t>
      </w:r>
      <w:r>
        <w:rPr>
          <w:szCs w:val="32"/>
        </w:rPr>
        <w:t xml:space="preserve"> or $</w:t>
      </w:r>
      <w:r w:rsidR="00E813A2">
        <w:rPr>
          <w:szCs w:val="32"/>
        </w:rPr>
        <w:t>9</w:t>
      </w:r>
      <w:r>
        <w:rPr>
          <w:szCs w:val="32"/>
        </w:rPr>
        <w:t>,</w:t>
      </w:r>
      <w:r w:rsidR="00E813A2">
        <w:rPr>
          <w:szCs w:val="32"/>
        </w:rPr>
        <w:t>250</w:t>
      </w:r>
      <w:r>
        <w:rPr>
          <w:szCs w:val="32"/>
        </w:rPr>
        <w:t xml:space="preserve"> per ton.  An additional thermal combustor would increase overall emissions of other regulated pollutants and provide little to no value in increased reduction of VOC and CO; therefore, this strategy is not deemed cost effective and is eliminated from further consideration.</w:t>
      </w:r>
    </w:p>
    <w:p w14:paraId="0D7D1AFC" w14:textId="77777777" w:rsidR="006C74CE" w:rsidRDefault="006C74CE" w:rsidP="006C74CE">
      <w:pPr>
        <w:ind w:left="432"/>
        <w:rPr>
          <w:szCs w:val="32"/>
        </w:rPr>
      </w:pPr>
    </w:p>
    <w:p w14:paraId="1380E4AE" w14:textId="77777777" w:rsidR="006C74CE" w:rsidRDefault="006C74CE" w:rsidP="006C74CE">
      <w:pPr>
        <w:ind w:left="432"/>
        <w:rPr>
          <w:szCs w:val="32"/>
        </w:rPr>
      </w:pPr>
      <w:r>
        <w:t>Natural Gas or Propane Fuel Only. When firing natural gas or propane, p</w:t>
      </w:r>
      <w:r w:rsidRPr="00F43DF3">
        <w:rPr>
          <w:szCs w:val="32"/>
        </w:rPr>
        <w:t xml:space="preserve">otential emissions of all regulated pollutants, including </w:t>
      </w:r>
      <w:r>
        <w:rPr>
          <w:szCs w:val="32"/>
        </w:rPr>
        <w:t>CO and VOC, are less than if other higher molecular weight fuels were being combusted.  Emission factors for CO and VOC generation are much lower with fuels such as natural gas and propane as compared to any other, higher molecular weight carbon-based fuel under proper combustion conditions.</w:t>
      </w:r>
    </w:p>
    <w:p w14:paraId="52D1A45A" w14:textId="77777777" w:rsidR="006C74CE" w:rsidRDefault="006C74CE" w:rsidP="006C74CE">
      <w:pPr>
        <w:ind w:left="432"/>
        <w:rPr>
          <w:szCs w:val="32"/>
        </w:rPr>
      </w:pPr>
    </w:p>
    <w:p w14:paraId="4F9AF2ED" w14:textId="77777777" w:rsidR="006C74CE" w:rsidRDefault="006C74CE" w:rsidP="006C74CE">
      <w:pPr>
        <w:ind w:left="432"/>
        <w:rPr>
          <w:szCs w:val="32"/>
        </w:rPr>
      </w:pPr>
      <w:r>
        <w:rPr>
          <w:szCs w:val="32"/>
        </w:rPr>
        <w:lastRenderedPageBreak/>
        <w:t>O</w:t>
      </w:r>
      <w:r w:rsidRPr="002A232A">
        <w:rPr>
          <w:szCs w:val="32"/>
        </w:rPr>
        <w:t>nly incinerate/cremate human and animal remains and any corresponding container unless approved in writing by DEQ</w:t>
      </w:r>
      <w:r>
        <w:rPr>
          <w:szCs w:val="32"/>
        </w:rPr>
        <w:t>. Utilizing only approved materials will ensure that CO and VOCs are not generated due to unauthorized waste materials.</w:t>
      </w:r>
    </w:p>
    <w:p w14:paraId="06664CF6" w14:textId="77777777" w:rsidR="006C74CE" w:rsidRDefault="006C74CE" w:rsidP="006C74CE">
      <w:pPr>
        <w:rPr>
          <w:szCs w:val="32"/>
        </w:rPr>
      </w:pPr>
    </w:p>
    <w:p w14:paraId="1DA32B32" w14:textId="77777777" w:rsidR="006C74CE" w:rsidRPr="00C37A65" w:rsidRDefault="006C74CE" w:rsidP="006C74CE">
      <w:pPr>
        <w:ind w:left="432"/>
      </w:pPr>
      <w:r w:rsidRPr="00C37A65">
        <w:t>Under the category of Design, Equipment, Work Practice, and Operational Standards the following strategies</w:t>
      </w:r>
      <w:r>
        <w:t xml:space="preserve"> work together to prevent minimize CO and VOC formation.</w:t>
      </w:r>
    </w:p>
    <w:p w14:paraId="17BCEEFD" w14:textId="77777777" w:rsidR="006C74CE" w:rsidRPr="0097391B" w:rsidRDefault="006C74CE" w:rsidP="00F826F2">
      <w:pPr>
        <w:pStyle w:val="ListParagraph"/>
        <w:numPr>
          <w:ilvl w:val="0"/>
          <w:numId w:val="73"/>
        </w:numPr>
      </w:pPr>
      <w:r w:rsidRPr="0097391B">
        <w:t xml:space="preserve">Preheating of the secondary chamber to a minimum temperature </w:t>
      </w:r>
      <w:r>
        <w:t>of 1500</w:t>
      </w:r>
      <w:r w:rsidRPr="0097391B">
        <w:t xml:space="preserve"> </w:t>
      </w:r>
      <w:r>
        <w:t>º</w:t>
      </w:r>
      <w:r w:rsidRPr="0097391B">
        <w:t>F prior to feed introduction in the primary chamber</w:t>
      </w:r>
    </w:p>
    <w:p w14:paraId="462920DF" w14:textId="77777777" w:rsidR="006C74CE" w:rsidRPr="0097391B" w:rsidRDefault="006C74CE" w:rsidP="00F826F2">
      <w:pPr>
        <w:pStyle w:val="ListParagraph"/>
        <w:numPr>
          <w:ilvl w:val="0"/>
          <w:numId w:val="73"/>
        </w:numPr>
      </w:pPr>
      <w:r w:rsidRPr="0097391B">
        <w:t>Both the primary and secondary chamber shall each have their own individual burner</w:t>
      </w:r>
    </w:p>
    <w:p w14:paraId="32DEF75C" w14:textId="77777777" w:rsidR="006C74CE" w:rsidRPr="0097391B" w:rsidRDefault="006C74CE" w:rsidP="00F826F2">
      <w:pPr>
        <w:pStyle w:val="ListParagraph"/>
        <w:numPr>
          <w:ilvl w:val="0"/>
          <w:numId w:val="73"/>
        </w:numPr>
      </w:pPr>
      <w:r w:rsidRPr="0097391B">
        <w:t xml:space="preserve">Maintaining a minimum hourly average secondary combustion chamber temperature </w:t>
      </w:r>
      <w:r>
        <w:t>of 1500</w:t>
      </w:r>
      <w:r w:rsidRPr="0097391B">
        <w:t xml:space="preserve"> </w:t>
      </w:r>
      <w:r>
        <w:t>º</w:t>
      </w:r>
      <w:r w:rsidRPr="0097391B">
        <w:t xml:space="preserve">F with no single occurrence lower than 1450 </w:t>
      </w:r>
      <w:r>
        <w:t>º</w:t>
      </w:r>
      <w:r w:rsidRPr="0097391B">
        <w:t>F</w:t>
      </w:r>
    </w:p>
    <w:p w14:paraId="2EC450ED" w14:textId="77777777" w:rsidR="006C74CE" w:rsidRDefault="006C74CE" w:rsidP="00F826F2">
      <w:pPr>
        <w:pStyle w:val="ListParagraph"/>
        <w:numPr>
          <w:ilvl w:val="0"/>
          <w:numId w:val="73"/>
        </w:numPr>
      </w:pPr>
      <w:r w:rsidRPr="00A95386">
        <w:t>Maintaining the secondary combustion chamber temperature setpoint, for 30 minutes after waste feed has stopped</w:t>
      </w:r>
      <w:r w:rsidRPr="00A95386" w:rsidDel="00A95386">
        <w:t xml:space="preserve"> </w:t>
      </w:r>
    </w:p>
    <w:p w14:paraId="3C615908" w14:textId="77777777" w:rsidR="006C74CE" w:rsidRPr="0097391B" w:rsidRDefault="006C74CE" w:rsidP="00F826F2">
      <w:pPr>
        <w:pStyle w:val="ListParagraph"/>
        <w:numPr>
          <w:ilvl w:val="0"/>
          <w:numId w:val="73"/>
        </w:numPr>
      </w:pPr>
      <w:r w:rsidRPr="0097391B">
        <w:t>Develop operating procedures, require operating training, and have procedures on-site at the unit and have training records and documentation available upon request.</w:t>
      </w:r>
    </w:p>
    <w:p w14:paraId="7DA165F0" w14:textId="77777777" w:rsidR="006C74CE" w:rsidRPr="00F43DF3" w:rsidRDefault="006C74CE" w:rsidP="006C74CE">
      <w:pPr>
        <w:rPr>
          <w:szCs w:val="32"/>
        </w:rPr>
      </w:pPr>
    </w:p>
    <w:p w14:paraId="33D0A6D1" w14:textId="77777777" w:rsidR="006C74CE" w:rsidRPr="00F43DF3" w:rsidRDefault="006C74CE" w:rsidP="006C74CE">
      <w:pPr>
        <w:ind w:left="432"/>
        <w:rPr>
          <w:b/>
          <w:bCs/>
          <w:szCs w:val="32"/>
        </w:rPr>
      </w:pPr>
      <w:r w:rsidRPr="00F43DF3">
        <w:rPr>
          <w:b/>
          <w:bCs/>
          <w:szCs w:val="32"/>
        </w:rPr>
        <w:t>Step 5: Identify BACT</w:t>
      </w:r>
    </w:p>
    <w:p w14:paraId="669C78DD" w14:textId="77777777" w:rsidR="006C74CE" w:rsidRPr="00F43DF3" w:rsidRDefault="006C74CE" w:rsidP="006C74CE">
      <w:pPr>
        <w:ind w:left="432"/>
        <w:rPr>
          <w:szCs w:val="32"/>
        </w:rPr>
      </w:pPr>
      <w:r>
        <w:rPr>
          <w:szCs w:val="28"/>
        </w:rPr>
        <w:t xml:space="preserve">The BACT analysis assumes that a crematorium </w:t>
      </w:r>
      <w:r w:rsidRPr="00F43DF3">
        <w:rPr>
          <w:szCs w:val="32"/>
        </w:rPr>
        <w:t>proposes to install and operate a c</w:t>
      </w:r>
      <w:r>
        <w:rPr>
          <w:szCs w:val="32"/>
        </w:rPr>
        <w:t>remation unit(s)</w:t>
      </w:r>
      <w:r w:rsidRPr="00F43DF3">
        <w:rPr>
          <w:szCs w:val="32"/>
        </w:rPr>
        <w:t xml:space="preserve"> equipped with a secondary chamber designed specifically to reduce the amount of pollutants, including </w:t>
      </w:r>
      <w:r>
        <w:rPr>
          <w:szCs w:val="32"/>
        </w:rPr>
        <w:t>CO and VOCs</w:t>
      </w:r>
      <w:r w:rsidRPr="00F43DF3">
        <w:rPr>
          <w:szCs w:val="32"/>
        </w:rPr>
        <w:t xml:space="preserve">. </w:t>
      </w:r>
    </w:p>
    <w:p w14:paraId="1BD5A76E"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32"/>
        </w:rPr>
      </w:pPr>
    </w:p>
    <w:p w14:paraId="6E84E513"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Pr>
          <w:szCs w:val="32"/>
        </w:rPr>
        <w:t xml:space="preserve">Based on the previous four steps and these conclusions, DEQ determined that the following represents BACT. </w:t>
      </w:r>
    </w:p>
    <w:p w14:paraId="7B54F9FE" w14:textId="77777777" w:rsidR="006C74CE"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p>
    <w:p w14:paraId="06077B4A" w14:textId="77777777" w:rsidR="006C74CE" w:rsidRPr="0097391B" w:rsidRDefault="006C74CE" w:rsidP="00F826F2">
      <w:pPr>
        <w:pStyle w:val="ListParagraph"/>
        <w:numPr>
          <w:ilvl w:val="0"/>
          <w:numId w:val="74"/>
        </w:numPr>
      </w:pPr>
      <w:r w:rsidRPr="0097391B">
        <w:t>Shall only use pipeline quality natural gas or propane fuel</w:t>
      </w:r>
    </w:p>
    <w:p w14:paraId="68117CA7" w14:textId="77777777" w:rsidR="006C74CE" w:rsidRDefault="006C74CE" w:rsidP="006C74CE">
      <w:pPr>
        <w:ind w:left="432"/>
      </w:pPr>
    </w:p>
    <w:p w14:paraId="01E80A68" w14:textId="77777777" w:rsidR="006C74CE" w:rsidRPr="0097391B" w:rsidRDefault="006C74CE" w:rsidP="00F826F2">
      <w:pPr>
        <w:pStyle w:val="ListParagraph"/>
        <w:numPr>
          <w:ilvl w:val="0"/>
          <w:numId w:val="74"/>
        </w:numPr>
        <w:rPr>
          <w:szCs w:val="32"/>
        </w:rPr>
      </w:pPr>
      <w:r w:rsidRPr="0097391B">
        <w:rPr>
          <w:szCs w:val="32"/>
        </w:rPr>
        <w:t>Only incinerate/cremate human and animal remains and any corresponding container unless approved in writing by DEQ</w:t>
      </w:r>
    </w:p>
    <w:p w14:paraId="3DE3F54C" w14:textId="77777777" w:rsidR="006C74CE" w:rsidRDefault="006C74CE" w:rsidP="006C74CE">
      <w:pPr>
        <w:rPr>
          <w:szCs w:val="32"/>
        </w:rPr>
      </w:pPr>
    </w:p>
    <w:p w14:paraId="6D464352" w14:textId="77777777" w:rsidR="006C74CE" w:rsidRPr="0097391B" w:rsidRDefault="006C74CE" w:rsidP="00F826F2">
      <w:pPr>
        <w:pStyle w:val="ListParagraph"/>
        <w:numPr>
          <w:ilvl w:val="0"/>
          <w:numId w:val="74"/>
        </w:numPr>
      </w:pPr>
      <w:r w:rsidRPr="0097391B">
        <w:t>Under the category of Design, Equipment, Work Practice, and Operational Standards the following strategies are required.</w:t>
      </w:r>
    </w:p>
    <w:p w14:paraId="3B91820C" w14:textId="77777777" w:rsidR="006C74CE" w:rsidRPr="00C37A65" w:rsidRDefault="006C74CE" w:rsidP="00F826F2">
      <w:pPr>
        <w:pStyle w:val="ListParagraph"/>
        <w:numPr>
          <w:ilvl w:val="0"/>
          <w:numId w:val="61"/>
        </w:numPr>
      </w:pPr>
      <w:r w:rsidRPr="00C37A65">
        <w:t xml:space="preserve">Preheating of the secondary chamber to a minimum temperature </w:t>
      </w:r>
      <w:r>
        <w:t>of 1500 F</w:t>
      </w:r>
      <w:r w:rsidRPr="00C37A65">
        <w:t xml:space="preserve"> prior to feed introduction in the primary chamber</w:t>
      </w:r>
    </w:p>
    <w:p w14:paraId="5836D781" w14:textId="77777777" w:rsidR="006C74CE" w:rsidRPr="00C37A65" w:rsidRDefault="006C74CE" w:rsidP="00F826F2">
      <w:pPr>
        <w:pStyle w:val="ListParagraph"/>
        <w:numPr>
          <w:ilvl w:val="0"/>
          <w:numId w:val="61"/>
        </w:numPr>
      </w:pPr>
      <w:r w:rsidRPr="00C37A65">
        <w:t>Both the primary and secondary chamber shall each have their own individual burner</w:t>
      </w:r>
    </w:p>
    <w:p w14:paraId="4AF66533" w14:textId="77777777" w:rsidR="006C74CE" w:rsidRPr="00C37A65" w:rsidRDefault="006C74CE" w:rsidP="00F826F2">
      <w:pPr>
        <w:pStyle w:val="ListParagraph"/>
        <w:numPr>
          <w:ilvl w:val="0"/>
          <w:numId w:val="61"/>
        </w:numPr>
      </w:pPr>
      <w:r w:rsidRPr="00C37A65">
        <w:t xml:space="preserve">Maintaining a minimum hourly average secondary combustion chamber temperature </w:t>
      </w:r>
      <w:r>
        <w:t>of 1500 F</w:t>
      </w:r>
      <w:r w:rsidRPr="00C37A65">
        <w:t xml:space="preserve"> with </w:t>
      </w:r>
      <w:r>
        <w:t xml:space="preserve">no </w:t>
      </w:r>
      <w:r w:rsidRPr="00C37A65">
        <w:t xml:space="preserve">single occurrence lower </w:t>
      </w:r>
      <w:r>
        <w:t>than 1450 F</w:t>
      </w:r>
    </w:p>
    <w:p w14:paraId="69954099" w14:textId="77777777" w:rsidR="006C74CE" w:rsidRPr="00C37A65" w:rsidRDefault="006C74CE" w:rsidP="00F826F2">
      <w:pPr>
        <w:pStyle w:val="ListParagraph"/>
        <w:numPr>
          <w:ilvl w:val="0"/>
          <w:numId w:val="61"/>
        </w:numPr>
      </w:pPr>
      <w:r>
        <w:t>Maintaining the secondary combustion chamber temperature setpoint, for 30 minutes after waste feed has stopped</w:t>
      </w:r>
    </w:p>
    <w:p w14:paraId="1DDC1D14" w14:textId="77777777" w:rsidR="006C74CE" w:rsidRPr="00D25B14" w:rsidRDefault="006C74CE" w:rsidP="00F826F2">
      <w:pPr>
        <w:pStyle w:val="ListParagraph"/>
        <w:numPr>
          <w:ilvl w:val="0"/>
          <w:numId w:val="61"/>
        </w:numPr>
      </w:pPr>
      <w:r w:rsidRPr="00C37A65">
        <w:t>Develop operating procedures, require operating training, and have procedures on-site at the unit and have training records and documentation available upon request.</w:t>
      </w:r>
    </w:p>
    <w:p w14:paraId="20544689"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22A712" w14:textId="77777777" w:rsidR="006C74CE" w:rsidRPr="00F43DF3" w:rsidRDefault="006C74CE" w:rsidP="006C74C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Cs w:val="32"/>
        </w:rPr>
      </w:pPr>
      <w:r w:rsidRPr="00F43DF3">
        <w:rPr>
          <w:szCs w:val="32"/>
        </w:rPr>
        <w:t xml:space="preserve">The control options selected have controls and control costs comparable to other recently permitted similar sources and are capable of achieving the appropriate emission standards. The BACT conclusions prescribed under </w:t>
      </w:r>
      <w:r>
        <w:rPr>
          <w:szCs w:val="32"/>
        </w:rPr>
        <w:t>MAQP #5350-00</w:t>
      </w:r>
      <w:r w:rsidRPr="00F43DF3">
        <w:rPr>
          <w:szCs w:val="32"/>
        </w:rPr>
        <w:t xml:space="preserve"> provides comparable controls and control cost</w:t>
      </w:r>
      <w:r>
        <w:rPr>
          <w:szCs w:val="32"/>
        </w:rPr>
        <w:t>s</w:t>
      </w:r>
      <w:r w:rsidRPr="00F43DF3">
        <w:rPr>
          <w:szCs w:val="32"/>
        </w:rPr>
        <w:t xml:space="preserve"> to other recently permitted similar sources and are capable of achieving the appropriate emission standards.</w:t>
      </w:r>
    </w:p>
    <w:p w14:paraId="0FD7E4D1" w14:textId="77777777" w:rsidR="00355C13" w:rsidRDefault="00355C13" w:rsidP="00355C13">
      <w:pPr>
        <w:rPr>
          <w:sz w:val="22"/>
        </w:rPr>
      </w:pPr>
    </w:p>
    <w:p w14:paraId="561285D4" w14:textId="77777777" w:rsidR="00C02FC6" w:rsidRDefault="00C02FC6" w:rsidP="00355C13">
      <w:pPr>
        <w:rPr>
          <w:sz w:val="22"/>
        </w:rPr>
      </w:pPr>
    </w:p>
    <w:p w14:paraId="6871EB88" w14:textId="61C39B85" w:rsidR="00000E00" w:rsidRPr="00AF395A" w:rsidRDefault="00AF395A" w:rsidP="00153B19">
      <w:pPr>
        <w:pStyle w:val="Heading1"/>
      </w:pPr>
      <w:bookmarkStart w:id="47" w:name="_Toc223955022"/>
      <w:bookmarkStart w:id="48" w:name="_Toc223955137"/>
      <w:r w:rsidRPr="00AF395A">
        <w:t xml:space="preserve">Section </w:t>
      </w:r>
      <w:r w:rsidR="00153B19" w:rsidRPr="00AF395A">
        <w:t xml:space="preserve">IV </w:t>
      </w:r>
      <w:r w:rsidR="00000E00" w:rsidRPr="00AF395A">
        <w:t>Emission Inventory</w:t>
      </w:r>
      <w:bookmarkEnd w:id="47"/>
      <w:bookmarkEnd w:id="48"/>
    </w:p>
    <w:p w14:paraId="7C71849C" w14:textId="77777777" w:rsidR="004E5D64" w:rsidRPr="00FB7886" w:rsidRDefault="004E5D64" w:rsidP="0066781E">
      <w:pPr>
        <w:widowControl w:val="0"/>
        <w:rPr>
          <w:sz w:val="16"/>
          <w:szCs w:val="16"/>
        </w:rPr>
      </w:pPr>
    </w:p>
    <w:tbl>
      <w:tblPr>
        <w:tblpPr w:leftFromText="180" w:rightFromText="180" w:vertAnchor="text" w:tblpY="1"/>
        <w:tblOverlap w:val="never"/>
        <w:tblW w:w="8885" w:type="dxa"/>
        <w:tblLook w:val="04A0" w:firstRow="1" w:lastRow="0" w:firstColumn="1" w:lastColumn="0" w:noHBand="0" w:noVBand="1"/>
      </w:tblPr>
      <w:tblGrid>
        <w:gridCol w:w="2780"/>
        <w:gridCol w:w="2016"/>
        <w:gridCol w:w="2562"/>
        <w:gridCol w:w="1527"/>
      </w:tblGrid>
      <w:tr w:rsidR="00957E9C" w:rsidRPr="006C74CE" w14:paraId="1C23A8FD" w14:textId="77777777" w:rsidTr="007662B2">
        <w:trPr>
          <w:trHeight w:val="273"/>
        </w:trPr>
        <w:tc>
          <w:tcPr>
            <w:tcW w:w="88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210A1DBD" w14:textId="0D743C7D" w:rsidR="00957E9C" w:rsidRPr="006C74CE" w:rsidRDefault="00957E9C" w:rsidP="007662B2">
            <w:pPr>
              <w:jc w:val="center"/>
              <w:rPr>
                <w:sz w:val="22"/>
                <w:szCs w:val="22"/>
              </w:rPr>
            </w:pPr>
            <w:r w:rsidRPr="006C74CE">
              <w:rPr>
                <w:sz w:val="22"/>
                <w:szCs w:val="22"/>
              </w:rPr>
              <w:t xml:space="preserve">PTE from </w:t>
            </w:r>
            <w:r w:rsidR="00B07F2A" w:rsidRPr="006C74CE">
              <w:rPr>
                <w:sz w:val="22"/>
                <w:szCs w:val="22"/>
              </w:rPr>
              <w:t>Propane</w:t>
            </w:r>
            <w:r w:rsidRPr="006C74CE">
              <w:rPr>
                <w:sz w:val="22"/>
                <w:szCs w:val="22"/>
              </w:rPr>
              <w:t xml:space="preserve"> Combustion</w:t>
            </w:r>
          </w:p>
        </w:tc>
      </w:tr>
      <w:tr w:rsidR="00CA64C6" w:rsidRPr="006C74CE" w14:paraId="45FF5721" w14:textId="77777777" w:rsidTr="006C74CE">
        <w:trPr>
          <w:trHeight w:val="778"/>
        </w:trPr>
        <w:tc>
          <w:tcPr>
            <w:tcW w:w="2780" w:type="dxa"/>
            <w:tcBorders>
              <w:top w:val="nil"/>
              <w:left w:val="single" w:sz="8" w:space="0" w:color="auto"/>
              <w:bottom w:val="single" w:sz="4" w:space="0" w:color="auto"/>
              <w:right w:val="nil"/>
            </w:tcBorders>
            <w:shd w:val="clear" w:color="000000" w:fill="FFFFFF"/>
            <w:noWrap/>
            <w:vAlign w:val="center"/>
            <w:hideMark/>
          </w:tcPr>
          <w:p w14:paraId="1F16B6C6" w14:textId="63F117C3" w:rsidR="00CA64C6" w:rsidRPr="006C74CE" w:rsidRDefault="00CA64C6" w:rsidP="007662B2">
            <w:pPr>
              <w:jc w:val="center"/>
              <w:rPr>
                <w:sz w:val="22"/>
                <w:szCs w:val="22"/>
              </w:rPr>
            </w:pPr>
            <w:r w:rsidRPr="006C74CE">
              <w:rPr>
                <w:sz w:val="22"/>
                <w:szCs w:val="22"/>
              </w:rPr>
              <w:t>Pollutant</w:t>
            </w:r>
          </w:p>
        </w:tc>
        <w:tc>
          <w:tcPr>
            <w:tcW w:w="2016" w:type="dxa"/>
            <w:tcBorders>
              <w:top w:val="nil"/>
              <w:left w:val="single" w:sz="4" w:space="0" w:color="auto"/>
              <w:bottom w:val="single" w:sz="4" w:space="0" w:color="auto"/>
              <w:right w:val="single" w:sz="4" w:space="0" w:color="auto"/>
            </w:tcBorders>
            <w:shd w:val="clear" w:color="000000" w:fill="FFFFFF"/>
            <w:noWrap/>
            <w:vAlign w:val="center"/>
            <w:hideMark/>
          </w:tcPr>
          <w:p w14:paraId="67693089" w14:textId="77777777" w:rsidR="00F15DAD" w:rsidRPr="006C74CE" w:rsidRDefault="00CA64C6" w:rsidP="007662B2">
            <w:pPr>
              <w:jc w:val="center"/>
              <w:rPr>
                <w:sz w:val="22"/>
                <w:szCs w:val="22"/>
              </w:rPr>
            </w:pPr>
            <w:r w:rsidRPr="006C74CE">
              <w:rPr>
                <w:sz w:val="22"/>
                <w:szCs w:val="22"/>
              </w:rPr>
              <w:t xml:space="preserve">Emission Factor </w:t>
            </w:r>
          </w:p>
          <w:p w14:paraId="456E7AA2" w14:textId="17409525" w:rsidR="00CA64C6" w:rsidRPr="006C74CE" w:rsidRDefault="00CA64C6" w:rsidP="007662B2">
            <w:pPr>
              <w:jc w:val="center"/>
              <w:rPr>
                <w:sz w:val="22"/>
                <w:szCs w:val="22"/>
              </w:rPr>
            </w:pPr>
            <w:r w:rsidRPr="006C74CE">
              <w:rPr>
                <w:sz w:val="22"/>
                <w:szCs w:val="22"/>
              </w:rPr>
              <w:t>(lb/</w:t>
            </w:r>
            <w:r w:rsidR="00C82D86" w:rsidRPr="006C74CE">
              <w:rPr>
                <w:sz w:val="22"/>
                <w:szCs w:val="22"/>
              </w:rPr>
              <w:t>MMBtu</w:t>
            </w:r>
            <w:r w:rsidRPr="006C74CE">
              <w:rPr>
                <w:sz w:val="22"/>
                <w:szCs w:val="22"/>
              </w:rPr>
              <w:t>)</w:t>
            </w:r>
          </w:p>
        </w:tc>
        <w:tc>
          <w:tcPr>
            <w:tcW w:w="2562" w:type="dxa"/>
            <w:tcBorders>
              <w:top w:val="nil"/>
              <w:left w:val="single" w:sz="4" w:space="0" w:color="auto"/>
              <w:bottom w:val="single" w:sz="4" w:space="0" w:color="000000"/>
              <w:right w:val="single" w:sz="4" w:space="0" w:color="auto"/>
            </w:tcBorders>
            <w:shd w:val="clear" w:color="000000" w:fill="FFFFFF"/>
            <w:vAlign w:val="center"/>
            <w:hideMark/>
          </w:tcPr>
          <w:p w14:paraId="3A63753D" w14:textId="3D967525" w:rsidR="00CA64C6" w:rsidRPr="006C74CE" w:rsidRDefault="00CA64C6" w:rsidP="007662B2">
            <w:pPr>
              <w:jc w:val="center"/>
              <w:rPr>
                <w:sz w:val="22"/>
                <w:szCs w:val="22"/>
              </w:rPr>
            </w:pPr>
            <w:r w:rsidRPr="006C74CE">
              <w:rPr>
                <w:sz w:val="22"/>
                <w:szCs w:val="22"/>
              </w:rPr>
              <w:t>Annual                                               (lb/yr)</w:t>
            </w:r>
          </w:p>
        </w:tc>
        <w:tc>
          <w:tcPr>
            <w:tcW w:w="1527" w:type="dxa"/>
            <w:tcBorders>
              <w:top w:val="nil"/>
              <w:left w:val="single" w:sz="4" w:space="0" w:color="auto"/>
              <w:bottom w:val="single" w:sz="4" w:space="0" w:color="000000"/>
              <w:right w:val="single" w:sz="8" w:space="0" w:color="auto"/>
            </w:tcBorders>
            <w:shd w:val="clear" w:color="000000" w:fill="FFFFFF"/>
            <w:vAlign w:val="center"/>
            <w:hideMark/>
          </w:tcPr>
          <w:p w14:paraId="14957D94" w14:textId="77777777" w:rsidR="00CA64C6" w:rsidRPr="006C74CE" w:rsidRDefault="00CA64C6" w:rsidP="007662B2">
            <w:pPr>
              <w:jc w:val="center"/>
              <w:rPr>
                <w:sz w:val="22"/>
                <w:szCs w:val="22"/>
              </w:rPr>
            </w:pPr>
            <w:r w:rsidRPr="006C74CE">
              <w:rPr>
                <w:sz w:val="22"/>
                <w:szCs w:val="22"/>
              </w:rPr>
              <w:t>Annual                                                         (Ton/yr)</w:t>
            </w:r>
          </w:p>
        </w:tc>
      </w:tr>
      <w:tr w:rsidR="003638D3" w:rsidRPr="006C74CE" w14:paraId="31AC154F" w14:textId="77777777" w:rsidTr="006C74CE">
        <w:trPr>
          <w:trHeight w:val="580"/>
        </w:trPr>
        <w:tc>
          <w:tcPr>
            <w:tcW w:w="2780" w:type="dxa"/>
            <w:tcBorders>
              <w:top w:val="single" w:sz="4" w:space="0" w:color="auto"/>
              <w:left w:val="single" w:sz="8" w:space="0" w:color="auto"/>
              <w:bottom w:val="single" w:sz="4" w:space="0" w:color="auto"/>
              <w:right w:val="nil"/>
            </w:tcBorders>
            <w:shd w:val="clear" w:color="000000" w:fill="FFFFFF"/>
            <w:vAlign w:val="bottom"/>
            <w:hideMark/>
          </w:tcPr>
          <w:p w14:paraId="0BD05CD6" w14:textId="7F0141B6" w:rsidR="003638D3" w:rsidRPr="006C74CE" w:rsidRDefault="003638D3" w:rsidP="003638D3">
            <w:pPr>
              <w:jc w:val="right"/>
              <w:rPr>
                <w:sz w:val="22"/>
                <w:szCs w:val="22"/>
              </w:rPr>
            </w:pPr>
            <w:r w:rsidRPr="006C74CE">
              <w:rPr>
                <w:sz w:val="22"/>
                <w:szCs w:val="22"/>
              </w:rPr>
              <w:t>PM</w:t>
            </w:r>
            <w:r w:rsidRPr="006C74CE">
              <w:rPr>
                <w:sz w:val="22"/>
                <w:szCs w:val="22"/>
                <w:vertAlign w:val="subscript"/>
              </w:rPr>
              <w:t>TOT (Filterable PM +Condensable PM)</w:t>
            </w:r>
          </w:p>
        </w:tc>
        <w:tc>
          <w:tcPr>
            <w:tcW w:w="20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8626BA" w14:textId="301628B9" w:rsidR="003638D3" w:rsidRPr="006C74CE" w:rsidRDefault="003638D3" w:rsidP="003638D3">
            <w:pPr>
              <w:jc w:val="center"/>
              <w:rPr>
                <w:sz w:val="22"/>
                <w:szCs w:val="22"/>
              </w:rPr>
            </w:pPr>
            <w:r w:rsidRPr="006C74CE">
              <w:rPr>
                <w:sz w:val="22"/>
                <w:szCs w:val="22"/>
              </w:rPr>
              <w:t>7.6</w:t>
            </w:r>
          </w:p>
        </w:tc>
        <w:tc>
          <w:tcPr>
            <w:tcW w:w="2562" w:type="dxa"/>
            <w:tcBorders>
              <w:top w:val="nil"/>
              <w:left w:val="nil"/>
              <w:bottom w:val="single" w:sz="4" w:space="0" w:color="auto"/>
              <w:right w:val="single" w:sz="4" w:space="0" w:color="auto"/>
            </w:tcBorders>
            <w:shd w:val="clear" w:color="000000" w:fill="FFFFFF"/>
            <w:noWrap/>
            <w:vAlign w:val="bottom"/>
            <w:hideMark/>
          </w:tcPr>
          <w:p w14:paraId="5C88951F" w14:textId="72F03403" w:rsidR="003638D3" w:rsidRPr="006C74CE" w:rsidRDefault="003638D3" w:rsidP="003638D3">
            <w:pPr>
              <w:jc w:val="center"/>
              <w:rPr>
                <w:sz w:val="22"/>
                <w:szCs w:val="22"/>
              </w:rPr>
            </w:pPr>
            <w:r w:rsidRPr="006C74CE">
              <w:rPr>
                <w:sz w:val="22"/>
                <w:szCs w:val="22"/>
              </w:rPr>
              <w:t>39.95</w:t>
            </w:r>
          </w:p>
        </w:tc>
        <w:tc>
          <w:tcPr>
            <w:tcW w:w="1527" w:type="dxa"/>
            <w:tcBorders>
              <w:top w:val="nil"/>
              <w:left w:val="nil"/>
              <w:bottom w:val="single" w:sz="4" w:space="0" w:color="auto"/>
              <w:right w:val="single" w:sz="8" w:space="0" w:color="auto"/>
            </w:tcBorders>
            <w:shd w:val="clear" w:color="000000" w:fill="FFFFFF"/>
            <w:noWrap/>
            <w:vAlign w:val="bottom"/>
            <w:hideMark/>
          </w:tcPr>
          <w:p w14:paraId="7ECDA125" w14:textId="4DD337F6" w:rsidR="003638D3" w:rsidRPr="006C74CE" w:rsidRDefault="003638D3" w:rsidP="003638D3">
            <w:pPr>
              <w:jc w:val="center"/>
              <w:rPr>
                <w:sz w:val="22"/>
                <w:szCs w:val="22"/>
              </w:rPr>
            </w:pPr>
            <w:r w:rsidRPr="006C74CE">
              <w:rPr>
                <w:sz w:val="22"/>
                <w:szCs w:val="22"/>
              </w:rPr>
              <w:t>0.02</w:t>
            </w:r>
          </w:p>
        </w:tc>
      </w:tr>
      <w:tr w:rsidR="003638D3" w:rsidRPr="006C74CE" w14:paraId="40A14CF3"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31BA3DC2" w14:textId="77777777" w:rsidR="003638D3" w:rsidRPr="006C74CE" w:rsidRDefault="003638D3" w:rsidP="003638D3">
            <w:pPr>
              <w:jc w:val="right"/>
              <w:rPr>
                <w:sz w:val="22"/>
                <w:szCs w:val="22"/>
              </w:rPr>
            </w:pPr>
            <w:r w:rsidRPr="006C74CE">
              <w:rPr>
                <w:sz w:val="22"/>
                <w:szCs w:val="22"/>
              </w:rPr>
              <w:t>NOx</w:t>
            </w:r>
          </w:p>
        </w:tc>
        <w:tc>
          <w:tcPr>
            <w:tcW w:w="2016" w:type="dxa"/>
            <w:tcBorders>
              <w:top w:val="nil"/>
              <w:left w:val="single" w:sz="4" w:space="0" w:color="auto"/>
              <w:bottom w:val="single" w:sz="4" w:space="0" w:color="auto"/>
              <w:right w:val="single" w:sz="4" w:space="0" w:color="auto"/>
            </w:tcBorders>
            <w:shd w:val="clear" w:color="000000" w:fill="FFFFFF"/>
            <w:noWrap/>
            <w:hideMark/>
          </w:tcPr>
          <w:p w14:paraId="50E00EF2" w14:textId="6F6F1C0E" w:rsidR="003638D3" w:rsidRPr="006C74CE" w:rsidRDefault="003638D3" w:rsidP="003638D3">
            <w:pPr>
              <w:jc w:val="center"/>
              <w:rPr>
                <w:sz w:val="22"/>
                <w:szCs w:val="22"/>
              </w:rPr>
            </w:pPr>
            <w:r w:rsidRPr="006C74CE">
              <w:rPr>
                <w:sz w:val="22"/>
                <w:szCs w:val="22"/>
              </w:rPr>
              <w:t>100</w:t>
            </w:r>
          </w:p>
        </w:tc>
        <w:tc>
          <w:tcPr>
            <w:tcW w:w="2562" w:type="dxa"/>
            <w:tcBorders>
              <w:top w:val="nil"/>
              <w:left w:val="nil"/>
              <w:bottom w:val="single" w:sz="4" w:space="0" w:color="auto"/>
              <w:right w:val="single" w:sz="4" w:space="0" w:color="auto"/>
            </w:tcBorders>
            <w:shd w:val="clear" w:color="000000" w:fill="FFFFFF"/>
            <w:noWrap/>
            <w:hideMark/>
          </w:tcPr>
          <w:p w14:paraId="3EAA4117" w14:textId="14A676EA" w:rsidR="003638D3" w:rsidRPr="006C74CE" w:rsidRDefault="003638D3" w:rsidP="003638D3">
            <w:pPr>
              <w:jc w:val="center"/>
              <w:rPr>
                <w:sz w:val="22"/>
                <w:szCs w:val="22"/>
              </w:rPr>
            </w:pPr>
            <w:r w:rsidRPr="006C74CE">
              <w:rPr>
                <w:sz w:val="22"/>
                <w:szCs w:val="22"/>
              </w:rPr>
              <w:t>525.60</w:t>
            </w:r>
          </w:p>
        </w:tc>
        <w:tc>
          <w:tcPr>
            <w:tcW w:w="1527" w:type="dxa"/>
            <w:tcBorders>
              <w:top w:val="nil"/>
              <w:left w:val="nil"/>
              <w:bottom w:val="single" w:sz="4" w:space="0" w:color="auto"/>
              <w:right w:val="single" w:sz="8" w:space="0" w:color="auto"/>
            </w:tcBorders>
            <w:shd w:val="clear" w:color="000000" w:fill="FFFFFF"/>
            <w:noWrap/>
            <w:hideMark/>
          </w:tcPr>
          <w:p w14:paraId="248FEDC4" w14:textId="3A874805" w:rsidR="003638D3" w:rsidRPr="006C74CE" w:rsidRDefault="003638D3" w:rsidP="003638D3">
            <w:pPr>
              <w:jc w:val="center"/>
              <w:rPr>
                <w:sz w:val="22"/>
                <w:szCs w:val="22"/>
              </w:rPr>
            </w:pPr>
            <w:r w:rsidRPr="006C74CE">
              <w:rPr>
                <w:sz w:val="22"/>
                <w:szCs w:val="22"/>
              </w:rPr>
              <w:t>0.26</w:t>
            </w:r>
          </w:p>
        </w:tc>
      </w:tr>
      <w:tr w:rsidR="003638D3" w:rsidRPr="006C74CE" w14:paraId="7E45378C"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0711CA77" w14:textId="77777777" w:rsidR="003638D3" w:rsidRPr="006C74CE" w:rsidRDefault="003638D3" w:rsidP="003638D3">
            <w:pPr>
              <w:jc w:val="right"/>
              <w:rPr>
                <w:sz w:val="22"/>
                <w:szCs w:val="22"/>
              </w:rPr>
            </w:pPr>
            <w:r w:rsidRPr="006C74CE">
              <w:rPr>
                <w:sz w:val="22"/>
                <w:szCs w:val="22"/>
              </w:rPr>
              <w:t>CO</w:t>
            </w:r>
          </w:p>
        </w:tc>
        <w:tc>
          <w:tcPr>
            <w:tcW w:w="2016" w:type="dxa"/>
            <w:tcBorders>
              <w:top w:val="nil"/>
              <w:left w:val="single" w:sz="4" w:space="0" w:color="auto"/>
              <w:bottom w:val="single" w:sz="4" w:space="0" w:color="auto"/>
              <w:right w:val="single" w:sz="4" w:space="0" w:color="auto"/>
            </w:tcBorders>
            <w:shd w:val="clear" w:color="000000" w:fill="FFFFFF"/>
            <w:noWrap/>
            <w:hideMark/>
          </w:tcPr>
          <w:p w14:paraId="5090F5F2" w14:textId="7D211EBF" w:rsidR="003638D3" w:rsidRPr="006C74CE" w:rsidRDefault="003638D3" w:rsidP="003638D3">
            <w:pPr>
              <w:jc w:val="center"/>
              <w:rPr>
                <w:sz w:val="22"/>
                <w:szCs w:val="22"/>
              </w:rPr>
            </w:pPr>
            <w:r w:rsidRPr="006C74CE">
              <w:rPr>
                <w:sz w:val="22"/>
                <w:szCs w:val="22"/>
              </w:rPr>
              <w:t>84</w:t>
            </w:r>
          </w:p>
        </w:tc>
        <w:tc>
          <w:tcPr>
            <w:tcW w:w="2562" w:type="dxa"/>
            <w:tcBorders>
              <w:top w:val="nil"/>
              <w:left w:val="nil"/>
              <w:bottom w:val="single" w:sz="4" w:space="0" w:color="auto"/>
              <w:right w:val="single" w:sz="4" w:space="0" w:color="auto"/>
            </w:tcBorders>
            <w:shd w:val="clear" w:color="000000" w:fill="FFFFFF"/>
            <w:noWrap/>
            <w:hideMark/>
          </w:tcPr>
          <w:p w14:paraId="64382006" w14:textId="3B983CE1" w:rsidR="003638D3" w:rsidRPr="006C74CE" w:rsidRDefault="003638D3" w:rsidP="003638D3">
            <w:pPr>
              <w:jc w:val="center"/>
              <w:rPr>
                <w:sz w:val="22"/>
                <w:szCs w:val="22"/>
              </w:rPr>
            </w:pPr>
            <w:r w:rsidRPr="006C74CE">
              <w:rPr>
                <w:sz w:val="22"/>
                <w:szCs w:val="22"/>
              </w:rPr>
              <w:t>441.50</w:t>
            </w:r>
          </w:p>
        </w:tc>
        <w:tc>
          <w:tcPr>
            <w:tcW w:w="1527" w:type="dxa"/>
            <w:tcBorders>
              <w:top w:val="nil"/>
              <w:left w:val="nil"/>
              <w:bottom w:val="single" w:sz="4" w:space="0" w:color="auto"/>
              <w:right w:val="single" w:sz="8" w:space="0" w:color="auto"/>
            </w:tcBorders>
            <w:shd w:val="clear" w:color="000000" w:fill="FFFFFF"/>
            <w:noWrap/>
            <w:hideMark/>
          </w:tcPr>
          <w:p w14:paraId="58318196" w14:textId="550563DB" w:rsidR="003638D3" w:rsidRPr="006C74CE" w:rsidRDefault="003638D3" w:rsidP="003638D3">
            <w:pPr>
              <w:jc w:val="center"/>
              <w:rPr>
                <w:sz w:val="22"/>
                <w:szCs w:val="22"/>
              </w:rPr>
            </w:pPr>
            <w:r w:rsidRPr="006C74CE">
              <w:rPr>
                <w:sz w:val="22"/>
                <w:szCs w:val="22"/>
              </w:rPr>
              <w:t>0.22</w:t>
            </w:r>
          </w:p>
        </w:tc>
      </w:tr>
      <w:tr w:rsidR="003638D3" w:rsidRPr="006C74CE" w14:paraId="2CDF0E23"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4070F0D1" w14:textId="77777777" w:rsidR="003638D3" w:rsidRPr="006C74CE" w:rsidRDefault="003638D3" w:rsidP="003638D3">
            <w:pPr>
              <w:jc w:val="right"/>
              <w:rPr>
                <w:sz w:val="22"/>
                <w:szCs w:val="22"/>
              </w:rPr>
            </w:pPr>
            <w:r w:rsidRPr="006C74CE">
              <w:rPr>
                <w:sz w:val="22"/>
                <w:szCs w:val="22"/>
              </w:rPr>
              <w:t>SO</w:t>
            </w:r>
            <w:r w:rsidRPr="00F826F2">
              <w:rPr>
                <w:sz w:val="22"/>
                <w:szCs w:val="22"/>
                <w:vertAlign w:val="subscript"/>
              </w:rPr>
              <w:t>2</w:t>
            </w:r>
          </w:p>
        </w:tc>
        <w:tc>
          <w:tcPr>
            <w:tcW w:w="2016" w:type="dxa"/>
            <w:tcBorders>
              <w:top w:val="nil"/>
              <w:left w:val="single" w:sz="4" w:space="0" w:color="auto"/>
              <w:bottom w:val="single" w:sz="4" w:space="0" w:color="auto"/>
              <w:right w:val="single" w:sz="4" w:space="0" w:color="auto"/>
            </w:tcBorders>
            <w:shd w:val="clear" w:color="000000" w:fill="FFFFFF"/>
            <w:noWrap/>
            <w:hideMark/>
          </w:tcPr>
          <w:p w14:paraId="47D35E9D" w14:textId="59084481" w:rsidR="003638D3" w:rsidRPr="006C74CE" w:rsidRDefault="003638D3" w:rsidP="003638D3">
            <w:pPr>
              <w:jc w:val="center"/>
              <w:rPr>
                <w:sz w:val="22"/>
                <w:szCs w:val="22"/>
              </w:rPr>
            </w:pPr>
            <w:r w:rsidRPr="006C74CE">
              <w:rPr>
                <w:sz w:val="22"/>
                <w:szCs w:val="22"/>
              </w:rPr>
              <w:t>0.6</w:t>
            </w:r>
          </w:p>
        </w:tc>
        <w:tc>
          <w:tcPr>
            <w:tcW w:w="2562" w:type="dxa"/>
            <w:tcBorders>
              <w:top w:val="nil"/>
              <w:left w:val="nil"/>
              <w:bottom w:val="single" w:sz="4" w:space="0" w:color="auto"/>
              <w:right w:val="single" w:sz="4" w:space="0" w:color="auto"/>
            </w:tcBorders>
            <w:shd w:val="clear" w:color="000000" w:fill="FFFFFF"/>
            <w:noWrap/>
            <w:hideMark/>
          </w:tcPr>
          <w:p w14:paraId="12E17AF7" w14:textId="7AE7DEDA" w:rsidR="003638D3" w:rsidRPr="006C74CE" w:rsidRDefault="003638D3" w:rsidP="003638D3">
            <w:pPr>
              <w:jc w:val="center"/>
              <w:rPr>
                <w:sz w:val="22"/>
                <w:szCs w:val="22"/>
              </w:rPr>
            </w:pPr>
            <w:r w:rsidRPr="006C74CE">
              <w:rPr>
                <w:sz w:val="22"/>
                <w:szCs w:val="22"/>
              </w:rPr>
              <w:t>3.15</w:t>
            </w:r>
          </w:p>
        </w:tc>
        <w:tc>
          <w:tcPr>
            <w:tcW w:w="1527" w:type="dxa"/>
            <w:tcBorders>
              <w:top w:val="nil"/>
              <w:left w:val="nil"/>
              <w:bottom w:val="single" w:sz="4" w:space="0" w:color="auto"/>
              <w:right w:val="single" w:sz="8" w:space="0" w:color="auto"/>
            </w:tcBorders>
            <w:shd w:val="clear" w:color="000000" w:fill="FFFFFF"/>
            <w:noWrap/>
            <w:hideMark/>
          </w:tcPr>
          <w:p w14:paraId="6F37059B" w14:textId="121152ED" w:rsidR="003638D3" w:rsidRPr="006C74CE" w:rsidRDefault="003638D3" w:rsidP="003638D3">
            <w:pPr>
              <w:jc w:val="center"/>
              <w:rPr>
                <w:sz w:val="22"/>
                <w:szCs w:val="22"/>
              </w:rPr>
            </w:pPr>
            <w:r w:rsidRPr="006C74CE">
              <w:rPr>
                <w:sz w:val="22"/>
                <w:szCs w:val="22"/>
              </w:rPr>
              <w:t>0.00</w:t>
            </w:r>
          </w:p>
        </w:tc>
      </w:tr>
      <w:tr w:rsidR="003638D3" w:rsidRPr="006C74CE" w14:paraId="3D97859E" w14:textId="77777777" w:rsidTr="006C74CE">
        <w:trPr>
          <w:trHeight w:val="273"/>
        </w:trPr>
        <w:tc>
          <w:tcPr>
            <w:tcW w:w="2780" w:type="dxa"/>
            <w:tcBorders>
              <w:top w:val="nil"/>
              <w:left w:val="single" w:sz="8" w:space="0" w:color="auto"/>
              <w:bottom w:val="single" w:sz="8" w:space="0" w:color="auto"/>
              <w:right w:val="nil"/>
            </w:tcBorders>
            <w:shd w:val="clear" w:color="000000" w:fill="FFFFFF"/>
            <w:noWrap/>
            <w:vAlign w:val="bottom"/>
            <w:hideMark/>
          </w:tcPr>
          <w:p w14:paraId="042E0DE4" w14:textId="77777777" w:rsidR="003638D3" w:rsidRPr="006C74CE" w:rsidRDefault="003638D3" w:rsidP="003638D3">
            <w:pPr>
              <w:jc w:val="right"/>
              <w:rPr>
                <w:sz w:val="22"/>
                <w:szCs w:val="22"/>
              </w:rPr>
            </w:pPr>
            <w:r w:rsidRPr="006C74CE">
              <w:rPr>
                <w:sz w:val="22"/>
                <w:szCs w:val="22"/>
              </w:rPr>
              <w:t>TOC</w:t>
            </w:r>
          </w:p>
        </w:tc>
        <w:tc>
          <w:tcPr>
            <w:tcW w:w="2016" w:type="dxa"/>
            <w:tcBorders>
              <w:top w:val="nil"/>
              <w:left w:val="single" w:sz="4" w:space="0" w:color="auto"/>
              <w:bottom w:val="single" w:sz="8" w:space="0" w:color="auto"/>
              <w:right w:val="single" w:sz="4" w:space="0" w:color="auto"/>
            </w:tcBorders>
            <w:shd w:val="clear" w:color="000000" w:fill="FFFFFF"/>
            <w:noWrap/>
            <w:hideMark/>
          </w:tcPr>
          <w:p w14:paraId="75D787A4" w14:textId="4D4CFB0B" w:rsidR="003638D3" w:rsidRPr="006C74CE" w:rsidRDefault="003638D3" w:rsidP="003638D3">
            <w:pPr>
              <w:jc w:val="center"/>
              <w:rPr>
                <w:sz w:val="22"/>
                <w:szCs w:val="22"/>
              </w:rPr>
            </w:pPr>
            <w:r w:rsidRPr="006C74CE">
              <w:rPr>
                <w:sz w:val="22"/>
                <w:szCs w:val="22"/>
              </w:rPr>
              <w:t>5.5</w:t>
            </w:r>
          </w:p>
        </w:tc>
        <w:tc>
          <w:tcPr>
            <w:tcW w:w="2562" w:type="dxa"/>
            <w:tcBorders>
              <w:top w:val="nil"/>
              <w:left w:val="nil"/>
              <w:bottom w:val="single" w:sz="8" w:space="0" w:color="auto"/>
              <w:right w:val="single" w:sz="4" w:space="0" w:color="auto"/>
            </w:tcBorders>
            <w:shd w:val="clear" w:color="000000" w:fill="FFFFFF"/>
            <w:noWrap/>
            <w:hideMark/>
          </w:tcPr>
          <w:p w14:paraId="687B9809" w14:textId="652195D9" w:rsidR="003638D3" w:rsidRPr="006C74CE" w:rsidRDefault="003638D3" w:rsidP="003638D3">
            <w:pPr>
              <w:jc w:val="center"/>
              <w:rPr>
                <w:sz w:val="22"/>
                <w:szCs w:val="22"/>
              </w:rPr>
            </w:pPr>
            <w:r w:rsidRPr="006C74CE">
              <w:rPr>
                <w:sz w:val="22"/>
                <w:szCs w:val="22"/>
              </w:rPr>
              <w:t>28.91</w:t>
            </w:r>
          </w:p>
        </w:tc>
        <w:tc>
          <w:tcPr>
            <w:tcW w:w="1527" w:type="dxa"/>
            <w:tcBorders>
              <w:top w:val="nil"/>
              <w:left w:val="nil"/>
              <w:bottom w:val="single" w:sz="8" w:space="0" w:color="auto"/>
              <w:right w:val="single" w:sz="8" w:space="0" w:color="auto"/>
            </w:tcBorders>
            <w:shd w:val="clear" w:color="000000" w:fill="FFFFFF"/>
            <w:noWrap/>
            <w:hideMark/>
          </w:tcPr>
          <w:p w14:paraId="68847C0A" w14:textId="1686FD8B" w:rsidR="003638D3" w:rsidRPr="006C74CE" w:rsidRDefault="003638D3" w:rsidP="003638D3">
            <w:pPr>
              <w:jc w:val="center"/>
              <w:rPr>
                <w:sz w:val="22"/>
                <w:szCs w:val="22"/>
              </w:rPr>
            </w:pPr>
            <w:r w:rsidRPr="006C74CE">
              <w:rPr>
                <w:sz w:val="22"/>
                <w:szCs w:val="22"/>
              </w:rPr>
              <w:t>0.01</w:t>
            </w:r>
          </w:p>
        </w:tc>
      </w:tr>
      <w:tr w:rsidR="00957E9C" w:rsidRPr="006C74CE" w14:paraId="13B24E15" w14:textId="77777777" w:rsidTr="007662B2">
        <w:trPr>
          <w:trHeight w:val="273"/>
        </w:trPr>
        <w:tc>
          <w:tcPr>
            <w:tcW w:w="8885" w:type="dxa"/>
            <w:gridSpan w:val="4"/>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1E49E3BB" w14:textId="77777777" w:rsidR="00957E9C" w:rsidRPr="006C74CE" w:rsidRDefault="00957E9C" w:rsidP="0098300F">
            <w:pPr>
              <w:keepNext/>
              <w:keepLines/>
              <w:jc w:val="center"/>
              <w:rPr>
                <w:sz w:val="22"/>
                <w:szCs w:val="22"/>
              </w:rPr>
            </w:pPr>
            <w:r w:rsidRPr="006C74CE">
              <w:rPr>
                <w:sz w:val="22"/>
                <w:szCs w:val="22"/>
              </w:rPr>
              <w:t>PTE from Cremation of Body (including case wrappings)</w:t>
            </w:r>
          </w:p>
        </w:tc>
      </w:tr>
      <w:tr w:rsidR="00CA64C6" w:rsidRPr="006C74CE" w14:paraId="036D612B" w14:textId="77777777" w:rsidTr="006C74CE">
        <w:trPr>
          <w:trHeight w:val="964"/>
        </w:trPr>
        <w:tc>
          <w:tcPr>
            <w:tcW w:w="2780" w:type="dxa"/>
            <w:tcBorders>
              <w:top w:val="single" w:sz="4" w:space="0" w:color="auto"/>
              <w:left w:val="single" w:sz="8" w:space="0" w:color="auto"/>
              <w:bottom w:val="single" w:sz="4" w:space="0" w:color="auto"/>
              <w:right w:val="nil"/>
            </w:tcBorders>
            <w:shd w:val="clear" w:color="000000" w:fill="FFFFFF"/>
            <w:noWrap/>
            <w:vAlign w:val="center"/>
            <w:hideMark/>
          </w:tcPr>
          <w:p w14:paraId="3A6A4A9B" w14:textId="1C335568" w:rsidR="00CA64C6" w:rsidRPr="006C74CE" w:rsidRDefault="00CA64C6" w:rsidP="0098300F">
            <w:pPr>
              <w:keepNext/>
              <w:keepLines/>
              <w:jc w:val="center"/>
              <w:rPr>
                <w:sz w:val="22"/>
                <w:szCs w:val="22"/>
              </w:rPr>
            </w:pPr>
            <w:r w:rsidRPr="006C74CE">
              <w:rPr>
                <w:sz w:val="22"/>
                <w:szCs w:val="22"/>
              </w:rPr>
              <w:t>Pollutant</w:t>
            </w:r>
          </w:p>
        </w:tc>
        <w:tc>
          <w:tcPr>
            <w:tcW w:w="20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843AC" w14:textId="77777777" w:rsidR="00F15DAD" w:rsidRPr="006C74CE" w:rsidRDefault="00CA64C6" w:rsidP="0098300F">
            <w:pPr>
              <w:keepNext/>
              <w:keepLines/>
              <w:jc w:val="center"/>
              <w:rPr>
                <w:sz w:val="22"/>
                <w:szCs w:val="22"/>
              </w:rPr>
            </w:pPr>
            <w:r w:rsidRPr="006C74CE">
              <w:rPr>
                <w:sz w:val="22"/>
                <w:szCs w:val="22"/>
              </w:rPr>
              <w:t xml:space="preserve">Emission Factor </w:t>
            </w:r>
          </w:p>
          <w:p w14:paraId="1ABCE105" w14:textId="4977E1A5" w:rsidR="00CA64C6" w:rsidRPr="006C74CE" w:rsidRDefault="00CA64C6" w:rsidP="0098300F">
            <w:pPr>
              <w:keepNext/>
              <w:keepLines/>
              <w:jc w:val="center"/>
              <w:rPr>
                <w:sz w:val="22"/>
                <w:szCs w:val="22"/>
              </w:rPr>
            </w:pPr>
            <w:r w:rsidRPr="006C74CE">
              <w:rPr>
                <w:sz w:val="22"/>
                <w:szCs w:val="22"/>
              </w:rPr>
              <w:t>(lb/150 lb body)</w:t>
            </w:r>
          </w:p>
        </w:tc>
        <w:tc>
          <w:tcPr>
            <w:tcW w:w="256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5B1145F2" w14:textId="77777777" w:rsidR="00CA64C6" w:rsidRPr="006C74CE" w:rsidRDefault="00CA64C6" w:rsidP="0098300F">
            <w:pPr>
              <w:keepNext/>
              <w:keepLines/>
              <w:jc w:val="center"/>
              <w:rPr>
                <w:sz w:val="22"/>
                <w:szCs w:val="22"/>
              </w:rPr>
            </w:pPr>
            <w:r w:rsidRPr="006C74CE">
              <w:rPr>
                <w:sz w:val="22"/>
                <w:szCs w:val="22"/>
              </w:rPr>
              <w:t>Annual                                                         (lb/yr)</w:t>
            </w:r>
          </w:p>
        </w:tc>
        <w:tc>
          <w:tcPr>
            <w:tcW w:w="1527" w:type="dxa"/>
            <w:tcBorders>
              <w:top w:val="single" w:sz="4" w:space="0" w:color="auto"/>
              <w:left w:val="single" w:sz="4" w:space="0" w:color="auto"/>
              <w:bottom w:val="single" w:sz="4" w:space="0" w:color="000000"/>
              <w:right w:val="single" w:sz="8" w:space="0" w:color="auto"/>
            </w:tcBorders>
            <w:shd w:val="clear" w:color="000000" w:fill="FFFFFF"/>
            <w:vAlign w:val="center"/>
            <w:hideMark/>
          </w:tcPr>
          <w:p w14:paraId="40B5398B" w14:textId="77777777" w:rsidR="00CA64C6" w:rsidRPr="006C74CE" w:rsidRDefault="00CA64C6" w:rsidP="0098300F">
            <w:pPr>
              <w:keepNext/>
              <w:keepLines/>
              <w:jc w:val="center"/>
              <w:rPr>
                <w:sz w:val="22"/>
                <w:szCs w:val="22"/>
              </w:rPr>
            </w:pPr>
            <w:r w:rsidRPr="006C74CE">
              <w:rPr>
                <w:sz w:val="22"/>
                <w:szCs w:val="22"/>
              </w:rPr>
              <w:t>Annual                                                         (Tons/yr)</w:t>
            </w:r>
          </w:p>
        </w:tc>
      </w:tr>
      <w:tr w:rsidR="00077320" w:rsidRPr="006C74CE" w14:paraId="1E0A95EF" w14:textId="77777777" w:rsidTr="006C74CE">
        <w:trPr>
          <w:trHeight w:val="602"/>
        </w:trPr>
        <w:tc>
          <w:tcPr>
            <w:tcW w:w="2780" w:type="dxa"/>
            <w:tcBorders>
              <w:top w:val="single" w:sz="4" w:space="0" w:color="auto"/>
              <w:left w:val="single" w:sz="8" w:space="0" w:color="auto"/>
              <w:bottom w:val="single" w:sz="4" w:space="0" w:color="auto"/>
              <w:right w:val="nil"/>
            </w:tcBorders>
            <w:shd w:val="clear" w:color="000000" w:fill="FFFFFF"/>
            <w:vAlign w:val="bottom"/>
            <w:hideMark/>
          </w:tcPr>
          <w:p w14:paraId="148BD72B" w14:textId="77777777" w:rsidR="00077320" w:rsidRPr="006C74CE" w:rsidRDefault="00077320" w:rsidP="00077320">
            <w:pPr>
              <w:keepNext/>
              <w:keepLines/>
              <w:jc w:val="right"/>
              <w:rPr>
                <w:sz w:val="22"/>
                <w:szCs w:val="22"/>
              </w:rPr>
            </w:pPr>
            <w:r w:rsidRPr="006C74CE">
              <w:rPr>
                <w:sz w:val="22"/>
                <w:szCs w:val="22"/>
              </w:rPr>
              <w:t>PM10 &amp;PM2.5 (including condensable)</w:t>
            </w:r>
          </w:p>
        </w:tc>
        <w:tc>
          <w:tcPr>
            <w:tcW w:w="20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CA46B1" w14:textId="49226655" w:rsidR="00077320" w:rsidRPr="006C74CE" w:rsidRDefault="00077320" w:rsidP="00077320">
            <w:pPr>
              <w:keepNext/>
              <w:keepLines/>
              <w:jc w:val="center"/>
              <w:rPr>
                <w:sz w:val="22"/>
                <w:szCs w:val="22"/>
              </w:rPr>
            </w:pPr>
            <w:r w:rsidRPr="006C74CE">
              <w:rPr>
                <w:sz w:val="22"/>
                <w:szCs w:val="22"/>
              </w:rPr>
              <w:t>8.50E-02</w:t>
            </w:r>
          </w:p>
        </w:tc>
        <w:tc>
          <w:tcPr>
            <w:tcW w:w="2562" w:type="dxa"/>
            <w:tcBorders>
              <w:top w:val="nil"/>
              <w:left w:val="nil"/>
              <w:bottom w:val="single" w:sz="4" w:space="0" w:color="auto"/>
              <w:right w:val="single" w:sz="4" w:space="0" w:color="auto"/>
            </w:tcBorders>
            <w:shd w:val="clear" w:color="000000" w:fill="FFFFFF"/>
            <w:noWrap/>
            <w:vAlign w:val="bottom"/>
            <w:hideMark/>
          </w:tcPr>
          <w:p w14:paraId="1206C560" w14:textId="2D77BC74" w:rsidR="00077320" w:rsidRPr="006C74CE" w:rsidRDefault="00077320" w:rsidP="00077320">
            <w:pPr>
              <w:keepNext/>
              <w:keepLines/>
              <w:jc w:val="center"/>
              <w:rPr>
                <w:sz w:val="22"/>
                <w:szCs w:val="22"/>
              </w:rPr>
            </w:pPr>
            <w:r w:rsidRPr="006C74CE">
              <w:rPr>
                <w:sz w:val="22"/>
                <w:szCs w:val="22"/>
              </w:rPr>
              <w:t>992.80</w:t>
            </w:r>
          </w:p>
        </w:tc>
        <w:tc>
          <w:tcPr>
            <w:tcW w:w="1527" w:type="dxa"/>
            <w:tcBorders>
              <w:top w:val="nil"/>
              <w:left w:val="nil"/>
              <w:bottom w:val="single" w:sz="4" w:space="0" w:color="auto"/>
              <w:right w:val="single" w:sz="8" w:space="0" w:color="auto"/>
            </w:tcBorders>
            <w:shd w:val="clear" w:color="000000" w:fill="FFFFFF"/>
            <w:noWrap/>
            <w:vAlign w:val="bottom"/>
            <w:hideMark/>
          </w:tcPr>
          <w:p w14:paraId="28CEBBE2" w14:textId="4CE42F32" w:rsidR="00077320" w:rsidRPr="006C74CE" w:rsidRDefault="00077320" w:rsidP="00077320">
            <w:pPr>
              <w:keepNext/>
              <w:keepLines/>
              <w:jc w:val="center"/>
              <w:rPr>
                <w:sz w:val="22"/>
                <w:szCs w:val="22"/>
              </w:rPr>
            </w:pPr>
            <w:r w:rsidRPr="006C74CE">
              <w:rPr>
                <w:sz w:val="22"/>
                <w:szCs w:val="22"/>
              </w:rPr>
              <w:t>0.50</w:t>
            </w:r>
          </w:p>
        </w:tc>
      </w:tr>
      <w:tr w:rsidR="00077320" w:rsidRPr="006C74CE" w14:paraId="75F22A5A"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1726BA95" w14:textId="77777777" w:rsidR="00077320" w:rsidRPr="006C74CE" w:rsidRDefault="00077320" w:rsidP="00077320">
            <w:pPr>
              <w:keepNext/>
              <w:keepLines/>
              <w:jc w:val="right"/>
              <w:rPr>
                <w:sz w:val="22"/>
                <w:szCs w:val="22"/>
              </w:rPr>
            </w:pPr>
            <w:r w:rsidRPr="006C74CE">
              <w:rPr>
                <w:sz w:val="22"/>
                <w:szCs w:val="22"/>
              </w:rPr>
              <w:t>NOx</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43D0A7EB" w14:textId="5BB64A0B" w:rsidR="00077320" w:rsidRPr="006C74CE" w:rsidRDefault="00077320" w:rsidP="00077320">
            <w:pPr>
              <w:keepNext/>
              <w:keepLines/>
              <w:jc w:val="center"/>
              <w:rPr>
                <w:sz w:val="22"/>
                <w:szCs w:val="22"/>
              </w:rPr>
            </w:pPr>
            <w:r w:rsidRPr="006C74CE">
              <w:rPr>
                <w:sz w:val="22"/>
                <w:szCs w:val="22"/>
              </w:rPr>
              <w:t>2.57E-01</w:t>
            </w:r>
          </w:p>
        </w:tc>
        <w:tc>
          <w:tcPr>
            <w:tcW w:w="2562" w:type="dxa"/>
            <w:tcBorders>
              <w:top w:val="nil"/>
              <w:left w:val="nil"/>
              <w:bottom w:val="single" w:sz="4" w:space="0" w:color="auto"/>
              <w:right w:val="single" w:sz="4" w:space="0" w:color="auto"/>
            </w:tcBorders>
            <w:shd w:val="clear" w:color="000000" w:fill="FFFFFF"/>
            <w:noWrap/>
            <w:vAlign w:val="bottom"/>
            <w:hideMark/>
          </w:tcPr>
          <w:p w14:paraId="36C6A848" w14:textId="67880CD0" w:rsidR="00077320" w:rsidRPr="006C74CE" w:rsidRDefault="00077320" w:rsidP="00077320">
            <w:pPr>
              <w:keepNext/>
              <w:keepLines/>
              <w:jc w:val="center"/>
              <w:rPr>
                <w:sz w:val="22"/>
                <w:szCs w:val="22"/>
              </w:rPr>
            </w:pPr>
            <w:r w:rsidRPr="006C74CE">
              <w:rPr>
                <w:sz w:val="22"/>
                <w:szCs w:val="22"/>
              </w:rPr>
              <w:t>3001.76</w:t>
            </w:r>
          </w:p>
        </w:tc>
        <w:tc>
          <w:tcPr>
            <w:tcW w:w="1527" w:type="dxa"/>
            <w:tcBorders>
              <w:top w:val="nil"/>
              <w:left w:val="nil"/>
              <w:bottom w:val="single" w:sz="4" w:space="0" w:color="auto"/>
              <w:right w:val="single" w:sz="8" w:space="0" w:color="auto"/>
            </w:tcBorders>
            <w:shd w:val="clear" w:color="000000" w:fill="FFFFFF"/>
            <w:noWrap/>
            <w:vAlign w:val="bottom"/>
            <w:hideMark/>
          </w:tcPr>
          <w:p w14:paraId="7E3297B0" w14:textId="3243358E" w:rsidR="00077320" w:rsidRPr="006C74CE" w:rsidRDefault="00077320" w:rsidP="00077320">
            <w:pPr>
              <w:keepNext/>
              <w:keepLines/>
              <w:jc w:val="center"/>
              <w:rPr>
                <w:sz w:val="22"/>
                <w:szCs w:val="22"/>
              </w:rPr>
            </w:pPr>
            <w:r w:rsidRPr="006C74CE">
              <w:rPr>
                <w:sz w:val="22"/>
                <w:szCs w:val="22"/>
              </w:rPr>
              <w:t>1.50</w:t>
            </w:r>
          </w:p>
        </w:tc>
      </w:tr>
      <w:tr w:rsidR="00077320" w:rsidRPr="006C74CE" w14:paraId="78F5C1DC"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664FC2CB" w14:textId="77777777" w:rsidR="00077320" w:rsidRPr="006C74CE" w:rsidRDefault="00077320" w:rsidP="00077320">
            <w:pPr>
              <w:keepNext/>
              <w:keepLines/>
              <w:jc w:val="right"/>
              <w:rPr>
                <w:sz w:val="22"/>
                <w:szCs w:val="22"/>
              </w:rPr>
            </w:pPr>
            <w:r w:rsidRPr="006C74CE">
              <w:rPr>
                <w:sz w:val="22"/>
                <w:szCs w:val="22"/>
              </w:rPr>
              <w:t>CO</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1CF0C894" w14:textId="26B947FF" w:rsidR="00077320" w:rsidRPr="006C74CE" w:rsidRDefault="00077320" w:rsidP="00077320">
            <w:pPr>
              <w:keepNext/>
              <w:keepLines/>
              <w:jc w:val="center"/>
              <w:rPr>
                <w:sz w:val="22"/>
                <w:szCs w:val="22"/>
              </w:rPr>
            </w:pPr>
            <w:r w:rsidRPr="006C74CE">
              <w:rPr>
                <w:sz w:val="22"/>
                <w:szCs w:val="22"/>
              </w:rPr>
              <w:t>2.21E-01</w:t>
            </w:r>
          </w:p>
        </w:tc>
        <w:tc>
          <w:tcPr>
            <w:tcW w:w="2562" w:type="dxa"/>
            <w:tcBorders>
              <w:top w:val="nil"/>
              <w:left w:val="nil"/>
              <w:bottom w:val="single" w:sz="4" w:space="0" w:color="auto"/>
              <w:right w:val="single" w:sz="4" w:space="0" w:color="auto"/>
            </w:tcBorders>
            <w:shd w:val="clear" w:color="000000" w:fill="FFFFFF"/>
            <w:noWrap/>
            <w:vAlign w:val="bottom"/>
            <w:hideMark/>
          </w:tcPr>
          <w:p w14:paraId="5C4B9FA5" w14:textId="387D0530" w:rsidR="00077320" w:rsidRPr="006C74CE" w:rsidRDefault="00077320" w:rsidP="00077320">
            <w:pPr>
              <w:keepNext/>
              <w:keepLines/>
              <w:jc w:val="center"/>
              <w:rPr>
                <w:sz w:val="22"/>
                <w:szCs w:val="22"/>
              </w:rPr>
            </w:pPr>
            <w:r w:rsidRPr="006C74CE">
              <w:rPr>
                <w:sz w:val="22"/>
                <w:szCs w:val="22"/>
              </w:rPr>
              <w:t>2581.28</w:t>
            </w:r>
          </w:p>
        </w:tc>
        <w:tc>
          <w:tcPr>
            <w:tcW w:w="1527" w:type="dxa"/>
            <w:tcBorders>
              <w:top w:val="nil"/>
              <w:left w:val="nil"/>
              <w:bottom w:val="single" w:sz="4" w:space="0" w:color="auto"/>
              <w:right w:val="single" w:sz="8" w:space="0" w:color="auto"/>
            </w:tcBorders>
            <w:shd w:val="clear" w:color="000000" w:fill="FFFFFF"/>
            <w:noWrap/>
            <w:vAlign w:val="bottom"/>
            <w:hideMark/>
          </w:tcPr>
          <w:p w14:paraId="5C385A87" w14:textId="497188C8" w:rsidR="00077320" w:rsidRPr="006C74CE" w:rsidRDefault="00077320" w:rsidP="00077320">
            <w:pPr>
              <w:keepNext/>
              <w:keepLines/>
              <w:jc w:val="center"/>
              <w:rPr>
                <w:sz w:val="22"/>
                <w:szCs w:val="22"/>
              </w:rPr>
            </w:pPr>
            <w:r w:rsidRPr="006C74CE">
              <w:rPr>
                <w:sz w:val="22"/>
                <w:szCs w:val="22"/>
              </w:rPr>
              <w:t>1.29</w:t>
            </w:r>
          </w:p>
        </w:tc>
      </w:tr>
      <w:tr w:rsidR="00077320" w:rsidRPr="006C74CE" w14:paraId="7717D9B3"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071B0671" w14:textId="77777777" w:rsidR="00077320" w:rsidRPr="006C74CE" w:rsidRDefault="00077320" w:rsidP="00077320">
            <w:pPr>
              <w:keepNext/>
              <w:keepLines/>
              <w:jc w:val="right"/>
              <w:rPr>
                <w:sz w:val="22"/>
                <w:szCs w:val="22"/>
              </w:rPr>
            </w:pPr>
            <w:r w:rsidRPr="006C74CE">
              <w:rPr>
                <w:sz w:val="22"/>
                <w:szCs w:val="22"/>
              </w:rPr>
              <w:t>SO</w:t>
            </w:r>
            <w:r w:rsidRPr="00F826F2">
              <w:rPr>
                <w:sz w:val="22"/>
                <w:szCs w:val="22"/>
                <w:vertAlign w:val="subscript"/>
              </w:rPr>
              <w:t>2</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32D2D7B9" w14:textId="465AC359" w:rsidR="00077320" w:rsidRPr="006C74CE" w:rsidRDefault="00077320" w:rsidP="00077320">
            <w:pPr>
              <w:keepNext/>
              <w:keepLines/>
              <w:jc w:val="center"/>
              <w:rPr>
                <w:sz w:val="22"/>
                <w:szCs w:val="22"/>
              </w:rPr>
            </w:pPr>
            <w:r w:rsidRPr="006C74CE">
              <w:rPr>
                <w:sz w:val="22"/>
                <w:szCs w:val="22"/>
              </w:rPr>
              <w:t>1.63E-01</w:t>
            </w:r>
          </w:p>
        </w:tc>
        <w:tc>
          <w:tcPr>
            <w:tcW w:w="2562" w:type="dxa"/>
            <w:tcBorders>
              <w:top w:val="nil"/>
              <w:left w:val="nil"/>
              <w:bottom w:val="single" w:sz="4" w:space="0" w:color="auto"/>
              <w:right w:val="single" w:sz="4" w:space="0" w:color="auto"/>
            </w:tcBorders>
            <w:shd w:val="clear" w:color="000000" w:fill="FFFFFF"/>
            <w:noWrap/>
            <w:vAlign w:val="bottom"/>
            <w:hideMark/>
          </w:tcPr>
          <w:p w14:paraId="5DAA904C" w14:textId="104A932E" w:rsidR="00077320" w:rsidRPr="006C74CE" w:rsidRDefault="00077320" w:rsidP="00077320">
            <w:pPr>
              <w:keepNext/>
              <w:keepLines/>
              <w:jc w:val="center"/>
              <w:rPr>
                <w:sz w:val="22"/>
                <w:szCs w:val="22"/>
              </w:rPr>
            </w:pPr>
            <w:r w:rsidRPr="006C74CE">
              <w:rPr>
                <w:sz w:val="22"/>
                <w:szCs w:val="22"/>
              </w:rPr>
              <w:t>1903.84</w:t>
            </w:r>
          </w:p>
        </w:tc>
        <w:tc>
          <w:tcPr>
            <w:tcW w:w="1527" w:type="dxa"/>
            <w:tcBorders>
              <w:top w:val="nil"/>
              <w:left w:val="nil"/>
              <w:bottom w:val="single" w:sz="4" w:space="0" w:color="auto"/>
              <w:right w:val="single" w:sz="8" w:space="0" w:color="auto"/>
            </w:tcBorders>
            <w:shd w:val="clear" w:color="000000" w:fill="FFFFFF"/>
            <w:noWrap/>
            <w:vAlign w:val="bottom"/>
            <w:hideMark/>
          </w:tcPr>
          <w:p w14:paraId="736EA75F" w14:textId="61CACF9B" w:rsidR="00077320" w:rsidRPr="006C74CE" w:rsidRDefault="00077320" w:rsidP="00077320">
            <w:pPr>
              <w:keepNext/>
              <w:keepLines/>
              <w:jc w:val="center"/>
              <w:rPr>
                <w:sz w:val="22"/>
                <w:szCs w:val="22"/>
              </w:rPr>
            </w:pPr>
            <w:r w:rsidRPr="006C74CE">
              <w:rPr>
                <w:sz w:val="22"/>
                <w:szCs w:val="22"/>
              </w:rPr>
              <w:t>0.95</w:t>
            </w:r>
          </w:p>
        </w:tc>
      </w:tr>
      <w:tr w:rsidR="00077320" w:rsidRPr="006C74CE" w14:paraId="42A34E32" w14:textId="77777777" w:rsidTr="006C74CE">
        <w:trPr>
          <w:trHeight w:val="273"/>
        </w:trPr>
        <w:tc>
          <w:tcPr>
            <w:tcW w:w="2780" w:type="dxa"/>
            <w:tcBorders>
              <w:top w:val="nil"/>
              <w:left w:val="single" w:sz="8" w:space="0" w:color="auto"/>
              <w:bottom w:val="single" w:sz="8" w:space="0" w:color="auto"/>
              <w:right w:val="nil"/>
            </w:tcBorders>
            <w:shd w:val="clear" w:color="000000" w:fill="FFFFFF"/>
            <w:noWrap/>
            <w:vAlign w:val="bottom"/>
            <w:hideMark/>
          </w:tcPr>
          <w:p w14:paraId="6907A156" w14:textId="77777777" w:rsidR="00077320" w:rsidRPr="006C74CE" w:rsidRDefault="00077320" w:rsidP="00077320">
            <w:pPr>
              <w:keepNext/>
              <w:keepLines/>
              <w:jc w:val="right"/>
              <w:rPr>
                <w:sz w:val="22"/>
                <w:szCs w:val="22"/>
              </w:rPr>
            </w:pPr>
            <w:r w:rsidRPr="006C74CE">
              <w:rPr>
                <w:sz w:val="22"/>
                <w:szCs w:val="22"/>
              </w:rPr>
              <w:t>VOC</w:t>
            </w:r>
          </w:p>
        </w:tc>
        <w:tc>
          <w:tcPr>
            <w:tcW w:w="2016" w:type="dxa"/>
            <w:tcBorders>
              <w:top w:val="nil"/>
              <w:left w:val="single" w:sz="4" w:space="0" w:color="auto"/>
              <w:bottom w:val="single" w:sz="8" w:space="0" w:color="auto"/>
              <w:right w:val="single" w:sz="4" w:space="0" w:color="auto"/>
            </w:tcBorders>
            <w:shd w:val="clear" w:color="000000" w:fill="FFFFFF"/>
            <w:noWrap/>
            <w:vAlign w:val="bottom"/>
            <w:hideMark/>
          </w:tcPr>
          <w:p w14:paraId="64C53D14" w14:textId="47EA3AD2" w:rsidR="00077320" w:rsidRPr="006C74CE" w:rsidRDefault="00077320" w:rsidP="00077320">
            <w:pPr>
              <w:keepNext/>
              <w:keepLines/>
              <w:jc w:val="center"/>
              <w:rPr>
                <w:sz w:val="22"/>
                <w:szCs w:val="22"/>
              </w:rPr>
            </w:pPr>
            <w:r w:rsidRPr="006C74CE">
              <w:rPr>
                <w:sz w:val="22"/>
                <w:szCs w:val="22"/>
              </w:rPr>
              <w:t>2.24E-01</w:t>
            </w:r>
          </w:p>
        </w:tc>
        <w:tc>
          <w:tcPr>
            <w:tcW w:w="2562" w:type="dxa"/>
            <w:tcBorders>
              <w:top w:val="nil"/>
              <w:left w:val="nil"/>
              <w:bottom w:val="single" w:sz="8" w:space="0" w:color="auto"/>
              <w:right w:val="single" w:sz="4" w:space="0" w:color="auto"/>
            </w:tcBorders>
            <w:shd w:val="clear" w:color="000000" w:fill="FFFFFF"/>
            <w:noWrap/>
            <w:vAlign w:val="bottom"/>
            <w:hideMark/>
          </w:tcPr>
          <w:p w14:paraId="7DC50420" w14:textId="361CEE2A" w:rsidR="00077320" w:rsidRPr="006C74CE" w:rsidRDefault="00077320" w:rsidP="00077320">
            <w:pPr>
              <w:keepNext/>
              <w:keepLines/>
              <w:jc w:val="center"/>
              <w:rPr>
                <w:sz w:val="22"/>
                <w:szCs w:val="22"/>
              </w:rPr>
            </w:pPr>
            <w:r w:rsidRPr="006C74CE">
              <w:rPr>
                <w:sz w:val="22"/>
                <w:szCs w:val="22"/>
              </w:rPr>
              <w:t>2616.32</w:t>
            </w:r>
          </w:p>
        </w:tc>
        <w:tc>
          <w:tcPr>
            <w:tcW w:w="1527" w:type="dxa"/>
            <w:tcBorders>
              <w:top w:val="nil"/>
              <w:left w:val="nil"/>
              <w:bottom w:val="single" w:sz="8" w:space="0" w:color="auto"/>
              <w:right w:val="single" w:sz="8" w:space="0" w:color="auto"/>
            </w:tcBorders>
            <w:shd w:val="clear" w:color="000000" w:fill="FFFFFF"/>
            <w:noWrap/>
            <w:vAlign w:val="bottom"/>
            <w:hideMark/>
          </w:tcPr>
          <w:p w14:paraId="0A3C33FE" w14:textId="311874F7" w:rsidR="00077320" w:rsidRPr="006C74CE" w:rsidRDefault="00077320" w:rsidP="00077320">
            <w:pPr>
              <w:keepNext/>
              <w:keepLines/>
              <w:jc w:val="center"/>
              <w:rPr>
                <w:sz w:val="22"/>
                <w:szCs w:val="22"/>
              </w:rPr>
            </w:pPr>
            <w:r w:rsidRPr="006C74CE">
              <w:rPr>
                <w:sz w:val="22"/>
                <w:szCs w:val="22"/>
              </w:rPr>
              <w:t>1.31</w:t>
            </w:r>
          </w:p>
        </w:tc>
      </w:tr>
      <w:tr w:rsidR="00957E9C" w:rsidRPr="006C74CE" w14:paraId="0A4D2E74" w14:textId="77777777" w:rsidTr="006C74CE">
        <w:trPr>
          <w:trHeight w:val="273"/>
        </w:trPr>
        <w:tc>
          <w:tcPr>
            <w:tcW w:w="2780" w:type="dxa"/>
            <w:tcBorders>
              <w:top w:val="nil"/>
              <w:left w:val="nil"/>
              <w:bottom w:val="nil"/>
              <w:right w:val="nil"/>
            </w:tcBorders>
            <w:shd w:val="clear" w:color="000000" w:fill="FFFFFF"/>
            <w:noWrap/>
            <w:vAlign w:val="bottom"/>
            <w:hideMark/>
          </w:tcPr>
          <w:p w14:paraId="0DFBB37A" w14:textId="77777777" w:rsidR="00957E9C" w:rsidRPr="006C74CE" w:rsidRDefault="00957E9C" w:rsidP="0098300F">
            <w:pPr>
              <w:keepNext/>
              <w:keepLines/>
              <w:rPr>
                <w:rFonts w:cs="Arial"/>
                <w:sz w:val="22"/>
                <w:szCs w:val="22"/>
              </w:rPr>
            </w:pPr>
            <w:r w:rsidRPr="006C74CE">
              <w:rPr>
                <w:rFonts w:cs="Arial"/>
                <w:sz w:val="22"/>
                <w:szCs w:val="22"/>
              </w:rPr>
              <w:t> </w:t>
            </w:r>
          </w:p>
        </w:tc>
        <w:tc>
          <w:tcPr>
            <w:tcW w:w="2016" w:type="dxa"/>
            <w:tcBorders>
              <w:top w:val="nil"/>
              <w:left w:val="nil"/>
              <w:bottom w:val="nil"/>
              <w:right w:val="nil"/>
            </w:tcBorders>
            <w:shd w:val="clear" w:color="000000" w:fill="FFFFFF"/>
            <w:noWrap/>
            <w:vAlign w:val="bottom"/>
            <w:hideMark/>
          </w:tcPr>
          <w:p w14:paraId="0C210499" w14:textId="77777777" w:rsidR="00957E9C" w:rsidRPr="006C74CE" w:rsidRDefault="00957E9C" w:rsidP="0098300F">
            <w:pPr>
              <w:keepNext/>
              <w:keepLines/>
              <w:rPr>
                <w:rFonts w:cs="Arial"/>
                <w:sz w:val="22"/>
                <w:szCs w:val="22"/>
              </w:rPr>
            </w:pPr>
            <w:r w:rsidRPr="006C74CE">
              <w:rPr>
                <w:rFonts w:cs="Arial"/>
                <w:sz w:val="22"/>
                <w:szCs w:val="22"/>
              </w:rPr>
              <w:t> </w:t>
            </w:r>
          </w:p>
        </w:tc>
        <w:tc>
          <w:tcPr>
            <w:tcW w:w="2562" w:type="dxa"/>
            <w:tcBorders>
              <w:top w:val="nil"/>
              <w:left w:val="nil"/>
              <w:bottom w:val="nil"/>
              <w:right w:val="nil"/>
            </w:tcBorders>
            <w:shd w:val="clear" w:color="000000" w:fill="FFFFFF"/>
            <w:noWrap/>
            <w:vAlign w:val="bottom"/>
            <w:hideMark/>
          </w:tcPr>
          <w:p w14:paraId="69BA1AAD" w14:textId="77777777" w:rsidR="00957E9C" w:rsidRPr="006C74CE" w:rsidRDefault="00957E9C" w:rsidP="0098300F">
            <w:pPr>
              <w:keepNext/>
              <w:keepLines/>
              <w:rPr>
                <w:rFonts w:cs="Arial"/>
                <w:sz w:val="22"/>
                <w:szCs w:val="22"/>
              </w:rPr>
            </w:pPr>
            <w:r w:rsidRPr="006C74CE">
              <w:rPr>
                <w:rFonts w:cs="Arial"/>
                <w:sz w:val="22"/>
                <w:szCs w:val="22"/>
              </w:rPr>
              <w:t> </w:t>
            </w:r>
          </w:p>
        </w:tc>
        <w:tc>
          <w:tcPr>
            <w:tcW w:w="1527" w:type="dxa"/>
            <w:tcBorders>
              <w:top w:val="nil"/>
              <w:left w:val="nil"/>
              <w:bottom w:val="nil"/>
              <w:right w:val="nil"/>
            </w:tcBorders>
            <w:shd w:val="clear" w:color="000000" w:fill="FFFFFF"/>
            <w:noWrap/>
            <w:vAlign w:val="bottom"/>
            <w:hideMark/>
          </w:tcPr>
          <w:p w14:paraId="239E486C" w14:textId="77777777" w:rsidR="00957E9C" w:rsidRPr="006C74CE" w:rsidRDefault="00957E9C" w:rsidP="0098300F">
            <w:pPr>
              <w:keepNext/>
              <w:keepLines/>
              <w:rPr>
                <w:rFonts w:cs="Arial"/>
                <w:sz w:val="22"/>
                <w:szCs w:val="22"/>
              </w:rPr>
            </w:pPr>
            <w:r w:rsidRPr="006C74CE">
              <w:rPr>
                <w:rFonts w:cs="Arial"/>
                <w:sz w:val="22"/>
                <w:szCs w:val="22"/>
              </w:rPr>
              <w:t> </w:t>
            </w:r>
          </w:p>
        </w:tc>
      </w:tr>
      <w:tr w:rsidR="00957E9C" w:rsidRPr="006C74CE" w14:paraId="5237A19E" w14:textId="77777777" w:rsidTr="007662B2">
        <w:trPr>
          <w:trHeight w:val="273"/>
        </w:trPr>
        <w:tc>
          <w:tcPr>
            <w:tcW w:w="8885" w:type="dxa"/>
            <w:gridSpan w:val="4"/>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4DFBDC1A" w14:textId="77777777" w:rsidR="00957E9C" w:rsidRPr="006C74CE" w:rsidRDefault="00957E9C" w:rsidP="00077320">
            <w:pPr>
              <w:keepNext/>
              <w:keepLines/>
              <w:widowControl w:val="0"/>
              <w:jc w:val="center"/>
              <w:rPr>
                <w:sz w:val="22"/>
                <w:szCs w:val="22"/>
              </w:rPr>
            </w:pPr>
            <w:r w:rsidRPr="006C74CE">
              <w:rPr>
                <w:sz w:val="22"/>
                <w:szCs w:val="22"/>
              </w:rPr>
              <w:t>Total Criteria Pollutant Emissions</w:t>
            </w:r>
          </w:p>
        </w:tc>
      </w:tr>
      <w:tr w:rsidR="00957E9C" w:rsidRPr="006C74CE" w14:paraId="55C56CA8" w14:textId="77777777" w:rsidTr="006C74CE">
        <w:trPr>
          <w:trHeight w:val="273"/>
        </w:trPr>
        <w:tc>
          <w:tcPr>
            <w:tcW w:w="2780"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14:paraId="3B4011E0" w14:textId="77777777" w:rsidR="00957E9C" w:rsidRPr="006C74CE" w:rsidRDefault="00957E9C" w:rsidP="00077320">
            <w:pPr>
              <w:keepNext/>
              <w:keepLines/>
              <w:widowControl w:val="0"/>
              <w:jc w:val="center"/>
              <w:rPr>
                <w:sz w:val="22"/>
                <w:szCs w:val="22"/>
              </w:rPr>
            </w:pPr>
            <w:r w:rsidRPr="006C74CE">
              <w:rPr>
                <w:sz w:val="22"/>
                <w:szCs w:val="22"/>
              </w:rPr>
              <w:t>Pollutant</w:t>
            </w:r>
          </w:p>
        </w:tc>
        <w:tc>
          <w:tcPr>
            <w:tcW w:w="2016"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23FA924C" w14:textId="77777777" w:rsidR="00957E9C" w:rsidRPr="006C74CE" w:rsidRDefault="00957E9C" w:rsidP="00077320">
            <w:pPr>
              <w:keepNext/>
              <w:keepLines/>
              <w:widowControl w:val="0"/>
              <w:jc w:val="center"/>
              <w:rPr>
                <w:sz w:val="22"/>
                <w:szCs w:val="22"/>
              </w:rPr>
            </w:pPr>
            <w:r w:rsidRPr="006C74CE">
              <w:rPr>
                <w:sz w:val="22"/>
                <w:szCs w:val="22"/>
              </w:rPr>
              <w:t>Propane                                                   (Tons/yr)</w:t>
            </w:r>
          </w:p>
        </w:tc>
        <w:tc>
          <w:tcPr>
            <w:tcW w:w="256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ECB31DE" w14:textId="77777777" w:rsidR="00957E9C" w:rsidRPr="006C74CE" w:rsidRDefault="00957E9C" w:rsidP="00077320">
            <w:pPr>
              <w:keepNext/>
              <w:keepLines/>
              <w:widowControl w:val="0"/>
              <w:jc w:val="center"/>
              <w:rPr>
                <w:sz w:val="22"/>
                <w:szCs w:val="22"/>
              </w:rPr>
            </w:pPr>
            <w:r w:rsidRPr="006C74CE">
              <w:rPr>
                <w:sz w:val="22"/>
                <w:szCs w:val="22"/>
              </w:rPr>
              <w:t>Cremation                                     (Tons/yr)</w:t>
            </w:r>
          </w:p>
        </w:tc>
        <w:tc>
          <w:tcPr>
            <w:tcW w:w="1527" w:type="dxa"/>
            <w:vMerge w:val="restart"/>
            <w:tcBorders>
              <w:top w:val="nil"/>
              <w:left w:val="single" w:sz="4" w:space="0" w:color="auto"/>
              <w:bottom w:val="single" w:sz="4" w:space="0" w:color="000000"/>
              <w:right w:val="single" w:sz="8" w:space="0" w:color="auto"/>
            </w:tcBorders>
            <w:shd w:val="clear" w:color="000000" w:fill="FFFFFF"/>
            <w:vAlign w:val="bottom"/>
            <w:hideMark/>
          </w:tcPr>
          <w:p w14:paraId="3444FDB2" w14:textId="77777777" w:rsidR="00957E9C" w:rsidRPr="006C74CE" w:rsidRDefault="00957E9C" w:rsidP="00077320">
            <w:pPr>
              <w:keepNext/>
              <w:keepLines/>
              <w:widowControl w:val="0"/>
              <w:jc w:val="center"/>
              <w:rPr>
                <w:sz w:val="22"/>
                <w:szCs w:val="22"/>
              </w:rPr>
            </w:pPr>
            <w:r w:rsidRPr="006C74CE">
              <w:rPr>
                <w:sz w:val="22"/>
                <w:szCs w:val="22"/>
              </w:rPr>
              <w:t>Annual                                           (Tons/yr)</w:t>
            </w:r>
          </w:p>
        </w:tc>
      </w:tr>
      <w:tr w:rsidR="00FF7E23" w:rsidRPr="006C74CE" w14:paraId="6BA435F9" w14:textId="77777777" w:rsidTr="006C74CE">
        <w:trPr>
          <w:trHeight w:val="273"/>
        </w:trPr>
        <w:tc>
          <w:tcPr>
            <w:tcW w:w="2780" w:type="dxa"/>
            <w:vMerge/>
            <w:tcBorders>
              <w:top w:val="nil"/>
              <w:left w:val="single" w:sz="8" w:space="0" w:color="auto"/>
              <w:bottom w:val="single" w:sz="4" w:space="0" w:color="000000"/>
              <w:right w:val="single" w:sz="4" w:space="0" w:color="auto"/>
            </w:tcBorders>
            <w:vAlign w:val="center"/>
            <w:hideMark/>
          </w:tcPr>
          <w:p w14:paraId="11E63E74" w14:textId="77777777" w:rsidR="00FF7E23" w:rsidRPr="006C74CE" w:rsidRDefault="00FF7E23" w:rsidP="00077320">
            <w:pPr>
              <w:keepNext/>
              <w:keepLines/>
              <w:widowControl w:val="0"/>
              <w:rPr>
                <w:sz w:val="22"/>
                <w:szCs w:val="22"/>
              </w:rPr>
            </w:pPr>
          </w:p>
        </w:tc>
        <w:tc>
          <w:tcPr>
            <w:tcW w:w="2016" w:type="dxa"/>
            <w:vMerge/>
            <w:tcBorders>
              <w:top w:val="nil"/>
              <w:left w:val="single" w:sz="4" w:space="0" w:color="auto"/>
              <w:bottom w:val="single" w:sz="4" w:space="0" w:color="000000"/>
              <w:right w:val="single" w:sz="4" w:space="0" w:color="auto"/>
            </w:tcBorders>
            <w:vAlign w:val="center"/>
            <w:hideMark/>
          </w:tcPr>
          <w:p w14:paraId="48F69E50" w14:textId="77777777" w:rsidR="00FF7E23" w:rsidRPr="006C74CE" w:rsidRDefault="00FF7E23" w:rsidP="00077320">
            <w:pPr>
              <w:keepNext/>
              <w:keepLines/>
              <w:widowControl w:val="0"/>
              <w:rPr>
                <w:sz w:val="22"/>
                <w:szCs w:val="22"/>
              </w:rPr>
            </w:pPr>
          </w:p>
        </w:tc>
        <w:tc>
          <w:tcPr>
            <w:tcW w:w="2562" w:type="dxa"/>
            <w:vMerge/>
            <w:tcBorders>
              <w:top w:val="nil"/>
              <w:left w:val="single" w:sz="4" w:space="0" w:color="auto"/>
              <w:bottom w:val="single" w:sz="4" w:space="0" w:color="000000"/>
              <w:right w:val="single" w:sz="4" w:space="0" w:color="auto"/>
            </w:tcBorders>
            <w:vAlign w:val="center"/>
            <w:hideMark/>
          </w:tcPr>
          <w:p w14:paraId="3824496A" w14:textId="77777777" w:rsidR="00FF7E23" w:rsidRPr="006C74CE" w:rsidRDefault="00FF7E23" w:rsidP="00077320">
            <w:pPr>
              <w:keepNext/>
              <w:keepLines/>
              <w:widowControl w:val="0"/>
              <w:rPr>
                <w:sz w:val="22"/>
                <w:szCs w:val="22"/>
              </w:rPr>
            </w:pPr>
          </w:p>
        </w:tc>
        <w:tc>
          <w:tcPr>
            <w:tcW w:w="1527" w:type="dxa"/>
            <w:vMerge/>
            <w:tcBorders>
              <w:top w:val="nil"/>
              <w:left w:val="single" w:sz="4" w:space="0" w:color="auto"/>
              <w:bottom w:val="single" w:sz="4" w:space="0" w:color="000000"/>
              <w:right w:val="single" w:sz="8" w:space="0" w:color="auto"/>
            </w:tcBorders>
            <w:vAlign w:val="center"/>
            <w:hideMark/>
          </w:tcPr>
          <w:p w14:paraId="632145FE" w14:textId="77777777" w:rsidR="00FF7E23" w:rsidRPr="006C74CE" w:rsidRDefault="00FF7E23" w:rsidP="00077320">
            <w:pPr>
              <w:keepNext/>
              <w:keepLines/>
              <w:widowControl w:val="0"/>
              <w:rPr>
                <w:sz w:val="22"/>
                <w:szCs w:val="22"/>
              </w:rPr>
            </w:pPr>
          </w:p>
        </w:tc>
      </w:tr>
      <w:tr w:rsidR="006829AF" w:rsidRPr="006C74CE" w14:paraId="47CA4B9A" w14:textId="77777777" w:rsidTr="006C74CE">
        <w:trPr>
          <w:trHeight w:val="273"/>
        </w:trPr>
        <w:tc>
          <w:tcPr>
            <w:tcW w:w="2780" w:type="dxa"/>
            <w:tcBorders>
              <w:top w:val="nil"/>
              <w:left w:val="single" w:sz="8" w:space="0" w:color="auto"/>
              <w:bottom w:val="single" w:sz="4" w:space="0" w:color="auto"/>
              <w:right w:val="nil"/>
            </w:tcBorders>
            <w:shd w:val="clear" w:color="000000" w:fill="FFFFFF"/>
            <w:noWrap/>
            <w:vAlign w:val="bottom"/>
            <w:hideMark/>
          </w:tcPr>
          <w:p w14:paraId="15B776EA" w14:textId="77777777" w:rsidR="006829AF" w:rsidRPr="006C74CE" w:rsidRDefault="006829AF" w:rsidP="006829AF">
            <w:pPr>
              <w:keepNext/>
              <w:keepLines/>
              <w:widowControl w:val="0"/>
              <w:jc w:val="right"/>
              <w:rPr>
                <w:sz w:val="22"/>
                <w:szCs w:val="22"/>
              </w:rPr>
            </w:pPr>
            <w:r w:rsidRPr="006C74CE">
              <w:rPr>
                <w:sz w:val="22"/>
                <w:szCs w:val="22"/>
              </w:rPr>
              <w:t>PM10 &amp; PM2.5</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3A59A063" w14:textId="3AC1EC95" w:rsidR="006829AF" w:rsidRPr="006C74CE" w:rsidRDefault="006829AF" w:rsidP="004A0F6B">
            <w:pPr>
              <w:keepNext/>
              <w:keepLines/>
              <w:widowControl w:val="0"/>
              <w:jc w:val="center"/>
              <w:rPr>
                <w:sz w:val="22"/>
                <w:szCs w:val="22"/>
              </w:rPr>
            </w:pPr>
            <w:r w:rsidRPr="006C74CE">
              <w:rPr>
                <w:sz w:val="22"/>
                <w:szCs w:val="22"/>
              </w:rPr>
              <w:t>0.02</w:t>
            </w:r>
          </w:p>
        </w:tc>
        <w:tc>
          <w:tcPr>
            <w:tcW w:w="2562" w:type="dxa"/>
            <w:tcBorders>
              <w:top w:val="nil"/>
              <w:left w:val="nil"/>
              <w:bottom w:val="single" w:sz="4" w:space="0" w:color="auto"/>
              <w:right w:val="single" w:sz="4" w:space="0" w:color="auto"/>
            </w:tcBorders>
            <w:shd w:val="clear" w:color="000000" w:fill="FFFFFF"/>
            <w:noWrap/>
            <w:vAlign w:val="bottom"/>
            <w:hideMark/>
          </w:tcPr>
          <w:p w14:paraId="1B6AC458" w14:textId="10DAE422" w:rsidR="006829AF" w:rsidRPr="006C74CE" w:rsidRDefault="006829AF" w:rsidP="004A0F6B">
            <w:pPr>
              <w:keepNext/>
              <w:keepLines/>
              <w:widowControl w:val="0"/>
              <w:jc w:val="center"/>
              <w:rPr>
                <w:sz w:val="22"/>
                <w:szCs w:val="22"/>
              </w:rPr>
            </w:pPr>
            <w:r w:rsidRPr="006C74CE">
              <w:rPr>
                <w:sz w:val="22"/>
                <w:szCs w:val="22"/>
              </w:rPr>
              <w:t>0.50</w:t>
            </w:r>
          </w:p>
        </w:tc>
        <w:tc>
          <w:tcPr>
            <w:tcW w:w="1527" w:type="dxa"/>
            <w:tcBorders>
              <w:top w:val="nil"/>
              <w:left w:val="nil"/>
              <w:bottom w:val="single" w:sz="4" w:space="0" w:color="auto"/>
              <w:right w:val="single" w:sz="8" w:space="0" w:color="auto"/>
            </w:tcBorders>
            <w:shd w:val="clear" w:color="000000" w:fill="FFFFFF"/>
            <w:noWrap/>
            <w:vAlign w:val="bottom"/>
            <w:hideMark/>
          </w:tcPr>
          <w:p w14:paraId="69FB174B" w14:textId="05B4682D" w:rsidR="006829AF" w:rsidRPr="006C74CE" w:rsidRDefault="006829AF" w:rsidP="004A0F6B">
            <w:pPr>
              <w:keepNext/>
              <w:keepLines/>
              <w:widowControl w:val="0"/>
              <w:jc w:val="center"/>
              <w:rPr>
                <w:sz w:val="22"/>
                <w:szCs w:val="22"/>
              </w:rPr>
            </w:pPr>
            <w:r w:rsidRPr="006C74CE">
              <w:rPr>
                <w:sz w:val="22"/>
                <w:szCs w:val="22"/>
              </w:rPr>
              <w:t>0.52</w:t>
            </w:r>
          </w:p>
        </w:tc>
      </w:tr>
      <w:tr w:rsidR="006829AF" w:rsidRPr="006C74CE" w14:paraId="34A4E786"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36C3206C" w14:textId="77777777" w:rsidR="006829AF" w:rsidRPr="006C74CE" w:rsidRDefault="006829AF" w:rsidP="006829AF">
            <w:pPr>
              <w:keepNext/>
              <w:keepLines/>
              <w:widowControl w:val="0"/>
              <w:jc w:val="right"/>
              <w:rPr>
                <w:sz w:val="22"/>
                <w:szCs w:val="22"/>
              </w:rPr>
            </w:pPr>
            <w:r w:rsidRPr="006C74CE">
              <w:rPr>
                <w:sz w:val="22"/>
                <w:szCs w:val="22"/>
              </w:rPr>
              <w:t>NOx</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76BFA207" w14:textId="178CE409" w:rsidR="006829AF" w:rsidRPr="006C74CE" w:rsidRDefault="006829AF" w:rsidP="004A0F6B">
            <w:pPr>
              <w:keepNext/>
              <w:keepLines/>
              <w:widowControl w:val="0"/>
              <w:jc w:val="center"/>
              <w:rPr>
                <w:sz w:val="22"/>
                <w:szCs w:val="22"/>
              </w:rPr>
            </w:pPr>
            <w:r w:rsidRPr="006C74CE">
              <w:rPr>
                <w:sz w:val="22"/>
                <w:szCs w:val="22"/>
              </w:rPr>
              <w:t>0.26</w:t>
            </w:r>
          </w:p>
        </w:tc>
        <w:tc>
          <w:tcPr>
            <w:tcW w:w="2562" w:type="dxa"/>
            <w:tcBorders>
              <w:top w:val="nil"/>
              <w:left w:val="nil"/>
              <w:bottom w:val="single" w:sz="4" w:space="0" w:color="auto"/>
              <w:right w:val="single" w:sz="4" w:space="0" w:color="auto"/>
            </w:tcBorders>
            <w:shd w:val="clear" w:color="000000" w:fill="FFFFFF"/>
            <w:noWrap/>
            <w:vAlign w:val="bottom"/>
            <w:hideMark/>
          </w:tcPr>
          <w:p w14:paraId="30B7DBBB" w14:textId="228056C0" w:rsidR="006829AF" w:rsidRPr="006C74CE" w:rsidRDefault="006829AF" w:rsidP="004A0F6B">
            <w:pPr>
              <w:keepNext/>
              <w:keepLines/>
              <w:widowControl w:val="0"/>
              <w:jc w:val="center"/>
              <w:rPr>
                <w:sz w:val="22"/>
                <w:szCs w:val="22"/>
              </w:rPr>
            </w:pPr>
            <w:r w:rsidRPr="006C74CE">
              <w:rPr>
                <w:sz w:val="22"/>
                <w:szCs w:val="22"/>
              </w:rPr>
              <w:t>1.50</w:t>
            </w:r>
          </w:p>
        </w:tc>
        <w:tc>
          <w:tcPr>
            <w:tcW w:w="1527" w:type="dxa"/>
            <w:tcBorders>
              <w:top w:val="nil"/>
              <w:left w:val="nil"/>
              <w:bottom w:val="single" w:sz="4" w:space="0" w:color="auto"/>
              <w:right w:val="single" w:sz="8" w:space="0" w:color="auto"/>
            </w:tcBorders>
            <w:shd w:val="clear" w:color="000000" w:fill="FFFFFF"/>
            <w:noWrap/>
            <w:vAlign w:val="bottom"/>
            <w:hideMark/>
          </w:tcPr>
          <w:p w14:paraId="18757212" w14:textId="257A0E69" w:rsidR="006829AF" w:rsidRPr="006C74CE" w:rsidRDefault="006829AF" w:rsidP="004A0F6B">
            <w:pPr>
              <w:keepNext/>
              <w:keepLines/>
              <w:widowControl w:val="0"/>
              <w:jc w:val="center"/>
              <w:rPr>
                <w:sz w:val="22"/>
                <w:szCs w:val="22"/>
              </w:rPr>
            </w:pPr>
            <w:r w:rsidRPr="006C74CE">
              <w:rPr>
                <w:sz w:val="22"/>
                <w:szCs w:val="22"/>
              </w:rPr>
              <w:t>1.76</w:t>
            </w:r>
          </w:p>
        </w:tc>
      </w:tr>
      <w:tr w:rsidR="006829AF" w:rsidRPr="006C74CE" w14:paraId="5A904108"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3552DE77" w14:textId="77777777" w:rsidR="006829AF" w:rsidRPr="006C74CE" w:rsidRDefault="006829AF" w:rsidP="006829AF">
            <w:pPr>
              <w:keepNext/>
              <w:keepLines/>
              <w:widowControl w:val="0"/>
              <w:jc w:val="right"/>
              <w:rPr>
                <w:sz w:val="22"/>
                <w:szCs w:val="22"/>
              </w:rPr>
            </w:pPr>
            <w:r w:rsidRPr="006C74CE">
              <w:rPr>
                <w:sz w:val="22"/>
                <w:szCs w:val="22"/>
              </w:rPr>
              <w:t>CO</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472D4C74" w14:textId="2BFAC9F2" w:rsidR="006829AF" w:rsidRPr="006C74CE" w:rsidRDefault="006829AF" w:rsidP="004A0F6B">
            <w:pPr>
              <w:keepNext/>
              <w:keepLines/>
              <w:widowControl w:val="0"/>
              <w:jc w:val="center"/>
              <w:rPr>
                <w:sz w:val="22"/>
                <w:szCs w:val="22"/>
              </w:rPr>
            </w:pPr>
            <w:r w:rsidRPr="006C74CE">
              <w:rPr>
                <w:sz w:val="22"/>
                <w:szCs w:val="22"/>
              </w:rPr>
              <w:t>0.22</w:t>
            </w:r>
          </w:p>
        </w:tc>
        <w:tc>
          <w:tcPr>
            <w:tcW w:w="2562" w:type="dxa"/>
            <w:tcBorders>
              <w:top w:val="nil"/>
              <w:left w:val="nil"/>
              <w:bottom w:val="single" w:sz="4" w:space="0" w:color="auto"/>
              <w:right w:val="single" w:sz="4" w:space="0" w:color="auto"/>
            </w:tcBorders>
            <w:shd w:val="clear" w:color="000000" w:fill="FFFFFF"/>
            <w:noWrap/>
            <w:vAlign w:val="bottom"/>
            <w:hideMark/>
          </w:tcPr>
          <w:p w14:paraId="2FDAD416" w14:textId="6BCFD574" w:rsidR="006829AF" w:rsidRPr="006C74CE" w:rsidRDefault="006829AF" w:rsidP="004A0F6B">
            <w:pPr>
              <w:keepNext/>
              <w:keepLines/>
              <w:widowControl w:val="0"/>
              <w:jc w:val="center"/>
              <w:rPr>
                <w:sz w:val="22"/>
                <w:szCs w:val="22"/>
              </w:rPr>
            </w:pPr>
            <w:r w:rsidRPr="006C74CE">
              <w:rPr>
                <w:sz w:val="22"/>
                <w:szCs w:val="22"/>
              </w:rPr>
              <w:t>1.29</w:t>
            </w:r>
          </w:p>
        </w:tc>
        <w:tc>
          <w:tcPr>
            <w:tcW w:w="1527" w:type="dxa"/>
            <w:tcBorders>
              <w:top w:val="nil"/>
              <w:left w:val="nil"/>
              <w:bottom w:val="single" w:sz="4" w:space="0" w:color="auto"/>
              <w:right w:val="single" w:sz="8" w:space="0" w:color="auto"/>
            </w:tcBorders>
            <w:shd w:val="clear" w:color="000000" w:fill="FFFFFF"/>
            <w:noWrap/>
            <w:vAlign w:val="bottom"/>
            <w:hideMark/>
          </w:tcPr>
          <w:p w14:paraId="79071094" w14:textId="796F5517" w:rsidR="006829AF" w:rsidRPr="006C74CE" w:rsidRDefault="006829AF" w:rsidP="004A0F6B">
            <w:pPr>
              <w:keepNext/>
              <w:keepLines/>
              <w:widowControl w:val="0"/>
              <w:jc w:val="center"/>
              <w:rPr>
                <w:sz w:val="22"/>
                <w:szCs w:val="22"/>
              </w:rPr>
            </w:pPr>
            <w:r w:rsidRPr="006C74CE">
              <w:rPr>
                <w:sz w:val="22"/>
                <w:szCs w:val="22"/>
              </w:rPr>
              <w:t>1.51</w:t>
            </w:r>
          </w:p>
        </w:tc>
      </w:tr>
      <w:tr w:rsidR="006829AF" w:rsidRPr="006C74CE" w14:paraId="58FB59DE" w14:textId="77777777" w:rsidTr="006C74CE">
        <w:trPr>
          <w:trHeight w:val="258"/>
        </w:trPr>
        <w:tc>
          <w:tcPr>
            <w:tcW w:w="2780" w:type="dxa"/>
            <w:tcBorders>
              <w:top w:val="nil"/>
              <w:left w:val="single" w:sz="8" w:space="0" w:color="auto"/>
              <w:bottom w:val="single" w:sz="4" w:space="0" w:color="auto"/>
              <w:right w:val="nil"/>
            </w:tcBorders>
            <w:shd w:val="clear" w:color="000000" w:fill="FFFFFF"/>
            <w:noWrap/>
            <w:vAlign w:val="bottom"/>
            <w:hideMark/>
          </w:tcPr>
          <w:p w14:paraId="6B1BC04C" w14:textId="77777777" w:rsidR="006829AF" w:rsidRPr="006C74CE" w:rsidRDefault="006829AF" w:rsidP="006829AF">
            <w:pPr>
              <w:keepNext/>
              <w:keepLines/>
              <w:widowControl w:val="0"/>
              <w:jc w:val="right"/>
              <w:rPr>
                <w:sz w:val="22"/>
                <w:szCs w:val="22"/>
              </w:rPr>
            </w:pPr>
            <w:r w:rsidRPr="006C74CE">
              <w:rPr>
                <w:sz w:val="22"/>
                <w:szCs w:val="22"/>
              </w:rPr>
              <w:t>SO2</w:t>
            </w:r>
          </w:p>
        </w:tc>
        <w:tc>
          <w:tcPr>
            <w:tcW w:w="2016" w:type="dxa"/>
            <w:tcBorders>
              <w:top w:val="nil"/>
              <w:left w:val="single" w:sz="4" w:space="0" w:color="auto"/>
              <w:bottom w:val="single" w:sz="4" w:space="0" w:color="auto"/>
              <w:right w:val="single" w:sz="4" w:space="0" w:color="auto"/>
            </w:tcBorders>
            <w:shd w:val="clear" w:color="000000" w:fill="FFFFFF"/>
            <w:noWrap/>
            <w:vAlign w:val="bottom"/>
            <w:hideMark/>
          </w:tcPr>
          <w:p w14:paraId="22AD0F22" w14:textId="5720FC09" w:rsidR="006829AF" w:rsidRPr="006C74CE" w:rsidRDefault="006829AF" w:rsidP="004A0F6B">
            <w:pPr>
              <w:keepNext/>
              <w:keepLines/>
              <w:widowControl w:val="0"/>
              <w:jc w:val="center"/>
              <w:rPr>
                <w:sz w:val="22"/>
                <w:szCs w:val="22"/>
              </w:rPr>
            </w:pPr>
            <w:r w:rsidRPr="006C74CE">
              <w:rPr>
                <w:sz w:val="22"/>
                <w:szCs w:val="22"/>
              </w:rPr>
              <w:t>0.00</w:t>
            </w:r>
          </w:p>
        </w:tc>
        <w:tc>
          <w:tcPr>
            <w:tcW w:w="2562" w:type="dxa"/>
            <w:tcBorders>
              <w:top w:val="nil"/>
              <w:left w:val="nil"/>
              <w:bottom w:val="single" w:sz="4" w:space="0" w:color="auto"/>
              <w:right w:val="single" w:sz="4" w:space="0" w:color="auto"/>
            </w:tcBorders>
            <w:shd w:val="clear" w:color="000000" w:fill="FFFFFF"/>
            <w:noWrap/>
            <w:vAlign w:val="bottom"/>
            <w:hideMark/>
          </w:tcPr>
          <w:p w14:paraId="642A5800" w14:textId="543E6A01" w:rsidR="006829AF" w:rsidRPr="006C74CE" w:rsidRDefault="006829AF" w:rsidP="004A0F6B">
            <w:pPr>
              <w:keepNext/>
              <w:keepLines/>
              <w:widowControl w:val="0"/>
              <w:jc w:val="center"/>
              <w:rPr>
                <w:sz w:val="22"/>
                <w:szCs w:val="22"/>
              </w:rPr>
            </w:pPr>
            <w:r w:rsidRPr="006C74CE">
              <w:rPr>
                <w:sz w:val="22"/>
                <w:szCs w:val="22"/>
              </w:rPr>
              <w:t>0.95</w:t>
            </w:r>
          </w:p>
        </w:tc>
        <w:tc>
          <w:tcPr>
            <w:tcW w:w="1527" w:type="dxa"/>
            <w:tcBorders>
              <w:top w:val="nil"/>
              <w:left w:val="nil"/>
              <w:bottom w:val="single" w:sz="4" w:space="0" w:color="auto"/>
              <w:right w:val="single" w:sz="8" w:space="0" w:color="auto"/>
            </w:tcBorders>
            <w:shd w:val="clear" w:color="000000" w:fill="FFFFFF"/>
            <w:noWrap/>
            <w:vAlign w:val="bottom"/>
            <w:hideMark/>
          </w:tcPr>
          <w:p w14:paraId="477EF13C" w14:textId="2C41B45E" w:rsidR="006829AF" w:rsidRPr="006C74CE" w:rsidRDefault="006829AF" w:rsidP="004A0F6B">
            <w:pPr>
              <w:keepNext/>
              <w:keepLines/>
              <w:widowControl w:val="0"/>
              <w:jc w:val="center"/>
              <w:rPr>
                <w:sz w:val="22"/>
                <w:szCs w:val="22"/>
              </w:rPr>
            </w:pPr>
            <w:r w:rsidRPr="006C74CE">
              <w:rPr>
                <w:sz w:val="22"/>
                <w:szCs w:val="22"/>
              </w:rPr>
              <w:t>0.95</w:t>
            </w:r>
          </w:p>
        </w:tc>
      </w:tr>
      <w:tr w:rsidR="006829AF" w:rsidRPr="006C74CE" w14:paraId="42A54201" w14:textId="77777777" w:rsidTr="006C74CE">
        <w:trPr>
          <w:trHeight w:val="273"/>
        </w:trPr>
        <w:tc>
          <w:tcPr>
            <w:tcW w:w="2780" w:type="dxa"/>
            <w:tcBorders>
              <w:top w:val="nil"/>
              <w:left w:val="single" w:sz="8" w:space="0" w:color="auto"/>
              <w:bottom w:val="single" w:sz="8" w:space="0" w:color="auto"/>
              <w:right w:val="nil"/>
            </w:tcBorders>
            <w:shd w:val="clear" w:color="000000" w:fill="FFFFFF"/>
            <w:noWrap/>
            <w:vAlign w:val="bottom"/>
            <w:hideMark/>
          </w:tcPr>
          <w:p w14:paraId="3DB391C2" w14:textId="77777777" w:rsidR="006829AF" w:rsidRPr="006C74CE" w:rsidRDefault="006829AF" w:rsidP="006829AF">
            <w:pPr>
              <w:keepNext/>
              <w:keepLines/>
              <w:widowControl w:val="0"/>
              <w:jc w:val="right"/>
              <w:rPr>
                <w:sz w:val="22"/>
                <w:szCs w:val="22"/>
              </w:rPr>
            </w:pPr>
            <w:r w:rsidRPr="006C74CE">
              <w:rPr>
                <w:sz w:val="22"/>
                <w:szCs w:val="22"/>
              </w:rPr>
              <w:t>VOC</w:t>
            </w:r>
          </w:p>
        </w:tc>
        <w:tc>
          <w:tcPr>
            <w:tcW w:w="2016" w:type="dxa"/>
            <w:tcBorders>
              <w:top w:val="nil"/>
              <w:left w:val="single" w:sz="4" w:space="0" w:color="auto"/>
              <w:bottom w:val="single" w:sz="8" w:space="0" w:color="auto"/>
              <w:right w:val="single" w:sz="4" w:space="0" w:color="auto"/>
            </w:tcBorders>
            <w:shd w:val="clear" w:color="000000" w:fill="FFFFFF"/>
            <w:noWrap/>
            <w:vAlign w:val="bottom"/>
            <w:hideMark/>
          </w:tcPr>
          <w:p w14:paraId="2CEB9FD6" w14:textId="7C2199EE" w:rsidR="006829AF" w:rsidRPr="006C74CE" w:rsidRDefault="006829AF" w:rsidP="004A0F6B">
            <w:pPr>
              <w:keepNext/>
              <w:keepLines/>
              <w:widowControl w:val="0"/>
              <w:jc w:val="center"/>
              <w:rPr>
                <w:sz w:val="22"/>
                <w:szCs w:val="22"/>
              </w:rPr>
            </w:pPr>
            <w:r w:rsidRPr="006C74CE">
              <w:rPr>
                <w:sz w:val="22"/>
                <w:szCs w:val="22"/>
              </w:rPr>
              <w:t>0.01</w:t>
            </w:r>
          </w:p>
        </w:tc>
        <w:tc>
          <w:tcPr>
            <w:tcW w:w="2562" w:type="dxa"/>
            <w:tcBorders>
              <w:top w:val="nil"/>
              <w:left w:val="nil"/>
              <w:bottom w:val="single" w:sz="8" w:space="0" w:color="auto"/>
              <w:right w:val="single" w:sz="4" w:space="0" w:color="auto"/>
            </w:tcBorders>
            <w:shd w:val="clear" w:color="000000" w:fill="FFFFFF"/>
            <w:noWrap/>
            <w:vAlign w:val="bottom"/>
            <w:hideMark/>
          </w:tcPr>
          <w:p w14:paraId="665F9ED8" w14:textId="20383093" w:rsidR="006829AF" w:rsidRPr="006C74CE" w:rsidRDefault="006829AF" w:rsidP="004A0F6B">
            <w:pPr>
              <w:keepNext/>
              <w:keepLines/>
              <w:widowControl w:val="0"/>
              <w:jc w:val="center"/>
              <w:rPr>
                <w:sz w:val="22"/>
                <w:szCs w:val="22"/>
              </w:rPr>
            </w:pPr>
            <w:r w:rsidRPr="006C74CE">
              <w:rPr>
                <w:sz w:val="22"/>
                <w:szCs w:val="22"/>
              </w:rPr>
              <w:t>1.31</w:t>
            </w:r>
          </w:p>
        </w:tc>
        <w:tc>
          <w:tcPr>
            <w:tcW w:w="1527" w:type="dxa"/>
            <w:tcBorders>
              <w:top w:val="nil"/>
              <w:left w:val="nil"/>
              <w:bottom w:val="single" w:sz="8" w:space="0" w:color="auto"/>
              <w:right w:val="single" w:sz="8" w:space="0" w:color="auto"/>
            </w:tcBorders>
            <w:shd w:val="clear" w:color="000000" w:fill="FFFFFF"/>
            <w:noWrap/>
            <w:vAlign w:val="bottom"/>
            <w:hideMark/>
          </w:tcPr>
          <w:p w14:paraId="7D5DB6F5" w14:textId="3B11B091" w:rsidR="006829AF" w:rsidRPr="006C74CE" w:rsidRDefault="006829AF" w:rsidP="004A0F6B">
            <w:pPr>
              <w:keepNext/>
              <w:keepLines/>
              <w:widowControl w:val="0"/>
              <w:jc w:val="center"/>
              <w:rPr>
                <w:sz w:val="22"/>
                <w:szCs w:val="22"/>
              </w:rPr>
            </w:pPr>
            <w:r w:rsidRPr="006C74CE">
              <w:rPr>
                <w:sz w:val="22"/>
                <w:szCs w:val="22"/>
              </w:rPr>
              <w:t>1.32</w:t>
            </w:r>
          </w:p>
        </w:tc>
      </w:tr>
    </w:tbl>
    <w:p w14:paraId="29F946B7" w14:textId="49124AEE" w:rsidR="0004643F" w:rsidRDefault="0004643F" w:rsidP="0066781E">
      <w:pPr>
        <w:widowControl w:val="0"/>
        <w:rPr>
          <w:sz w:val="22"/>
        </w:rPr>
      </w:pPr>
    </w:p>
    <w:p w14:paraId="276B2328" w14:textId="307E2305" w:rsidR="002B0194" w:rsidRPr="00153B19" w:rsidRDefault="00A549FE" w:rsidP="00153B19">
      <w:pPr>
        <w:pStyle w:val="Heading1"/>
      </w:pPr>
      <w:bookmarkStart w:id="49" w:name="_Toc223955023"/>
      <w:bookmarkStart w:id="50" w:name="_Toc223955138"/>
      <w:r>
        <w:t xml:space="preserve">Section </w:t>
      </w:r>
      <w:r w:rsidR="00153B19">
        <w:t xml:space="preserve">V. </w:t>
      </w:r>
      <w:r w:rsidR="002B0194" w:rsidRPr="00153B19">
        <w:t>Existing Air Quality</w:t>
      </w:r>
      <w:bookmarkEnd w:id="49"/>
      <w:bookmarkEnd w:id="50"/>
    </w:p>
    <w:p w14:paraId="7D295972" w14:textId="36595EEE" w:rsidR="00205895" w:rsidRDefault="00205895" w:rsidP="00205895">
      <w:pPr>
        <w:pStyle w:val="ListParagraph"/>
        <w:widowControl w:val="0"/>
        <w:rPr>
          <w:szCs w:val="24"/>
        </w:rPr>
      </w:pPr>
    </w:p>
    <w:p w14:paraId="1950B8EF" w14:textId="4192970B" w:rsidR="00957E9C" w:rsidRPr="0047775E" w:rsidRDefault="00957E9C" w:rsidP="00957E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47775E">
        <w:rPr>
          <w:szCs w:val="24"/>
        </w:rPr>
        <w:t xml:space="preserve">The </w:t>
      </w:r>
      <w:r w:rsidR="0044678C">
        <w:rPr>
          <w:szCs w:val="24"/>
        </w:rPr>
        <w:t>AFCS</w:t>
      </w:r>
      <w:r w:rsidRPr="0047775E">
        <w:rPr>
          <w:szCs w:val="24"/>
        </w:rPr>
        <w:t xml:space="preserve"> facility is located in </w:t>
      </w:r>
      <w:r w:rsidR="003E2F20" w:rsidRPr="00892DE7">
        <w:rPr>
          <w:szCs w:val="24"/>
        </w:rPr>
        <w:t>Section 33, Township 7 South, Range 9 West</w:t>
      </w:r>
      <w:r w:rsidRPr="0047775E">
        <w:rPr>
          <w:szCs w:val="24"/>
        </w:rPr>
        <w:t xml:space="preserve">, in </w:t>
      </w:r>
      <w:r w:rsidR="0092658E">
        <w:rPr>
          <w:szCs w:val="24"/>
        </w:rPr>
        <w:t>Beaverhead</w:t>
      </w:r>
      <w:r>
        <w:rPr>
          <w:szCs w:val="24"/>
        </w:rPr>
        <w:t xml:space="preserve"> County,</w:t>
      </w:r>
      <w:r w:rsidRPr="0047775E">
        <w:rPr>
          <w:szCs w:val="24"/>
        </w:rPr>
        <w:t xml:space="preserve"> Montana. </w:t>
      </w:r>
      <w:r w:rsidR="0092658E">
        <w:rPr>
          <w:szCs w:val="24"/>
        </w:rPr>
        <w:t>Beaverhead</w:t>
      </w:r>
      <w:r w:rsidRPr="0047775E">
        <w:rPr>
          <w:szCs w:val="24"/>
        </w:rPr>
        <w:t xml:space="preserve"> County is </w:t>
      </w:r>
      <w:r w:rsidR="00C02FC6">
        <w:rPr>
          <w:szCs w:val="24"/>
        </w:rPr>
        <w:t>designated</w:t>
      </w:r>
      <w:r w:rsidRPr="0047775E">
        <w:rPr>
          <w:szCs w:val="24"/>
        </w:rPr>
        <w:t xml:space="preserve"> Unclassifiable</w:t>
      </w:r>
      <w:r w:rsidR="00C02FC6">
        <w:rPr>
          <w:szCs w:val="24"/>
        </w:rPr>
        <w:t xml:space="preserve"> or </w:t>
      </w:r>
      <w:r w:rsidRPr="0047775E">
        <w:rPr>
          <w:szCs w:val="24"/>
        </w:rPr>
        <w:t>Attainment for all criteria pollutants</w:t>
      </w:r>
      <w:r w:rsidR="004A3159">
        <w:rPr>
          <w:szCs w:val="24"/>
        </w:rPr>
        <w:t>.</w:t>
      </w:r>
    </w:p>
    <w:p w14:paraId="1D9B9553" w14:textId="74BC41DA" w:rsidR="00205895" w:rsidRDefault="00205895" w:rsidP="00205895">
      <w:pPr>
        <w:pStyle w:val="ListParagraph"/>
        <w:widowControl w:val="0"/>
        <w:rPr>
          <w:szCs w:val="24"/>
        </w:rPr>
      </w:pPr>
    </w:p>
    <w:p w14:paraId="5897A7B5" w14:textId="52A5D606" w:rsidR="00205895" w:rsidRPr="00153B19" w:rsidRDefault="00A549FE" w:rsidP="00153B19">
      <w:pPr>
        <w:pStyle w:val="Heading1"/>
      </w:pPr>
      <w:bookmarkStart w:id="51" w:name="_Toc223955024"/>
      <w:bookmarkStart w:id="52" w:name="_Toc223955139"/>
      <w:r>
        <w:t xml:space="preserve">Section </w:t>
      </w:r>
      <w:r w:rsidR="00153B19">
        <w:t xml:space="preserve">VI. </w:t>
      </w:r>
      <w:r w:rsidR="00205895" w:rsidRPr="00153B19">
        <w:t>Air Quality Impacts</w:t>
      </w:r>
      <w:bookmarkEnd w:id="51"/>
      <w:bookmarkEnd w:id="52"/>
    </w:p>
    <w:p w14:paraId="25B55A48" w14:textId="395535DA" w:rsidR="00205895" w:rsidRDefault="00205895" w:rsidP="00205895">
      <w:pPr>
        <w:pStyle w:val="ListParagraph"/>
        <w:widowControl w:val="0"/>
        <w:rPr>
          <w:szCs w:val="24"/>
        </w:rPr>
      </w:pPr>
    </w:p>
    <w:p w14:paraId="3293E1FF" w14:textId="4B71F0D0" w:rsidR="00205895" w:rsidRPr="00A03244" w:rsidRDefault="00205895" w:rsidP="00205895">
      <w:pPr>
        <w:ind w:left="720"/>
        <w:rPr>
          <w:szCs w:val="24"/>
          <w:highlight w:val="yellow"/>
        </w:rPr>
      </w:pPr>
      <w:bookmarkStart w:id="53" w:name="_Hlk224039827"/>
      <w:r w:rsidRPr="004A3159">
        <w:rPr>
          <w:szCs w:val="24"/>
        </w:rPr>
        <w:t xml:space="preserve">This permit contains conditions and limitations that would protect air quality for the site and surrounding area.  </w:t>
      </w:r>
      <w:r w:rsidR="004A3159" w:rsidRPr="0047775E">
        <w:rPr>
          <w:szCs w:val="24"/>
        </w:rPr>
        <w:t>Therefore, DEQ believes this action will not cause or contribute to a violation of any ambient air quality standard.</w:t>
      </w:r>
      <w:bookmarkEnd w:id="53"/>
    </w:p>
    <w:p w14:paraId="6E51BA97" w14:textId="77777777" w:rsidR="00205895" w:rsidRPr="00A03244" w:rsidRDefault="00205895" w:rsidP="00205895">
      <w:pPr>
        <w:ind w:left="720"/>
        <w:rPr>
          <w:szCs w:val="24"/>
        </w:rPr>
      </w:pPr>
    </w:p>
    <w:p w14:paraId="63E2593C" w14:textId="5D06676C" w:rsidR="002B0194" w:rsidRPr="00153B19" w:rsidRDefault="00A549FE" w:rsidP="00153B19">
      <w:pPr>
        <w:pStyle w:val="Heading1"/>
      </w:pPr>
      <w:bookmarkStart w:id="54" w:name="_Toc223955025"/>
      <w:bookmarkStart w:id="55" w:name="_Toc223955140"/>
      <w:r>
        <w:t xml:space="preserve">Section </w:t>
      </w:r>
      <w:r w:rsidR="00153B19">
        <w:t>VII</w:t>
      </w:r>
      <w:r w:rsidR="00393FC3">
        <w:t>.</w:t>
      </w:r>
      <w:r w:rsidR="00153B19">
        <w:t xml:space="preserve">  </w:t>
      </w:r>
      <w:r w:rsidR="002B0194" w:rsidRPr="00153B19">
        <w:t>Ambient Air Impact Analysis</w:t>
      </w:r>
      <w:bookmarkEnd w:id="54"/>
      <w:bookmarkEnd w:id="55"/>
    </w:p>
    <w:p w14:paraId="75B2EDAD" w14:textId="77777777" w:rsidR="00205895" w:rsidRPr="00205895" w:rsidRDefault="00205895" w:rsidP="00205895">
      <w:pPr>
        <w:widowControl w:val="0"/>
        <w:rPr>
          <w:szCs w:val="24"/>
        </w:rPr>
      </w:pPr>
    </w:p>
    <w:p w14:paraId="37316325" w14:textId="7B976DAD" w:rsidR="004A3159" w:rsidRDefault="00205895" w:rsidP="00FF52CE">
      <w:pPr>
        <w:ind w:left="720"/>
        <w:rPr>
          <w:szCs w:val="24"/>
        </w:rPr>
      </w:pPr>
      <w:r w:rsidRPr="004A3159">
        <w:rPr>
          <w:szCs w:val="24"/>
        </w:rPr>
        <w:lastRenderedPageBreak/>
        <w:t xml:space="preserve">Based on the information provided </w:t>
      </w:r>
      <w:r w:rsidR="00C02FC6">
        <w:rPr>
          <w:szCs w:val="24"/>
        </w:rPr>
        <w:t xml:space="preserve">by AFCS in the application for MAQP </w:t>
      </w:r>
      <w:r w:rsidRPr="004A3159">
        <w:rPr>
          <w:szCs w:val="24"/>
        </w:rPr>
        <w:t>and the conditions established in MAQP #</w:t>
      </w:r>
      <w:r w:rsidR="00697F78">
        <w:rPr>
          <w:szCs w:val="24"/>
        </w:rPr>
        <w:t>5350</w:t>
      </w:r>
      <w:r w:rsidR="00890031" w:rsidRPr="004A3159">
        <w:rPr>
          <w:szCs w:val="24"/>
        </w:rPr>
        <w:t>-00</w:t>
      </w:r>
      <w:r w:rsidRPr="004A3159">
        <w:rPr>
          <w:szCs w:val="24"/>
        </w:rPr>
        <w:t xml:space="preserve">, </w:t>
      </w:r>
      <w:r w:rsidR="00F4754D" w:rsidRPr="004A3159">
        <w:rPr>
          <w:szCs w:val="24"/>
        </w:rPr>
        <w:t>DEQ</w:t>
      </w:r>
      <w:r w:rsidRPr="004A3159">
        <w:rPr>
          <w:szCs w:val="24"/>
        </w:rPr>
        <w:t xml:space="preserve"> determined that </w:t>
      </w:r>
      <w:r w:rsidR="00C02FC6">
        <w:rPr>
          <w:szCs w:val="24"/>
        </w:rPr>
        <w:t>any impacts to air quality</w:t>
      </w:r>
      <w:r w:rsidRPr="004A3159">
        <w:rPr>
          <w:szCs w:val="24"/>
        </w:rPr>
        <w:t xml:space="preserve"> </w:t>
      </w:r>
      <w:r w:rsidR="00C02FC6">
        <w:rPr>
          <w:szCs w:val="24"/>
        </w:rPr>
        <w:t>associated with this</w:t>
      </w:r>
      <w:r w:rsidRPr="004A3159">
        <w:rPr>
          <w:szCs w:val="24"/>
        </w:rPr>
        <w:t xml:space="preserve"> permit action will be minor. </w:t>
      </w:r>
      <w:r w:rsidR="004A3159" w:rsidRPr="0047775E">
        <w:rPr>
          <w:szCs w:val="24"/>
        </w:rPr>
        <w:t>Therefore, DEQ believes this action will not cause or contribute to a violation of any ambient air quality standard.</w:t>
      </w:r>
    </w:p>
    <w:p w14:paraId="4A2AF234" w14:textId="77777777" w:rsidR="004A3159" w:rsidRDefault="004A3159" w:rsidP="00205895">
      <w:pPr>
        <w:ind w:left="720"/>
        <w:rPr>
          <w:szCs w:val="24"/>
        </w:rPr>
      </w:pPr>
    </w:p>
    <w:p w14:paraId="7F31BB4F" w14:textId="2ED8AFA2" w:rsidR="004A3159" w:rsidRPr="00153B19" w:rsidRDefault="00A549FE" w:rsidP="00153B19">
      <w:pPr>
        <w:pStyle w:val="Heading1"/>
      </w:pPr>
      <w:bookmarkStart w:id="56" w:name="_Toc223955026"/>
      <w:bookmarkStart w:id="57" w:name="_Toc223955141"/>
      <w:r>
        <w:t xml:space="preserve">Section </w:t>
      </w:r>
      <w:r w:rsidR="00153B19">
        <w:t>VIII</w:t>
      </w:r>
      <w:r w:rsidR="00393FC3">
        <w:t>.</w:t>
      </w:r>
      <w:r w:rsidR="00153B19">
        <w:t xml:space="preserve"> </w:t>
      </w:r>
      <w:r w:rsidR="004A3159" w:rsidRPr="00153B19">
        <w:t>Human Health Risk Assessment</w:t>
      </w:r>
      <w:bookmarkEnd w:id="56"/>
      <w:bookmarkEnd w:id="57"/>
    </w:p>
    <w:p w14:paraId="49B7ECAE" w14:textId="77777777" w:rsidR="004A3159" w:rsidRDefault="004A3159" w:rsidP="004A3159">
      <w:pPr>
        <w:pStyle w:val="ListParagraph"/>
        <w:rPr>
          <w:szCs w:val="24"/>
        </w:rPr>
      </w:pPr>
    </w:p>
    <w:p w14:paraId="5057714B" w14:textId="77777777" w:rsidR="004A3159" w:rsidRPr="0047775E" w:rsidRDefault="004A3159" w:rsidP="004A3159">
      <w:pPr>
        <w:autoSpaceDE w:val="0"/>
        <w:autoSpaceDN w:val="0"/>
        <w:adjustRightInd w:val="0"/>
        <w:ind w:left="720"/>
        <w:rPr>
          <w:szCs w:val="24"/>
        </w:rPr>
      </w:pPr>
      <w:r w:rsidRPr="0047775E">
        <w:rPr>
          <w:szCs w:val="24"/>
        </w:rPr>
        <w:t xml:space="preserve">A health risk assessment was conducted to determine if the proposed crematorium complies with the negligible risk requirement of MCA 75-2-215.  </w:t>
      </w:r>
    </w:p>
    <w:p w14:paraId="45A22D73" w14:textId="77777777" w:rsidR="004A3159" w:rsidRPr="0047775E" w:rsidRDefault="004A3159" w:rsidP="004A3159">
      <w:pPr>
        <w:autoSpaceDE w:val="0"/>
        <w:autoSpaceDN w:val="0"/>
        <w:adjustRightInd w:val="0"/>
        <w:ind w:left="720"/>
        <w:rPr>
          <w:szCs w:val="24"/>
        </w:rPr>
      </w:pPr>
      <w:r w:rsidRPr="0047775E">
        <w:rPr>
          <w:szCs w:val="24"/>
        </w:rPr>
        <w:tab/>
      </w:r>
    </w:p>
    <w:p w14:paraId="79B6817F" w14:textId="77777777" w:rsidR="004A3159" w:rsidRPr="0047775E" w:rsidRDefault="004A3159" w:rsidP="004A3159">
      <w:pPr>
        <w:autoSpaceDE w:val="0"/>
        <w:autoSpaceDN w:val="0"/>
        <w:adjustRightInd w:val="0"/>
        <w:ind w:left="720"/>
        <w:rPr>
          <w:szCs w:val="24"/>
        </w:rPr>
      </w:pPr>
      <w:r w:rsidRPr="0047775E">
        <w:rPr>
          <w:szCs w:val="24"/>
        </w:rPr>
        <w:t xml:space="preserve">The environmental effects unrelated to human health were not considered in determining compliance with the negligible risk standard but were evaluated as required by the Montana Environmental Policy Act, in determining compliance with all applicable rules or other requirements requiring protection of public health, safety, welfare, and the environment.  </w:t>
      </w:r>
    </w:p>
    <w:p w14:paraId="6992D47A" w14:textId="77777777" w:rsidR="004A3159" w:rsidRPr="0047775E" w:rsidRDefault="004A3159" w:rsidP="004A3159">
      <w:pPr>
        <w:rPr>
          <w:szCs w:val="24"/>
        </w:rPr>
      </w:pPr>
    </w:p>
    <w:p w14:paraId="40EE4987" w14:textId="77777777" w:rsidR="004A3159" w:rsidRDefault="004A3159" w:rsidP="004A3159">
      <w:pPr>
        <w:autoSpaceDE w:val="0"/>
        <w:autoSpaceDN w:val="0"/>
        <w:adjustRightInd w:val="0"/>
        <w:ind w:left="720"/>
      </w:pPr>
      <w:r w:rsidRPr="0047775E">
        <w:rPr>
          <w:szCs w:val="24"/>
        </w:rPr>
        <w:t>Pursuant to ARM 17.8.770(1)(c), pollutants may be excluded from the human health risk assessment if DEQ determines that exposure from inhalation is the only appropriate pathway to consider in the human health risk assessment and if the ambient concentrations of the pollutants (calculated using the potential to emit; enforceable limits or controls) are less than the levels specified in Table 1 or Table 2 of ARM 17.8.770.</w:t>
      </w:r>
      <w:r w:rsidRPr="0047775E">
        <w:t xml:space="preserve">  Even though most of the estimated HAP species calculated in the emission inventory fell below the de minimis levels in Table 1 or Table 2 of ARM 17.8.770, DEQ elected to conduct the human health risk assessment by contemplating all the estimated HAP species.  The results of the human health risk assessment pursuant to ARM 17.8.770 are shown in the following table.</w:t>
      </w:r>
    </w:p>
    <w:p w14:paraId="71FB1296" w14:textId="77777777" w:rsidR="002F62C8" w:rsidRDefault="002F62C8" w:rsidP="004A3159">
      <w:pPr>
        <w:autoSpaceDE w:val="0"/>
        <w:autoSpaceDN w:val="0"/>
        <w:adjustRightInd w:val="0"/>
        <w:ind w:left="720"/>
      </w:pPr>
    </w:p>
    <w:tbl>
      <w:tblPr>
        <w:tblW w:w="9360" w:type="dxa"/>
        <w:tblLook w:val="04A0" w:firstRow="1" w:lastRow="0" w:firstColumn="1" w:lastColumn="0" w:noHBand="0" w:noVBand="1"/>
      </w:tblPr>
      <w:tblGrid>
        <w:gridCol w:w="4220"/>
        <w:gridCol w:w="1710"/>
        <w:gridCol w:w="1890"/>
        <w:gridCol w:w="1540"/>
      </w:tblGrid>
      <w:tr w:rsidR="002F62C8" w:rsidRPr="00B00E21" w14:paraId="2D3FC6A6" w14:textId="77777777" w:rsidTr="00CE2CF5">
        <w:trPr>
          <w:trHeight w:val="1249"/>
          <w:tblHeader/>
        </w:trPr>
        <w:tc>
          <w:tcPr>
            <w:tcW w:w="4220" w:type="dxa"/>
            <w:tcBorders>
              <w:top w:val="single" w:sz="8" w:space="0" w:color="auto"/>
              <w:left w:val="single" w:sz="8" w:space="0" w:color="auto"/>
              <w:bottom w:val="single" w:sz="8" w:space="0" w:color="000000"/>
              <w:right w:val="single" w:sz="4" w:space="0" w:color="auto"/>
            </w:tcBorders>
            <w:noWrap/>
            <w:vAlign w:val="center"/>
            <w:hideMark/>
          </w:tcPr>
          <w:p w14:paraId="649680FE" w14:textId="77777777" w:rsidR="002F62C8" w:rsidRPr="00D46BAC" w:rsidRDefault="002F62C8" w:rsidP="002F62C8">
            <w:pPr>
              <w:jc w:val="center"/>
              <w:rPr>
                <w:b/>
                <w:bCs/>
                <w:szCs w:val="24"/>
              </w:rPr>
            </w:pPr>
            <w:r w:rsidRPr="00D46BAC">
              <w:rPr>
                <w:b/>
                <w:bCs/>
                <w:szCs w:val="24"/>
              </w:rPr>
              <w:t>HAP Category / Pollutant Name</w:t>
            </w:r>
          </w:p>
        </w:tc>
        <w:tc>
          <w:tcPr>
            <w:tcW w:w="1710" w:type="dxa"/>
            <w:tcBorders>
              <w:top w:val="single" w:sz="8" w:space="0" w:color="auto"/>
              <w:left w:val="nil"/>
              <w:bottom w:val="single" w:sz="4" w:space="0" w:color="auto"/>
              <w:right w:val="single" w:sz="4" w:space="0" w:color="auto"/>
            </w:tcBorders>
            <w:noWrap/>
            <w:vAlign w:val="center"/>
            <w:hideMark/>
          </w:tcPr>
          <w:p w14:paraId="6D75479A" w14:textId="77777777" w:rsidR="00721745" w:rsidRPr="00B00E21" w:rsidRDefault="002F62C8" w:rsidP="001B124C">
            <w:pPr>
              <w:jc w:val="center"/>
              <w:rPr>
                <w:rFonts w:cs="Arial"/>
                <w:b/>
                <w:bCs/>
                <w:szCs w:val="24"/>
              </w:rPr>
            </w:pPr>
            <w:r w:rsidRPr="00D46BAC">
              <w:rPr>
                <w:rFonts w:cs="Arial"/>
                <w:b/>
                <w:bCs/>
                <w:szCs w:val="24"/>
              </w:rPr>
              <w:t xml:space="preserve">Table 1 </w:t>
            </w:r>
          </w:p>
          <w:p w14:paraId="7CDF6A55" w14:textId="6F7B6F9A" w:rsidR="002F62C8" w:rsidRPr="00D46BAC" w:rsidRDefault="002F62C8" w:rsidP="001B124C">
            <w:pPr>
              <w:jc w:val="center"/>
              <w:rPr>
                <w:rFonts w:cs="Arial"/>
                <w:b/>
                <w:bCs/>
                <w:szCs w:val="24"/>
              </w:rPr>
            </w:pPr>
            <w:r w:rsidRPr="00D46BAC">
              <w:rPr>
                <w:rFonts w:cs="Arial"/>
                <w:b/>
                <w:bCs/>
                <w:szCs w:val="24"/>
              </w:rPr>
              <w:t>Cancer Annual</w:t>
            </w:r>
          </w:p>
        </w:tc>
        <w:tc>
          <w:tcPr>
            <w:tcW w:w="1890" w:type="dxa"/>
            <w:tcBorders>
              <w:top w:val="single" w:sz="8" w:space="0" w:color="auto"/>
              <w:left w:val="nil"/>
              <w:bottom w:val="single" w:sz="4" w:space="0" w:color="auto"/>
              <w:right w:val="single" w:sz="4" w:space="0" w:color="auto"/>
            </w:tcBorders>
            <w:noWrap/>
            <w:vAlign w:val="center"/>
            <w:hideMark/>
          </w:tcPr>
          <w:p w14:paraId="3AD222CF" w14:textId="64F4CA67" w:rsidR="001B124C" w:rsidRPr="00B00E21" w:rsidRDefault="002F62C8" w:rsidP="001B124C">
            <w:pPr>
              <w:jc w:val="center"/>
              <w:rPr>
                <w:rFonts w:cs="Arial"/>
                <w:b/>
                <w:bCs/>
                <w:szCs w:val="24"/>
              </w:rPr>
            </w:pPr>
            <w:r w:rsidRPr="00D46BAC">
              <w:rPr>
                <w:rFonts w:cs="Arial"/>
                <w:b/>
                <w:bCs/>
                <w:szCs w:val="24"/>
              </w:rPr>
              <w:t>Table 2</w:t>
            </w:r>
          </w:p>
          <w:p w14:paraId="2A71A5DD" w14:textId="1E05B753" w:rsidR="001B124C" w:rsidRPr="00B00E21" w:rsidRDefault="002F62C8" w:rsidP="001B124C">
            <w:pPr>
              <w:jc w:val="center"/>
              <w:rPr>
                <w:rFonts w:cs="Arial"/>
                <w:b/>
                <w:bCs/>
                <w:szCs w:val="24"/>
              </w:rPr>
            </w:pPr>
            <w:r w:rsidRPr="00D46BAC">
              <w:rPr>
                <w:rFonts w:cs="Arial"/>
                <w:b/>
                <w:bCs/>
                <w:szCs w:val="24"/>
              </w:rPr>
              <w:t>Noncancer</w:t>
            </w:r>
          </w:p>
          <w:p w14:paraId="21FF4BD2" w14:textId="2A8E26C2" w:rsidR="002F62C8" w:rsidRPr="00D46BAC" w:rsidRDefault="002F62C8" w:rsidP="001B124C">
            <w:pPr>
              <w:jc w:val="center"/>
              <w:rPr>
                <w:rFonts w:cs="Arial"/>
                <w:b/>
                <w:bCs/>
                <w:szCs w:val="24"/>
              </w:rPr>
            </w:pPr>
            <w:r w:rsidRPr="00D46BAC">
              <w:rPr>
                <w:rFonts w:cs="Arial"/>
                <w:b/>
                <w:bCs/>
                <w:szCs w:val="24"/>
              </w:rPr>
              <w:t>Chronic Annual</w:t>
            </w:r>
          </w:p>
        </w:tc>
        <w:tc>
          <w:tcPr>
            <w:tcW w:w="1540" w:type="dxa"/>
            <w:tcBorders>
              <w:top w:val="single" w:sz="8" w:space="0" w:color="auto"/>
              <w:left w:val="nil"/>
              <w:bottom w:val="single" w:sz="4" w:space="0" w:color="auto"/>
              <w:right w:val="single" w:sz="8" w:space="0" w:color="auto"/>
            </w:tcBorders>
            <w:noWrap/>
            <w:vAlign w:val="center"/>
            <w:hideMark/>
          </w:tcPr>
          <w:p w14:paraId="5A0C8464" w14:textId="6E695536" w:rsidR="002F62C8" w:rsidRPr="00D46BAC" w:rsidRDefault="002F62C8" w:rsidP="001B124C">
            <w:pPr>
              <w:jc w:val="center"/>
              <w:rPr>
                <w:rFonts w:cs="Arial"/>
                <w:b/>
                <w:bCs/>
                <w:szCs w:val="24"/>
              </w:rPr>
            </w:pPr>
            <w:r w:rsidRPr="00D46BAC">
              <w:rPr>
                <w:rFonts w:cs="Arial"/>
                <w:b/>
                <w:bCs/>
                <w:szCs w:val="24"/>
              </w:rPr>
              <w:t>Table 2 Noncancer Acute Annual</w:t>
            </w:r>
          </w:p>
        </w:tc>
      </w:tr>
      <w:tr w:rsidR="008E474B" w:rsidRPr="00B00E21" w14:paraId="2D2E542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4163E0B" w14:textId="77777777" w:rsidR="00D46BAC" w:rsidRPr="00D46BAC" w:rsidRDefault="00D46BAC" w:rsidP="00721745">
            <w:pPr>
              <w:rPr>
                <w:b/>
                <w:bCs/>
                <w:szCs w:val="24"/>
                <w:u w:val="single"/>
              </w:rPr>
            </w:pPr>
            <w:r w:rsidRPr="00D46BAC">
              <w:rPr>
                <w:b/>
                <w:bCs/>
                <w:szCs w:val="24"/>
                <w:u w:val="single"/>
              </w:rPr>
              <w:t>Heavy Metals</w:t>
            </w:r>
          </w:p>
        </w:tc>
        <w:tc>
          <w:tcPr>
            <w:tcW w:w="1710" w:type="dxa"/>
            <w:tcBorders>
              <w:top w:val="nil"/>
              <w:left w:val="nil"/>
              <w:bottom w:val="single" w:sz="4" w:space="0" w:color="auto"/>
              <w:right w:val="single" w:sz="4" w:space="0" w:color="auto"/>
            </w:tcBorders>
            <w:noWrap/>
            <w:vAlign w:val="center"/>
            <w:hideMark/>
          </w:tcPr>
          <w:p w14:paraId="145729CE" w14:textId="4F441FFE"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6EEB7669" w14:textId="038C240D"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5A2A8B49" w14:textId="324FB2DB" w:rsidR="00D46BAC" w:rsidRPr="00D46BAC" w:rsidRDefault="00D46BAC" w:rsidP="001B124C">
            <w:pPr>
              <w:jc w:val="center"/>
              <w:rPr>
                <w:rFonts w:cs="Arial"/>
                <w:szCs w:val="24"/>
              </w:rPr>
            </w:pPr>
          </w:p>
        </w:tc>
      </w:tr>
      <w:tr w:rsidR="008E474B" w:rsidRPr="00B00E21" w14:paraId="212311B5"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55F0D78" w14:textId="77777777" w:rsidR="00D46BAC" w:rsidRPr="00D46BAC" w:rsidRDefault="00D46BAC" w:rsidP="002F62C8">
            <w:pPr>
              <w:rPr>
                <w:szCs w:val="24"/>
              </w:rPr>
            </w:pPr>
            <w:r w:rsidRPr="00D46BAC">
              <w:rPr>
                <w:szCs w:val="24"/>
              </w:rPr>
              <w:t>Antimony (less than)</w:t>
            </w:r>
          </w:p>
        </w:tc>
        <w:tc>
          <w:tcPr>
            <w:tcW w:w="1710" w:type="dxa"/>
            <w:tcBorders>
              <w:top w:val="nil"/>
              <w:left w:val="nil"/>
              <w:bottom w:val="single" w:sz="4" w:space="0" w:color="auto"/>
              <w:right w:val="single" w:sz="4" w:space="0" w:color="auto"/>
            </w:tcBorders>
            <w:noWrap/>
            <w:vAlign w:val="center"/>
            <w:hideMark/>
          </w:tcPr>
          <w:p w14:paraId="0A94A25E"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0325A799" w14:textId="77777777" w:rsidR="00D46BAC" w:rsidRPr="00D46BAC" w:rsidRDefault="00D46BAC" w:rsidP="001B124C">
            <w:pPr>
              <w:jc w:val="center"/>
              <w:rPr>
                <w:rFonts w:cs="Arial"/>
                <w:szCs w:val="24"/>
              </w:rPr>
            </w:pPr>
            <w:r w:rsidRPr="00D46BAC">
              <w:rPr>
                <w:rFonts w:cs="Arial"/>
                <w:szCs w:val="24"/>
              </w:rPr>
              <w:t>2.00E-03</w:t>
            </w:r>
          </w:p>
        </w:tc>
        <w:tc>
          <w:tcPr>
            <w:tcW w:w="1540" w:type="dxa"/>
            <w:tcBorders>
              <w:top w:val="nil"/>
              <w:left w:val="nil"/>
              <w:bottom w:val="single" w:sz="4" w:space="0" w:color="auto"/>
              <w:right w:val="single" w:sz="4" w:space="0" w:color="auto"/>
            </w:tcBorders>
            <w:noWrap/>
            <w:vAlign w:val="center"/>
            <w:hideMark/>
          </w:tcPr>
          <w:p w14:paraId="569B5BF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6ABCC8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96B1F79" w14:textId="77777777" w:rsidR="00D46BAC" w:rsidRPr="00D46BAC" w:rsidRDefault="00D46BAC" w:rsidP="002F62C8">
            <w:pPr>
              <w:rPr>
                <w:szCs w:val="24"/>
              </w:rPr>
            </w:pPr>
            <w:r w:rsidRPr="00D46BAC">
              <w:rPr>
                <w:szCs w:val="24"/>
              </w:rPr>
              <w:t>Arsenic (less than)</w:t>
            </w:r>
          </w:p>
        </w:tc>
        <w:tc>
          <w:tcPr>
            <w:tcW w:w="1710" w:type="dxa"/>
            <w:tcBorders>
              <w:top w:val="nil"/>
              <w:left w:val="nil"/>
              <w:bottom w:val="single" w:sz="4" w:space="0" w:color="auto"/>
              <w:right w:val="single" w:sz="4" w:space="0" w:color="auto"/>
            </w:tcBorders>
            <w:noWrap/>
            <w:vAlign w:val="center"/>
            <w:hideMark/>
          </w:tcPr>
          <w:p w14:paraId="7DA3532C" w14:textId="77777777" w:rsidR="00D46BAC" w:rsidRPr="00D46BAC" w:rsidRDefault="00D46BAC" w:rsidP="001B124C">
            <w:pPr>
              <w:jc w:val="center"/>
              <w:rPr>
                <w:rFonts w:cs="Arial"/>
                <w:szCs w:val="24"/>
              </w:rPr>
            </w:pPr>
            <w:r w:rsidRPr="00D46BAC">
              <w:rPr>
                <w:rFonts w:cs="Arial"/>
                <w:szCs w:val="24"/>
              </w:rPr>
              <w:t>2.33E-05</w:t>
            </w:r>
          </w:p>
        </w:tc>
        <w:tc>
          <w:tcPr>
            <w:tcW w:w="1890" w:type="dxa"/>
            <w:tcBorders>
              <w:top w:val="nil"/>
              <w:left w:val="nil"/>
              <w:bottom w:val="single" w:sz="4" w:space="0" w:color="auto"/>
              <w:right w:val="single" w:sz="4" w:space="0" w:color="auto"/>
            </w:tcBorders>
            <w:noWrap/>
            <w:vAlign w:val="center"/>
            <w:hideMark/>
          </w:tcPr>
          <w:p w14:paraId="7DBAC69A" w14:textId="77777777" w:rsidR="00D46BAC" w:rsidRPr="00D46BAC" w:rsidRDefault="00D46BAC" w:rsidP="001B124C">
            <w:pPr>
              <w:jc w:val="center"/>
              <w:rPr>
                <w:rFonts w:cs="Arial"/>
                <w:szCs w:val="24"/>
              </w:rPr>
            </w:pPr>
            <w:r w:rsidRPr="00D46BAC">
              <w:rPr>
                <w:rFonts w:cs="Arial"/>
                <w:szCs w:val="24"/>
              </w:rPr>
              <w:t>5.00E-03</w:t>
            </w:r>
          </w:p>
        </w:tc>
        <w:tc>
          <w:tcPr>
            <w:tcW w:w="1540" w:type="dxa"/>
            <w:tcBorders>
              <w:top w:val="nil"/>
              <w:left w:val="nil"/>
              <w:bottom w:val="single" w:sz="4" w:space="0" w:color="auto"/>
              <w:right w:val="single" w:sz="4" w:space="0" w:color="auto"/>
            </w:tcBorders>
            <w:noWrap/>
            <w:vAlign w:val="center"/>
            <w:hideMark/>
          </w:tcPr>
          <w:p w14:paraId="0161F97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324D60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7D32F44" w14:textId="77777777" w:rsidR="00D46BAC" w:rsidRPr="00D46BAC" w:rsidRDefault="00D46BAC" w:rsidP="002F62C8">
            <w:pPr>
              <w:rPr>
                <w:szCs w:val="24"/>
              </w:rPr>
            </w:pPr>
            <w:r w:rsidRPr="00D46BAC">
              <w:rPr>
                <w:szCs w:val="24"/>
              </w:rPr>
              <w:t>Beryllium</w:t>
            </w:r>
          </w:p>
        </w:tc>
        <w:tc>
          <w:tcPr>
            <w:tcW w:w="1710" w:type="dxa"/>
            <w:tcBorders>
              <w:top w:val="nil"/>
              <w:left w:val="nil"/>
              <w:bottom w:val="single" w:sz="4" w:space="0" w:color="auto"/>
              <w:right w:val="single" w:sz="4" w:space="0" w:color="auto"/>
            </w:tcBorders>
            <w:noWrap/>
            <w:vAlign w:val="center"/>
            <w:hideMark/>
          </w:tcPr>
          <w:p w14:paraId="6BC91436" w14:textId="77777777" w:rsidR="00D46BAC" w:rsidRPr="00D46BAC" w:rsidRDefault="00D46BAC" w:rsidP="001B124C">
            <w:pPr>
              <w:jc w:val="center"/>
              <w:rPr>
                <w:rFonts w:cs="Arial"/>
                <w:szCs w:val="24"/>
              </w:rPr>
            </w:pPr>
            <w:r w:rsidRPr="00D46BAC">
              <w:rPr>
                <w:rFonts w:cs="Arial"/>
                <w:szCs w:val="24"/>
              </w:rPr>
              <w:t>4.17E-05</w:t>
            </w:r>
          </w:p>
        </w:tc>
        <w:tc>
          <w:tcPr>
            <w:tcW w:w="1890" w:type="dxa"/>
            <w:tcBorders>
              <w:top w:val="nil"/>
              <w:left w:val="nil"/>
              <w:bottom w:val="single" w:sz="4" w:space="0" w:color="auto"/>
              <w:right w:val="single" w:sz="4" w:space="0" w:color="auto"/>
            </w:tcBorders>
            <w:noWrap/>
            <w:vAlign w:val="center"/>
            <w:hideMark/>
          </w:tcPr>
          <w:p w14:paraId="1C194F46"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202DEAA"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7233F1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732D1B0" w14:textId="77777777" w:rsidR="00D46BAC" w:rsidRPr="00D46BAC" w:rsidRDefault="00D46BAC" w:rsidP="002F62C8">
            <w:pPr>
              <w:rPr>
                <w:szCs w:val="24"/>
              </w:rPr>
            </w:pPr>
            <w:r w:rsidRPr="00D46BAC">
              <w:rPr>
                <w:szCs w:val="24"/>
              </w:rPr>
              <w:t>Cadmium</w:t>
            </w:r>
          </w:p>
        </w:tc>
        <w:tc>
          <w:tcPr>
            <w:tcW w:w="1710" w:type="dxa"/>
            <w:tcBorders>
              <w:top w:val="nil"/>
              <w:left w:val="nil"/>
              <w:bottom w:val="single" w:sz="4" w:space="0" w:color="auto"/>
              <w:right w:val="single" w:sz="4" w:space="0" w:color="auto"/>
            </w:tcBorders>
            <w:noWrap/>
            <w:vAlign w:val="center"/>
            <w:hideMark/>
          </w:tcPr>
          <w:p w14:paraId="43A300F0" w14:textId="77777777" w:rsidR="00D46BAC" w:rsidRPr="00D46BAC" w:rsidRDefault="00D46BAC" w:rsidP="001B124C">
            <w:pPr>
              <w:jc w:val="center"/>
              <w:rPr>
                <w:rFonts w:cs="Arial"/>
                <w:szCs w:val="24"/>
              </w:rPr>
            </w:pPr>
            <w:r w:rsidRPr="00D46BAC">
              <w:rPr>
                <w:rFonts w:cs="Arial"/>
                <w:szCs w:val="24"/>
              </w:rPr>
              <w:t>5.56E-05</w:t>
            </w:r>
          </w:p>
        </w:tc>
        <w:tc>
          <w:tcPr>
            <w:tcW w:w="1890" w:type="dxa"/>
            <w:tcBorders>
              <w:top w:val="nil"/>
              <w:left w:val="nil"/>
              <w:bottom w:val="single" w:sz="4" w:space="0" w:color="auto"/>
              <w:right w:val="single" w:sz="4" w:space="0" w:color="auto"/>
            </w:tcBorders>
            <w:noWrap/>
            <w:vAlign w:val="center"/>
            <w:hideMark/>
          </w:tcPr>
          <w:p w14:paraId="5F67D346"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2D21075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54BBFA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E382ED2" w14:textId="77777777" w:rsidR="00D46BAC" w:rsidRPr="00D46BAC" w:rsidRDefault="00D46BAC" w:rsidP="002F62C8">
            <w:pPr>
              <w:rPr>
                <w:szCs w:val="24"/>
              </w:rPr>
            </w:pPr>
            <w:r w:rsidRPr="00D46BAC">
              <w:rPr>
                <w:szCs w:val="24"/>
              </w:rPr>
              <w:t>Chromium</w:t>
            </w:r>
          </w:p>
        </w:tc>
        <w:tc>
          <w:tcPr>
            <w:tcW w:w="1710" w:type="dxa"/>
            <w:tcBorders>
              <w:top w:val="nil"/>
              <w:left w:val="nil"/>
              <w:bottom w:val="single" w:sz="4" w:space="0" w:color="auto"/>
              <w:right w:val="single" w:sz="4" w:space="0" w:color="auto"/>
            </w:tcBorders>
            <w:noWrap/>
            <w:vAlign w:val="center"/>
            <w:hideMark/>
          </w:tcPr>
          <w:p w14:paraId="5C69037B" w14:textId="77777777" w:rsidR="00D46BAC" w:rsidRPr="00D46BAC" w:rsidRDefault="00D46BAC" w:rsidP="001B124C">
            <w:pPr>
              <w:jc w:val="center"/>
              <w:rPr>
                <w:rFonts w:cs="Arial"/>
                <w:szCs w:val="24"/>
              </w:rPr>
            </w:pPr>
            <w:r w:rsidRPr="00D46BAC">
              <w:rPr>
                <w:rFonts w:cs="Arial"/>
                <w:szCs w:val="24"/>
              </w:rPr>
              <w:t>8.33E-06</w:t>
            </w:r>
          </w:p>
        </w:tc>
        <w:tc>
          <w:tcPr>
            <w:tcW w:w="1890" w:type="dxa"/>
            <w:tcBorders>
              <w:top w:val="nil"/>
              <w:left w:val="nil"/>
              <w:bottom w:val="single" w:sz="4" w:space="0" w:color="auto"/>
              <w:right w:val="single" w:sz="4" w:space="0" w:color="auto"/>
            </w:tcBorders>
            <w:noWrap/>
            <w:vAlign w:val="center"/>
            <w:hideMark/>
          </w:tcPr>
          <w:p w14:paraId="43B773AE"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FDDA68F"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432A053"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6050FE9" w14:textId="77777777" w:rsidR="00D46BAC" w:rsidRPr="00D46BAC" w:rsidRDefault="00D46BAC" w:rsidP="002F62C8">
            <w:pPr>
              <w:rPr>
                <w:szCs w:val="24"/>
              </w:rPr>
            </w:pPr>
            <w:r w:rsidRPr="00D46BAC">
              <w:rPr>
                <w:szCs w:val="24"/>
              </w:rPr>
              <w:t>Chromium, hx</w:t>
            </w:r>
          </w:p>
        </w:tc>
        <w:tc>
          <w:tcPr>
            <w:tcW w:w="1710" w:type="dxa"/>
            <w:tcBorders>
              <w:top w:val="nil"/>
              <w:left w:val="nil"/>
              <w:bottom w:val="single" w:sz="4" w:space="0" w:color="auto"/>
              <w:right w:val="single" w:sz="4" w:space="0" w:color="auto"/>
            </w:tcBorders>
            <w:noWrap/>
            <w:vAlign w:val="center"/>
            <w:hideMark/>
          </w:tcPr>
          <w:p w14:paraId="6B404318"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B5AEDAD"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0A5CC65D"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9AE2C3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53D4F04" w14:textId="77777777" w:rsidR="00D46BAC" w:rsidRPr="00D46BAC" w:rsidRDefault="00D46BAC" w:rsidP="002F62C8">
            <w:pPr>
              <w:rPr>
                <w:szCs w:val="24"/>
              </w:rPr>
            </w:pPr>
            <w:r w:rsidRPr="00D46BAC">
              <w:rPr>
                <w:szCs w:val="24"/>
              </w:rPr>
              <w:t>Cobalt (less than)</w:t>
            </w:r>
          </w:p>
        </w:tc>
        <w:tc>
          <w:tcPr>
            <w:tcW w:w="1710" w:type="dxa"/>
            <w:tcBorders>
              <w:top w:val="nil"/>
              <w:left w:val="nil"/>
              <w:bottom w:val="single" w:sz="4" w:space="0" w:color="auto"/>
              <w:right w:val="single" w:sz="4" w:space="0" w:color="auto"/>
            </w:tcBorders>
            <w:noWrap/>
            <w:vAlign w:val="center"/>
            <w:hideMark/>
          </w:tcPr>
          <w:p w14:paraId="5C0D3580"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01CA62AB"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C37F49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43EA0D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9E39DD6" w14:textId="77777777" w:rsidR="00D46BAC" w:rsidRPr="00D46BAC" w:rsidRDefault="00D46BAC" w:rsidP="002F62C8">
            <w:pPr>
              <w:rPr>
                <w:szCs w:val="24"/>
              </w:rPr>
            </w:pPr>
            <w:r w:rsidRPr="00D46BAC">
              <w:rPr>
                <w:szCs w:val="24"/>
              </w:rPr>
              <w:t>Lead</w:t>
            </w:r>
          </w:p>
        </w:tc>
        <w:tc>
          <w:tcPr>
            <w:tcW w:w="1710" w:type="dxa"/>
            <w:tcBorders>
              <w:top w:val="nil"/>
              <w:left w:val="nil"/>
              <w:bottom w:val="single" w:sz="4" w:space="0" w:color="auto"/>
              <w:right w:val="single" w:sz="4" w:space="0" w:color="auto"/>
            </w:tcBorders>
            <w:noWrap/>
            <w:vAlign w:val="center"/>
            <w:hideMark/>
          </w:tcPr>
          <w:p w14:paraId="3C2B02BE"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915115B" w14:textId="77777777" w:rsidR="00D46BAC" w:rsidRPr="00D46BAC" w:rsidRDefault="00D46BAC" w:rsidP="001B124C">
            <w:pPr>
              <w:jc w:val="center"/>
              <w:rPr>
                <w:rFonts w:cs="Arial"/>
                <w:szCs w:val="24"/>
              </w:rPr>
            </w:pPr>
            <w:r w:rsidRPr="00D46BAC">
              <w:rPr>
                <w:rFonts w:cs="Arial"/>
                <w:szCs w:val="24"/>
              </w:rPr>
              <w:t>1.50E-02</w:t>
            </w:r>
          </w:p>
        </w:tc>
        <w:tc>
          <w:tcPr>
            <w:tcW w:w="1540" w:type="dxa"/>
            <w:tcBorders>
              <w:top w:val="nil"/>
              <w:left w:val="nil"/>
              <w:bottom w:val="single" w:sz="4" w:space="0" w:color="auto"/>
              <w:right w:val="single" w:sz="4" w:space="0" w:color="auto"/>
            </w:tcBorders>
            <w:noWrap/>
            <w:vAlign w:val="center"/>
            <w:hideMark/>
          </w:tcPr>
          <w:p w14:paraId="1847C433"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2CEF5E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1ACF015" w14:textId="77777777" w:rsidR="00D46BAC" w:rsidRPr="00D46BAC" w:rsidRDefault="00D46BAC" w:rsidP="002F62C8">
            <w:pPr>
              <w:rPr>
                <w:szCs w:val="24"/>
              </w:rPr>
            </w:pPr>
            <w:r w:rsidRPr="00D46BAC">
              <w:rPr>
                <w:szCs w:val="24"/>
              </w:rPr>
              <w:t>Nickel</w:t>
            </w:r>
          </w:p>
        </w:tc>
        <w:tc>
          <w:tcPr>
            <w:tcW w:w="1710" w:type="dxa"/>
            <w:tcBorders>
              <w:top w:val="nil"/>
              <w:left w:val="nil"/>
              <w:bottom w:val="single" w:sz="4" w:space="0" w:color="auto"/>
              <w:right w:val="single" w:sz="4" w:space="0" w:color="auto"/>
            </w:tcBorders>
            <w:noWrap/>
            <w:vAlign w:val="center"/>
            <w:hideMark/>
          </w:tcPr>
          <w:p w14:paraId="22833444" w14:textId="77777777" w:rsidR="00D46BAC" w:rsidRPr="00D46BAC" w:rsidRDefault="00D46BAC" w:rsidP="001B124C">
            <w:pPr>
              <w:jc w:val="center"/>
              <w:rPr>
                <w:rFonts w:cs="Arial"/>
                <w:szCs w:val="24"/>
              </w:rPr>
            </w:pPr>
            <w:r w:rsidRPr="00D46BAC">
              <w:rPr>
                <w:rFonts w:cs="Arial"/>
                <w:szCs w:val="24"/>
              </w:rPr>
              <w:t>3.85E-04</w:t>
            </w:r>
          </w:p>
        </w:tc>
        <w:tc>
          <w:tcPr>
            <w:tcW w:w="1890" w:type="dxa"/>
            <w:tcBorders>
              <w:top w:val="nil"/>
              <w:left w:val="nil"/>
              <w:bottom w:val="single" w:sz="4" w:space="0" w:color="auto"/>
              <w:right w:val="single" w:sz="4" w:space="0" w:color="auto"/>
            </w:tcBorders>
            <w:noWrap/>
            <w:vAlign w:val="center"/>
            <w:hideMark/>
          </w:tcPr>
          <w:p w14:paraId="1E78D7FE" w14:textId="77777777" w:rsidR="00D46BAC" w:rsidRPr="00D46BAC" w:rsidRDefault="00D46BAC" w:rsidP="001B124C">
            <w:pPr>
              <w:jc w:val="center"/>
              <w:rPr>
                <w:rFonts w:cs="Arial"/>
                <w:szCs w:val="24"/>
              </w:rPr>
            </w:pPr>
            <w:r w:rsidRPr="00D46BAC">
              <w:rPr>
                <w:rFonts w:cs="Arial"/>
                <w:szCs w:val="24"/>
              </w:rPr>
              <w:t>2.40E-03</w:t>
            </w:r>
          </w:p>
        </w:tc>
        <w:tc>
          <w:tcPr>
            <w:tcW w:w="1540" w:type="dxa"/>
            <w:tcBorders>
              <w:top w:val="nil"/>
              <w:left w:val="nil"/>
              <w:bottom w:val="single" w:sz="4" w:space="0" w:color="auto"/>
              <w:right w:val="single" w:sz="4" w:space="0" w:color="auto"/>
            </w:tcBorders>
            <w:noWrap/>
            <w:vAlign w:val="center"/>
            <w:hideMark/>
          </w:tcPr>
          <w:p w14:paraId="1D02E319" w14:textId="77777777" w:rsidR="00D46BAC" w:rsidRPr="00D46BAC" w:rsidRDefault="00D46BAC" w:rsidP="001B124C">
            <w:pPr>
              <w:jc w:val="center"/>
              <w:rPr>
                <w:rFonts w:cs="Arial"/>
                <w:szCs w:val="24"/>
              </w:rPr>
            </w:pPr>
            <w:r w:rsidRPr="00D46BAC">
              <w:rPr>
                <w:rFonts w:cs="Arial"/>
                <w:szCs w:val="24"/>
              </w:rPr>
              <w:t>1.00E-02</w:t>
            </w:r>
          </w:p>
        </w:tc>
      </w:tr>
      <w:tr w:rsidR="008E474B" w:rsidRPr="00B00E21" w14:paraId="728D31D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8BD2F49" w14:textId="77777777" w:rsidR="00D46BAC" w:rsidRPr="00D46BAC" w:rsidRDefault="00D46BAC" w:rsidP="002F62C8">
            <w:pPr>
              <w:rPr>
                <w:szCs w:val="24"/>
              </w:rPr>
            </w:pPr>
            <w:r w:rsidRPr="00D46BAC">
              <w:rPr>
                <w:szCs w:val="24"/>
              </w:rPr>
              <w:t>Selenium</w:t>
            </w:r>
          </w:p>
        </w:tc>
        <w:tc>
          <w:tcPr>
            <w:tcW w:w="1710" w:type="dxa"/>
            <w:tcBorders>
              <w:top w:val="nil"/>
              <w:left w:val="nil"/>
              <w:bottom w:val="single" w:sz="4" w:space="0" w:color="auto"/>
              <w:right w:val="single" w:sz="4" w:space="0" w:color="auto"/>
            </w:tcBorders>
            <w:noWrap/>
            <w:vAlign w:val="center"/>
            <w:hideMark/>
          </w:tcPr>
          <w:p w14:paraId="7CCBC11B"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FBC34DA" w14:textId="77777777" w:rsidR="00D46BAC" w:rsidRPr="00D46BAC" w:rsidRDefault="00D46BAC" w:rsidP="001B124C">
            <w:pPr>
              <w:jc w:val="center"/>
              <w:rPr>
                <w:rFonts w:cs="Arial"/>
                <w:szCs w:val="24"/>
              </w:rPr>
            </w:pPr>
            <w:r w:rsidRPr="00D46BAC">
              <w:rPr>
                <w:rFonts w:cs="Arial"/>
                <w:szCs w:val="24"/>
              </w:rPr>
              <w:t>5.00E-03</w:t>
            </w:r>
          </w:p>
        </w:tc>
        <w:tc>
          <w:tcPr>
            <w:tcW w:w="1540" w:type="dxa"/>
            <w:tcBorders>
              <w:top w:val="nil"/>
              <w:left w:val="nil"/>
              <w:bottom w:val="single" w:sz="4" w:space="0" w:color="auto"/>
              <w:right w:val="single" w:sz="4" w:space="0" w:color="auto"/>
            </w:tcBorders>
            <w:noWrap/>
            <w:vAlign w:val="center"/>
            <w:hideMark/>
          </w:tcPr>
          <w:p w14:paraId="62445567" w14:textId="77777777" w:rsidR="00D46BAC" w:rsidRPr="00D46BAC" w:rsidRDefault="00D46BAC" w:rsidP="001B124C">
            <w:pPr>
              <w:jc w:val="center"/>
              <w:rPr>
                <w:rFonts w:cs="Arial"/>
                <w:szCs w:val="24"/>
              </w:rPr>
            </w:pPr>
            <w:r w:rsidRPr="00D46BAC">
              <w:rPr>
                <w:rFonts w:cs="Arial"/>
                <w:szCs w:val="24"/>
              </w:rPr>
              <w:t>2.00E-02</w:t>
            </w:r>
          </w:p>
        </w:tc>
      </w:tr>
      <w:tr w:rsidR="008E474B" w:rsidRPr="00B00E21" w14:paraId="239541D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DBD4A97" w14:textId="77777777" w:rsidR="00D46BAC" w:rsidRPr="00D46BAC" w:rsidRDefault="00D46BAC" w:rsidP="002F62C8">
            <w:pPr>
              <w:rPr>
                <w:szCs w:val="24"/>
              </w:rPr>
            </w:pPr>
            <w:r w:rsidRPr="00D46BAC">
              <w:rPr>
                <w:szCs w:val="24"/>
              </w:rPr>
              <w:t>Zinc</w:t>
            </w:r>
          </w:p>
        </w:tc>
        <w:tc>
          <w:tcPr>
            <w:tcW w:w="1710" w:type="dxa"/>
            <w:tcBorders>
              <w:top w:val="nil"/>
              <w:left w:val="nil"/>
              <w:bottom w:val="single" w:sz="4" w:space="0" w:color="auto"/>
              <w:right w:val="single" w:sz="4" w:space="0" w:color="auto"/>
            </w:tcBorders>
            <w:noWrap/>
            <w:vAlign w:val="center"/>
            <w:hideMark/>
          </w:tcPr>
          <w:p w14:paraId="51E33BBA"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577233E"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68FBEBE"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3E2C79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A8AD669" w14:textId="77777777" w:rsidR="00D46BAC" w:rsidRPr="00D46BAC" w:rsidRDefault="00D46BAC" w:rsidP="00721745">
            <w:pPr>
              <w:rPr>
                <w:b/>
                <w:bCs/>
                <w:szCs w:val="24"/>
                <w:u w:val="single"/>
              </w:rPr>
            </w:pPr>
            <w:r w:rsidRPr="00D46BAC">
              <w:rPr>
                <w:b/>
                <w:bCs/>
                <w:szCs w:val="24"/>
                <w:u w:val="single"/>
              </w:rPr>
              <w:t xml:space="preserve">Polycyclic Organic Matter (POM) </w:t>
            </w:r>
          </w:p>
        </w:tc>
        <w:tc>
          <w:tcPr>
            <w:tcW w:w="1710" w:type="dxa"/>
            <w:tcBorders>
              <w:top w:val="nil"/>
              <w:left w:val="nil"/>
              <w:bottom w:val="single" w:sz="4" w:space="0" w:color="auto"/>
              <w:right w:val="single" w:sz="4" w:space="0" w:color="auto"/>
            </w:tcBorders>
            <w:noWrap/>
            <w:vAlign w:val="center"/>
            <w:hideMark/>
          </w:tcPr>
          <w:p w14:paraId="2B504B25" w14:textId="65A3652C"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425F8B7B" w14:textId="486D2D63"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6676BAA2" w14:textId="1F731817" w:rsidR="00D46BAC" w:rsidRPr="00D46BAC" w:rsidRDefault="00D46BAC" w:rsidP="001B124C">
            <w:pPr>
              <w:jc w:val="center"/>
              <w:rPr>
                <w:rFonts w:cs="Arial"/>
                <w:szCs w:val="24"/>
              </w:rPr>
            </w:pPr>
          </w:p>
        </w:tc>
      </w:tr>
      <w:tr w:rsidR="008E474B" w:rsidRPr="00B00E21" w14:paraId="718299F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E0FFDE4" w14:textId="77777777" w:rsidR="00D46BAC" w:rsidRPr="00D46BAC" w:rsidRDefault="00D46BAC" w:rsidP="002F62C8">
            <w:pPr>
              <w:rPr>
                <w:szCs w:val="24"/>
              </w:rPr>
            </w:pPr>
            <w:r w:rsidRPr="00D46BAC">
              <w:rPr>
                <w:szCs w:val="24"/>
              </w:rPr>
              <w:t>2-methylnaphthalene</w:t>
            </w:r>
          </w:p>
        </w:tc>
        <w:tc>
          <w:tcPr>
            <w:tcW w:w="1710" w:type="dxa"/>
            <w:tcBorders>
              <w:top w:val="nil"/>
              <w:left w:val="nil"/>
              <w:bottom w:val="single" w:sz="4" w:space="0" w:color="auto"/>
              <w:right w:val="single" w:sz="4" w:space="0" w:color="auto"/>
            </w:tcBorders>
            <w:noWrap/>
            <w:vAlign w:val="center"/>
            <w:hideMark/>
          </w:tcPr>
          <w:p w14:paraId="268BEE6B"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6146497F"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07E8A0A" w14:textId="77777777" w:rsidR="00D46BAC" w:rsidRPr="00D46BAC" w:rsidRDefault="00D46BAC" w:rsidP="001B124C">
            <w:pPr>
              <w:jc w:val="center"/>
              <w:rPr>
                <w:rFonts w:cs="Arial"/>
                <w:szCs w:val="24"/>
              </w:rPr>
            </w:pPr>
            <w:r w:rsidRPr="00D46BAC">
              <w:rPr>
                <w:rFonts w:cs="Arial"/>
                <w:szCs w:val="24"/>
              </w:rPr>
              <w:t>N/A</w:t>
            </w:r>
          </w:p>
        </w:tc>
      </w:tr>
      <w:tr w:rsidR="008E474B" w:rsidRPr="00B00E21" w14:paraId="08F3CF2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A598DFE" w14:textId="77777777" w:rsidR="00D46BAC" w:rsidRPr="00D46BAC" w:rsidRDefault="00D46BAC" w:rsidP="002F62C8">
            <w:pPr>
              <w:rPr>
                <w:szCs w:val="24"/>
              </w:rPr>
            </w:pPr>
            <w:r w:rsidRPr="00D46BAC">
              <w:rPr>
                <w:szCs w:val="24"/>
              </w:rPr>
              <w:t>3-methylchloranthrene (less than)</w:t>
            </w:r>
          </w:p>
        </w:tc>
        <w:tc>
          <w:tcPr>
            <w:tcW w:w="1710" w:type="dxa"/>
            <w:tcBorders>
              <w:top w:val="nil"/>
              <w:left w:val="nil"/>
              <w:bottom w:val="single" w:sz="4" w:space="0" w:color="auto"/>
              <w:right w:val="single" w:sz="4" w:space="0" w:color="auto"/>
            </w:tcBorders>
            <w:noWrap/>
            <w:vAlign w:val="center"/>
            <w:hideMark/>
          </w:tcPr>
          <w:p w14:paraId="18A92D75"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D418F5D"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7259C8E" w14:textId="77777777" w:rsidR="00D46BAC" w:rsidRPr="00D46BAC" w:rsidRDefault="00D46BAC" w:rsidP="001B124C">
            <w:pPr>
              <w:jc w:val="center"/>
              <w:rPr>
                <w:rFonts w:cs="Arial"/>
                <w:szCs w:val="24"/>
              </w:rPr>
            </w:pPr>
            <w:r w:rsidRPr="00D46BAC">
              <w:rPr>
                <w:rFonts w:cs="Arial"/>
                <w:szCs w:val="24"/>
              </w:rPr>
              <w:t>N/A</w:t>
            </w:r>
          </w:p>
        </w:tc>
      </w:tr>
      <w:tr w:rsidR="008E474B" w:rsidRPr="00B00E21" w14:paraId="003331C4"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C5EBD4C" w14:textId="77777777" w:rsidR="00D46BAC" w:rsidRPr="00D46BAC" w:rsidRDefault="00D46BAC" w:rsidP="002F62C8">
            <w:pPr>
              <w:rPr>
                <w:szCs w:val="24"/>
              </w:rPr>
            </w:pPr>
            <w:r w:rsidRPr="00D46BAC">
              <w:rPr>
                <w:szCs w:val="24"/>
              </w:rPr>
              <w:t>7,12 Dibenz(a)anthracene (less than)</w:t>
            </w:r>
          </w:p>
        </w:tc>
        <w:tc>
          <w:tcPr>
            <w:tcW w:w="1710" w:type="dxa"/>
            <w:tcBorders>
              <w:top w:val="nil"/>
              <w:left w:val="nil"/>
              <w:bottom w:val="single" w:sz="4" w:space="0" w:color="auto"/>
              <w:right w:val="single" w:sz="4" w:space="0" w:color="auto"/>
            </w:tcBorders>
            <w:noWrap/>
            <w:vAlign w:val="center"/>
            <w:hideMark/>
          </w:tcPr>
          <w:p w14:paraId="2990D3F1"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341F9B65"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3B99392C"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2C56DB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708EB71" w14:textId="77777777" w:rsidR="00D46BAC" w:rsidRPr="00D46BAC" w:rsidRDefault="00D46BAC" w:rsidP="002F62C8">
            <w:pPr>
              <w:rPr>
                <w:szCs w:val="24"/>
              </w:rPr>
            </w:pPr>
            <w:r w:rsidRPr="00D46BAC">
              <w:rPr>
                <w:szCs w:val="24"/>
              </w:rPr>
              <w:t>Anthracene (less than)</w:t>
            </w:r>
          </w:p>
        </w:tc>
        <w:tc>
          <w:tcPr>
            <w:tcW w:w="1710" w:type="dxa"/>
            <w:tcBorders>
              <w:top w:val="nil"/>
              <w:left w:val="nil"/>
              <w:bottom w:val="single" w:sz="4" w:space="0" w:color="auto"/>
              <w:right w:val="single" w:sz="4" w:space="0" w:color="auto"/>
            </w:tcBorders>
            <w:noWrap/>
            <w:vAlign w:val="center"/>
            <w:hideMark/>
          </w:tcPr>
          <w:p w14:paraId="3C3D3395"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2F0A1B7"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3478A10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08CAF484"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B0E0055" w14:textId="77777777" w:rsidR="00D46BAC" w:rsidRPr="00D46BAC" w:rsidRDefault="00D46BAC" w:rsidP="002F62C8">
            <w:pPr>
              <w:rPr>
                <w:szCs w:val="24"/>
              </w:rPr>
            </w:pPr>
            <w:r w:rsidRPr="00D46BAC">
              <w:rPr>
                <w:szCs w:val="24"/>
              </w:rPr>
              <w:t>Benzene</w:t>
            </w:r>
          </w:p>
        </w:tc>
        <w:tc>
          <w:tcPr>
            <w:tcW w:w="1710" w:type="dxa"/>
            <w:tcBorders>
              <w:top w:val="nil"/>
              <w:left w:val="nil"/>
              <w:bottom w:val="single" w:sz="4" w:space="0" w:color="auto"/>
              <w:right w:val="single" w:sz="4" w:space="0" w:color="auto"/>
            </w:tcBorders>
            <w:noWrap/>
            <w:vAlign w:val="center"/>
            <w:hideMark/>
          </w:tcPr>
          <w:p w14:paraId="232F9F56" w14:textId="77777777" w:rsidR="00D46BAC" w:rsidRPr="00D46BAC" w:rsidRDefault="00D46BAC" w:rsidP="001B124C">
            <w:pPr>
              <w:jc w:val="center"/>
              <w:rPr>
                <w:rFonts w:cs="Arial"/>
                <w:szCs w:val="24"/>
              </w:rPr>
            </w:pPr>
            <w:r w:rsidRPr="00D46BAC">
              <w:rPr>
                <w:rFonts w:cs="Arial"/>
                <w:szCs w:val="24"/>
              </w:rPr>
              <w:t>1.20E-02</w:t>
            </w:r>
          </w:p>
        </w:tc>
        <w:tc>
          <w:tcPr>
            <w:tcW w:w="1890" w:type="dxa"/>
            <w:tcBorders>
              <w:top w:val="nil"/>
              <w:left w:val="nil"/>
              <w:bottom w:val="single" w:sz="4" w:space="0" w:color="auto"/>
              <w:right w:val="single" w:sz="4" w:space="0" w:color="auto"/>
            </w:tcBorders>
            <w:noWrap/>
            <w:vAlign w:val="center"/>
            <w:hideMark/>
          </w:tcPr>
          <w:p w14:paraId="750073A4" w14:textId="77777777" w:rsidR="00D46BAC" w:rsidRPr="00D46BAC" w:rsidRDefault="00D46BAC" w:rsidP="001B124C">
            <w:pPr>
              <w:jc w:val="center"/>
              <w:rPr>
                <w:rFonts w:cs="Arial"/>
                <w:szCs w:val="24"/>
              </w:rPr>
            </w:pPr>
            <w:r w:rsidRPr="00D46BAC">
              <w:rPr>
                <w:rFonts w:cs="Arial"/>
                <w:szCs w:val="24"/>
              </w:rPr>
              <w:t>7.10E-01</w:t>
            </w:r>
          </w:p>
        </w:tc>
        <w:tc>
          <w:tcPr>
            <w:tcW w:w="1540" w:type="dxa"/>
            <w:tcBorders>
              <w:top w:val="nil"/>
              <w:left w:val="nil"/>
              <w:bottom w:val="single" w:sz="4" w:space="0" w:color="auto"/>
              <w:right w:val="single" w:sz="4" w:space="0" w:color="auto"/>
            </w:tcBorders>
            <w:noWrap/>
            <w:vAlign w:val="center"/>
            <w:hideMark/>
          </w:tcPr>
          <w:p w14:paraId="2D614CC5" w14:textId="77777777" w:rsidR="00D46BAC" w:rsidRPr="00D46BAC" w:rsidRDefault="00D46BAC" w:rsidP="001B124C">
            <w:pPr>
              <w:jc w:val="center"/>
              <w:rPr>
                <w:rFonts w:cs="Arial"/>
                <w:szCs w:val="24"/>
              </w:rPr>
            </w:pPr>
            <w:r w:rsidRPr="00D46BAC">
              <w:rPr>
                <w:rFonts w:cs="Arial"/>
                <w:szCs w:val="24"/>
              </w:rPr>
              <w:t>N/A</w:t>
            </w:r>
          </w:p>
        </w:tc>
      </w:tr>
      <w:tr w:rsidR="008E474B" w:rsidRPr="00B00E21" w14:paraId="441D72C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D132259" w14:textId="77777777" w:rsidR="00D46BAC" w:rsidRPr="00D46BAC" w:rsidRDefault="00D46BAC" w:rsidP="002F62C8">
            <w:pPr>
              <w:rPr>
                <w:szCs w:val="24"/>
              </w:rPr>
            </w:pPr>
            <w:r w:rsidRPr="00D46BAC">
              <w:rPr>
                <w:szCs w:val="24"/>
              </w:rPr>
              <w:t>Dichlorobenzene</w:t>
            </w:r>
          </w:p>
        </w:tc>
        <w:tc>
          <w:tcPr>
            <w:tcW w:w="1710" w:type="dxa"/>
            <w:tcBorders>
              <w:top w:val="nil"/>
              <w:left w:val="nil"/>
              <w:bottom w:val="single" w:sz="4" w:space="0" w:color="auto"/>
              <w:right w:val="single" w:sz="4" w:space="0" w:color="auto"/>
            </w:tcBorders>
            <w:noWrap/>
            <w:vAlign w:val="center"/>
            <w:hideMark/>
          </w:tcPr>
          <w:p w14:paraId="1219AB98" w14:textId="77777777" w:rsidR="00D46BAC" w:rsidRPr="00D46BAC" w:rsidRDefault="00D46BAC" w:rsidP="001B124C">
            <w:pPr>
              <w:jc w:val="center"/>
              <w:rPr>
                <w:rFonts w:cs="Arial"/>
                <w:szCs w:val="24"/>
              </w:rPr>
            </w:pPr>
            <w:r w:rsidRPr="00D46BAC">
              <w:rPr>
                <w:rFonts w:cs="Arial"/>
                <w:szCs w:val="24"/>
              </w:rPr>
              <w:t>9.09E-03</w:t>
            </w:r>
          </w:p>
        </w:tc>
        <w:tc>
          <w:tcPr>
            <w:tcW w:w="1890" w:type="dxa"/>
            <w:tcBorders>
              <w:top w:val="nil"/>
              <w:left w:val="nil"/>
              <w:bottom w:val="single" w:sz="4" w:space="0" w:color="auto"/>
              <w:right w:val="single" w:sz="4" w:space="0" w:color="auto"/>
            </w:tcBorders>
            <w:noWrap/>
            <w:vAlign w:val="center"/>
            <w:hideMark/>
          </w:tcPr>
          <w:p w14:paraId="7DD8920C" w14:textId="77777777" w:rsidR="00D46BAC" w:rsidRPr="00D46BAC" w:rsidRDefault="00D46BAC" w:rsidP="001B124C">
            <w:pPr>
              <w:jc w:val="center"/>
              <w:rPr>
                <w:rFonts w:cs="Arial"/>
                <w:szCs w:val="24"/>
              </w:rPr>
            </w:pPr>
            <w:r w:rsidRPr="00D46BAC">
              <w:rPr>
                <w:rFonts w:cs="Arial"/>
                <w:szCs w:val="24"/>
              </w:rPr>
              <w:t>8.00E+00</w:t>
            </w:r>
          </w:p>
        </w:tc>
        <w:tc>
          <w:tcPr>
            <w:tcW w:w="1540" w:type="dxa"/>
            <w:tcBorders>
              <w:top w:val="nil"/>
              <w:left w:val="nil"/>
              <w:bottom w:val="single" w:sz="4" w:space="0" w:color="auto"/>
              <w:right w:val="single" w:sz="4" w:space="0" w:color="auto"/>
            </w:tcBorders>
            <w:noWrap/>
            <w:vAlign w:val="center"/>
            <w:hideMark/>
          </w:tcPr>
          <w:p w14:paraId="7867E08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D84A83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8C95778" w14:textId="77777777" w:rsidR="00D46BAC" w:rsidRPr="00D46BAC" w:rsidRDefault="00D46BAC" w:rsidP="002F62C8">
            <w:pPr>
              <w:rPr>
                <w:szCs w:val="24"/>
              </w:rPr>
            </w:pPr>
            <w:r w:rsidRPr="00D46BAC">
              <w:rPr>
                <w:szCs w:val="24"/>
              </w:rPr>
              <w:lastRenderedPageBreak/>
              <w:t>Hexane</w:t>
            </w:r>
          </w:p>
        </w:tc>
        <w:tc>
          <w:tcPr>
            <w:tcW w:w="1710" w:type="dxa"/>
            <w:tcBorders>
              <w:top w:val="nil"/>
              <w:left w:val="nil"/>
              <w:bottom w:val="single" w:sz="4" w:space="0" w:color="auto"/>
              <w:right w:val="single" w:sz="4" w:space="0" w:color="auto"/>
            </w:tcBorders>
            <w:noWrap/>
            <w:vAlign w:val="center"/>
            <w:hideMark/>
          </w:tcPr>
          <w:p w14:paraId="1F2D7741"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E44B83B" w14:textId="77777777" w:rsidR="00D46BAC" w:rsidRPr="00D46BAC" w:rsidRDefault="00D46BAC" w:rsidP="001B124C">
            <w:pPr>
              <w:jc w:val="center"/>
              <w:rPr>
                <w:rFonts w:cs="Arial"/>
                <w:szCs w:val="24"/>
              </w:rPr>
            </w:pPr>
            <w:r w:rsidRPr="00D46BAC">
              <w:rPr>
                <w:rFonts w:cs="Arial"/>
                <w:szCs w:val="24"/>
              </w:rPr>
              <w:t>2.00E+00</w:t>
            </w:r>
          </w:p>
        </w:tc>
        <w:tc>
          <w:tcPr>
            <w:tcW w:w="1540" w:type="dxa"/>
            <w:tcBorders>
              <w:top w:val="nil"/>
              <w:left w:val="nil"/>
              <w:bottom w:val="single" w:sz="4" w:space="0" w:color="auto"/>
              <w:right w:val="single" w:sz="4" w:space="0" w:color="auto"/>
            </w:tcBorders>
            <w:noWrap/>
            <w:vAlign w:val="center"/>
            <w:hideMark/>
          </w:tcPr>
          <w:p w14:paraId="1D5C6B14"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7B731FC"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53650E5" w14:textId="77777777" w:rsidR="00D46BAC" w:rsidRPr="00D46BAC" w:rsidRDefault="00D46BAC" w:rsidP="002F62C8">
            <w:pPr>
              <w:rPr>
                <w:szCs w:val="24"/>
              </w:rPr>
            </w:pPr>
            <w:r w:rsidRPr="00D46BAC">
              <w:rPr>
                <w:szCs w:val="24"/>
              </w:rPr>
              <w:t>Napthalene</w:t>
            </w:r>
          </w:p>
        </w:tc>
        <w:tc>
          <w:tcPr>
            <w:tcW w:w="1710" w:type="dxa"/>
            <w:tcBorders>
              <w:top w:val="nil"/>
              <w:left w:val="nil"/>
              <w:bottom w:val="single" w:sz="4" w:space="0" w:color="auto"/>
              <w:right w:val="single" w:sz="4" w:space="0" w:color="auto"/>
            </w:tcBorders>
            <w:noWrap/>
            <w:vAlign w:val="center"/>
            <w:hideMark/>
          </w:tcPr>
          <w:p w14:paraId="6FCA5866"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0AE40E2" w14:textId="77777777" w:rsidR="00D46BAC" w:rsidRPr="00D46BAC" w:rsidRDefault="00D46BAC" w:rsidP="001B124C">
            <w:pPr>
              <w:jc w:val="center"/>
              <w:rPr>
                <w:rFonts w:cs="Arial"/>
                <w:szCs w:val="24"/>
              </w:rPr>
            </w:pPr>
            <w:r w:rsidRPr="00D46BAC">
              <w:rPr>
                <w:rFonts w:cs="Arial"/>
                <w:szCs w:val="24"/>
              </w:rPr>
              <w:t>1.40E-01</w:t>
            </w:r>
          </w:p>
        </w:tc>
        <w:tc>
          <w:tcPr>
            <w:tcW w:w="1540" w:type="dxa"/>
            <w:tcBorders>
              <w:top w:val="nil"/>
              <w:left w:val="nil"/>
              <w:bottom w:val="single" w:sz="4" w:space="0" w:color="auto"/>
              <w:right w:val="single" w:sz="4" w:space="0" w:color="auto"/>
            </w:tcBorders>
            <w:noWrap/>
            <w:vAlign w:val="center"/>
            <w:hideMark/>
          </w:tcPr>
          <w:p w14:paraId="77FBF37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D7BB441"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A0554CE" w14:textId="77777777" w:rsidR="00D46BAC" w:rsidRPr="00D46BAC" w:rsidRDefault="00D46BAC" w:rsidP="002F62C8">
            <w:pPr>
              <w:rPr>
                <w:szCs w:val="24"/>
              </w:rPr>
            </w:pPr>
            <w:r w:rsidRPr="00D46BAC">
              <w:rPr>
                <w:szCs w:val="24"/>
              </w:rPr>
              <w:t>Phenanathrene</w:t>
            </w:r>
          </w:p>
        </w:tc>
        <w:tc>
          <w:tcPr>
            <w:tcW w:w="1710" w:type="dxa"/>
            <w:tcBorders>
              <w:top w:val="nil"/>
              <w:left w:val="nil"/>
              <w:bottom w:val="single" w:sz="4" w:space="0" w:color="auto"/>
              <w:right w:val="single" w:sz="4" w:space="0" w:color="auto"/>
            </w:tcBorders>
            <w:noWrap/>
            <w:vAlign w:val="center"/>
            <w:hideMark/>
          </w:tcPr>
          <w:p w14:paraId="69934EE1"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3460B1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1246D23"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86F6FF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DBEE199" w14:textId="77777777" w:rsidR="00D46BAC" w:rsidRPr="00D46BAC" w:rsidRDefault="00D46BAC" w:rsidP="002F62C8">
            <w:pPr>
              <w:rPr>
                <w:szCs w:val="24"/>
              </w:rPr>
            </w:pPr>
            <w:r w:rsidRPr="00D46BAC">
              <w:rPr>
                <w:szCs w:val="24"/>
              </w:rPr>
              <w:t>Toluene</w:t>
            </w:r>
          </w:p>
        </w:tc>
        <w:tc>
          <w:tcPr>
            <w:tcW w:w="1710" w:type="dxa"/>
            <w:tcBorders>
              <w:top w:val="nil"/>
              <w:left w:val="nil"/>
              <w:bottom w:val="single" w:sz="4" w:space="0" w:color="auto"/>
              <w:right w:val="single" w:sz="4" w:space="0" w:color="auto"/>
            </w:tcBorders>
            <w:noWrap/>
            <w:vAlign w:val="center"/>
            <w:hideMark/>
          </w:tcPr>
          <w:p w14:paraId="1EE1AF6F"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313EABF" w14:textId="77777777" w:rsidR="00D46BAC" w:rsidRPr="00D46BAC" w:rsidRDefault="00D46BAC" w:rsidP="001B124C">
            <w:pPr>
              <w:jc w:val="center"/>
              <w:rPr>
                <w:rFonts w:cs="Arial"/>
                <w:szCs w:val="24"/>
              </w:rPr>
            </w:pPr>
            <w:r w:rsidRPr="00D46BAC">
              <w:rPr>
                <w:rFonts w:cs="Arial"/>
                <w:szCs w:val="24"/>
              </w:rPr>
              <w:t>4.00E+00</w:t>
            </w:r>
          </w:p>
        </w:tc>
        <w:tc>
          <w:tcPr>
            <w:tcW w:w="1540" w:type="dxa"/>
            <w:tcBorders>
              <w:top w:val="nil"/>
              <w:left w:val="nil"/>
              <w:bottom w:val="single" w:sz="4" w:space="0" w:color="auto"/>
              <w:right w:val="single" w:sz="4" w:space="0" w:color="auto"/>
            </w:tcBorders>
            <w:noWrap/>
            <w:vAlign w:val="center"/>
            <w:hideMark/>
          </w:tcPr>
          <w:p w14:paraId="3E218EC8"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A81193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62814E0" w14:textId="77777777" w:rsidR="00D46BAC" w:rsidRPr="00D46BAC" w:rsidRDefault="00D46BAC" w:rsidP="002F62C8">
            <w:pPr>
              <w:rPr>
                <w:szCs w:val="24"/>
              </w:rPr>
            </w:pPr>
            <w:r w:rsidRPr="00D46BAC">
              <w:rPr>
                <w:szCs w:val="24"/>
              </w:rPr>
              <w:t>Acenaphthene</w:t>
            </w:r>
          </w:p>
        </w:tc>
        <w:tc>
          <w:tcPr>
            <w:tcW w:w="1710" w:type="dxa"/>
            <w:tcBorders>
              <w:top w:val="nil"/>
              <w:left w:val="nil"/>
              <w:bottom w:val="single" w:sz="4" w:space="0" w:color="auto"/>
              <w:right w:val="single" w:sz="4" w:space="0" w:color="auto"/>
            </w:tcBorders>
            <w:noWrap/>
            <w:vAlign w:val="center"/>
            <w:hideMark/>
          </w:tcPr>
          <w:p w14:paraId="5AB5B8A7"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0879D25C"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487D848"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6FF586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5B17C18" w14:textId="77777777" w:rsidR="00D46BAC" w:rsidRPr="00D46BAC" w:rsidRDefault="00D46BAC" w:rsidP="002F62C8">
            <w:pPr>
              <w:rPr>
                <w:szCs w:val="24"/>
              </w:rPr>
            </w:pPr>
            <w:r w:rsidRPr="00D46BAC">
              <w:rPr>
                <w:szCs w:val="24"/>
              </w:rPr>
              <w:t>Acenaphthylene</w:t>
            </w:r>
          </w:p>
        </w:tc>
        <w:tc>
          <w:tcPr>
            <w:tcW w:w="1710" w:type="dxa"/>
            <w:tcBorders>
              <w:top w:val="nil"/>
              <w:left w:val="nil"/>
              <w:bottom w:val="single" w:sz="4" w:space="0" w:color="auto"/>
              <w:right w:val="single" w:sz="4" w:space="0" w:color="auto"/>
            </w:tcBorders>
            <w:noWrap/>
            <w:vAlign w:val="center"/>
            <w:hideMark/>
          </w:tcPr>
          <w:p w14:paraId="74F27D22"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5B76815"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3820A24E"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23BB65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CEF9853" w14:textId="77777777" w:rsidR="00D46BAC" w:rsidRPr="00D46BAC" w:rsidRDefault="00D46BAC" w:rsidP="002F62C8">
            <w:pPr>
              <w:rPr>
                <w:szCs w:val="24"/>
              </w:rPr>
            </w:pPr>
            <w:r w:rsidRPr="00D46BAC">
              <w:rPr>
                <w:szCs w:val="24"/>
              </w:rPr>
              <w:t>Benzo(a)anthracene (less than)</w:t>
            </w:r>
          </w:p>
        </w:tc>
        <w:tc>
          <w:tcPr>
            <w:tcW w:w="1710" w:type="dxa"/>
            <w:tcBorders>
              <w:top w:val="nil"/>
              <w:left w:val="nil"/>
              <w:bottom w:val="single" w:sz="4" w:space="0" w:color="auto"/>
              <w:right w:val="single" w:sz="4" w:space="0" w:color="auto"/>
            </w:tcBorders>
            <w:noWrap/>
            <w:vAlign w:val="center"/>
            <w:hideMark/>
          </w:tcPr>
          <w:p w14:paraId="2EB37C60"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36B728A5"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2B9F1D8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2B4826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7CF8865" w14:textId="77777777" w:rsidR="00D46BAC" w:rsidRPr="00D46BAC" w:rsidRDefault="00D46BAC" w:rsidP="002F62C8">
            <w:pPr>
              <w:rPr>
                <w:szCs w:val="24"/>
              </w:rPr>
            </w:pPr>
            <w:r w:rsidRPr="00D46BAC">
              <w:rPr>
                <w:szCs w:val="24"/>
              </w:rPr>
              <w:t>Benzo(a)pyrene (less than)</w:t>
            </w:r>
          </w:p>
        </w:tc>
        <w:tc>
          <w:tcPr>
            <w:tcW w:w="1710" w:type="dxa"/>
            <w:tcBorders>
              <w:top w:val="nil"/>
              <w:left w:val="nil"/>
              <w:bottom w:val="single" w:sz="4" w:space="0" w:color="auto"/>
              <w:right w:val="single" w:sz="4" w:space="0" w:color="auto"/>
            </w:tcBorders>
            <w:noWrap/>
            <w:vAlign w:val="center"/>
            <w:hideMark/>
          </w:tcPr>
          <w:p w14:paraId="0FB03B2C"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76DACE77"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32F9002" w14:textId="77777777" w:rsidR="00D46BAC" w:rsidRPr="00D46BAC" w:rsidRDefault="00D46BAC" w:rsidP="001B124C">
            <w:pPr>
              <w:jc w:val="center"/>
              <w:rPr>
                <w:rFonts w:cs="Arial"/>
                <w:szCs w:val="24"/>
              </w:rPr>
            </w:pPr>
            <w:r w:rsidRPr="00D46BAC">
              <w:rPr>
                <w:rFonts w:cs="Arial"/>
                <w:szCs w:val="24"/>
              </w:rPr>
              <w:t>N/A</w:t>
            </w:r>
          </w:p>
        </w:tc>
      </w:tr>
      <w:tr w:rsidR="008E474B" w:rsidRPr="00B00E21" w14:paraId="4C2B807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1FB95EA" w14:textId="77777777" w:rsidR="00D46BAC" w:rsidRPr="00D46BAC" w:rsidRDefault="00D46BAC" w:rsidP="002F62C8">
            <w:pPr>
              <w:rPr>
                <w:szCs w:val="24"/>
              </w:rPr>
            </w:pPr>
            <w:r w:rsidRPr="00D46BAC">
              <w:rPr>
                <w:szCs w:val="24"/>
              </w:rPr>
              <w:t>Benzo(b)fluoranthene (less than)</w:t>
            </w:r>
          </w:p>
        </w:tc>
        <w:tc>
          <w:tcPr>
            <w:tcW w:w="1710" w:type="dxa"/>
            <w:tcBorders>
              <w:top w:val="nil"/>
              <w:left w:val="nil"/>
              <w:bottom w:val="single" w:sz="4" w:space="0" w:color="auto"/>
              <w:right w:val="single" w:sz="4" w:space="0" w:color="auto"/>
            </w:tcBorders>
            <w:noWrap/>
            <w:vAlign w:val="center"/>
            <w:hideMark/>
          </w:tcPr>
          <w:p w14:paraId="1BB30C73"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3EF1547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B425E6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3FC7E4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BEC04CF" w14:textId="77777777" w:rsidR="00D46BAC" w:rsidRPr="00D46BAC" w:rsidRDefault="00D46BAC" w:rsidP="002F62C8">
            <w:pPr>
              <w:rPr>
                <w:szCs w:val="24"/>
              </w:rPr>
            </w:pPr>
            <w:r w:rsidRPr="00D46BAC">
              <w:rPr>
                <w:szCs w:val="24"/>
              </w:rPr>
              <w:t>Benzo(g,h,i)perylene (less than)</w:t>
            </w:r>
          </w:p>
        </w:tc>
        <w:tc>
          <w:tcPr>
            <w:tcW w:w="1710" w:type="dxa"/>
            <w:tcBorders>
              <w:top w:val="nil"/>
              <w:left w:val="nil"/>
              <w:bottom w:val="single" w:sz="4" w:space="0" w:color="auto"/>
              <w:right w:val="single" w:sz="4" w:space="0" w:color="auto"/>
            </w:tcBorders>
            <w:noWrap/>
            <w:vAlign w:val="center"/>
            <w:hideMark/>
          </w:tcPr>
          <w:p w14:paraId="68816026"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65281AC"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6458497" w14:textId="77777777" w:rsidR="00D46BAC" w:rsidRPr="00D46BAC" w:rsidRDefault="00D46BAC" w:rsidP="001B124C">
            <w:pPr>
              <w:jc w:val="center"/>
              <w:rPr>
                <w:rFonts w:cs="Arial"/>
                <w:szCs w:val="24"/>
              </w:rPr>
            </w:pPr>
            <w:r w:rsidRPr="00D46BAC">
              <w:rPr>
                <w:rFonts w:cs="Arial"/>
                <w:szCs w:val="24"/>
              </w:rPr>
              <w:t>N/A</w:t>
            </w:r>
          </w:p>
        </w:tc>
      </w:tr>
      <w:tr w:rsidR="008E474B" w:rsidRPr="00B00E21" w14:paraId="016B845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885596F" w14:textId="77777777" w:rsidR="00D46BAC" w:rsidRPr="00D46BAC" w:rsidRDefault="00D46BAC" w:rsidP="002F62C8">
            <w:pPr>
              <w:rPr>
                <w:szCs w:val="24"/>
              </w:rPr>
            </w:pPr>
            <w:r w:rsidRPr="00D46BAC">
              <w:rPr>
                <w:szCs w:val="24"/>
              </w:rPr>
              <w:t>Benzo(k)fluoranthene (less than)</w:t>
            </w:r>
          </w:p>
        </w:tc>
        <w:tc>
          <w:tcPr>
            <w:tcW w:w="1710" w:type="dxa"/>
            <w:tcBorders>
              <w:top w:val="nil"/>
              <w:left w:val="nil"/>
              <w:bottom w:val="single" w:sz="4" w:space="0" w:color="auto"/>
              <w:right w:val="single" w:sz="4" w:space="0" w:color="auto"/>
            </w:tcBorders>
            <w:noWrap/>
            <w:vAlign w:val="center"/>
            <w:hideMark/>
          </w:tcPr>
          <w:p w14:paraId="0EC4E9E5"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334D9F4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3E348C5"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CE1E74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4C097C2" w14:textId="77777777" w:rsidR="00D46BAC" w:rsidRPr="00D46BAC" w:rsidRDefault="00D46BAC" w:rsidP="002F62C8">
            <w:pPr>
              <w:rPr>
                <w:szCs w:val="24"/>
              </w:rPr>
            </w:pPr>
            <w:r w:rsidRPr="00D46BAC">
              <w:rPr>
                <w:szCs w:val="24"/>
              </w:rPr>
              <w:t>Chrysene (less than)</w:t>
            </w:r>
          </w:p>
        </w:tc>
        <w:tc>
          <w:tcPr>
            <w:tcW w:w="1710" w:type="dxa"/>
            <w:tcBorders>
              <w:top w:val="nil"/>
              <w:left w:val="nil"/>
              <w:bottom w:val="single" w:sz="4" w:space="0" w:color="auto"/>
              <w:right w:val="single" w:sz="4" w:space="0" w:color="auto"/>
            </w:tcBorders>
            <w:noWrap/>
            <w:vAlign w:val="center"/>
            <w:hideMark/>
          </w:tcPr>
          <w:p w14:paraId="3B8AB004"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28F53D2"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F8F70A9"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93CDB03"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1724724" w14:textId="77777777" w:rsidR="00D46BAC" w:rsidRPr="00D46BAC" w:rsidRDefault="00D46BAC" w:rsidP="002F62C8">
            <w:pPr>
              <w:rPr>
                <w:szCs w:val="24"/>
              </w:rPr>
            </w:pPr>
            <w:r w:rsidRPr="00D46BAC">
              <w:rPr>
                <w:szCs w:val="24"/>
              </w:rPr>
              <w:t>Dibenzo(a,h)anthracene (less than)</w:t>
            </w:r>
          </w:p>
        </w:tc>
        <w:tc>
          <w:tcPr>
            <w:tcW w:w="1710" w:type="dxa"/>
            <w:tcBorders>
              <w:top w:val="nil"/>
              <w:left w:val="nil"/>
              <w:bottom w:val="single" w:sz="4" w:space="0" w:color="auto"/>
              <w:right w:val="single" w:sz="4" w:space="0" w:color="auto"/>
            </w:tcBorders>
            <w:noWrap/>
            <w:vAlign w:val="center"/>
            <w:hideMark/>
          </w:tcPr>
          <w:p w14:paraId="381FFA55"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3DD368F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726DCC20"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219A33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EAAF7CE" w14:textId="77777777" w:rsidR="00D46BAC" w:rsidRPr="00D46BAC" w:rsidRDefault="00D46BAC" w:rsidP="002F62C8">
            <w:pPr>
              <w:rPr>
                <w:szCs w:val="24"/>
              </w:rPr>
            </w:pPr>
            <w:r w:rsidRPr="00D46BAC">
              <w:rPr>
                <w:szCs w:val="24"/>
              </w:rPr>
              <w:t>Fluorene</w:t>
            </w:r>
          </w:p>
        </w:tc>
        <w:tc>
          <w:tcPr>
            <w:tcW w:w="1710" w:type="dxa"/>
            <w:tcBorders>
              <w:top w:val="nil"/>
              <w:left w:val="nil"/>
              <w:bottom w:val="single" w:sz="4" w:space="0" w:color="auto"/>
              <w:right w:val="single" w:sz="4" w:space="0" w:color="auto"/>
            </w:tcBorders>
            <w:noWrap/>
            <w:vAlign w:val="center"/>
            <w:hideMark/>
          </w:tcPr>
          <w:p w14:paraId="6FF15B19"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940AFF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1AA6CB7"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7C68ED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C973CB1" w14:textId="77777777" w:rsidR="00D46BAC" w:rsidRPr="00D46BAC" w:rsidRDefault="00D46BAC" w:rsidP="002F62C8">
            <w:pPr>
              <w:rPr>
                <w:szCs w:val="24"/>
              </w:rPr>
            </w:pPr>
            <w:r w:rsidRPr="00D46BAC">
              <w:rPr>
                <w:szCs w:val="24"/>
              </w:rPr>
              <w:t>Fluoranthene</w:t>
            </w:r>
          </w:p>
        </w:tc>
        <w:tc>
          <w:tcPr>
            <w:tcW w:w="1710" w:type="dxa"/>
            <w:tcBorders>
              <w:top w:val="nil"/>
              <w:left w:val="nil"/>
              <w:bottom w:val="single" w:sz="4" w:space="0" w:color="auto"/>
              <w:right w:val="single" w:sz="4" w:space="0" w:color="auto"/>
            </w:tcBorders>
            <w:noWrap/>
            <w:vAlign w:val="center"/>
            <w:hideMark/>
          </w:tcPr>
          <w:p w14:paraId="20FFFF43"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7F0603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7BA804A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1785DB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762E623" w14:textId="77777777" w:rsidR="00D46BAC" w:rsidRPr="00D46BAC" w:rsidRDefault="00D46BAC" w:rsidP="002F62C8">
            <w:pPr>
              <w:rPr>
                <w:szCs w:val="24"/>
              </w:rPr>
            </w:pPr>
            <w:r w:rsidRPr="00D46BAC">
              <w:rPr>
                <w:szCs w:val="24"/>
              </w:rPr>
              <w:t>Indeno(1,2,3-cd)pyrene (less than)</w:t>
            </w:r>
          </w:p>
        </w:tc>
        <w:tc>
          <w:tcPr>
            <w:tcW w:w="1710" w:type="dxa"/>
            <w:tcBorders>
              <w:top w:val="nil"/>
              <w:left w:val="nil"/>
              <w:bottom w:val="single" w:sz="4" w:space="0" w:color="auto"/>
              <w:right w:val="single" w:sz="4" w:space="0" w:color="auto"/>
            </w:tcBorders>
            <w:noWrap/>
            <w:vAlign w:val="center"/>
            <w:hideMark/>
          </w:tcPr>
          <w:p w14:paraId="48239552" w14:textId="77777777" w:rsidR="00D46BAC" w:rsidRPr="00D46BAC" w:rsidRDefault="00D46BAC" w:rsidP="001B124C">
            <w:pPr>
              <w:jc w:val="center"/>
              <w:rPr>
                <w:rFonts w:cs="Arial"/>
                <w:szCs w:val="24"/>
              </w:rPr>
            </w:pPr>
            <w:r w:rsidRPr="00D46BAC">
              <w:rPr>
                <w:rFonts w:cs="Arial"/>
                <w:szCs w:val="24"/>
              </w:rPr>
              <w:t>5.88E-05</w:t>
            </w:r>
          </w:p>
        </w:tc>
        <w:tc>
          <w:tcPr>
            <w:tcW w:w="1890" w:type="dxa"/>
            <w:tcBorders>
              <w:top w:val="nil"/>
              <w:left w:val="nil"/>
              <w:bottom w:val="single" w:sz="4" w:space="0" w:color="auto"/>
              <w:right w:val="single" w:sz="4" w:space="0" w:color="auto"/>
            </w:tcBorders>
            <w:noWrap/>
            <w:vAlign w:val="center"/>
            <w:hideMark/>
          </w:tcPr>
          <w:p w14:paraId="1824450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2780583"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6E5DE3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1B0EBC2" w14:textId="77777777" w:rsidR="00D46BAC" w:rsidRPr="00D46BAC" w:rsidRDefault="00D46BAC" w:rsidP="002F62C8">
            <w:pPr>
              <w:rPr>
                <w:szCs w:val="24"/>
              </w:rPr>
            </w:pPr>
            <w:r w:rsidRPr="00D46BAC">
              <w:rPr>
                <w:szCs w:val="24"/>
              </w:rPr>
              <w:t>Phenanthrene</w:t>
            </w:r>
          </w:p>
        </w:tc>
        <w:tc>
          <w:tcPr>
            <w:tcW w:w="1710" w:type="dxa"/>
            <w:tcBorders>
              <w:top w:val="nil"/>
              <w:left w:val="nil"/>
              <w:bottom w:val="single" w:sz="4" w:space="0" w:color="auto"/>
              <w:right w:val="single" w:sz="4" w:space="0" w:color="auto"/>
            </w:tcBorders>
            <w:noWrap/>
            <w:vAlign w:val="center"/>
            <w:hideMark/>
          </w:tcPr>
          <w:p w14:paraId="0B5151FD"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9C30896"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A2D4CBD"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A321E1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B8B42AC" w14:textId="77777777" w:rsidR="00D46BAC" w:rsidRPr="00D46BAC" w:rsidRDefault="00D46BAC" w:rsidP="002F62C8">
            <w:pPr>
              <w:rPr>
                <w:szCs w:val="24"/>
              </w:rPr>
            </w:pPr>
            <w:r w:rsidRPr="00D46BAC">
              <w:rPr>
                <w:szCs w:val="24"/>
              </w:rPr>
              <w:t>Pyrene</w:t>
            </w:r>
          </w:p>
        </w:tc>
        <w:tc>
          <w:tcPr>
            <w:tcW w:w="1710" w:type="dxa"/>
            <w:tcBorders>
              <w:top w:val="nil"/>
              <w:left w:val="nil"/>
              <w:bottom w:val="single" w:sz="4" w:space="0" w:color="auto"/>
              <w:right w:val="single" w:sz="4" w:space="0" w:color="auto"/>
            </w:tcBorders>
            <w:noWrap/>
            <w:vAlign w:val="center"/>
            <w:hideMark/>
          </w:tcPr>
          <w:p w14:paraId="78896DAA"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B4100E7"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7CC785C"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59661D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206EAFBF" w14:textId="77777777" w:rsidR="00D46BAC" w:rsidRPr="00D46BAC" w:rsidRDefault="00D46BAC" w:rsidP="00721745">
            <w:pPr>
              <w:rPr>
                <w:b/>
                <w:bCs/>
                <w:szCs w:val="24"/>
                <w:u w:val="single"/>
              </w:rPr>
            </w:pPr>
            <w:r w:rsidRPr="00D46BAC">
              <w:rPr>
                <w:b/>
                <w:bCs/>
                <w:szCs w:val="24"/>
                <w:u w:val="single"/>
              </w:rPr>
              <w:t>Dibenzofurans</w:t>
            </w:r>
          </w:p>
        </w:tc>
        <w:tc>
          <w:tcPr>
            <w:tcW w:w="1710" w:type="dxa"/>
            <w:tcBorders>
              <w:top w:val="nil"/>
              <w:left w:val="nil"/>
              <w:bottom w:val="single" w:sz="4" w:space="0" w:color="auto"/>
              <w:right w:val="single" w:sz="4" w:space="0" w:color="auto"/>
            </w:tcBorders>
            <w:noWrap/>
            <w:vAlign w:val="center"/>
            <w:hideMark/>
          </w:tcPr>
          <w:p w14:paraId="515903C2" w14:textId="77777777" w:rsidR="00D46BAC" w:rsidRPr="00D46BAC" w:rsidRDefault="00D46BAC" w:rsidP="001B124C">
            <w:pPr>
              <w:jc w:val="center"/>
              <w:rPr>
                <w:rFonts w:cs="Arial"/>
                <w:szCs w:val="24"/>
              </w:rPr>
            </w:pPr>
            <w:r w:rsidRPr="00D46BAC">
              <w:rPr>
                <w:rFonts w:cs="Arial"/>
                <w:szCs w:val="24"/>
              </w:rPr>
              <w:t>2.63E-09</w:t>
            </w:r>
          </w:p>
        </w:tc>
        <w:tc>
          <w:tcPr>
            <w:tcW w:w="1890" w:type="dxa"/>
            <w:tcBorders>
              <w:top w:val="nil"/>
              <w:left w:val="nil"/>
              <w:bottom w:val="single" w:sz="4" w:space="0" w:color="auto"/>
              <w:right w:val="single" w:sz="4" w:space="0" w:color="auto"/>
            </w:tcBorders>
            <w:noWrap/>
            <w:vAlign w:val="center"/>
            <w:hideMark/>
          </w:tcPr>
          <w:p w14:paraId="5EF20D5B" w14:textId="77777777" w:rsidR="00D46BAC" w:rsidRPr="00D46BAC" w:rsidRDefault="00D46BAC" w:rsidP="001B124C">
            <w:pPr>
              <w:jc w:val="center"/>
              <w:rPr>
                <w:rFonts w:cs="Arial"/>
                <w:szCs w:val="24"/>
              </w:rPr>
            </w:pPr>
            <w:r w:rsidRPr="00D46BAC">
              <w:rPr>
                <w:rFonts w:cs="Arial"/>
                <w:szCs w:val="24"/>
              </w:rPr>
              <w:t>3.50E-08</w:t>
            </w:r>
          </w:p>
        </w:tc>
        <w:tc>
          <w:tcPr>
            <w:tcW w:w="1540" w:type="dxa"/>
            <w:tcBorders>
              <w:top w:val="nil"/>
              <w:left w:val="nil"/>
              <w:bottom w:val="single" w:sz="4" w:space="0" w:color="auto"/>
              <w:right w:val="single" w:sz="4" w:space="0" w:color="auto"/>
            </w:tcBorders>
            <w:noWrap/>
            <w:vAlign w:val="center"/>
            <w:hideMark/>
          </w:tcPr>
          <w:p w14:paraId="06F73AC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3E84F5BF"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5338F5B" w14:textId="77777777" w:rsidR="00D46BAC" w:rsidRPr="00D46BAC" w:rsidRDefault="00D46BAC" w:rsidP="002F62C8">
            <w:pPr>
              <w:rPr>
                <w:szCs w:val="24"/>
              </w:rPr>
            </w:pPr>
            <w:r w:rsidRPr="00D46BAC">
              <w:rPr>
                <w:szCs w:val="24"/>
              </w:rPr>
              <w:t>1,2,3,4,6,7,8-Heptachlorodebenzofuran (less than)</w:t>
            </w:r>
          </w:p>
        </w:tc>
        <w:tc>
          <w:tcPr>
            <w:tcW w:w="1710" w:type="dxa"/>
            <w:tcBorders>
              <w:top w:val="nil"/>
              <w:left w:val="nil"/>
              <w:bottom w:val="single" w:sz="4" w:space="0" w:color="auto"/>
              <w:right w:val="single" w:sz="4" w:space="0" w:color="auto"/>
            </w:tcBorders>
            <w:noWrap/>
            <w:vAlign w:val="center"/>
            <w:hideMark/>
          </w:tcPr>
          <w:p w14:paraId="260F5646"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356D8875"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618BFDA"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905355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DD47B47" w14:textId="77777777" w:rsidR="00D46BAC" w:rsidRPr="00D46BAC" w:rsidRDefault="00D46BAC" w:rsidP="002F62C8">
            <w:pPr>
              <w:rPr>
                <w:szCs w:val="24"/>
              </w:rPr>
            </w:pPr>
            <w:r w:rsidRPr="00D46BAC">
              <w:rPr>
                <w:szCs w:val="24"/>
              </w:rPr>
              <w:t>1,2,3,4,7,8,9-Heptachlofodibenzofuran (less than)</w:t>
            </w:r>
          </w:p>
        </w:tc>
        <w:tc>
          <w:tcPr>
            <w:tcW w:w="1710" w:type="dxa"/>
            <w:tcBorders>
              <w:top w:val="nil"/>
              <w:left w:val="nil"/>
              <w:bottom w:val="single" w:sz="4" w:space="0" w:color="auto"/>
              <w:right w:val="single" w:sz="4" w:space="0" w:color="auto"/>
            </w:tcBorders>
            <w:noWrap/>
            <w:vAlign w:val="center"/>
            <w:hideMark/>
          </w:tcPr>
          <w:p w14:paraId="2B8A12EF"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6B0520E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3ECB5192"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289713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7DD1D21" w14:textId="77777777" w:rsidR="00D46BAC" w:rsidRPr="00D46BAC" w:rsidRDefault="00D46BAC" w:rsidP="002F62C8">
            <w:pPr>
              <w:rPr>
                <w:szCs w:val="24"/>
              </w:rPr>
            </w:pPr>
            <w:r w:rsidRPr="00D46BAC">
              <w:rPr>
                <w:szCs w:val="24"/>
              </w:rPr>
              <w:t>1,2,3,4,7,8-Hexachlorodibenzofuran</w:t>
            </w:r>
          </w:p>
        </w:tc>
        <w:tc>
          <w:tcPr>
            <w:tcW w:w="1710" w:type="dxa"/>
            <w:tcBorders>
              <w:top w:val="nil"/>
              <w:left w:val="nil"/>
              <w:bottom w:val="single" w:sz="4" w:space="0" w:color="auto"/>
              <w:right w:val="single" w:sz="4" w:space="0" w:color="auto"/>
            </w:tcBorders>
            <w:noWrap/>
            <w:vAlign w:val="center"/>
            <w:hideMark/>
          </w:tcPr>
          <w:p w14:paraId="78B36DDA"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68A2F92"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E4FB2C1"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F723B4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DC9931D" w14:textId="77777777" w:rsidR="00D46BAC" w:rsidRPr="00D46BAC" w:rsidRDefault="00D46BAC" w:rsidP="002F62C8">
            <w:pPr>
              <w:rPr>
                <w:szCs w:val="24"/>
              </w:rPr>
            </w:pPr>
            <w:r w:rsidRPr="00D46BAC">
              <w:rPr>
                <w:szCs w:val="24"/>
              </w:rPr>
              <w:t>1,2,3,6,7,8-Hexachlorodibenzofuran</w:t>
            </w:r>
          </w:p>
        </w:tc>
        <w:tc>
          <w:tcPr>
            <w:tcW w:w="1710" w:type="dxa"/>
            <w:tcBorders>
              <w:top w:val="nil"/>
              <w:left w:val="nil"/>
              <w:bottom w:val="single" w:sz="4" w:space="0" w:color="auto"/>
              <w:right w:val="single" w:sz="4" w:space="0" w:color="auto"/>
            </w:tcBorders>
            <w:noWrap/>
            <w:vAlign w:val="center"/>
            <w:hideMark/>
          </w:tcPr>
          <w:p w14:paraId="491D9F98"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0805ED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27C22E2D" w14:textId="77777777" w:rsidR="00D46BAC" w:rsidRPr="00D46BAC" w:rsidRDefault="00D46BAC" w:rsidP="001B124C">
            <w:pPr>
              <w:jc w:val="center"/>
              <w:rPr>
                <w:rFonts w:cs="Arial"/>
                <w:szCs w:val="24"/>
              </w:rPr>
            </w:pPr>
            <w:r w:rsidRPr="00D46BAC">
              <w:rPr>
                <w:rFonts w:cs="Arial"/>
                <w:szCs w:val="24"/>
              </w:rPr>
              <w:t>N/A</w:t>
            </w:r>
          </w:p>
        </w:tc>
      </w:tr>
      <w:tr w:rsidR="008E474B" w:rsidRPr="00B00E21" w14:paraId="3B8FBB18"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C59F9B3" w14:textId="77777777" w:rsidR="00D46BAC" w:rsidRPr="00D46BAC" w:rsidRDefault="00D46BAC" w:rsidP="002F62C8">
            <w:pPr>
              <w:rPr>
                <w:szCs w:val="24"/>
              </w:rPr>
            </w:pPr>
            <w:r w:rsidRPr="00D46BAC">
              <w:rPr>
                <w:szCs w:val="24"/>
              </w:rPr>
              <w:t>1,2,3,7,8,9-Hexachlorodibenzofuran</w:t>
            </w:r>
          </w:p>
        </w:tc>
        <w:tc>
          <w:tcPr>
            <w:tcW w:w="1710" w:type="dxa"/>
            <w:tcBorders>
              <w:top w:val="nil"/>
              <w:left w:val="nil"/>
              <w:bottom w:val="single" w:sz="4" w:space="0" w:color="auto"/>
              <w:right w:val="single" w:sz="4" w:space="0" w:color="auto"/>
            </w:tcBorders>
            <w:noWrap/>
            <w:vAlign w:val="center"/>
            <w:hideMark/>
          </w:tcPr>
          <w:p w14:paraId="62CD241D"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72EF4F70"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1C772E6" w14:textId="77777777" w:rsidR="00D46BAC" w:rsidRPr="00D46BAC" w:rsidRDefault="00D46BAC" w:rsidP="001B124C">
            <w:pPr>
              <w:jc w:val="center"/>
              <w:rPr>
                <w:rFonts w:cs="Arial"/>
                <w:szCs w:val="24"/>
              </w:rPr>
            </w:pPr>
            <w:r w:rsidRPr="00D46BAC">
              <w:rPr>
                <w:rFonts w:cs="Arial"/>
                <w:szCs w:val="24"/>
              </w:rPr>
              <w:t>N/A</w:t>
            </w:r>
          </w:p>
        </w:tc>
      </w:tr>
      <w:tr w:rsidR="008E474B" w:rsidRPr="00B00E21" w14:paraId="711791F4"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40963E2" w14:textId="77777777" w:rsidR="00D46BAC" w:rsidRPr="00D46BAC" w:rsidRDefault="00D46BAC" w:rsidP="002F62C8">
            <w:pPr>
              <w:rPr>
                <w:szCs w:val="24"/>
              </w:rPr>
            </w:pPr>
            <w:r w:rsidRPr="00D46BAC">
              <w:rPr>
                <w:szCs w:val="24"/>
              </w:rPr>
              <w:t>2,3,4,6,7,8-Hexachlorodibenzofuran</w:t>
            </w:r>
          </w:p>
        </w:tc>
        <w:tc>
          <w:tcPr>
            <w:tcW w:w="1710" w:type="dxa"/>
            <w:tcBorders>
              <w:top w:val="nil"/>
              <w:left w:val="nil"/>
              <w:bottom w:val="single" w:sz="4" w:space="0" w:color="auto"/>
              <w:right w:val="single" w:sz="4" w:space="0" w:color="auto"/>
            </w:tcBorders>
            <w:noWrap/>
            <w:vAlign w:val="center"/>
            <w:hideMark/>
          </w:tcPr>
          <w:p w14:paraId="4749989D"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6D708BC2"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1AE91AF"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2A1858C"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047445D" w14:textId="77777777" w:rsidR="00D46BAC" w:rsidRPr="00D46BAC" w:rsidRDefault="00D46BAC" w:rsidP="002F62C8">
            <w:pPr>
              <w:rPr>
                <w:szCs w:val="24"/>
              </w:rPr>
            </w:pPr>
            <w:r w:rsidRPr="00D46BAC">
              <w:rPr>
                <w:szCs w:val="24"/>
              </w:rPr>
              <w:t>1,2,3,7,8-Pentachlorodibenzofuran (less than)</w:t>
            </w:r>
          </w:p>
        </w:tc>
        <w:tc>
          <w:tcPr>
            <w:tcW w:w="1710" w:type="dxa"/>
            <w:tcBorders>
              <w:top w:val="nil"/>
              <w:left w:val="nil"/>
              <w:bottom w:val="single" w:sz="4" w:space="0" w:color="auto"/>
              <w:right w:val="single" w:sz="4" w:space="0" w:color="auto"/>
            </w:tcBorders>
            <w:noWrap/>
            <w:vAlign w:val="center"/>
            <w:hideMark/>
          </w:tcPr>
          <w:p w14:paraId="39166E0A"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C884FB3"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0466463F"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056EFFA"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98D4192" w14:textId="77777777" w:rsidR="00D46BAC" w:rsidRPr="00D46BAC" w:rsidRDefault="00D46BAC" w:rsidP="002F62C8">
            <w:pPr>
              <w:rPr>
                <w:szCs w:val="24"/>
              </w:rPr>
            </w:pPr>
            <w:r w:rsidRPr="00D46BAC">
              <w:rPr>
                <w:szCs w:val="24"/>
              </w:rPr>
              <w:t>2,3,4,7,8-Pentachlorodibenzofuran (less than)</w:t>
            </w:r>
          </w:p>
        </w:tc>
        <w:tc>
          <w:tcPr>
            <w:tcW w:w="1710" w:type="dxa"/>
            <w:tcBorders>
              <w:top w:val="nil"/>
              <w:left w:val="nil"/>
              <w:bottom w:val="single" w:sz="4" w:space="0" w:color="auto"/>
              <w:right w:val="single" w:sz="4" w:space="0" w:color="auto"/>
            </w:tcBorders>
            <w:noWrap/>
            <w:vAlign w:val="center"/>
            <w:hideMark/>
          </w:tcPr>
          <w:p w14:paraId="6B196596"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485B2CBE"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CD05B99" w14:textId="77777777" w:rsidR="00D46BAC" w:rsidRPr="00D46BAC" w:rsidRDefault="00D46BAC" w:rsidP="001B124C">
            <w:pPr>
              <w:jc w:val="center"/>
              <w:rPr>
                <w:rFonts w:cs="Arial"/>
                <w:szCs w:val="24"/>
              </w:rPr>
            </w:pPr>
            <w:r w:rsidRPr="00D46BAC">
              <w:rPr>
                <w:rFonts w:cs="Arial"/>
                <w:szCs w:val="24"/>
              </w:rPr>
              <w:t>N/A</w:t>
            </w:r>
          </w:p>
        </w:tc>
      </w:tr>
      <w:tr w:rsidR="008E474B" w:rsidRPr="00B00E21" w14:paraId="3963B9D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240F2CE" w14:textId="77777777" w:rsidR="00D46BAC" w:rsidRPr="00D46BAC" w:rsidRDefault="00D46BAC" w:rsidP="002F62C8">
            <w:pPr>
              <w:rPr>
                <w:szCs w:val="24"/>
              </w:rPr>
            </w:pPr>
            <w:r w:rsidRPr="00D46BAC">
              <w:rPr>
                <w:szCs w:val="24"/>
              </w:rPr>
              <w:t>2,3,7,8-Tetrachlorodibenzofuran</w:t>
            </w:r>
          </w:p>
        </w:tc>
        <w:tc>
          <w:tcPr>
            <w:tcW w:w="1710" w:type="dxa"/>
            <w:tcBorders>
              <w:top w:val="nil"/>
              <w:left w:val="nil"/>
              <w:bottom w:val="single" w:sz="4" w:space="0" w:color="auto"/>
              <w:right w:val="single" w:sz="4" w:space="0" w:color="auto"/>
            </w:tcBorders>
            <w:noWrap/>
            <w:vAlign w:val="center"/>
            <w:hideMark/>
          </w:tcPr>
          <w:p w14:paraId="40AFB063"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F0EA101"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F437170" w14:textId="77777777" w:rsidR="00D46BAC" w:rsidRPr="00D46BAC" w:rsidRDefault="00D46BAC" w:rsidP="001B124C">
            <w:pPr>
              <w:jc w:val="center"/>
              <w:rPr>
                <w:rFonts w:cs="Arial"/>
                <w:szCs w:val="24"/>
              </w:rPr>
            </w:pPr>
            <w:r w:rsidRPr="00D46BAC">
              <w:rPr>
                <w:rFonts w:cs="Arial"/>
                <w:szCs w:val="24"/>
              </w:rPr>
              <w:t>N/A</w:t>
            </w:r>
          </w:p>
        </w:tc>
      </w:tr>
      <w:tr w:rsidR="008E474B" w:rsidRPr="00B00E21" w14:paraId="4F6EAA13"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1DE4DDE"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085E1DC9" w14:textId="2EB50027"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DA95D39" w14:textId="70D3B4A0"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056A05D7" w14:textId="04C563E0" w:rsidR="00D46BAC" w:rsidRPr="00D46BAC" w:rsidRDefault="00D46BAC" w:rsidP="001B124C">
            <w:pPr>
              <w:jc w:val="center"/>
              <w:rPr>
                <w:rFonts w:cs="Arial"/>
                <w:szCs w:val="24"/>
              </w:rPr>
            </w:pPr>
          </w:p>
        </w:tc>
      </w:tr>
      <w:tr w:rsidR="008E474B" w:rsidRPr="00B00E21" w14:paraId="60F9690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37F71BE" w14:textId="77777777" w:rsidR="00D46BAC" w:rsidRPr="00D46BAC" w:rsidRDefault="00D46BAC" w:rsidP="00F9781B">
            <w:pPr>
              <w:keepNext/>
              <w:keepLines/>
              <w:rPr>
                <w:b/>
                <w:bCs/>
                <w:szCs w:val="24"/>
                <w:u w:val="single"/>
              </w:rPr>
            </w:pPr>
            <w:r w:rsidRPr="00D46BAC">
              <w:rPr>
                <w:b/>
                <w:bCs/>
                <w:szCs w:val="24"/>
                <w:u w:val="single"/>
              </w:rPr>
              <w:t>Listed Non-POM Organic HAPs</w:t>
            </w:r>
          </w:p>
        </w:tc>
        <w:tc>
          <w:tcPr>
            <w:tcW w:w="1710" w:type="dxa"/>
            <w:tcBorders>
              <w:top w:val="nil"/>
              <w:left w:val="nil"/>
              <w:bottom w:val="single" w:sz="4" w:space="0" w:color="auto"/>
              <w:right w:val="single" w:sz="4" w:space="0" w:color="auto"/>
            </w:tcBorders>
            <w:noWrap/>
            <w:vAlign w:val="center"/>
            <w:hideMark/>
          </w:tcPr>
          <w:p w14:paraId="2B3B73DF" w14:textId="239544B2" w:rsidR="00D46BAC" w:rsidRPr="00D46BAC" w:rsidRDefault="00D46BAC" w:rsidP="00F9781B">
            <w:pPr>
              <w:keepNext/>
              <w:keepLines/>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22D8F06E" w14:textId="30791C9C" w:rsidR="00D46BAC" w:rsidRPr="00D46BAC" w:rsidRDefault="00D46BAC" w:rsidP="00F9781B">
            <w:pPr>
              <w:keepNext/>
              <w:keepLines/>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778C6B33" w14:textId="314B4C23" w:rsidR="00D46BAC" w:rsidRPr="00D46BAC" w:rsidRDefault="00D46BAC" w:rsidP="00F9781B">
            <w:pPr>
              <w:keepNext/>
              <w:keepLines/>
              <w:jc w:val="center"/>
              <w:rPr>
                <w:rFonts w:cs="Arial"/>
                <w:szCs w:val="24"/>
              </w:rPr>
            </w:pPr>
          </w:p>
        </w:tc>
      </w:tr>
      <w:tr w:rsidR="008E474B" w:rsidRPr="00B00E21" w14:paraId="3D9E09C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B401CB8" w14:textId="77777777" w:rsidR="00D46BAC" w:rsidRPr="00D46BAC" w:rsidRDefault="00D46BAC" w:rsidP="00F9781B">
            <w:pPr>
              <w:keepNext/>
              <w:keepLines/>
              <w:rPr>
                <w:szCs w:val="24"/>
              </w:rPr>
            </w:pPr>
            <w:r w:rsidRPr="00D46BAC">
              <w:rPr>
                <w:szCs w:val="24"/>
              </w:rPr>
              <w:t>Acetaldehyde</w:t>
            </w:r>
          </w:p>
        </w:tc>
        <w:tc>
          <w:tcPr>
            <w:tcW w:w="1710" w:type="dxa"/>
            <w:tcBorders>
              <w:top w:val="nil"/>
              <w:left w:val="nil"/>
              <w:bottom w:val="single" w:sz="4" w:space="0" w:color="auto"/>
              <w:right w:val="single" w:sz="4" w:space="0" w:color="auto"/>
            </w:tcBorders>
            <w:noWrap/>
            <w:vAlign w:val="center"/>
            <w:hideMark/>
          </w:tcPr>
          <w:p w14:paraId="459AA87E" w14:textId="77777777" w:rsidR="00D46BAC" w:rsidRPr="00D46BAC" w:rsidRDefault="00D46BAC" w:rsidP="00F9781B">
            <w:pPr>
              <w:keepNext/>
              <w:keepLines/>
              <w:jc w:val="center"/>
              <w:rPr>
                <w:rFonts w:cs="Arial"/>
                <w:szCs w:val="24"/>
              </w:rPr>
            </w:pPr>
            <w:r w:rsidRPr="00D46BAC">
              <w:rPr>
                <w:rFonts w:cs="Arial"/>
                <w:szCs w:val="24"/>
              </w:rPr>
              <w:t>4.55E-02</w:t>
            </w:r>
          </w:p>
        </w:tc>
        <w:tc>
          <w:tcPr>
            <w:tcW w:w="1890" w:type="dxa"/>
            <w:tcBorders>
              <w:top w:val="nil"/>
              <w:left w:val="nil"/>
              <w:bottom w:val="single" w:sz="4" w:space="0" w:color="auto"/>
              <w:right w:val="single" w:sz="4" w:space="0" w:color="auto"/>
            </w:tcBorders>
            <w:noWrap/>
            <w:vAlign w:val="center"/>
            <w:hideMark/>
          </w:tcPr>
          <w:p w14:paraId="593EC7F5" w14:textId="77777777" w:rsidR="00D46BAC" w:rsidRPr="00D46BAC" w:rsidRDefault="00D46BAC" w:rsidP="00F9781B">
            <w:pPr>
              <w:keepNext/>
              <w:keepLines/>
              <w:jc w:val="center"/>
              <w:rPr>
                <w:rFonts w:cs="Arial"/>
                <w:szCs w:val="24"/>
              </w:rPr>
            </w:pPr>
            <w:r w:rsidRPr="00D46BAC">
              <w:rPr>
                <w:rFonts w:cs="Arial"/>
                <w:szCs w:val="24"/>
              </w:rPr>
              <w:t>9.00E-02</w:t>
            </w:r>
          </w:p>
        </w:tc>
        <w:tc>
          <w:tcPr>
            <w:tcW w:w="1540" w:type="dxa"/>
            <w:tcBorders>
              <w:top w:val="nil"/>
              <w:left w:val="nil"/>
              <w:bottom w:val="single" w:sz="4" w:space="0" w:color="auto"/>
              <w:right w:val="single" w:sz="4" w:space="0" w:color="auto"/>
            </w:tcBorders>
            <w:noWrap/>
            <w:vAlign w:val="center"/>
            <w:hideMark/>
          </w:tcPr>
          <w:p w14:paraId="5889E834" w14:textId="77777777" w:rsidR="00D46BAC" w:rsidRPr="00D46BAC" w:rsidRDefault="00D46BAC" w:rsidP="00F9781B">
            <w:pPr>
              <w:keepNext/>
              <w:keepLines/>
              <w:jc w:val="center"/>
              <w:rPr>
                <w:rFonts w:cs="Arial"/>
                <w:szCs w:val="24"/>
              </w:rPr>
            </w:pPr>
            <w:r w:rsidRPr="00D46BAC">
              <w:rPr>
                <w:rFonts w:cs="Arial"/>
                <w:szCs w:val="24"/>
              </w:rPr>
              <w:t>N/A</w:t>
            </w:r>
          </w:p>
        </w:tc>
      </w:tr>
      <w:tr w:rsidR="008E474B" w:rsidRPr="00B00E21" w14:paraId="6DC743B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2EAE16D" w14:textId="77777777" w:rsidR="00D46BAC" w:rsidRPr="00D46BAC" w:rsidRDefault="00D46BAC" w:rsidP="00F9781B">
            <w:pPr>
              <w:keepNext/>
              <w:keepLines/>
              <w:rPr>
                <w:szCs w:val="24"/>
              </w:rPr>
            </w:pPr>
            <w:r w:rsidRPr="00D46BAC">
              <w:rPr>
                <w:szCs w:val="24"/>
              </w:rPr>
              <w:t>Formaldehyde</w:t>
            </w:r>
          </w:p>
        </w:tc>
        <w:tc>
          <w:tcPr>
            <w:tcW w:w="1710" w:type="dxa"/>
            <w:tcBorders>
              <w:top w:val="nil"/>
              <w:left w:val="nil"/>
              <w:bottom w:val="single" w:sz="4" w:space="0" w:color="auto"/>
              <w:right w:val="single" w:sz="4" w:space="0" w:color="auto"/>
            </w:tcBorders>
            <w:noWrap/>
            <w:vAlign w:val="center"/>
            <w:hideMark/>
          </w:tcPr>
          <w:p w14:paraId="37D6F847" w14:textId="77777777" w:rsidR="00D46BAC" w:rsidRPr="00D46BAC" w:rsidRDefault="00D46BAC" w:rsidP="00F9781B">
            <w:pPr>
              <w:keepNext/>
              <w:keepLines/>
              <w:jc w:val="center"/>
              <w:rPr>
                <w:rFonts w:cs="Arial"/>
                <w:szCs w:val="24"/>
              </w:rPr>
            </w:pPr>
            <w:r w:rsidRPr="00D46BAC">
              <w:rPr>
                <w:rFonts w:cs="Arial"/>
                <w:szCs w:val="24"/>
              </w:rPr>
              <w:t>7.69E-03</w:t>
            </w:r>
          </w:p>
        </w:tc>
        <w:tc>
          <w:tcPr>
            <w:tcW w:w="1890" w:type="dxa"/>
            <w:tcBorders>
              <w:top w:val="nil"/>
              <w:left w:val="nil"/>
              <w:bottom w:val="single" w:sz="4" w:space="0" w:color="auto"/>
              <w:right w:val="single" w:sz="4" w:space="0" w:color="auto"/>
            </w:tcBorders>
            <w:noWrap/>
            <w:vAlign w:val="center"/>
            <w:hideMark/>
          </w:tcPr>
          <w:p w14:paraId="4CFF8200" w14:textId="77777777" w:rsidR="00D46BAC" w:rsidRPr="00D46BAC" w:rsidRDefault="00D46BAC" w:rsidP="00F9781B">
            <w:pPr>
              <w:keepNext/>
              <w:keepLines/>
              <w:jc w:val="center"/>
              <w:rPr>
                <w:rFonts w:cs="Arial"/>
                <w:szCs w:val="24"/>
              </w:rPr>
            </w:pPr>
            <w:r w:rsidRPr="00D46BAC">
              <w:rPr>
                <w:rFonts w:cs="Arial"/>
                <w:szCs w:val="24"/>
              </w:rPr>
              <w:t>3.60E-02</w:t>
            </w:r>
          </w:p>
        </w:tc>
        <w:tc>
          <w:tcPr>
            <w:tcW w:w="1540" w:type="dxa"/>
            <w:tcBorders>
              <w:top w:val="nil"/>
              <w:left w:val="nil"/>
              <w:bottom w:val="single" w:sz="4" w:space="0" w:color="auto"/>
              <w:right w:val="single" w:sz="4" w:space="0" w:color="auto"/>
            </w:tcBorders>
            <w:noWrap/>
            <w:vAlign w:val="center"/>
            <w:hideMark/>
          </w:tcPr>
          <w:p w14:paraId="012B1B69" w14:textId="77777777" w:rsidR="00D46BAC" w:rsidRPr="00D46BAC" w:rsidRDefault="00D46BAC" w:rsidP="00F9781B">
            <w:pPr>
              <w:keepNext/>
              <w:keepLines/>
              <w:jc w:val="center"/>
              <w:rPr>
                <w:rFonts w:cs="Arial"/>
                <w:szCs w:val="24"/>
              </w:rPr>
            </w:pPr>
            <w:r w:rsidRPr="00D46BAC">
              <w:rPr>
                <w:rFonts w:cs="Arial"/>
                <w:szCs w:val="24"/>
              </w:rPr>
              <w:t>3.70E+00</w:t>
            </w:r>
          </w:p>
        </w:tc>
      </w:tr>
      <w:tr w:rsidR="008E474B" w:rsidRPr="00B00E21" w14:paraId="76F1B711"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07DA2A5"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3ED546D1" w14:textId="30B4AEC9"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70AA695" w14:textId="1EA22738"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0EA54FC3" w14:textId="4DC74CC9" w:rsidR="00D46BAC" w:rsidRPr="00D46BAC" w:rsidRDefault="00D46BAC" w:rsidP="001B124C">
            <w:pPr>
              <w:jc w:val="center"/>
              <w:rPr>
                <w:rFonts w:cs="Arial"/>
                <w:szCs w:val="24"/>
              </w:rPr>
            </w:pPr>
          </w:p>
        </w:tc>
      </w:tr>
      <w:tr w:rsidR="008E474B" w:rsidRPr="00B00E21" w14:paraId="70071889"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208EF1A" w14:textId="77777777" w:rsidR="00D46BAC" w:rsidRPr="00D46BAC" w:rsidRDefault="00D46BAC" w:rsidP="008E474B">
            <w:pPr>
              <w:rPr>
                <w:b/>
                <w:bCs/>
                <w:szCs w:val="24"/>
                <w:u w:val="single"/>
              </w:rPr>
            </w:pPr>
            <w:r w:rsidRPr="00D46BAC">
              <w:rPr>
                <w:b/>
                <w:bCs/>
                <w:szCs w:val="24"/>
                <w:u w:val="single"/>
              </w:rPr>
              <w:t>Listed Acids</w:t>
            </w:r>
          </w:p>
        </w:tc>
        <w:tc>
          <w:tcPr>
            <w:tcW w:w="1710" w:type="dxa"/>
            <w:tcBorders>
              <w:top w:val="nil"/>
              <w:left w:val="nil"/>
              <w:bottom w:val="single" w:sz="4" w:space="0" w:color="auto"/>
              <w:right w:val="single" w:sz="4" w:space="0" w:color="auto"/>
            </w:tcBorders>
            <w:noWrap/>
            <w:vAlign w:val="center"/>
            <w:hideMark/>
          </w:tcPr>
          <w:p w14:paraId="1BC98FE4" w14:textId="71D992C2"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EA1D055" w14:textId="42E01137"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40C210B0" w14:textId="290144D2" w:rsidR="00D46BAC" w:rsidRPr="00D46BAC" w:rsidRDefault="00D46BAC" w:rsidP="001B124C">
            <w:pPr>
              <w:jc w:val="center"/>
              <w:rPr>
                <w:rFonts w:cs="Arial"/>
                <w:szCs w:val="24"/>
              </w:rPr>
            </w:pPr>
          </w:p>
        </w:tc>
      </w:tr>
      <w:tr w:rsidR="008E474B" w:rsidRPr="00B00E21" w14:paraId="254DF315"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B452F7C" w14:textId="77777777" w:rsidR="00D46BAC" w:rsidRPr="00D46BAC" w:rsidRDefault="00D46BAC" w:rsidP="002F62C8">
            <w:pPr>
              <w:rPr>
                <w:szCs w:val="24"/>
              </w:rPr>
            </w:pPr>
            <w:r w:rsidRPr="00D46BAC">
              <w:rPr>
                <w:szCs w:val="24"/>
              </w:rPr>
              <w:t>Hydrogen chloride (hydrochloric acid)</w:t>
            </w:r>
          </w:p>
        </w:tc>
        <w:tc>
          <w:tcPr>
            <w:tcW w:w="1710" w:type="dxa"/>
            <w:tcBorders>
              <w:top w:val="nil"/>
              <w:left w:val="nil"/>
              <w:bottom w:val="single" w:sz="4" w:space="0" w:color="auto"/>
              <w:right w:val="single" w:sz="4" w:space="0" w:color="auto"/>
            </w:tcBorders>
            <w:noWrap/>
            <w:vAlign w:val="center"/>
            <w:hideMark/>
          </w:tcPr>
          <w:p w14:paraId="083BA1A9"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72B57C4D" w14:textId="77777777" w:rsidR="00D46BAC" w:rsidRPr="00D46BAC" w:rsidRDefault="00D46BAC" w:rsidP="001B124C">
            <w:pPr>
              <w:jc w:val="center"/>
              <w:rPr>
                <w:rFonts w:cs="Arial"/>
                <w:szCs w:val="24"/>
              </w:rPr>
            </w:pPr>
            <w:r w:rsidRPr="00D46BAC">
              <w:rPr>
                <w:rFonts w:cs="Arial"/>
                <w:szCs w:val="24"/>
              </w:rPr>
              <w:t>2.00E-01</w:t>
            </w:r>
          </w:p>
        </w:tc>
        <w:tc>
          <w:tcPr>
            <w:tcW w:w="1540" w:type="dxa"/>
            <w:tcBorders>
              <w:top w:val="nil"/>
              <w:left w:val="nil"/>
              <w:bottom w:val="single" w:sz="4" w:space="0" w:color="auto"/>
              <w:right w:val="single" w:sz="4" w:space="0" w:color="auto"/>
            </w:tcBorders>
            <w:noWrap/>
            <w:vAlign w:val="center"/>
            <w:hideMark/>
          </w:tcPr>
          <w:p w14:paraId="376E80BF" w14:textId="77777777" w:rsidR="00D46BAC" w:rsidRPr="00D46BAC" w:rsidRDefault="00D46BAC" w:rsidP="001B124C">
            <w:pPr>
              <w:jc w:val="center"/>
              <w:rPr>
                <w:rFonts w:cs="Arial"/>
                <w:szCs w:val="24"/>
              </w:rPr>
            </w:pPr>
            <w:r w:rsidRPr="00D46BAC">
              <w:rPr>
                <w:rFonts w:cs="Arial"/>
                <w:szCs w:val="24"/>
              </w:rPr>
              <w:t>3.00E+01</w:t>
            </w:r>
          </w:p>
        </w:tc>
      </w:tr>
      <w:tr w:rsidR="008E474B" w:rsidRPr="00B00E21" w14:paraId="1842991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A734259" w14:textId="77777777" w:rsidR="00D46BAC" w:rsidRPr="00D46BAC" w:rsidRDefault="00D46BAC" w:rsidP="002F62C8">
            <w:pPr>
              <w:rPr>
                <w:szCs w:val="24"/>
              </w:rPr>
            </w:pPr>
            <w:r w:rsidRPr="00D46BAC">
              <w:rPr>
                <w:szCs w:val="24"/>
              </w:rPr>
              <w:t>Hydrogen fluoride</w:t>
            </w:r>
          </w:p>
        </w:tc>
        <w:tc>
          <w:tcPr>
            <w:tcW w:w="1710" w:type="dxa"/>
            <w:tcBorders>
              <w:top w:val="nil"/>
              <w:left w:val="nil"/>
              <w:bottom w:val="single" w:sz="4" w:space="0" w:color="auto"/>
              <w:right w:val="single" w:sz="4" w:space="0" w:color="auto"/>
            </w:tcBorders>
            <w:noWrap/>
            <w:vAlign w:val="center"/>
            <w:hideMark/>
          </w:tcPr>
          <w:p w14:paraId="72C52260"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0FC4B91C" w14:textId="77777777" w:rsidR="00D46BAC" w:rsidRPr="00D46BAC" w:rsidRDefault="00D46BAC" w:rsidP="001B124C">
            <w:pPr>
              <w:jc w:val="center"/>
              <w:rPr>
                <w:rFonts w:cs="Arial"/>
                <w:szCs w:val="24"/>
              </w:rPr>
            </w:pPr>
            <w:r w:rsidRPr="00D46BAC">
              <w:rPr>
                <w:rFonts w:cs="Arial"/>
                <w:szCs w:val="24"/>
              </w:rPr>
              <w:t>5.90E-02</w:t>
            </w:r>
          </w:p>
        </w:tc>
        <w:tc>
          <w:tcPr>
            <w:tcW w:w="1540" w:type="dxa"/>
            <w:tcBorders>
              <w:top w:val="nil"/>
              <w:left w:val="nil"/>
              <w:bottom w:val="single" w:sz="4" w:space="0" w:color="auto"/>
              <w:right w:val="single" w:sz="4" w:space="0" w:color="auto"/>
            </w:tcBorders>
            <w:noWrap/>
            <w:vAlign w:val="center"/>
            <w:hideMark/>
          </w:tcPr>
          <w:p w14:paraId="08FE20F2" w14:textId="77777777" w:rsidR="00D46BAC" w:rsidRPr="00D46BAC" w:rsidRDefault="00D46BAC" w:rsidP="001B124C">
            <w:pPr>
              <w:jc w:val="center"/>
              <w:rPr>
                <w:rFonts w:cs="Arial"/>
                <w:szCs w:val="24"/>
              </w:rPr>
            </w:pPr>
            <w:r w:rsidRPr="00D46BAC">
              <w:rPr>
                <w:rFonts w:cs="Arial"/>
                <w:szCs w:val="24"/>
              </w:rPr>
              <w:t>5.80E+00</w:t>
            </w:r>
          </w:p>
        </w:tc>
      </w:tr>
      <w:tr w:rsidR="008E474B" w:rsidRPr="00B00E21" w14:paraId="05578F6F"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4DF8C606"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5BD1C1E0" w14:textId="30B9FDF6"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9078538" w14:textId="6A509FC1"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508E7CD3" w14:textId="320DA3B4" w:rsidR="00D46BAC" w:rsidRPr="00D46BAC" w:rsidRDefault="00D46BAC" w:rsidP="001B124C">
            <w:pPr>
              <w:jc w:val="center"/>
              <w:rPr>
                <w:rFonts w:cs="Arial"/>
                <w:szCs w:val="24"/>
              </w:rPr>
            </w:pPr>
          </w:p>
        </w:tc>
      </w:tr>
      <w:tr w:rsidR="008E474B" w:rsidRPr="00B00E21" w14:paraId="6AA44DF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B265491" w14:textId="77777777" w:rsidR="00D46BAC" w:rsidRPr="00D46BAC" w:rsidRDefault="00D46BAC" w:rsidP="008E474B">
            <w:pPr>
              <w:rPr>
                <w:b/>
                <w:bCs/>
                <w:szCs w:val="24"/>
                <w:u w:val="single"/>
              </w:rPr>
            </w:pPr>
            <w:r w:rsidRPr="00D46BAC">
              <w:rPr>
                <w:b/>
                <w:bCs/>
                <w:szCs w:val="24"/>
                <w:u w:val="single"/>
              </w:rPr>
              <w:t>Dioxins</w:t>
            </w:r>
          </w:p>
        </w:tc>
        <w:tc>
          <w:tcPr>
            <w:tcW w:w="1710" w:type="dxa"/>
            <w:tcBorders>
              <w:top w:val="nil"/>
              <w:left w:val="nil"/>
              <w:bottom w:val="single" w:sz="4" w:space="0" w:color="auto"/>
              <w:right w:val="single" w:sz="4" w:space="0" w:color="auto"/>
            </w:tcBorders>
            <w:noWrap/>
            <w:vAlign w:val="center"/>
            <w:hideMark/>
          </w:tcPr>
          <w:p w14:paraId="5886FDD7" w14:textId="504DFC24"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4DC4FFAA" w14:textId="5ACEE36B"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1990FF71" w14:textId="4DF760C1" w:rsidR="00D46BAC" w:rsidRPr="00D46BAC" w:rsidRDefault="00D46BAC" w:rsidP="001B124C">
            <w:pPr>
              <w:jc w:val="center"/>
              <w:rPr>
                <w:rFonts w:cs="Arial"/>
                <w:szCs w:val="24"/>
              </w:rPr>
            </w:pPr>
          </w:p>
        </w:tc>
      </w:tr>
      <w:tr w:rsidR="008E474B" w:rsidRPr="00B00E21" w14:paraId="3864FF6A"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3C50EF1A" w14:textId="77777777" w:rsidR="00D46BAC" w:rsidRPr="00D46BAC" w:rsidRDefault="00D46BAC" w:rsidP="002F62C8">
            <w:pPr>
              <w:rPr>
                <w:szCs w:val="24"/>
              </w:rPr>
            </w:pPr>
            <w:r w:rsidRPr="00D46BAC">
              <w:rPr>
                <w:szCs w:val="24"/>
              </w:rPr>
              <w:t>2,3,7,8-tetrachlorodibenzo-p-dioxin</w:t>
            </w:r>
          </w:p>
        </w:tc>
        <w:tc>
          <w:tcPr>
            <w:tcW w:w="1710" w:type="dxa"/>
            <w:tcBorders>
              <w:top w:val="nil"/>
              <w:left w:val="nil"/>
              <w:bottom w:val="single" w:sz="4" w:space="0" w:color="auto"/>
              <w:right w:val="single" w:sz="4" w:space="0" w:color="auto"/>
            </w:tcBorders>
            <w:noWrap/>
            <w:vAlign w:val="center"/>
            <w:hideMark/>
          </w:tcPr>
          <w:p w14:paraId="07F18C85"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8A87626"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1C9739C"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ED53DE7"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5A753E3" w14:textId="77777777" w:rsidR="00D46BAC" w:rsidRPr="00D46BAC" w:rsidRDefault="00D46BAC" w:rsidP="002F62C8">
            <w:pPr>
              <w:rPr>
                <w:szCs w:val="24"/>
              </w:rPr>
            </w:pPr>
            <w:r w:rsidRPr="00D46BAC">
              <w:rPr>
                <w:szCs w:val="24"/>
              </w:rPr>
              <w:lastRenderedPageBreak/>
              <w:t> </w:t>
            </w:r>
          </w:p>
        </w:tc>
        <w:tc>
          <w:tcPr>
            <w:tcW w:w="1710" w:type="dxa"/>
            <w:tcBorders>
              <w:top w:val="nil"/>
              <w:left w:val="nil"/>
              <w:bottom w:val="single" w:sz="4" w:space="0" w:color="auto"/>
              <w:right w:val="single" w:sz="4" w:space="0" w:color="auto"/>
            </w:tcBorders>
            <w:noWrap/>
            <w:vAlign w:val="center"/>
            <w:hideMark/>
          </w:tcPr>
          <w:p w14:paraId="4F49DECA" w14:textId="2647A0A2"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5FF4D57B" w14:textId="24EA3C7F"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4EAEB151" w14:textId="491F9F37" w:rsidR="00D46BAC" w:rsidRPr="00D46BAC" w:rsidRDefault="00D46BAC" w:rsidP="001B124C">
            <w:pPr>
              <w:jc w:val="center"/>
              <w:rPr>
                <w:rFonts w:cs="Arial"/>
                <w:szCs w:val="24"/>
              </w:rPr>
            </w:pPr>
          </w:p>
        </w:tc>
      </w:tr>
      <w:tr w:rsidR="008E474B" w:rsidRPr="00B00E21" w14:paraId="1FAA8666"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5B499B6" w14:textId="77777777" w:rsidR="00D46BAC" w:rsidRPr="00D46BAC" w:rsidRDefault="00D46BAC" w:rsidP="002F62C8">
            <w:pPr>
              <w:rPr>
                <w:szCs w:val="24"/>
              </w:rPr>
            </w:pPr>
            <w:r w:rsidRPr="00D46BAC">
              <w:rPr>
                <w:szCs w:val="24"/>
              </w:rPr>
              <w:t>1,2,3,4,6,7,8-Heptachlorodibenzo-p-dioxin</w:t>
            </w:r>
          </w:p>
        </w:tc>
        <w:tc>
          <w:tcPr>
            <w:tcW w:w="1710" w:type="dxa"/>
            <w:tcBorders>
              <w:top w:val="nil"/>
              <w:left w:val="nil"/>
              <w:bottom w:val="single" w:sz="4" w:space="0" w:color="auto"/>
              <w:right w:val="single" w:sz="4" w:space="0" w:color="auto"/>
            </w:tcBorders>
            <w:noWrap/>
            <w:vAlign w:val="center"/>
            <w:hideMark/>
          </w:tcPr>
          <w:p w14:paraId="2C79D04E"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58391D7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222C7C55"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62B589A"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BF2AF66"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583FCCAC" w14:textId="5D2BDAF8"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229BBCA0" w14:textId="767C3BB3"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4BA00D4E" w14:textId="170B398A" w:rsidR="00D46BAC" w:rsidRPr="00D46BAC" w:rsidRDefault="00D46BAC" w:rsidP="001B124C">
            <w:pPr>
              <w:jc w:val="center"/>
              <w:rPr>
                <w:rFonts w:cs="Arial"/>
                <w:szCs w:val="24"/>
              </w:rPr>
            </w:pPr>
          </w:p>
        </w:tc>
      </w:tr>
      <w:tr w:rsidR="008E474B" w:rsidRPr="00B00E21" w14:paraId="6092F0F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7F30208" w14:textId="77777777" w:rsidR="00D46BAC" w:rsidRPr="00D46BAC" w:rsidRDefault="00D46BAC" w:rsidP="002F62C8">
            <w:pPr>
              <w:rPr>
                <w:szCs w:val="24"/>
              </w:rPr>
            </w:pPr>
            <w:r w:rsidRPr="00D46BAC">
              <w:rPr>
                <w:szCs w:val="24"/>
              </w:rPr>
              <w:t>SUM of Hexachlorodibenzo-p-dioxin</w:t>
            </w:r>
          </w:p>
        </w:tc>
        <w:tc>
          <w:tcPr>
            <w:tcW w:w="1710" w:type="dxa"/>
            <w:tcBorders>
              <w:top w:val="nil"/>
              <w:left w:val="nil"/>
              <w:bottom w:val="single" w:sz="4" w:space="0" w:color="auto"/>
              <w:right w:val="single" w:sz="4" w:space="0" w:color="auto"/>
            </w:tcBorders>
            <w:noWrap/>
            <w:vAlign w:val="center"/>
            <w:hideMark/>
          </w:tcPr>
          <w:p w14:paraId="20A1D0F0"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7AD94D78"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7D7DDCF7" w14:textId="77777777" w:rsidR="00D46BAC" w:rsidRPr="00D46BAC" w:rsidRDefault="00D46BAC" w:rsidP="001B124C">
            <w:pPr>
              <w:jc w:val="center"/>
              <w:rPr>
                <w:rFonts w:cs="Arial"/>
                <w:szCs w:val="24"/>
              </w:rPr>
            </w:pPr>
            <w:r w:rsidRPr="00D46BAC">
              <w:rPr>
                <w:rFonts w:cs="Arial"/>
                <w:szCs w:val="24"/>
              </w:rPr>
              <w:t>N/A</w:t>
            </w:r>
          </w:p>
        </w:tc>
      </w:tr>
      <w:tr w:rsidR="008E474B" w:rsidRPr="00B00E21" w14:paraId="6F6A007E"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0033B3C4"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5A840CDD" w14:textId="24AB322F"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16EE7000" w14:textId="56B100C0"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544B7F93" w14:textId="5F76B11F" w:rsidR="00D46BAC" w:rsidRPr="00D46BAC" w:rsidRDefault="00D46BAC" w:rsidP="001B124C">
            <w:pPr>
              <w:jc w:val="center"/>
              <w:rPr>
                <w:rFonts w:cs="Arial"/>
                <w:szCs w:val="24"/>
              </w:rPr>
            </w:pPr>
          </w:p>
        </w:tc>
      </w:tr>
      <w:tr w:rsidR="008E474B" w:rsidRPr="00B00E21" w14:paraId="59D018D2"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0A1D6A9" w14:textId="77777777" w:rsidR="00D46BAC" w:rsidRPr="00D46BAC" w:rsidRDefault="00D46BAC" w:rsidP="002F62C8">
            <w:pPr>
              <w:rPr>
                <w:szCs w:val="24"/>
              </w:rPr>
            </w:pPr>
            <w:r w:rsidRPr="00D46BAC">
              <w:rPr>
                <w:szCs w:val="24"/>
              </w:rPr>
              <w:t>1,2,3,4,7,8-Hexachlorodibenzo-p-dioxin</w:t>
            </w:r>
          </w:p>
        </w:tc>
        <w:tc>
          <w:tcPr>
            <w:tcW w:w="1710" w:type="dxa"/>
            <w:tcBorders>
              <w:top w:val="nil"/>
              <w:left w:val="nil"/>
              <w:bottom w:val="single" w:sz="4" w:space="0" w:color="auto"/>
              <w:right w:val="single" w:sz="4" w:space="0" w:color="auto"/>
            </w:tcBorders>
            <w:noWrap/>
            <w:vAlign w:val="center"/>
            <w:hideMark/>
          </w:tcPr>
          <w:p w14:paraId="6BB4F905"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18C216AD"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68ECA703" w14:textId="77777777" w:rsidR="00D46BAC" w:rsidRPr="00D46BAC" w:rsidRDefault="00D46BAC" w:rsidP="001B124C">
            <w:pPr>
              <w:jc w:val="center"/>
              <w:rPr>
                <w:rFonts w:cs="Arial"/>
                <w:szCs w:val="24"/>
              </w:rPr>
            </w:pPr>
            <w:r w:rsidRPr="00D46BAC">
              <w:rPr>
                <w:rFonts w:cs="Arial"/>
                <w:szCs w:val="24"/>
              </w:rPr>
              <w:t>N/A</w:t>
            </w:r>
          </w:p>
        </w:tc>
      </w:tr>
      <w:tr w:rsidR="008E474B" w:rsidRPr="00B00E21" w14:paraId="56180044"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1F551E5C" w14:textId="77777777" w:rsidR="00D46BAC" w:rsidRPr="00D46BAC" w:rsidRDefault="00D46BAC" w:rsidP="002F62C8">
            <w:pPr>
              <w:rPr>
                <w:szCs w:val="24"/>
              </w:rPr>
            </w:pPr>
            <w:r w:rsidRPr="00D46BAC">
              <w:rPr>
                <w:szCs w:val="24"/>
              </w:rPr>
              <w:t>1,2,3,6,7,8-Hexachlorodibenzo-p-dioxin</w:t>
            </w:r>
          </w:p>
        </w:tc>
        <w:tc>
          <w:tcPr>
            <w:tcW w:w="1710" w:type="dxa"/>
            <w:tcBorders>
              <w:top w:val="nil"/>
              <w:left w:val="nil"/>
              <w:bottom w:val="single" w:sz="4" w:space="0" w:color="auto"/>
              <w:right w:val="single" w:sz="4" w:space="0" w:color="auto"/>
            </w:tcBorders>
            <w:noWrap/>
            <w:vAlign w:val="center"/>
            <w:hideMark/>
          </w:tcPr>
          <w:p w14:paraId="1F7A82BF"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39F68C44"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426FCCFE" w14:textId="77777777" w:rsidR="00D46BAC" w:rsidRPr="00D46BAC" w:rsidRDefault="00D46BAC" w:rsidP="001B124C">
            <w:pPr>
              <w:jc w:val="center"/>
              <w:rPr>
                <w:rFonts w:cs="Arial"/>
                <w:szCs w:val="24"/>
              </w:rPr>
            </w:pPr>
            <w:r w:rsidRPr="00D46BAC">
              <w:rPr>
                <w:rFonts w:cs="Arial"/>
                <w:szCs w:val="24"/>
              </w:rPr>
              <w:t>N/A</w:t>
            </w:r>
          </w:p>
        </w:tc>
      </w:tr>
      <w:tr w:rsidR="008E474B" w:rsidRPr="00B00E21" w14:paraId="19EAF10B"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71CF224B" w14:textId="77777777" w:rsidR="00D46BAC" w:rsidRPr="00D46BAC" w:rsidRDefault="00D46BAC" w:rsidP="002F62C8">
            <w:pPr>
              <w:rPr>
                <w:szCs w:val="24"/>
              </w:rPr>
            </w:pPr>
            <w:r w:rsidRPr="00D46BAC">
              <w:rPr>
                <w:szCs w:val="24"/>
              </w:rPr>
              <w:t>1,2,3,7,8,9-Hexachlorodibenzo-p-dioxin</w:t>
            </w:r>
          </w:p>
        </w:tc>
        <w:tc>
          <w:tcPr>
            <w:tcW w:w="1710" w:type="dxa"/>
            <w:tcBorders>
              <w:top w:val="nil"/>
              <w:left w:val="nil"/>
              <w:bottom w:val="single" w:sz="4" w:space="0" w:color="auto"/>
              <w:right w:val="single" w:sz="4" w:space="0" w:color="auto"/>
            </w:tcBorders>
            <w:noWrap/>
            <w:vAlign w:val="center"/>
            <w:hideMark/>
          </w:tcPr>
          <w:p w14:paraId="32637F2C"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2E12926D"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19883877" w14:textId="77777777" w:rsidR="00D46BAC" w:rsidRPr="00D46BAC" w:rsidRDefault="00D46BAC" w:rsidP="001B124C">
            <w:pPr>
              <w:jc w:val="center"/>
              <w:rPr>
                <w:rFonts w:cs="Arial"/>
                <w:szCs w:val="24"/>
              </w:rPr>
            </w:pPr>
            <w:r w:rsidRPr="00D46BAC">
              <w:rPr>
                <w:rFonts w:cs="Arial"/>
                <w:szCs w:val="24"/>
              </w:rPr>
              <w:t>N/A</w:t>
            </w:r>
          </w:p>
        </w:tc>
      </w:tr>
      <w:tr w:rsidR="008E474B" w:rsidRPr="00B00E21" w14:paraId="2FEDE22D"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652DF53B" w14:textId="77777777" w:rsidR="00D46BAC" w:rsidRPr="00D46BAC" w:rsidRDefault="00D46BAC" w:rsidP="002F62C8">
            <w:pPr>
              <w:rPr>
                <w:szCs w:val="24"/>
              </w:rPr>
            </w:pPr>
            <w:r w:rsidRPr="00D46BAC">
              <w:rPr>
                <w:szCs w:val="24"/>
              </w:rPr>
              <w:t> </w:t>
            </w:r>
          </w:p>
        </w:tc>
        <w:tc>
          <w:tcPr>
            <w:tcW w:w="1710" w:type="dxa"/>
            <w:tcBorders>
              <w:top w:val="nil"/>
              <w:left w:val="nil"/>
              <w:bottom w:val="single" w:sz="4" w:space="0" w:color="auto"/>
              <w:right w:val="single" w:sz="4" w:space="0" w:color="auto"/>
            </w:tcBorders>
            <w:noWrap/>
            <w:vAlign w:val="center"/>
            <w:hideMark/>
          </w:tcPr>
          <w:p w14:paraId="2F25C827" w14:textId="6775D743" w:rsidR="00D46BAC" w:rsidRPr="00D46BAC" w:rsidRDefault="00D46BAC" w:rsidP="001B124C">
            <w:pPr>
              <w:jc w:val="center"/>
              <w:rPr>
                <w:rFonts w:cs="Arial"/>
                <w:szCs w:val="24"/>
              </w:rPr>
            </w:pPr>
          </w:p>
        </w:tc>
        <w:tc>
          <w:tcPr>
            <w:tcW w:w="1890" w:type="dxa"/>
            <w:tcBorders>
              <w:top w:val="nil"/>
              <w:left w:val="nil"/>
              <w:bottom w:val="single" w:sz="4" w:space="0" w:color="auto"/>
              <w:right w:val="single" w:sz="4" w:space="0" w:color="auto"/>
            </w:tcBorders>
            <w:noWrap/>
            <w:vAlign w:val="center"/>
            <w:hideMark/>
          </w:tcPr>
          <w:p w14:paraId="577C5356" w14:textId="2ED01FD9" w:rsidR="00D46BAC" w:rsidRPr="00D46BAC" w:rsidRDefault="00D46BAC" w:rsidP="001B124C">
            <w:pPr>
              <w:jc w:val="center"/>
              <w:rPr>
                <w:rFonts w:cs="Arial"/>
                <w:szCs w:val="24"/>
              </w:rPr>
            </w:pPr>
          </w:p>
        </w:tc>
        <w:tc>
          <w:tcPr>
            <w:tcW w:w="1540" w:type="dxa"/>
            <w:tcBorders>
              <w:top w:val="nil"/>
              <w:left w:val="nil"/>
              <w:bottom w:val="single" w:sz="4" w:space="0" w:color="auto"/>
              <w:right w:val="single" w:sz="4" w:space="0" w:color="auto"/>
            </w:tcBorders>
            <w:noWrap/>
            <w:vAlign w:val="center"/>
            <w:hideMark/>
          </w:tcPr>
          <w:p w14:paraId="5795FBE8" w14:textId="0162A100" w:rsidR="00D46BAC" w:rsidRPr="00D46BAC" w:rsidRDefault="00D46BAC" w:rsidP="001B124C">
            <w:pPr>
              <w:jc w:val="center"/>
              <w:rPr>
                <w:rFonts w:cs="Arial"/>
                <w:szCs w:val="24"/>
              </w:rPr>
            </w:pPr>
          </w:p>
        </w:tc>
      </w:tr>
      <w:tr w:rsidR="008E474B" w:rsidRPr="00B00E21" w14:paraId="21770F6A" w14:textId="77777777" w:rsidTr="008E474B">
        <w:trPr>
          <w:trHeight w:val="264"/>
        </w:trPr>
        <w:tc>
          <w:tcPr>
            <w:tcW w:w="4220" w:type="dxa"/>
            <w:tcBorders>
              <w:top w:val="nil"/>
              <w:left w:val="single" w:sz="4" w:space="0" w:color="auto"/>
              <w:bottom w:val="single" w:sz="4" w:space="0" w:color="auto"/>
              <w:right w:val="single" w:sz="4" w:space="0" w:color="auto"/>
            </w:tcBorders>
            <w:noWrap/>
            <w:vAlign w:val="bottom"/>
            <w:hideMark/>
          </w:tcPr>
          <w:p w14:paraId="540AAB98" w14:textId="77777777" w:rsidR="00D46BAC" w:rsidRPr="00D46BAC" w:rsidRDefault="00D46BAC" w:rsidP="002F62C8">
            <w:pPr>
              <w:rPr>
                <w:szCs w:val="24"/>
              </w:rPr>
            </w:pPr>
            <w:r w:rsidRPr="00D46BAC">
              <w:rPr>
                <w:szCs w:val="24"/>
              </w:rPr>
              <w:t>1,2,3,7,8-Pentachlorodibenzo-p-dioxin</w:t>
            </w:r>
          </w:p>
        </w:tc>
        <w:tc>
          <w:tcPr>
            <w:tcW w:w="1710" w:type="dxa"/>
            <w:tcBorders>
              <w:top w:val="nil"/>
              <w:left w:val="nil"/>
              <w:bottom w:val="single" w:sz="4" w:space="0" w:color="auto"/>
              <w:right w:val="single" w:sz="4" w:space="0" w:color="auto"/>
            </w:tcBorders>
            <w:noWrap/>
            <w:vAlign w:val="center"/>
            <w:hideMark/>
          </w:tcPr>
          <w:p w14:paraId="3865B87E" w14:textId="77777777" w:rsidR="00D46BAC" w:rsidRPr="00D46BAC" w:rsidRDefault="00D46BAC" w:rsidP="001B124C">
            <w:pPr>
              <w:jc w:val="center"/>
              <w:rPr>
                <w:rFonts w:cs="Arial"/>
                <w:szCs w:val="24"/>
              </w:rPr>
            </w:pPr>
            <w:r w:rsidRPr="00D46BAC">
              <w:rPr>
                <w:rFonts w:cs="Arial"/>
                <w:szCs w:val="24"/>
              </w:rPr>
              <w:t>N/A</w:t>
            </w:r>
          </w:p>
        </w:tc>
        <w:tc>
          <w:tcPr>
            <w:tcW w:w="1890" w:type="dxa"/>
            <w:tcBorders>
              <w:top w:val="nil"/>
              <w:left w:val="nil"/>
              <w:bottom w:val="single" w:sz="4" w:space="0" w:color="auto"/>
              <w:right w:val="single" w:sz="4" w:space="0" w:color="auto"/>
            </w:tcBorders>
            <w:noWrap/>
            <w:vAlign w:val="center"/>
            <w:hideMark/>
          </w:tcPr>
          <w:p w14:paraId="31637E2F" w14:textId="77777777" w:rsidR="00D46BAC" w:rsidRPr="00D46BAC" w:rsidRDefault="00D46BAC" w:rsidP="001B124C">
            <w:pPr>
              <w:jc w:val="center"/>
              <w:rPr>
                <w:rFonts w:cs="Arial"/>
                <w:szCs w:val="24"/>
              </w:rPr>
            </w:pPr>
            <w:r w:rsidRPr="00D46BAC">
              <w:rPr>
                <w:rFonts w:cs="Arial"/>
                <w:szCs w:val="24"/>
              </w:rPr>
              <w:t>N/A</w:t>
            </w:r>
          </w:p>
        </w:tc>
        <w:tc>
          <w:tcPr>
            <w:tcW w:w="1540" w:type="dxa"/>
            <w:tcBorders>
              <w:top w:val="nil"/>
              <w:left w:val="nil"/>
              <w:bottom w:val="single" w:sz="4" w:space="0" w:color="auto"/>
              <w:right w:val="single" w:sz="4" w:space="0" w:color="auto"/>
            </w:tcBorders>
            <w:noWrap/>
            <w:vAlign w:val="center"/>
            <w:hideMark/>
          </w:tcPr>
          <w:p w14:paraId="50ECA4B2" w14:textId="77777777" w:rsidR="00D46BAC" w:rsidRPr="00D46BAC" w:rsidRDefault="00D46BAC" w:rsidP="001B124C">
            <w:pPr>
              <w:jc w:val="center"/>
              <w:rPr>
                <w:rFonts w:cs="Arial"/>
                <w:szCs w:val="24"/>
              </w:rPr>
            </w:pPr>
            <w:r w:rsidRPr="00D46BAC">
              <w:rPr>
                <w:rFonts w:cs="Arial"/>
                <w:szCs w:val="24"/>
              </w:rPr>
              <w:t>N/A</w:t>
            </w:r>
          </w:p>
        </w:tc>
      </w:tr>
    </w:tbl>
    <w:p w14:paraId="5032B101" w14:textId="77777777" w:rsidR="00650CFB" w:rsidRDefault="00650CFB" w:rsidP="004A3159">
      <w:pPr>
        <w:autoSpaceDE w:val="0"/>
        <w:autoSpaceDN w:val="0"/>
        <w:adjustRightInd w:val="0"/>
        <w:ind w:left="720"/>
      </w:pPr>
    </w:p>
    <w:tbl>
      <w:tblPr>
        <w:tblW w:w="9345" w:type="dxa"/>
        <w:tblLook w:val="04A0" w:firstRow="1" w:lastRow="0" w:firstColumn="1" w:lastColumn="0" w:noHBand="0" w:noVBand="1"/>
      </w:tblPr>
      <w:tblGrid>
        <w:gridCol w:w="4220"/>
        <w:gridCol w:w="1383"/>
        <w:gridCol w:w="1208"/>
        <w:gridCol w:w="1300"/>
        <w:gridCol w:w="1234"/>
      </w:tblGrid>
      <w:tr w:rsidR="00ED2B5C" w:rsidRPr="00D46BAC" w14:paraId="346F7593" w14:textId="03EA3231" w:rsidTr="00CE2CF5">
        <w:trPr>
          <w:trHeight w:val="1267"/>
          <w:tblHeader/>
        </w:trPr>
        <w:tc>
          <w:tcPr>
            <w:tcW w:w="4220" w:type="dxa"/>
            <w:tcBorders>
              <w:top w:val="single" w:sz="8" w:space="0" w:color="auto"/>
              <w:left w:val="single" w:sz="8" w:space="0" w:color="auto"/>
              <w:bottom w:val="single" w:sz="8" w:space="0" w:color="000000"/>
              <w:right w:val="single" w:sz="4" w:space="0" w:color="auto"/>
            </w:tcBorders>
            <w:noWrap/>
            <w:vAlign w:val="center"/>
            <w:hideMark/>
          </w:tcPr>
          <w:p w14:paraId="253319BF" w14:textId="77777777" w:rsidR="00ED2B5C" w:rsidRPr="00D46BAC" w:rsidRDefault="00ED2B5C" w:rsidP="00ED2B5C">
            <w:pPr>
              <w:jc w:val="center"/>
              <w:rPr>
                <w:b/>
                <w:bCs/>
                <w:szCs w:val="24"/>
              </w:rPr>
            </w:pPr>
            <w:r w:rsidRPr="00D46BAC">
              <w:rPr>
                <w:b/>
                <w:bCs/>
                <w:szCs w:val="24"/>
              </w:rPr>
              <w:t>HAP Category / Pollutant Name</w:t>
            </w:r>
          </w:p>
        </w:tc>
        <w:tc>
          <w:tcPr>
            <w:tcW w:w="1412" w:type="dxa"/>
            <w:tcBorders>
              <w:top w:val="single" w:sz="8" w:space="0" w:color="auto"/>
              <w:left w:val="single" w:sz="8" w:space="0" w:color="auto"/>
              <w:bottom w:val="single" w:sz="8" w:space="0" w:color="000000"/>
              <w:right w:val="single" w:sz="4" w:space="0" w:color="auto"/>
            </w:tcBorders>
            <w:vAlign w:val="center"/>
          </w:tcPr>
          <w:p w14:paraId="1AD69E53" w14:textId="6ADD2789" w:rsidR="00ED2B5C" w:rsidRPr="00D46BAC" w:rsidRDefault="00ED2B5C" w:rsidP="00505E7C">
            <w:pPr>
              <w:jc w:val="center"/>
              <w:rPr>
                <w:b/>
                <w:bCs/>
                <w:szCs w:val="24"/>
              </w:rPr>
            </w:pPr>
            <w:r w:rsidRPr="00ED2B5C">
              <w:rPr>
                <w:b/>
                <w:bCs/>
                <w:szCs w:val="24"/>
              </w:rPr>
              <w:t xml:space="preserve">Cancer URF </w:t>
            </w:r>
            <w:r w:rsidR="00BF51CA">
              <w:rPr>
                <w:b/>
                <w:bCs/>
                <w:szCs w:val="24"/>
                <w:vertAlign w:val="superscript"/>
              </w:rPr>
              <w:t>1</w:t>
            </w:r>
          </w:p>
        </w:tc>
        <w:tc>
          <w:tcPr>
            <w:tcW w:w="1245" w:type="dxa"/>
            <w:tcBorders>
              <w:top w:val="single" w:sz="8" w:space="0" w:color="auto"/>
              <w:left w:val="single" w:sz="8" w:space="0" w:color="auto"/>
              <w:bottom w:val="single" w:sz="8" w:space="0" w:color="000000"/>
              <w:right w:val="single" w:sz="4" w:space="0" w:color="auto"/>
            </w:tcBorders>
            <w:vAlign w:val="center"/>
          </w:tcPr>
          <w:p w14:paraId="4664444F" w14:textId="373A87CF" w:rsidR="00ED2B5C" w:rsidRPr="00D46BAC" w:rsidRDefault="00ED2B5C" w:rsidP="00505E7C">
            <w:pPr>
              <w:jc w:val="center"/>
              <w:rPr>
                <w:b/>
                <w:bCs/>
                <w:szCs w:val="24"/>
              </w:rPr>
            </w:pPr>
            <w:r w:rsidRPr="00ED2B5C">
              <w:rPr>
                <w:b/>
                <w:bCs/>
                <w:szCs w:val="24"/>
              </w:rPr>
              <w:t xml:space="preserve">Cancer Risk </w:t>
            </w:r>
            <w:r w:rsidR="00BF51CA" w:rsidRPr="00BF51CA">
              <w:rPr>
                <w:b/>
                <w:bCs/>
                <w:szCs w:val="24"/>
                <w:vertAlign w:val="superscript"/>
              </w:rPr>
              <w:t>2</w:t>
            </w:r>
          </w:p>
        </w:tc>
        <w:tc>
          <w:tcPr>
            <w:tcW w:w="1234" w:type="dxa"/>
            <w:tcBorders>
              <w:top w:val="single" w:sz="8" w:space="0" w:color="auto"/>
              <w:left w:val="single" w:sz="8" w:space="0" w:color="auto"/>
              <w:bottom w:val="single" w:sz="8" w:space="0" w:color="000000"/>
              <w:right w:val="single" w:sz="4" w:space="0" w:color="auto"/>
            </w:tcBorders>
            <w:vAlign w:val="center"/>
          </w:tcPr>
          <w:p w14:paraId="40E169E9" w14:textId="2EF80050" w:rsidR="00ED2B5C" w:rsidRPr="00D46BAC" w:rsidRDefault="00ED2B5C" w:rsidP="00505E7C">
            <w:pPr>
              <w:jc w:val="center"/>
              <w:rPr>
                <w:b/>
                <w:bCs/>
                <w:szCs w:val="24"/>
              </w:rPr>
            </w:pPr>
            <w:r w:rsidRPr="00ED2B5C">
              <w:rPr>
                <w:b/>
                <w:bCs/>
                <w:szCs w:val="24"/>
              </w:rPr>
              <w:t>CNCREL</w:t>
            </w:r>
            <w:r w:rsidR="001A371B">
              <w:rPr>
                <w:b/>
                <w:bCs/>
                <w:szCs w:val="24"/>
                <w:vertAlign w:val="superscript"/>
              </w:rPr>
              <w:t>3</w:t>
            </w:r>
            <w:r w:rsidRPr="00ED2B5C">
              <w:rPr>
                <w:b/>
                <w:bCs/>
                <w:szCs w:val="24"/>
              </w:rPr>
              <w:t xml:space="preserve">  (</w:t>
            </w:r>
            <w:bookmarkStart w:id="58" w:name="_Hlk225427948"/>
            <w:r w:rsidRPr="00ED2B5C">
              <w:rPr>
                <w:b/>
                <w:bCs/>
                <w:szCs w:val="24"/>
              </w:rPr>
              <w:t>ug/m3</w:t>
            </w:r>
            <w:bookmarkEnd w:id="58"/>
            <w:r w:rsidRPr="00ED2B5C">
              <w:rPr>
                <w:b/>
                <w:bCs/>
                <w:szCs w:val="24"/>
              </w:rPr>
              <w:t>)</w:t>
            </w:r>
          </w:p>
        </w:tc>
        <w:tc>
          <w:tcPr>
            <w:tcW w:w="1234" w:type="dxa"/>
            <w:tcBorders>
              <w:top w:val="single" w:sz="8" w:space="0" w:color="auto"/>
              <w:left w:val="single" w:sz="8" w:space="0" w:color="auto"/>
              <w:bottom w:val="single" w:sz="8" w:space="0" w:color="000000"/>
              <w:right w:val="single" w:sz="4" w:space="0" w:color="auto"/>
            </w:tcBorders>
            <w:vAlign w:val="center"/>
          </w:tcPr>
          <w:p w14:paraId="4A94282A" w14:textId="21473B63" w:rsidR="00ED2B5C" w:rsidRPr="001A371B" w:rsidRDefault="00ED2B5C" w:rsidP="00505E7C">
            <w:pPr>
              <w:jc w:val="center"/>
              <w:rPr>
                <w:b/>
                <w:bCs/>
                <w:szCs w:val="24"/>
                <w:vertAlign w:val="superscript"/>
              </w:rPr>
            </w:pPr>
            <w:r w:rsidRPr="00ED2B5C">
              <w:rPr>
                <w:b/>
                <w:bCs/>
                <w:szCs w:val="24"/>
              </w:rPr>
              <w:t>CNCREL Quotient</w:t>
            </w:r>
            <w:r w:rsidR="001A371B" w:rsidRPr="001A371B">
              <w:rPr>
                <w:b/>
                <w:bCs/>
                <w:szCs w:val="24"/>
                <w:vertAlign w:val="superscript"/>
              </w:rPr>
              <w:t>4</w:t>
            </w:r>
          </w:p>
        </w:tc>
      </w:tr>
      <w:tr w:rsidR="004E3D49" w:rsidRPr="00D46BAC" w14:paraId="6433F462" w14:textId="110BEA8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2FE634B" w14:textId="77777777" w:rsidR="004E3D49" w:rsidRPr="00D46BAC" w:rsidRDefault="004E3D49" w:rsidP="00ED2B5C">
            <w:pPr>
              <w:rPr>
                <w:b/>
                <w:bCs/>
                <w:szCs w:val="24"/>
                <w:u w:val="single"/>
              </w:rPr>
            </w:pPr>
            <w:r w:rsidRPr="00D46BAC">
              <w:rPr>
                <w:b/>
                <w:bCs/>
                <w:szCs w:val="24"/>
                <w:u w:val="single"/>
              </w:rPr>
              <w:t>Heavy Metals</w:t>
            </w:r>
          </w:p>
        </w:tc>
        <w:tc>
          <w:tcPr>
            <w:tcW w:w="1412" w:type="dxa"/>
            <w:tcBorders>
              <w:top w:val="nil"/>
              <w:left w:val="single" w:sz="4" w:space="0" w:color="auto"/>
              <w:bottom w:val="single" w:sz="4" w:space="0" w:color="auto"/>
              <w:right w:val="single" w:sz="4" w:space="0" w:color="auto"/>
            </w:tcBorders>
            <w:vAlign w:val="center"/>
          </w:tcPr>
          <w:p w14:paraId="5E9459E2" w14:textId="77777777" w:rsidR="004E3D49" w:rsidRPr="00D46BAC" w:rsidRDefault="004E3D49" w:rsidP="00505E7C">
            <w:pPr>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16DD54EA" w14:textId="77777777" w:rsidR="004E3D49" w:rsidRPr="00D46BAC" w:rsidRDefault="004E3D49"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1603C839" w14:textId="77777777" w:rsidR="004E3D49" w:rsidRPr="00D46BAC" w:rsidRDefault="004E3D49"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11302517" w14:textId="77777777" w:rsidR="004E3D49" w:rsidRPr="00D46BAC" w:rsidRDefault="004E3D49" w:rsidP="00505E7C">
            <w:pPr>
              <w:jc w:val="center"/>
              <w:rPr>
                <w:b/>
                <w:bCs/>
                <w:szCs w:val="24"/>
                <w:u w:val="single"/>
              </w:rPr>
            </w:pPr>
          </w:p>
        </w:tc>
      </w:tr>
      <w:tr w:rsidR="004E3D49" w:rsidRPr="00D46BAC" w14:paraId="212BF9A7" w14:textId="67523FD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8334006" w14:textId="77777777" w:rsidR="004E3D49" w:rsidRPr="00D46BAC" w:rsidRDefault="004E3D49" w:rsidP="00ED2B5C">
            <w:pPr>
              <w:rPr>
                <w:szCs w:val="24"/>
              </w:rPr>
            </w:pPr>
            <w:r w:rsidRPr="00D46BAC">
              <w:rPr>
                <w:szCs w:val="24"/>
              </w:rPr>
              <w:t>Antimony (less than)</w:t>
            </w:r>
          </w:p>
        </w:tc>
        <w:tc>
          <w:tcPr>
            <w:tcW w:w="1412" w:type="dxa"/>
            <w:tcBorders>
              <w:top w:val="nil"/>
              <w:left w:val="single" w:sz="4" w:space="0" w:color="auto"/>
              <w:bottom w:val="single" w:sz="4" w:space="0" w:color="auto"/>
              <w:right w:val="single" w:sz="4" w:space="0" w:color="auto"/>
            </w:tcBorders>
            <w:vAlign w:val="center"/>
          </w:tcPr>
          <w:p w14:paraId="1C2460F4" w14:textId="610956E4"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38D56DCD" w14:textId="3E5747C3"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4A9DD82" w14:textId="3568E300"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967D746" w14:textId="13D944B4" w:rsidR="004E3D49" w:rsidRPr="00D46BAC" w:rsidRDefault="004E3D49" w:rsidP="00505E7C">
            <w:pPr>
              <w:jc w:val="center"/>
              <w:rPr>
                <w:szCs w:val="24"/>
              </w:rPr>
            </w:pPr>
            <w:r w:rsidRPr="00CA0574">
              <w:t>N/A</w:t>
            </w:r>
          </w:p>
        </w:tc>
      </w:tr>
      <w:tr w:rsidR="004E3D49" w:rsidRPr="00D46BAC" w14:paraId="5CBE1918" w14:textId="6DFC041B"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F153C7B" w14:textId="77777777" w:rsidR="004E3D49" w:rsidRPr="00D46BAC" w:rsidRDefault="004E3D49" w:rsidP="00ED2B5C">
            <w:pPr>
              <w:rPr>
                <w:szCs w:val="24"/>
              </w:rPr>
            </w:pPr>
            <w:r w:rsidRPr="00D46BAC">
              <w:rPr>
                <w:szCs w:val="24"/>
              </w:rPr>
              <w:t>Arsenic (less than)</w:t>
            </w:r>
          </w:p>
        </w:tc>
        <w:tc>
          <w:tcPr>
            <w:tcW w:w="1412" w:type="dxa"/>
            <w:tcBorders>
              <w:top w:val="nil"/>
              <w:left w:val="single" w:sz="4" w:space="0" w:color="auto"/>
              <w:bottom w:val="single" w:sz="4" w:space="0" w:color="auto"/>
              <w:right w:val="single" w:sz="4" w:space="0" w:color="auto"/>
            </w:tcBorders>
            <w:vAlign w:val="center"/>
          </w:tcPr>
          <w:p w14:paraId="69AE6D3C" w14:textId="16FDBE66" w:rsidR="004E3D49" w:rsidRPr="00D46BAC" w:rsidRDefault="004E3D49" w:rsidP="00505E7C">
            <w:pPr>
              <w:jc w:val="center"/>
              <w:rPr>
                <w:szCs w:val="24"/>
              </w:rPr>
            </w:pPr>
            <w:r w:rsidRPr="00CA0574">
              <w:t>0.0043</w:t>
            </w:r>
          </w:p>
        </w:tc>
        <w:tc>
          <w:tcPr>
            <w:tcW w:w="1245" w:type="dxa"/>
            <w:tcBorders>
              <w:top w:val="nil"/>
              <w:left w:val="single" w:sz="4" w:space="0" w:color="auto"/>
              <w:bottom w:val="single" w:sz="4" w:space="0" w:color="auto"/>
              <w:right w:val="single" w:sz="4" w:space="0" w:color="auto"/>
            </w:tcBorders>
            <w:vAlign w:val="center"/>
          </w:tcPr>
          <w:p w14:paraId="0C3C826F" w14:textId="40DD8573" w:rsidR="004E3D49" w:rsidRPr="00D46BAC" w:rsidRDefault="004E3D49" w:rsidP="00505E7C">
            <w:pPr>
              <w:jc w:val="center"/>
              <w:rPr>
                <w:szCs w:val="24"/>
              </w:rPr>
            </w:pPr>
            <w:r w:rsidRPr="00CA0574">
              <w:t>8.98E-11</w:t>
            </w:r>
          </w:p>
        </w:tc>
        <w:tc>
          <w:tcPr>
            <w:tcW w:w="1234" w:type="dxa"/>
            <w:tcBorders>
              <w:top w:val="nil"/>
              <w:left w:val="single" w:sz="4" w:space="0" w:color="auto"/>
              <w:bottom w:val="single" w:sz="4" w:space="0" w:color="auto"/>
              <w:right w:val="single" w:sz="4" w:space="0" w:color="auto"/>
            </w:tcBorders>
            <w:vAlign w:val="center"/>
          </w:tcPr>
          <w:p w14:paraId="797AC3F5" w14:textId="1E4C0439" w:rsidR="004E3D49" w:rsidRPr="00D46BAC" w:rsidRDefault="004E3D49" w:rsidP="00505E7C">
            <w:pPr>
              <w:jc w:val="center"/>
              <w:rPr>
                <w:szCs w:val="24"/>
              </w:rPr>
            </w:pPr>
            <w:r w:rsidRPr="00CA0574">
              <w:t>0.015</w:t>
            </w:r>
          </w:p>
        </w:tc>
        <w:tc>
          <w:tcPr>
            <w:tcW w:w="1234" w:type="dxa"/>
            <w:tcBorders>
              <w:top w:val="nil"/>
              <w:left w:val="single" w:sz="4" w:space="0" w:color="auto"/>
              <w:bottom w:val="single" w:sz="4" w:space="0" w:color="auto"/>
              <w:right w:val="single" w:sz="4" w:space="0" w:color="auto"/>
            </w:tcBorders>
            <w:vAlign w:val="center"/>
          </w:tcPr>
          <w:p w14:paraId="78366003" w14:textId="7EE19863" w:rsidR="004E3D49" w:rsidRPr="00D46BAC" w:rsidRDefault="004E3D49" w:rsidP="00505E7C">
            <w:pPr>
              <w:jc w:val="center"/>
              <w:rPr>
                <w:szCs w:val="24"/>
              </w:rPr>
            </w:pPr>
            <w:r w:rsidRPr="00CA0574">
              <w:t>1.39E-06</w:t>
            </w:r>
          </w:p>
        </w:tc>
      </w:tr>
      <w:tr w:rsidR="004E3D49" w:rsidRPr="00D46BAC" w14:paraId="30FAD36B" w14:textId="69722CF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3D58277" w14:textId="77777777" w:rsidR="004E3D49" w:rsidRPr="00D46BAC" w:rsidRDefault="004E3D49" w:rsidP="00ED2B5C">
            <w:pPr>
              <w:rPr>
                <w:szCs w:val="24"/>
              </w:rPr>
            </w:pPr>
            <w:r w:rsidRPr="00D46BAC">
              <w:rPr>
                <w:szCs w:val="24"/>
              </w:rPr>
              <w:t>Beryllium</w:t>
            </w:r>
          </w:p>
        </w:tc>
        <w:tc>
          <w:tcPr>
            <w:tcW w:w="1412" w:type="dxa"/>
            <w:tcBorders>
              <w:top w:val="nil"/>
              <w:left w:val="single" w:sz="4" w:space="0" w:color="auto"/>
              <w:bottom w:val="single" w:sz="4" w:space="0" w:color="auto"/>
              <w:right w:val="single" w:sz="4" w:space="0" w:color="auto"/>
            </w:tcBorders>
            <w:vAlign w:val="center"/>
          </w:tcPr>
          <w:p w14:paraId="552514A5" w14:textId="2AAB3507" w:rsidR="004E3D49" w:rsidRPr="00D46BAC" w:rsidRDefault="004E3D49" w:rsidP="00505E7C">
            <w:pPr>
              <w:jc w:val="center"/>
              <w:rPr>
                <w:szCs w:val="24"/>
              </w:rPr>
            </w:pPr>
            <w:r w:rsidRPr="00CA0574">
              <w:t>0.0024</w:t>
            </w:r>
          </w:p>
        </w:tc>
        <w:tc>
          <w:tcPr>
            <w:tcW w:w="1245" w:type="dxa"/>
            <w:tcBorders>
              <w:top w:val="nil"/>
              <w:left w:val="single" w:sz="4" w:space="0" w:color="auto"/>
              <w:bottom w:val="single" w:sz="4" w:space="0" w:color="auto"/>
              <w:right w:val="single" w:sz="4" w:space="0" w:color="auto"/>
            </w:tcBorders>
            <w:vAlign w:val="center"/>
          </w:tcPr>
          <w:p w14:paraId="42C58AF4" w14:textId="6DA67121" w:rsidR="004E3D49" w:rsidRPr="00D46BAC" w:rsidRDefault="004E3D49" w:rsidP="00505E7C">
            <w:pPr>
              <w:jc w:val="center"/>
              <w:rPr>
                <w:szCs w:val="24"/>
              </w:rPr>
            </w:pPr>
            <w:r w:rsidRPr="00CA0574">
              <w:t>4.58E-12</w:t>
            </w:r>
          </w:p>
        </w:tc>
        <w:tc>
          <w:tcPr>
            <w:tcW w:w="1234" w:type="dxa"/>
            <w:tcBorders>
              <w:top w:val="nil"/>
              <w:left w:val="single" w:sz="4" w:space="0" w:color="auto"/>
              <w:bottom w:val="single" w:sz="4" w:space="0" w:color="auto"/>
              <w:right w:val="single" w:sz="4" w:space="0" w:color="auto"/>
            </w:tcBorders>
            <w:vAlign w:val="center"/>
          </w:tcPr>
          <w:p w14:paraId="21F6462B" w14:textId="605946B9" w:rsidR="004E3D49" w:rsidRPr="00D46BAC" w:rsidRDefault="004E3D49" w:rsidP="00505E7C">
            <w:pPr>
              <w:jc w:val="center"/>
              <w:rPr>
                <w:szCs w:val="24"/>
              </w:rPr>
            </w:pPr>
            <w:r w:rsidRPr="00CA0574">
              <w:t>0.02</w:t>
            </w:r>
          </w:p>
        </w:tc>
        <w:tc>
          <w:tcPr>
            <w:tcW w:w="1234" w:type="dxa"/>
            <w:tcBorders>
              <w:top w:val="nil"/>
              <w:left w:val="single" w:sz="4" w:space="0" w:color="auto"/>
              <w:bottom w:val="single" w:sz="4" w:space="0" w:color="auto"/>
              <w:right w:val="single" w:sz="4" w:space="0" w:color="auto"/>
            </w:tcBorders>
            <w:vAlign w:val="center"/>
          </w:tcPr>
          <w:p w14:paraId="5C33357A" w14:textId="4BF5E665" w:rsidR="004E3D49" w:rsidRPr="00D46BAC" w:rsidRDefault="004E3D49" w:rsidP="00505E7C">
            <w:pPr>
              <w:jc w:val="center"/>
              <w:rPr>
                <w:szCs w:val="24"/>
              </w:rPr>
            </w:pPr>
            <w:r w:rsidRPr="00CA0574">
              <w:t>9.54E-08</w:t>
            </w:r>
          </w:p>
        </w:tc>
      </w:tr>
      <w:tr w:rsidR="004E3D49" w:rsidRPr="00D46BAC" w14:paraId="49D84B9B" w14:textId="19AA6F65"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18D6E97" w14:textId="77777777" w:rsidR="004E3D49" w:rsidRPr="00D46BAC" w:rsidRDefault="004E3D49" w:rsidP="00ED2B5C">
            <w:pPr>
              <w:rPr>
                <w:szCs w:val="24"/>
              </w:rPr>
            </w:pPr>
            <w:r w:rsidRPr="00D46BAC">
              <w:rPr>
                <w:szCs w:val="24"/>
              </w:rPr>
              <w:t>Cadmium</w:t>
            </w:r>
          </w:p>
        </w:tc>
        <w:tc>
          <w:tcPr>
            <w:tcW w:w="1412" w:type="dxa"/>
            <w:tcBorders>
              <w:top w:val="nil"/>
              <w:left w:val="single" w:sz="4" w:space="0" w:color="auto"/>
              <w:bottom w:val="single" w:sz="4" w:space="0" w:color="auto"/>
              <w:right w:val="single" w:sz="4" w:space="0" w:color="auto"/>
            </w:tcBorders>
            <w:vAlign w:val="center"/>
          </w:tcPr>
          <w:p w14:paraId="5BF41A3F" w14:textId="661D235C" w:rsidR="004E3D49" w:rsidRPr="00D46BAC" w:rsidRDefault="004E3D49" w:rsidP="00505E7C">
            <w:pPr>
              <w:jc w:val="center"/>
              <w:rPr>
                <w:szCs w:val="24"/>
              </w:rPr>
            </w:pPr>
            <w:r w:rsidRPr="00CA0574">
              <w:t>0.0018</w:t>
            </w:r>
          </w:p>
        </w:tc>
        <w:tc>
          <w:tcPr>
            <w:tcW w:w="1245" w:type="dxa"/>
            <w:tcBorders>
              <w:top w:val="nil"/>
              <w:left w:val="single" w:sz="4" w:space="0" w:color="auto"/>
              <w:bottom w:val="single" w:sz="4" w:space="0" w:color="auto"/>
              <w:right w:val="single" w:sz="4" w:space="0" w:color="auto"/>
            </w:tcBorders>
            <w:vAlign w:val="center"/>
          </w:tcPr>
          <w:p w14:paraId="273FA7EC" w14:textId="363D1C09" w:rsidR="004E3D49" w:rsidRPr="00D46BAC" w:rsidRDefault="004E3D49" w:rsidP="00505E7C">
            <w:pPr>
              <w:jc w:val="center"/>
              <w:rPr>
                <w:szCs w:val="24"/>
              </w:rPr>
            </w:pPr>
            <w:r w:rsidRPr="00CA0574">
              <w:t>2.76E-11</w:t>
            </w:r>
          </w:p>
        </w:tc>
        <w:tc>
          <w:tcPr>
            <w:tcW w:w="1234" w:type="dxa"/>
            <w:tcBorders>
              <w:top w:val="nil"/>
              <w:left w:val="single" w:sz="4" w:space="0" w:color="auto"/>
              <w:bottom w:val="single" w:sz="4" w:space="0" w:color="auto"/>
              <w:right w:val="single" w:sz="4" w:space="0" w:color="auto"/>
            </w:tcBorders>
            <w:vAlign w:val="center"/>
          </w:tcPr>
          <w:p w14:paraId="334F3359" w14:textId="22C5E318" w:rsidR="004E3D49" w:rsidRPr="00D46BAC" w:rsidRDefault="004E3D49" w:rsidP="00505E7C">
            <w:pPr>
              <w:jc w:val="center"/>
              <w:rPr>
                <w:szCs w:val="24"/>
              </w:rPr>
            </w:pPr>
            <w:r w:rsidRPr="00CA0574">
              <w:t>0.01</w:t>
            </w:r>
          </w:p>
        </w:tc>
        <w:tc>
          <w:tcPr>
            <w:tcW w:w="1234" w:type="dxa"/>
            <w:tcBorders>
              <w:top w:val="nil"/>
              <w:left w:val="single" w:sz="4" w:space="0" w:color="auto"/>
              <w:bottom w:val="single" w:sz="4" w:space="0" w:color="auto"/>
              <w:right w:val="single" w:sz="4" w:space="0" w:color="auto"/>
            </w:tcBorders>
            <w:vAlign w:val="center"/>
          </w:tcPr>
          <w:p w14:paraId="3A8042CB" w14:textId="23430D08" w:rsidR="004E3D49" w:rsidRPr="00D46BAC" w:rsidRDefault="004E3D49" w:rsidP="00505E7C">
            <w:pPr>
              <w:jc w:val="center"/>
              <w:rPr>
                <w:szCs w:val="24"/>
              </w:rPr>
            </w:pPr>
            <w:r w:rsidRPr="00CA0574">
              <w:t>1.53E-06</w:t>
            </w:r>
          </w:p>
        </w:tc>
      </w:tr>
      <w:tr w:rsidR="004E3D49" w:rsidRPr="00D46BAC" w14:paraId="709FB2C0" w14:textId="753BC6C8"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9D94E5B" w14:textId="77777777" w:rsidR="004E3D49" w:rsidRPr="00D46BAC" w:rsidRDefault="004E3D49" w:rsidP="00ED2B5C">
            <w:pPr>
              <w:rPr>
                <w:szCs w:val="24"/>
              </w:rPr>
            </w:pPr>
            <w:r w:rsidRPr="00D46BAC">
              <w:rPr>
                <w:szCs w:val="24"/>
              </w:rPr>
              <w:t>Chromium</w:t>
            </w:r>
          </w:p>
        </w:tc>
        <w:tc>
          <w:tcPr>
            <w:tcW w:w="1412" w:type="dxa"/>
            <w:tcBorders>
              <w:top w:val="nil"/>
              <w:left w:val="single" w:sz="4" w:space="0" w:color="auto"/>
              <w:bottom w:val="single" w:sz="4" w:space="0" w:color="auto"/>
              <w:right w:val="single" w:sz="4" w:space="0" w:color="auto"/>
            </w:tcBorders>
            <w:vAlign w:val="center"/>
          </w:tcPr>
          <w:p w14:paraId="59D1FDBD" w14:textId="625F2636"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1C54952" w14:textId="66B53578"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83BDBC9" w14:textId="06276F02"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145F001" w14:textId="21B0ACCE" w:rsidR="004E3D49" w:rsidRPr="00D46BAC" w:rsidRDefault="004E3D49" w:rsidP="00505E7C">
            <w:pPr>
              <w:jc w:val="center"/>
              <w:rPr>
                <w:szCs w:val="24"/>
              </w:rPr>
            </w:pPr>
            <w:r w:rsidRPr="00CA0574">
              <w:t>N/A</w:t>
            </w:r>
          </w:p>
        </w:tc>
      </w:tr>
      <w:tr w:rsidR="004E3D49" w:rsidRPr="00D46BAC" w14:paraId="4D9F7E71" w14:textId="60DF408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9996AB5" w14:textId="77777777" w:rsidR="004E3D49" w:rsidRPr="00D46BAC" w:rsidRDefault="004E3D49" w:rsidP="00ED2B5C">
            <w:pPr>
              <w:rPr>
                <w:szCs w:val="24"/>
              </w:rPr>
            </w:pPr>
            <w:r w:rsidRPr="00D46BAC">
              <w:rPr>
                <w:szCs w:val="24"/>
              </w:rPr>
              <w:t>Chromium, hx</w:t>
            </w:r>
          </w:p>
        </w:tc>
        <w:tc>
          <w:tcPr>
            <w:tcW w:w="1412" w:type="dxa"/>
            <w:tcBorders>
              <w:top w:val="nil"/>
              <w:left w:val="single" w:sz="4" w:space="0" w:color="auto"/>
              <w:bottom w:val="single" w:sz="4" w:space="0" w:color="auto"/>
              <w:right w:val="single" w:sz="4" w:space="0" w:color="auto"/>
            </w:tcBorders>
            <w:vAlign w:val="center"/>
          </w:tcPr>
          <w:p w14:paraId="1B5D9D72" w14:textId="28C49F4E" w:rsidR="004E3D49" w:rsidRPr="00D46BAC" w:rsidRDefault="004E3D49" w:rsidP="00505E7C">
            <w:pPr>
              <w:jc w:val="center"/>
              <w:rPr>
                <w:szCs w:val="24"/>
              </w:rPr>
            </w:pPr>
            <w:r w:rsidRPr="00CA0574">
              <w:t>0.012</w:t>
            </w:r>
          </w:p>
        </w:tc>
        <w:tc>
          <w:tcPr>
            <w:tcW w:w="1245" w:type="dxa"/>
            <w:tcBorders>
              <w:top w:val="nil"/>
              <w:left w:val="single" w:sz="4" w:space="0" w:color="auto"/>
              <w:bottom w:val="single" w:sz="4" w:space="0" w:color="auto"/>
              <w:right w:val="single" w:sz="4" w:space="0" w:color="auto"/>
            </w:tcBorders>
            <w:vAlign w:val="center"/>
          </w:tcPr>
          <w:p w14:paraId="7CD36574" w14:textId="613B2BAD" w:rsidR="004E3D49" w:rsidRPr="00D46BAC" w:rsidRDefault="004E3D49" w:rsidP="00505E7C">
            <w:pPr>
              <w:jc w:val="center"/>
              <w:rPr>
                <w:szCs w:val="24"/>
              </w:rPr>
            </w:pPr>
            <w:r w:rsidRPr="00CA0574">
              <w:t>2.26E-10</w:t>
            </w:r>
          </w:p>
        </w:tc>
        <w:tc>
          <w:tcPr>
            <w:tcW w:w="1234" w:type="dxa"/>
            <w:tcBorders>
              <w:top w:val="nil"/>
              <w:left w:val="single" w:sz="4" w:space="0" w:color="auto"/>
              <w:bottom w:val="single" w:sz="4" w:space="0" w:color="auto"/>
              <w:right w:val="single" w:sz="4" w:space="0" w:color="auto"/>
            </w:tcBorders>
            <w:vAlign w:val="center"/>
          </w:tcPr>
          <w:p w14:paraId="1768AD2F" w14:textId="594CEF23" w:rsidR="004E3D49" w:rsidRPr="00D46BAC" w:rsidRDefault="004E3D49" w:rsidP="00505E7C">
            <w:pPr>
              <w:jc w:val="center"/>
              <w:rPr>
                <w:szCs w:val="24"/>
              </w:rPr>
            </w:pPr>
            <w:r w:rsidRPr="00CA0574">
              <w:t>0.1</w:t>
            </w:r>
          </w:p>
        </w:tc>
        <w:tc>
          <w:tcPr>
            <w:tcW w:w="1234" w:type="dxa"/>
            <w:tcBorders>
              <w:top w:val="nil"/>
              <w:left w:val="single" w:sz="4" w:space="0" w:color="auto"/>
              <w:bottom w:val="single" w:sz="4" w:space="0" w:color="auto"/>
              <w:right w:val="single" w:sz="4" w:space="0" w:color="auto"/>
            </w:tcBorders>
            <w:vAlign w:val="center"/>
          </w:tcPr>
          <w:p w14:paraId="6FBB3F86" w14:textId="5C7868BD" w:rsidR="004E3D49" w:rsidRPr="00D46BAC" w:rsidRDefault="004E3D49" w:rsidP="00505E7C">
            <w:pPr>
              <w:jc w:val="center"/>
              <w:rPr>
                <w:szCs w:val="24"/>
              </w:rPr>
            </w:pPr>
            <w:r w:rsidRPr="00CA0574">
              <w:t>1.88E-07</w:t>
            </w:r>
          </w:p>
        </w:tc>
      </w:tr>
      <w:tr w:rsidR="004E3D49" w:rsidRPr="00D46BAC" w14:paraId="13278711" w14:textId="417A0A2C"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AC282F9" w14:textId="77777777" w:rsidR="004E3D49" w:rsidRPr="00D46BAC" w:rsidRDefault="004E3D49" w:rsidP="00ED2B5C">
            <w:pPr>
              <w:rPr>
                <w:szCs w:val="24"/>
              </w:rPr>
            </w:pPr>
            <w:r w:rsidRPr="00D46BAC">
              <w:rPr>
                <w:szCs w:val="24"/>
              </w:rPr>
              <w:t>Cobalt (less than)</w:t>
            </w:r>
          </w:p>
        </w:tc>
        <w:tc>
          <w:tcPr>
            <w:tcW w:w="1412" w:type="dxa"/>
            <w:tcBorders>
              <w:top w:val="nil"/>
              <w:left w:val="single" w:sz="4" w:space="0" w:color="auto"/>
              <w:bottom w:val="single" w:sz="4" w:space="0" w:color="auto"/>
              <w:right w:val="single" w:sz="4" w:space="0" w:color="auto"/>
            </w:tcBorders>
            <w:vAlign w:val="center"/>
          </w:tcPr>
          <w:p w14:paraId="3D03380A" w14:textId="2D841D73"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584CBCAB" w14:textId="51E44CA5"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5680EE3" w14:textId="172FE6A4" w:rsidR="004E3D49" w:rsidRPr="00D46BAC" w:rsidRDefault="004E3D49" w:rsidP="00505E7C">
            <w:pPr>
              <w:jc w:val="center"/>
              <w:rPr>
                <w:szCs w:val="24"/>
              </w:rPr>
            </w:pPr>
            <w:r w:rsidRPr="00CA0574">
              <w:t>0.1</w:t>
            </w:r>
          </w:p>
        </w:tc>
        <w:tc>
          <w:tcPr>
            <w:tcW w:w="1234" w:type="dxa"/>
            <w:tcBorders>
              <w:top w:val="nil"/>
              <w:left w:val="single" w:sz="4" w:space="0" w:color="auto"/>
              <w:bottom w:val="single" w:sz="4" w:space="0" w:color="auto"/>
              <w:right w:val="single" w:sz="4" w:space="0" w:color="auto"/>
            </w:tcBorders>
            <w:vAlign w:val="center"/>
          </w:tcPr>
          <w:p w14:paraId="01E50ECF" w14:textId="2FB4DBE9" w:rsidR="004E3D49" w:rsidRPr="00D46BAC" w:rsidRDefault="004E3D49" w:rsidP="00505E7C">
            <w:pPr>
              <w:jc w:val="center"/>
              <w:rPr>
                <w:szCs w:val="24"/>
              </w:rPr>
            </w:pPr>
            <w:r w:rsidRPr="00CA0574">
              <w:t>1.22E-08</w:t>
            </w:r>
          </w:p>
        </w:tc>
      </w:tr>
      <w:tr w:rsidR="004E3D49" w:rsidRPr="00D46BAC" w14:paraId="252535B0" w14:textId="35139024"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E754D59" w14:textId="77777777" w:rsidR="004E3D49" w:rsidRPr="00D46BAC" w:rsidRDefault="004E3D49" w:rsidP="00ED2B5C">
            <w:pPr>
              <w:rPr>
                <w:szCs w:val="24"/>
              </w:rPr>
            </w:pPr>
            <w:r w:rsidRPr="00D46BAC">
              <w:rPr>
                <w:szCs w:val="24"/>
              </w:rPr>
              <w:t>Lead</w:t>
            </w:r>
          </w:p>
        </w:tc>
        <w:tc>
          <w:tcPr>
            <w:tcW w:w="1412" w:type="dxa"/>
            <w:tcBorders>
              <w:top w:val="nil"/>
              <w:left w:val="single" w:sz="4" w:space="0" w:color="auto"/>
              <w:bottom w:val="single" w:sz="4" w:space="0" w:color="auto"/>
              <w:right w:val="single" w:sz="4" w:space="0" w:color="auto"/>
            </w:tcBorders>
            <w:vAlign w:val="center"/>
          </w:tcPr>
          <w:p w14:paraId="437F15B1" w14:textId="6DE53FE5"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B8E2ED8" w14:textId="08EB2E6D"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DD9326A" w14:textId="3A0A50FE" w:rsidR="004E3D49" w:rsidRPr="00D46BAC" w:rsidRDefault="004E3D49" w:rsidP="00505E7C">
            <w:pPr>
              <w:jc w:val="center"/>
              <w:rPr>
                <w:szCs w:val="24"/>
              </w:rPr>
            </w:pPr>
            <w:r w:rsidRPr="00CA0574">
              <w:t>0.15</w:t>
            </w:r>
          </w:p>
        </w:tc>
        <w:tc>
          <w:tcPr>
            <w:tcW w:w="1234" w:type="dxa"/>
            <w:tcBorders>
              <w:top w:val="nil"/>
              <w:left w:val="single" w:sz="4" w:space="0" w:color="auto"/>
              <w:bottom w:val="single" w:sz="4" w:space="0" w:color="auto"/>
              <w:right w:val="single" w:sz="4" w:space="0" w:color="auto"/>
            </w:tcBorders>
            <w:vAlign w:val="center"/>
          </w:tcPr>
          <w:p w14:paraId="4A8D7D89" w14:textId="6BE20BC8" w:rsidR="004E3D49" w:rsidRPr="00D46BAC" w:rsidRDefault="004E3D49" w:rsidP="00505E7C">
            <w:pPr>
              <w:jc w:val="center"/>
              <w:rPr>
                <w:szCs w:val="24"/>
              </w:rPr>
            </w:pPr>
            <w:r w:rsidRPr="00CA0574">
              <w:t>6.15E-07</w:t>
            </w:r>
          </w:p>
        </w:tc>
      </w:tr>
      <w:tr w:rsidR="004E3D49" w:rsidRPr="00D46BAC" w14:paraId="73302FE6" w14:textId="3520EF2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F895936" w14:textId="77777777" w:rsidR="004E3D49" w:rsidRPr="00D46BAC" w:rsidRDefault="004E3D49" w:rsidP="00ED2B5C">
            <w:pPr>
              <w:rPr>
                <w:szCs w:val="24"/>
              </w:rPr>
            </w:pPr>
            <w:r w:rsidRPr="00D46BAC">
              <w:rPr>
                <w:szCs w:val="24"/>
              </w:rPr>
              <w:t>Nickel</w:t>
            </w:r>
          </w:p>
        </w:tc>
        <w:tc>
          <w:tcPr>
            <w:tcW w:w="1412" w:type="dxa"/>
            <w:tcBorders>
              <w:top w:val="nil"/>
              <w:left w:val="single" w:sz="4" w:space="0" w:color="auto"/>
              <w:bottom w:val="single" w:sz="4" w:space="0" w:color="auto"/>
              <w:right w:val="single" w:sz="4" w:space="0" w:color="auto"/>
            </w:tcBorders>
            <w:vAlign w:val="center"/>
          </w:tcPr>
          <w:p w14:paraId="1286E37B" w14:textId="22708FEC"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E4CF040" w14:textId="72DEFEF8"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293C34D" w14:textId="3F9F6E05" w:rsidR="004E3D49" w:rsidRPr="00D46BAC" w:rsidRDefault="004E3D49" w:rsidP="00505E7C">
            <w:pPr>
              <w:jc w:val="center"/>
              <w:rPr>
                <w:szCs w:val="24"/>
              </w:rPr>
            </w:pPr>
            <w:r w:rsidRPr="00CA0574">
              <w:t>0.09</w:t>
            </w:r>
          </w:p>
        </w:tc>
        <w:tc>
          <w:tcPr>
            <w:tcW w:w="1234" w:type="dxa"/>
            <w:tcBorders>
              <w:top w:val="nil"/>
              <w:left w:val="single" w:sz="4" w:space="0" w:color="auto"/>
              <w:bottom w:val="single" w:sz="4" w:space="0" w:color="auto"/>
              <w:right w:val="single" w:sz="4" w:space="0" w:color="auto"/>
            </w:tcBorders>
            <w:vAlign w:val="center"/>
          </w:tcPr>
          <w:p w14:paraId="4B835BF2" w14:textId="2D32FD16" w:rsidR="004E3D49" w:rsidRPr="00D46BAC" w:rsidRDefault="004E3D49" w:rsidP="00505E7C">
            <w:pPr>
              <w:jc w:val="center"/>
              <w:rPr>
                <w:szCs w:val="24"/>
              </w:rPr>
            </w:pPr>
            <w:r w:rsidRPr="00CA0574">
              <w:t>5.91E-07</w:t>
            </w:r>
          </w:p>
        </w:tc>
      </w:tr>
      <w:tr w:rsidR="004E3D49" w:rsidRPr="00D46BAC" w14:paraId="1C40BEBA" w14:textId="38F2B58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AAA8F1B" w14:textId="77777777" w:rsidR="004E3D49" w:rsidRPr="00D46BAC" w:rsidRDefault="004E3D49" w:rsidP="00ED2B5C">
            <w:pPr>
              <w:rPr>
                <w:szCs w:val="24"/>
              </w:rPr>
            </w:pPr>
            <w:r w:rsidRPr="00D46BAC">
              <w:rPr>
                <w:szCs w:val="24"/>
              </w:rPr>
              <w:t>Selenium</w:t>
            </w:r>
          </w:p>
        </w:tc>
        <w:tc>
          <w:tcPr>
            <w:tcW w:w="1412" w:type="dxa"/>
            <w:tcBorders>
              <w:top w:val="nil"/>
              <w:left w:val="single" w:sz="4" w:space="0" w:color="auto"/>
              <w:bottom w:val="single" w:sz="4" w:space="0" w:color="auto"/>
              <w:right w:val="single" w:sz="4" w:space="0" w:color="auto"/>
            </w:tcBorders>
            <w:vAlign w:val="center"/>
          </w:tcPr>
          <w:p w14:paraId="20030240" w14:textId="3723B80A"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78F897AF" w14:textId="00C553C6"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506CFDA" w14:textId="792F1CB1" w:rsidR="004E3D49" w:rsidRPr="00D46BAC" w:rsidRDefault="004E3D49" w:rsidP="00505E7C">
            <w:pPr>
              <w:jc w:val="center"/>
              <w:rPr>
                <w:szCs w:val="24"/>
              </w:rPr>
            </w:pPr>
            <w:r w:rsidRPr="00CA0574">
              <w:t>20</w:t>
            </w:r>
          </w:p>
        </w:tc>
        <w:tc>
          <w:tcPr>
            <w:tcW w:w="1234" w:type="dxa"/>
            <w:tcBorders>
              <w:top w:val="nil"/>
              <w:left w:val="single" w:sz="4" w:space="0" w:color="auto"/>
              <w:bottom w:val="single" w:sz="4" w:space="0" w:color="auto"/>
              <w:right w:val="single" w:sz="4" w:space="0" w:color="auto"/>
            </w:tcBorders>
            <w:vAlign w:val="center"/>
          </w:tcPr>
          <w:p w14:paraId="522AAD1F" w14:textId="29C7CC8A" w:rsidR="004E3D49" w:rsidRPr="00D46BAC" w:rsidRDefault="004E3D49" w:rsidP="00505E7C">
            <w:pPr>
              <w:jc w:val="center"/>
              <w:rPr>
                <w:szCs w:val="24"/>
              </w:rPr>
            </w:pPr>
            <w:r w:rsidRPr="00CA0574">
              <w:t>3.04E-09</w:t>
            </w:r>
          </w:p>
        </w:tc>
      </w:tr>
      <w:tr w:rsidR="004E3D49" w:rsidRPr="00D46BAC" w14:paraId="3B60170A" w14:textId="47378AB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AE196B8" w14:textId="77777777" w:rsidR="004E3D49" w:rsidRPr="00D46BAC" w:rsidRDefault="004E3D49" w:rsidP="00ED2B5C">
            <w:pPr>
              <w:rPr>
                <w:szCs w:val="24"/>
              </w:rPr>
            </w:pPr>
            <w:r w:rsidRPr="00D46BAC">
              <w:rPr>
                <w:szCs w:val="24"/>
              </w:rPr>
              <w:t>Zinc</w:t>
            </w:r>
          </w:p>
        </w:tc>
        <w:tc>
          <w:tcPr>
            <w:tcW w:w="1412" w:type="dxa"/>
            <w:tcBorders>
              <w:top w:val="nil"/>
              <w:left w:val="single" w:sz="4" w:space="0" w:color="auto"/>
              <w:bottom w:val="single" w:sz="4" w:space="0" w:color="auto"/>
              <w:right w:val="single" w:sz="4" w:space="0" w:color="auto"/>
            </w:tcBorders>
            <w:vAlign w:val="center"/>
          </w:tcPr>
          <w:p w14:paraId="35D0D250" w14:textId="7158D67C" w:rsidR="004E3D49" w:rsidRPr="00D46BAC" w:rsidRDefault="004E3D49"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1D8B9F93" w14:textId="60D3B961"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35B8363" w14:textId="64AAE4B9" w:rsidR="004E3D49" w:rsidRPr="00D46BAC" w:rsidRDefault="004E3D49"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8D13179" w14:textId="545A8CC4" w:rsidR="004E3D49" w:rsidRPr="00D46BAC" w:rsidRDefault="004E3D49" w:rsidP="00505E7C">
            <w:pPr>
              <w:jc w:val="center"/>
              <w:rPr>
                <w:szCs w:val="24"/>
              </w:rPr>
            </w:pPr>
            <w:r w:rsidRPr="00CA0574">
              <w:t>N/A</w:t>
            </w:r>
          </w:p>
        </w:tc>
      </w:tr>
      <w:tr w:rsidR="00F12466" w:rsidRPr="00D46BAC" w14:paraId="4ACFC26B" w14:textId="712500C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060C0C2" w14:textId="77777777" w:rsidR="00F12466" w:rsidRPr="00D46BAC" w:rsidRDefault="00F12466" w:rsidP="00ED2B5C">
            <w:pPr>
              <w:rPr>
                <w:b/>
                <w:bCs/>
                <w:szCs w:val="24"/>
                <w:u w:val="single"/>
              </w:rPr>
            </w:pPr>
            <w:r w:rsidRPr="00D46BAC">
              <w:rPr>
                <w:b/>
                <w:bCs/>
                <w:szCs w:val="24"/>
                <w:u w:val="single"/>
              </w:rPr>
              <w:t xml:space="preserve">Polycyclic Organic Matter (POM) </w:t>
            </w:r>
          </w:p>
        </w:tc>
        <w:tc>
          <w:tcPr>
            <w:tcW w:w="1412" w:type="dxa"/>
            <w:tcBorders>
              <w:top w:val="nil"/>
              <w:left w:val="single" w:sz="4" w:space="0" w:color="auto"/>
              <w:bottom w:val="single" w:sz="4" w:space="0" w:color="auto"/>
              <w:right w:val="single" w:sz="4" w:space="0" w:color="auto"/>
            </w:tcBorders>
            <w:vAlign w:val="center"/>
          </w:tcPr>
          <w:p w14:paraId="524966AC" w14:textId="30D71259" w:rsidR="00F12466" w:rsidRPr="00D46BAC" w:rsidRDefault="00F12466" w:rsidP="00505E7C">
            <w:pPr>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4BAE82B3" w14:textId="45E79D53"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496F87C6" w14:textId="618B4D72"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339BA58A" w14:textId="3826F584" w:rsidR="00F12466" w:rsidRPr="00D46BAC" w:rsidRDefault="00F12466" w:rsidP="00505E7C">
            <w:pPr>
              <w:jc w:val="center"/>
              <w:rPr>
                <w:b/>
                <w:bCs/>
                <w:szCs w:val="24"/>
                <w:u w:val="single"/>
              </w:rPr>
            </w:pPr>
          </w:p>
        </w:tc>
      </w:tr>
      <w:tr w:rsidR="00F12466" w:rsidRPr="00D46BAC" w14:paraId="1DB36AF6" w14:textId="3AC3007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F626B19" w14:textId="77777777" w:rsidR="00F12466" w:rsidRPr="00D46BAC" w:rsidRDefault="00F12466" w:rsidP="00ED2B5C">
            <w:pPr>
              <w:rPr>
                <w:szCs w:val="24"/>
              </w:rPr>
            </w:pPr>
            <w:r w:rsidRPr="00D46BAC">
              <w:rPr>
                <w:szCs w:val="24"/>
              </w:rPr>
              <w:t>2-methylnaphthalene</w:t>
            </w:r>
          </w:p>
        </w:tc>
        <w:tc>
          <w:tcPr>
            <w:tcW w:w="1412" w:type="dxa"/>
            <w:tcBorders>
              <w:top w:val="nil"/>
              <w:left w:val="single" w:sz="4" w:space="0" w:color="auto"/>
              <w:bottom w:val="single" w:sz="4" w:space="0" w:color="auto"/>
              <w:right w:val="single" w:sz="4" w:space="0" w:color="auto"/>
            </w:tcBorders>
            <w:vAlign w:val="center"/>
          </w:tcPr>
          <w:p w14:paraId="040B11F9" w14:textId="628E7715"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0A1B294B" w14:textId="0E7B506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1D32A88" w14:textId="2BC91960"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5F58C00" w14:textId="5CDF3F0E" w:rsidR="00F12466" w:rsidRPr="00D46BAC" w:rsidRDefault="00F12466" w:rsidP="00505E7C">
            <w:pPr>
              <w:jc w:val="center"/>
              <w:rPr>
                <w:szCs w:val="24"/>
              </w:rPr>
            </w:pPr>
            <w:r w:rsidRPr="00CA0574">
              <w:t>N/A</w:t>
            </w:r>
          </w:p>
        </w:tc>
      </w:tr>
      <w:tr w:rsidR="00F12466" w:rsidRPr="00D46BAC" w14:paraId="36C56216" w14:textId="6113180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71B20C9" w14:textId="77777777" w:rsidR="00F12466" w:rsidRPr="00D46BAC" w:rsidRDefault="00F12466" w:rsidP="00ED2B5C">
            <w:pPr>
              <w:rPr>
                <w:szCs w:val="24"/>
              </w:rPr>
            </w:pPr>
            <w:r w:rsidRPr="00D46BAC">
              <w:rPr>
                <w:szCs w:val="24"/>
              </w:rPr>
              <w:t>3-methylchloranthrene (less than)</w:t>
            </w:r>
          </w:p>
        </w:tc>
        <w:tc>
          <w:tcPr>
            <w:tcW w:w="1412" w:type="dxa"/>
            <w:tcBorders>
              <w:top w:val="nil"/>
              <w:left w:val="single" w:sz="4" w:space="0" w:color="auto"/>
              <w:bottom w:val="single" w:sz="4" w:space="0" w:color="auto"/>
              <w:right w:val="single" w:sz="4" w:space="0" w:color="auto"/>
            </w:tcBorders>
            <w:vAlign w:val="center"/>
          </w:tcPr>
          <w:p w14:paraId="42D67887" w14:textId="688BD1C8" w:rsidR="00F12466" w:rsidRPr="00D46BAC" w:rsidRDefault="00F12466" w:rsidP="00505E7C">
            <w:pPr>
              <w:jc w:val="center"/>
              <w:rPr>
                <w:szCs w:val="24"/>
              </w:rPr>
            </w:pPr>
            <w:r w:rsidRPr="00CA0574">
              <w:t>0.0063</w:t>
            </w:r>
          </w:p>
        </w:tc>
        <w:tc>
          <w:tcPr>
            <w:tcW w:w="1245" w:type="dxa"/>
            <w:tcBorders>
              <w:top w:val="nil"/>
              <w:left w:val="single" w:sz="4" w:space="0" w:color="auto"/>
              <w:bottom w:val="single" w:sz="4" w:space="0" w:color="auto"/>
              <w:right w:val="single" w:sz="4" w:space="0" w:color="auto"/>
            </w:tcBorders>
            <w:vAlign w:val="center"/>
          </w:tcPr>
          <w:p w14:paraId="42380482" w14:textId="14752B39" w:rsidR="00F12466" w:rsidRPr="00D46BAC" w:rsidRDefault="00F12466" w:rsidP="00505E7C">
            <w:pPr>
              <w:jc w:val="center"/>
              <w:rPr>
                <w:szCs w:val="24"/>
              </w:rPr>
            </w:pPr>
            <w:r w:rsidRPr="00CA0574">
              <w:t>3.55E-15</w:t>
            </w:r>
          </w:p>
        </w:tc>
        <w:tc>
          <w:tcPr>
            <w:tcW w:w="1234" w:type="dxa"/>
            <w:tcBorders>
              <w:top w:val="nil"/>
              <w:left w:val="single" w:sz="4" w:space="0" w:color="auto"/>
              <w:bottom w:val="single" w:sz="4" w:space="0" w:color="auto"/>
              <w:right w:val="single" w:sz="4" w:space="0" w:color="auto"/>
            </w:tcBorders>
            <w:vAlign w:val="center"/>
          </w:tcPr>
          <w:p w14:paraId="184B2C90" w14:textId="40EACCA8"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48EC1B4" w14:textId="22B30CDB" w:rsidR="00F12466" w:rsidRPr="00D46BAC" w:rsidRDefault="00F12466" w:rsidP="00505E7C">
            <w:pPr>
              <w:jc w:val="center"/>
              <w:rPr>
                <w:szCs w:val="24"/>
              </w:rPr>
            </w:pPr>
            <w:r w:rsidRPr="00CA0574">
              <w:t>N/A</w:t>
            </w:r>
          </w:p>
        </w:tc>
      </w:tr>
      <w:tr w:rsidR="00F12466" w:rsidRPr="00D46BAC" w14:paraId="2DE79F89" w14:textId="3A75F7D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D50C021" w14:textId="77777777" w:rsidR="00F12466" w:rsidRPr="00D46BAC" w:rsidRDefault="00F12466" w:rsidP="00ED2B5C">
            <w:pPr>
              <w:rPr>
                <w:szCs w:val="24"/>
              </w:rPr>
            </w:pPr>
            <w:r w:rsidRPr="00D46BAC">
              <w:rPr>
                <w:szCs w:val="24"/>
              </w:rPr>
              <w:t>7,12 Dibenz(a)anthracene (less than)</w:t>
            </w:r>
          </w:p>
        </w:tc>
        <w:tc>
          <w:tcPr>
            <w:tcW w:w="1412" w:type="dxa"/>
            <w:tcBorders>
              <w:top w:val="nil"/>
              <w:left w:val="single" w:sz="4" w:space="0" w:color="auto"/>
              <w:bottom w:val="single" w:sz="4" w:space="0" w:color="auto"/>
              <w:right w:val="single" w:sz="4" w:space="0" w:color="auto"/>
            </w:tcBorders>
            <w:vAlign w:val="center"/>
          </w:tcPr>
          <w:p w14:paraId="34E91961" w14:textId="2382F15E" w:rsidR="00F12466" w:rsidRPr="00D46BAC" w:rsidRDefault="00F12466" w:rsidP="00505E7C">
            <w:pPr>
              <w:jc w:val="center"/>
              <w:rPr>
                <w:szCs w:val="24"/>
              </w:rPr>
            </w:pPr>
            <w:r w:rsidRPr="00CA0574">
              <w:t>0.071</w:t>
            </w:r>
          </w:p>
        </w:tc>
        <w:tc>
          <w:tcPr>
            <w:tcW w:w="1245" w:type="dxa"/>
            <w:tcBorders>
              <w:top w:val="nil"/>
              <w:left w:val="single" w:sz="4" w:space="0" w:color="auto"/>
              <w:bottom w:val="single" w:sz="4" w:space="0" w:color="auto"/>
              <w:right w:val="single" w:sz="4" w:space="0" w:color="auto"/>
            </w:tcBorders>
            <w:vAlign w:val="center"/>
          </w:tcPr>
          <w:p w14:paraId="765595AF" w14:textId="4E37DE58" w:rsidR="00F12466" w:rsidRPr="00D46BAC" w:rsidRDefault="00F12466" w:rsidP="00505E7C">
            <w:pPr>
              <w:jc w:val="center"/>
              <w:rPr>
                <w:szCs w:val="24"/>
              </w:rPr>
            </w:pPr>
            <w:r w:rsidRPr="00CA0574">
              <w:t>3.56E-13</w:t>
            </w:r>
          </w:p>
        </w:tc>
        <w:tc>
          <w:tcPr>
            <w:tcW w:w="1234" w:type="dxa"/>
            <w:tcBorders>
              <w:top w:val="nil"/>
              <w:left w:val="single" w:sz="4" w:space="0" w:color="auto"/>
              <w:bottom w:val="single" w:sz="4" w:space="0" w:color="auto"/>
              <w:right w:val="single" w:sz="4" w:space="0" w:color="auto"/>
            </w:tcBorders>
            <w:vAlign w:val="center"/>
          </w:tcPr>
          <w:p w14:paraId="6D317F10" w14:textId="1B24F099"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AB2F55C" w14:textId="69641819" w:rsidR="00F12466" w:rsidRPr="00D46BAC" w:rsidRDefault="00F12466" w:rsidP="00505E7C">
            <w:pPr>
              <w:jc w:val="center"/>
              <w:rPr>
                <w:szCs w:val="24"/>
              </w:rPr>
            </w:pPr>
            <w:r w:rsidRPr="00CA0574">
              <w:t>N/A</w:t>
            </w:r>
          </w:p>
        </w:tc>
      </w:tr>
      <w:tr w:rsidR="00F12466" w:rsidRPr="00D46BAC" w14:paraId="145FA393" w14:textId="3E80AE79"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9E013AD" w14:textId="77777777" w:rsidR="00F12466" w:rsidRPr="00D46BAC" w:rsidRDefault="00F12466" w:rsidP="00ED2B5C">
            <w:pPr>
              <w:rPr>
                <w:szCs w:val="24"/>
              </w:rPr>
            </w:pPr>
            <w:r w:rsidRPr="00D46BAC">
              <w:rPr>
                <w:szCs w:val="24"/>
              </w:rPr>
              <w:t>Anthracene (less than)</w:t>
            </w:r>
          </w:p>
        </w:tc>
        <w:tc>
          <w:tcPr>
            <w:tcW w:w="1412" w:type="dxa"/>
            <w:tcBorders>
              <w:top w:val="nil"/>
              <w:left w:val="single" w:sz="4" w:space="0" w:color="auto"/>
              <w:bottom w:val="single" w:sz="4" w:space="0" w:color="auto"/>
              <w:right w:val="single" w:sz="4" w:space="0" w:color="auto"/>
            </w:tcBorders>
            <w:vAlign w:val="center"/>
          </w:tcPr>
          <w:p w14:paraId="527131D0" w14:textId="766C2481"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05ED2AAE" w14:textId="6DDD5A75"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7BAFE0A" w14:textId="5011F5EB"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9B21E03" w14:textId="0B0DFC25" w:rsidR="00F12466" w:rsidRPr="00D46BAC" w:rsidRDefault="00F12466" w:rsidP="00505E7C">
            <w:pPr>
              <w:jc w:val="center"/>
              <w:rPr>
                <w:szCs w:val="24"/>
              </w:rPr>
            </w:pPr>
            <w:r w:rsidRPr="00CA0574">
              <w:t>N/A</w:t>
            </w:r>
          </w:p>
        </w:tc>
      </w:tr>
      <w:tr w:rsidR="00F12466" w:rsidRPr="00D46BAC" w14:paraId="575D04D2" w14:textId="5200DF21"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412FC12" w14:textId="77777777" w:rsidR="00F12466" w:rsidRPr="00D46BAC" w:rsidRDefault="00F12466" w:rsidP="00ED2B5C">
            <w:pPr>
              <w:rPr>
                <w:szCs w:val="24"/>
              </w:rPr>
            </w:pPr>
            <w:r w:rsidRPr="00D46BAC">
              <w:rPr>
                <w:szCs w:val="24"/>
              </w:rPr>
              <w:t>Benzene</w:t>
            </w:r>
          </w:p>
        </w:tc>
        <w:tc>
          <w:tcPr>
            <w:tcW w:w="1412" w:type="dxa"/>
            <w:tcBorders>
              <w:top w:val="nil"/>
              <w:left w:val="single" w:sz="4" w:space="0" w:color="auto"/>
              <w:bottom w:val="single" w:sz="4" w:space="0" w:color="auto"/>
              <w:right w:val="single" w:sz="4" w:space="0" w:color="auto"/>
            </w:tcBorders>
            <w:vAlign w:val="center"/>
          </w:tcPr>
          <w:p w14:paraId="196657CD" w14:textId="29A9DAF4" w:rsidR="00F12466" w:rsidRPr="00D46BAC" w:rsidRDefault="00F12466" w:rsidP="00505E7C">
            <w:pPr>
              <w:jc w:val="center"/>
              <w:rPr>
                <w:szCs w:val="24"/>
              </w:rPr>
            </w:pPr>
            <w:r w:rsidRPr="00CA0574">
              <w:t>0.0000078</w:t>
            </w:r>
          </w:p>
        </w:tc>
        <w:tc>
          <w:tcPr>
            <w:tcW w:w="1245" w:type="dxa"/>
            <w:tcBorders>
              <w:top w:val="nil"/>
              <w:left w:val="single" w:sz="4" w:space="0" w:color="auto"/>
              <w:bottom w:val="single" w:sz="4" w:space="0" w:color="auto"/>
              <w:right w:val="single" w:sz="4" w:space="0" w:color="auto"/>
            </w:tcBorders>
            <w:vAlign w:val="center"/>
          </w:tcPr>
          <w:p w14:paraId="6952F9FC" w14:textId="0F854141" w:rsidR="00F12466" w:rsidRPr="00D46BAC" w:rsidRDefault="00F12466" w:rsidP="00505E7C">
            <w:pPr>
              <w:jc w:val="center"/>
              <w:rPr>
                <w:szCs w:val="24"/>
              </w:rPr>
            </w:pPr>
            <w:r w:rsidRPr="00CA0574">
              <w:t>1.03E-14</w:t>
            </w:r>
          </w:p>
        </w:tc>
        <w:tc>
          <w:tcPr>
            <w:tcW w:w="1234" w:type="dxa"/>
            <w:tcBorders>
              <w:top w:val="nil"/>
              <w:left w:val="single" w:sz="4" w:space="0" w:color="auto"/>
              <w:bottom w:val="single" w:sz="4" w:space="0" w:color="auto"/>
              <w:right w:val="single" w:sz="4" w:space="0" w:color="auto"/>
            </w:tcBorders>
            <w:vAlign w:val="center"/>
          </w:tcPr>
          <w:p w14:paraId="7E98B61A" w14:textId="562D1EF1" w:rsidR="00F12466" w:rsidRPr="00D46BAC" w:rsidRDefault="00F12466" w:rsidP="00505E7C">
            <w:pPr>
              <w:jc w:val="center"/>
              <w:rPr>
                <w:szCs w:val="24"/>
              </w:rPr>
            </w:pPr>
            <w:r w:rsidRPr="00CA0574">
              <w:t>30</w:t>
            </w:r>
          </w:p>
        </w:tc>
        <w:tc>
          <w:tcPr>
            <w:tcW w:w="1234" w:type="dxa"/>
            <w:tcBorders>
              <w:top w:val="nil"/>
              <w:left w:val="single" w:sz="4" w:space="0" w:color="auto"/>
              <w:bottom w:val="single" w:sz="4" w:space="0" w:color="auto"/>
              <w:right w:val="single" w:sz="4" w:space="0" w:color="auto"/>
            </w:tcBorders>
            <w:vAlign w:val="center"/>
          </w:tcPr>
          <w:p w14:paraId="067CD0B4" w14:textId="1B899259" w:rsidR="00F12466" w:rsidRPr="00D46BAC" w:rsidRDefault="00F12466" w:rsidP="00505E7C">
            <w:pPr>
              <w:jc w:val="center"/>
              <w:rPr>
                <w:szCs w:val="24"/>
              </w:rPr>
            </w:pPr>
            <w:r w:rsidRPr="00CA0574">
              <w:t>4.39E-11</w:t>
            </w:r>
          </w:p>
        </w:tc>
      </w:tr>
      <w:tr w:rsidR="00F12466" w:rsidRPr="00D46BAC" w14:paraId="50815892" w14:textId="3362BAF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68ED4AB" w14:textId="77777777" w:rsidR="00F12466" w:rsidRPr="00D46BAC" w:rsidRDefault="00F12466" w:rsidP="00ED2B5C">
            <w:pPr>
              <w:rPr>
                <w:szCs w:val="24"/>
              </w:rPr>
            </w:pPr>
            <w:r w:rsidRPr="00D46BAC">
              <w:rPr>
                <w:szCs w:val="24"/>
              </w:rPr>
              <w:t>Dichlorobenzene</w:t>
            </w:r>
          </w:p>
        </w:tc>
        <w:tc>
          <w:tcPr>
            <w:tcW w:w="1412" w:type="dxa"/>
            <w:tcBorders>
              <w:top w:val="nil"/>
              <w:left w:val="single" w:sz="4" w:space="0" w:color="auto"/>
              <w:bottom w:val="single" w:sz="4" w:space="0" w:color="auto"/>
              <w:right w:val="single" w:sz="4" w:space="0" w:color="auto"/>
            </w:tcBorders>
            <w:vAlign w:val="center"/>
          </w:tcPr>
          <w:p w14:paraId="220BB17B" w14:textId="6F76F5DA" w:rsidR="00F12466" w:rsidRPr="00D46BAC" w:rsidRDefault="00F12466" w:rsidP="00505E7C">
            <w:pPr>
              <w:jc w:val="center"/>
              <w:rPr>
                <w:szCs w:val="24"/>
              </w:rPr>
            </w:pPr>
            <w:r w:rsidRPr="00CA0574">
              <w:t>0.000011</w:t>
            </w:r>
          </w:p>
        </w:tc>
        <w:tc>
          <w:tcPr>
            <w:tcW w:w="1245" w:type="dxa"/>
            <w:tcBorders>
              <w:top w:val="nil"/>
              <w:left w:val="single" w:sz="4" w:space="0" w:color="auto"/>
              <w:bottom w:val="single" w:sz="4" w:space="0" w:color="auto"/>
              <w:right w:val="single" w:sz="4" w:space="0" w:color="auto"/>
            </w:tcBorders>
            <w:vAlign w:val="center"/>
          </w:tcPr>
          <w:p w14:paraId="0B9CF2DB" w14:textId="607FC34A" w:rsidR="00F12466" w:rsidRPr="00D46BAC" w:rsidRDefault="00F12466" w:rsidP="00505E7C">
            <w:pPr>
              <w:jc w:val="center"/>
              <w:rPr>
                <w:szCs w:val="24"/>
              </w:rPr>
            </w:pPr>
            <w:r w:rsidRPr="00CA0574">
              <w:t>8.27E-15</w:t>
            </w:r>
          </w:p>
        </w:tc>
        <w:tc>
          <w:tcPr>
            <w:tcW w:w="1234" w:type="dxa"/>
            <w:tcBorders>
              <w:top w:val="nil"/>
              <w:left w:val="single" w:sz="4" w:space="0" w:color="auto"/>
              <w:bottom w:val="single" w:sz="4" w:space="0" w:color="auto"/>
              <w:right w:val="single" w:sz="4" w:space="0" w:color="auto"/>
            </w:tcBorders>
            <w:vAlign w:val="center"/>
          </w:tcPr>
          <w:p w14:paraId="5A04F01C" w14:textId="1576EDBC" w:rsidR="00F12466" w:rsidRPr="00D46BAC" w:rsidRDefault="00F12466" w:rsidP="00505E7C">
            <w:pPr>
              <w:jc w:val="center"/>
              <w:rPr>
                <w:szCs w:val="24"/>
              </w:rPr>
            </w:pPr>
            <w:r w:rsidRPr="00CA0574">
              <w:t>800</w:t>
            </w:r>
          </w:p>
        </w:tc>
        <w:tc>
          <w:tcPr>
            <w:tcW w:w="1234" w:type="dxa"/>
            <w:tcBorders>
              <w:top w:val="nil"/>
              <w:left w:val="single" w:sz="4" w:space="0" w:color="auto"/>
              <w:bottom w:val="single" w:sz="4" w:space="0" w:color="auto"/>
              <w:right w:val="single" w:sz="4" w:space="0" w:color="auto"/>
            </w:tcBorders>
            <w:vAlign w:val="center"/>
          </w:tcPr>
          <w:p w14:paraId="6DAB3DBD" w14:textId="05BB66FE" w:rsidR="00F12466" w:rsidRPr="00D46BAC" w:rsidRDefault="00F12466" w:rsidP="00505E7C">
            <w:pPr>
              <w:jc w:val="center"/>
              <w:rPr>
                <w:szCs w:val="24"/>
              </w:rPr>
            </w:pPr>
            <w:r w:rsidRPr="00CA0574">
              <w:t>9.40E-13</w:t>
            </w:r>
          </w:p>
        </w:tc>
      </w:tr>
      <w:tr w:rsidR="00F12466" w:rsidRPr="00D46BAC" w14:paraId="7AC8A994" w14:textId="25CD027C"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D2FB893" w14:textId="77777777" w:rsidR="00F12466" w:rsidRPr="00D46BAC" w:rsidRDefault="00F12466" w:rsidP="00ED2B5C">
            <w:pPr>
              <w:rPr>
                <w:szCs w:val="24"/>
              </w:rPr>
            </w:pPr>
            <w:r w:rsidRPr="00D46BAC">
              <w:rPr>
                <w:szCs w:val="24"/>
              </w:rPr>
              <w:t>Hexane</w:t>
            </w:r>
          </w:p>
        </w:tc>
        <w:tc>
          <w:tcPr>
            <w:tcW w:w="1412" w:type="dxa"/>
            <w:tcBorders>
              <w:top w:val="nil"/>
              <w:left w:val="single" w:sz="4" w:space="0" w:color="auto"/>
              <w:bottom w:val="single" w:sz="4" w:space="0" w:color="auto"/>
              <w:right w:val="single" w:sz="4" w:space="0" w:color="auto"/>
            </w:tcBorders>
            <w:vAlign w:val="center"/>
          </w:tcPr>
          <w:p w14:paraId="679C862F" w14:textId="79202E60"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68C37EFF" w14:textId="346D4047"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D24DC06" w14:textId="7F62B71E" w:rsidR="00F12466" w:rsidRPr="00D46BAC" w:rsidRDefault="00F12466" w:rsidP="00505E7C">
            <w:pPr>
              <w:jc w:val="center"/>
              <w:rPr>
                <w:szCs w:val="24"/>
              </w:rPr>
            </w:pPr>
            <w:r w:rsidRPr="00CA0574">
              <w:t>700</w:t>
            </w:r>
          </w:p>
        </w:tc>
        <w:tc>
          <w:tcPr>
            <w:tcW w:w="1234" w:type="dxa"/>
            <w:tcBorders>
              <w:top w:val="nil"/>
              <w:left w:val="single" w:sz="4" w:space="0" w:color="auto"/>
              <w:bottom w:val="single" w:sz="4" w:space="0" w:color="auto"/>
              <w:right w:val="single" w:sz="4" w:space="0" w:color="auto"/>
            </w:tcBorders>
            <w:vAlign w:val="center"/>
          </w:tcPr>
          <w:p w14:paraId="44E51867" w14:textId="77782E0D" w:rsidR="00F12466" w:rsidRPr="00D46BAC" w:rsidRDefault="00F12466" w:rsidP="00505E7C">
            <w:pPr>
              <w:jc w:val="center"/>
              <w:rPr>
                <w:szCs w:val="24"/>
              </w:rPr>
            </w:pPr>
            <w:r w:rsidRPr="00CA0574">
              <w:t>1.61E-09</w:t>
            </w:r>
          </w:p>
        </w:tc>
      </w:tr>
      <w:tr w:rsidR="00F12466" w:rsidRPr="00D46BAC" w14:paraId="51F6517B" w14:textId="381C736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F1E8C39" w14:textId="77777777" w:rsidR="00F12466" w:rsidRPr="00D46BAC" w:rsidRDefault="00F12466" w:rsidP="00ED2B5C">
            <w:pPr>
              <w:rPr>
                <w:szCs w:val="24"/>
              </w:rPr>
            </w:pPr>
            <w:r w:rsidRPr="00D46BAC">
              <w:rPr>
                <w:szCs w:val="24"/>
              </w:rPr>
              <w:t>Napthalene</w:t>
            </w:r>
          </w:p>
        </w:tc>
        <w:tc>
          <w:tcPr>
            <w:tcW w:w="1412" w:type="dxa"/>
            <w:tcBorders>
              <w:top w:val="nil"/>
              <w:left w:val="single" w:sz="4" w:space="0" w:color="auto"/>
              <w:bottom w:val="single" w:sz="4" w:space="0" w:color="auto"/>
              <w:right w:val="single" w:sz="4" w:space="0" w:color="auto"/>
            </w:tcBorders>
            <w:vAlign w:val="center"/>
          </w:tcPr>
          <w:p w14:paraId="2275CD9A" w14:textId="7CFCAA89" w:rsidR="00F12466" w:rsidRPr="00D46BAC" w:rsidRDefault="00F12466" w:rsidP="00505E7C">
            <w:pPr>
              <w:jc w:val="center"/>
              <w:rPr>
                <w:szCs w:val="24"/>
              </w:rPr>
            </w:pPr>
            <w:r w:rsidRPr="00CA0574">
              <w:t>0.000034</w:t>
            </w:r>
          </w:p>
        </w:tc>
        <w:tc>
          <w:tcPr>
            <w:tcW w:w="1245" w:type="dxa"/>
            <w:tcBorders>
              <w:top w:val="nil"/>
              <w:left w:val="single" w:sz="4" w:space="0" w:color="auto"/>
              <w:bottom w:val="single" w:sz="4" w:space="0" w:color="auto"/>
              <w:right w:val="single" w:sz="4" w:space="0" w:color="auto"/>
            </w:tcBorders>
            <w:vAlign w:val="center"/>
          </w:tcPr>
          <w:p w14:paraId="670419FE" w14:textId="6EEC6E3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BE23AF5" w14:textId="3CC9BC5D" w:rsidR="00F12466" w:rsidRPr="00D46BAC" w:rsidRDefault="00F12466" w:rsidP="00505E7C">
            <w:pPr>
              <w:jc w:val="center"/>
              <w:rPr>
                <w:szCs w:val="24"/>
              </w:rPr>
            </w:pPr>
            <w:r w:rsidRPr="00CA0574">
              <w:t>3</w:t>
            </w:r>
          </w:p>
        </w:tc>
        <w:tc>
          <w:tcPr>
            <w:tcW w:w="1234" w:type="dxa"/>
            <w:tcBorders>
              <w:top w:val="nil"/>
              <w:left w:val="single" w:sz="4" w:space="0" w:color="auto"/>
              <w:bottom w:val="single" w:sz="4" w:space="0" w:color="auto"/>
              <w:right w:val="single" w:sz="4" w:space="0" w:color="auto"/>
            </w:tcBorders>
            <w:vAlign w:val="center"/>
          </w:tcPr>
          <w:p w14:paraId="3684EFD8" w14:textId="59E10413" w:rsidR="00F12466" w:rsidRPr="00D46BAC" w:rsidRDefault="00F12466" w:rsidP="00505E7C">
            <w:pPr>
              <w:jc w:val="center"/>
              <w:rPr>
                <w:szCs w:val="24"/>
              </w:rPr>
            </w:pPr>
            <w:r w:rsidRPr="00CA0574">
              <w:t>1.27E-10</w:t>
            </w:r>
          </w:p>
        </w:tc>
      </w:tr>
      <w:tr w:rsidR="00F12466" w:rsidRPr="00D46BAC" w14:paraId="3C74F1F5" w14:textId="0361F9F3"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1A0AF60" w14:textId="77777777" w:rsidR="00F12466" w:rsidRPr="00D46BAC" w:rsidRDefault="00F12466" w:rsidP="00ED2B5C">
            <w:pPr>
              <w:rPr>
                <w:szCs w:val="24"/>
              </w:rPr>
            </w:pPr>
            <w:r w:rsidRPr="00D46BAC">
              <w:rPr>
                <w:szCs w:val="24"/>
              </w:rPr>
              <w:t>Phenanathrene</w:t>
            </w:r>
          </w:p>
        </w:tc>
        <w:tc>
          <w:tcPr>
            <w:tcW w:w="1412" w:type="dxa"/>
            <w:tcBorders>
              <w:top w:val="nil"/>
              <w:left w:val="single" w:sz="4" w:space="0" w:color="auto"/>
              <w:bottom w:val="single" w:sz="4" w:space="0" w:color="auto"/>
              <w:right w:val="single" w:sz="4" w:space="0" w:color="auto"/>
            </w:tcBorders>
            <w:vAlign w:val="center"/>
          </w:tcPr>
          <w:p w14:paraId="2149D8E2" w14:textId="73C64339"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26886409" w14:textId="68866F0B"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5052924" w14:textId="3C1B2743"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0BE87A9" w14:textId="3010F599" w:rsidR="00F12466" w:rsidRPr="00D46BAC" w:rsidRDefault="00F12466" w:rsidP="00505E7C">
            <w:pPr>
              <w:jc w:val="center"/>
              <w:rPr>
                <w:szCs w:val="24"/>
              </w:rPr>
            </w:pPr>
            <w:r w:rsidRPr="00CA0574">
              <w:t>N/A</w:t>
            </w:r>
          </w:p>
        </w:tc>
      </w:tr>
      <w:tr w:rsidR="00F12466" w:rsidRPr="00D46BAC" w14:paraId="7321C696" w14:textId="3581835C"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D73160C" w14:textId="77777777" w:rsidR="00F12466" w:rsidRPr="00D46BAC" w:rsidRDefault="00F12466" w:rsidP="00ED2B5C">
            <w:pPr>
              <w:rPr>
                <w:szCs w:val="24"/>
              </w:rPr>
            </w:pPr>
            <w:r w:rsidRPr="00D46BAC">
              <w:rPr>
                <w:szCs w:val="24"/>
              </w:rPr>
              <w:t>Toluene</w:t>
            </w:r>
          </w:p>
        </w:tc>
        <w:tc>
          <w:tcPr>
            <w:tcW w:w="1412" w:type="dxa"/>
            <w:tcBorders>
              <w:top w:val="nil"/>
              <w:left w:val="single" w:sz="4" w:space="0" w:color="auto"/>
              <w:bottom w:val="single" w:sz="4" w:space="0" w:color="auto"/>
              <w:right w:val="single" w:sz="4" w:space="0" w:color="auto"/>
            </w:tcBorders>
            <w:vAlign w:val="center"/>
          </w:tcPr>
          <w:p w14:paraId="40AC4DF6" w14:textId="51484664"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780043F0" w14:textId="0024177C"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4188080F" w14:textId="01FB3A53" w:rsidR="00F12466" w:rsidRPr="00D46BAC" w:rsidRDefault="00F12466" w:rsidP="00505E7C">
            <w:pPr>
              <w:jc w:val="center"/>
              <w:rPr>
                <w:szCs w:val="24"/>
              </w:rPr>
            </w:pPr>
            <w:r w:rsidRPr="00CA0574">
              <w:t>5000</w:t>
            </w:r>
          </w:p>
        </w:tc>
        <w:tc>
          <w:tcPr>
            <w:tcW w:w="1234" w:type="dxa"/>
            <w:tcBorders>
              <w:top w:val="nil"/>
              <w:left w:val="single" w:sz="4" w:space="0" w:color="auto"/>
              <w:bottom w:val="single" w:sz="4" w:space="0" w:color="auto"/>
              <w:right w:val="single" w:sz="4" w:space="0" w:color="auto"/>
            </w:tcBorders>
            <w:vAlign w:val="center"/>
          </w:tcPr>
          <w:p w14:paraId="449942A8" w14:textId="7EFD4CFD" w:rsidR="00F12466" w:rsidRPr="00D46BAC" w:rsidRDefault="00F12466" w:rsidP="00505E7C">
            <w:pPr>
              <w:jc w:val="center"/>
              <w:rPr>
                <w:szCs w:val="24"/>
              </w:rPr>
            </w:pPr>
            <w:r w:rsidRPr="00CA0574">
              <w:t>4.26E-13</w:t>
            </w:r>
          </w:p>
        </w:tc>
      </w:tr>
      <w:tr w:rsidR="00F12466" w:rsidRPr="00D46BAC" w14:paraId="4ACABB8C" w14:textId="635B15B8"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1CC6EFC" w14:textId="77777777" w:rsidR="00F12466" w:rsidRPr="00D46BAC" w:rsidRDefault="00F12466" w:rsidP="00ED2B5C">
            <w:pPr>
              <w:rPr>
                <w:szCs w:val="24"/>
              </w:rPr>
            </w:pPr>
            <w:r w:rsidRPr="00D46BAC">
              <w:rPr>
                <w:szCs w:val="24"/>
              </w:rPr>
              <w:t>Acenaphthene</w:t>
            </w:r>
          </w:p>
        </w:tc>
        <w:tc>
          <w:tcPr>
            <w:tcW w:w="1412" w:type="dxa"/>
            <w:tcBorders>
              <w:top w:val="nil"/>
              <w:left w:val="single" w:sz="4" w:space="0" w:color="auto"/>
              <w:bottom w:val="single" w:sz="4" w:space="0" w:color="auto"/>
              <w:right w:val="single" w:sz="4" w:space="0" w:color="auto"/>
            </w:tcBorders>
            <w:vAlign w:val="center"/>
          </w:tcPr>
          <w:p w14:paraId="1FC8777A" w14:textId="77739F3E"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626C130C" w14:textId="09E0F97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881367C" w14:textId="0E43AE9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85D12A1" w14:textId="245C2DAF" w:rsidR="00F12466" w:rsidRPr="00D46BAC" w:rsidRDefault="00F12466" w:rsidP="00505E7C">
            <w:pPr>
              <w:jc w:val="center"/>
              <w:rPr>
                <w:szCs w:val="24"/>
              </w:rPr>
            </w:pPr>
            <w:r w:rsidRPr="00CA0574">
              <w:t>N/A</w:t>
            </w:r>
          </w:p>
        </w:tc>
      </w:tr>
      <w:tr w:rsidR="00F12466" w:rsidRPr="00D46BAC" w14:paraId="66FFF1DE" w14:textId="7798E56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5E89C964" w14:textId="77777777" w:rsidR="00F12466" w:rsidRPr="00D46BAC" w:rsidRDefault="00F12466" w:rsidP="00ED2B5C">
            <w:pPr>
              <w:rPr>
                <w:szCs w:val="24"/>
              </w:rPr>
            </w:pPr>
            <w:r w:rsidRPr="00D46BAC">
              <w:rPr>
                <w:szCs w:val="24"/>
              </w:rPr>
              <w:t>Acenaphthylene</w:t>
            </w:r>
          </w:p>
        </w:tc>
        <w:tc>
          <w:tcPr>
            <w:tcW w:w="1412" w:type="dxa"/>
            <w:tcBorders>
              <w:top w:val="nil"/>
              <w:left w:val="single" w:sz="4" w:space="0" w:color="auto"/>
              <w:bottom w:val="single" w:sz="4" w:space="0" w:color="auto"/>
              <w:right w:val="single" w:sz="4" w:space="0" w:color="auto"/>
            </w:tcBorders>
            <w:vAlign w:val="center"/>
          </w:tcPr>
          <w:p w14:paraId="77D61214" w14:textId="6EE1B0E6"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6C70ADE8" w14:textId="006CC652"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55771CB" w14:textId="05E9C5E8"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FA569EC" w14:textId="3D53C90C" w:rsidR="00F12466" w:rsidRPr="00D46BAC" w:rsidRDefault="00F12466" w:rsidP="00505E7C">
            <w:pPr>
              <w:jc w:val="center"/>
              <w:rPr>
                <w:szCs w:val="24"/>
              </w:rPr>
            </w:pPr>
            <w:r w:rsidRPr="00CA0574">
              <w:t>N/A</w:t>
            </w:r>
          </w:p>
        </w:tc>
      </w:tr>
      <w:tr w:rsidR="00F12466" w:rsidRPr="00D46BAC" w14:paraId="7AF2B581" w14:textId="579C4C93"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3EECB1C" w14:textId="77777777" w:rsidR="00F12466" w:rsidRPr="00D46BAC" w:rsidRDefault="00F12466" w:rsidP="00ED2B5C">
            <w:pPr>
              <w:rPr>
                <w:szCs w:val="24"/>
              </w:rPr>
            </w:pPr>
            <w:r w:rsidRPr="00D46BAC">
              <w:rPr>
                <w:szCs w:val="24"/>
              </w:rPr>
              <w:t>Benzo(a)anthracene (less than)</w:t>
            </w:r>
          </w:p>
        </w:tc>
        <w:tc>
          <w:tcPr>
            <w:tcW w:w="1412" w:type="dxa"/>
            <w:tcBorders>
              <w:top w:val="nil"/>
              <w:left w:val="single" w:sz="4" w:space="0" w:color="auto"/>
              <w:bottom w:val="single" w:sz="4" w:space="0" w:color="auto"/>
              <w:right w:val="single" w:sz="4" w:space="0" w:color="auto"/>
            </w:tcBorders>
            <w:vAlign w:val="center"/>
          </w:tcPr>
          <w:p w14:paraId="6AF5A030" w14:textId="11DA3C00"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12703197" w14:textId="392F6EC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F9AB503" w14:textId="3B4B7F4A"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2329658" w14:textId="09DE1067" w:rsidR="00F12466" w:rsidRPr="00D46BAC" w:rsidRDefault="00F12466" w:rsidP="00505E7C">
            <w:pPr>
              <w:jc w:val="center"/>
              <w:rPr>
                <w:szCs w:val="24"/>
              </w:rPr>
            </w:pPr>
            <w:r w:rsidRPr="00CA0574">
              <w:t>N/A</w:t>
            </w:r>
          </w:p>
        </w:tc>
      </w:tr>
      <w:tr w:rsidR="00F12466" w:rsidRPr="00D46BAC" w14:paraId="03A372B0" w14:textId="65F911BC"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C2A08E1" w14:textId="77777777" w:rsidR="00F12466" w:rsidRPr="00D46BAC" w:rsidRDefault="00F12466" w:rsidP="00ED2B5C">
            <w:pPr>
              <w:rPr>
                <w:szCs w:val="24"/>
              </w:rPr>
            </w:pPr>
            <w:r w:rsidRPr="00D46BAC">
              <w:rPr>
                <w:szCs w:val="24"/>
              </w:rPr>
              <w:t>Benzo(a)pyrene (less than)</w:t>
            </w:r>
          </w:p>
        </w:tc>
        <w:tc>
          <w:tcPr>
            <w:tcW w:w="1412" w:type="dxa"/>
            <w:tcBorders>
              <w:top w:val="nil"/>
              <w:left w:val="single" w:sz="4" w:space="0" w:color="auto"/>
              <w:bottom w:val="single" w:sz="4" w:space="0" w:color="auto"/>
              <w:right w:val="single" w:sz="4" w:space="0" w:color="auto"/>
            </w:tcBorders>
            <w:vAlign w:val="center"/>
          </w:tcPr>
          <w:p w14:paraId="1B6CEFF9" w14:textId="4492365C" w:rsidR="00F12466" w:rsidRPr="00D46BAC" w:rsidRDefault="00F12466" w:rsidP="00505E7C">
            <w:pPr>
              <w:jc w:val="center"/>
              <w:rPr>
                <w:szCs w:val="24"/>
              </w:rPr>
            </w:pPr>
            <w:r w:rsidRPr="00CA0574">
              <w:t>0.0011</w:t>
            </w:r>
          </w:p>
        </w:tc>
        <w:tc>
          <w:tcPr>
            <w:tcW w:w="1245" w:type="dxa"/>
            <w:tcBorders>
              <w:top w:val="nil"/>
              <w:left w:val="single" w:sz="4" w:space="0" w:color="auto"/>
              <w:bottom w:val="single" w:sz="4" w:space="0" w:color="auto"/>
              <w:right w:val="single" w:sz="4" w:space="0" w:color="auto"/>
            </w:tcBorders>
            <w:vAlign w:val="center"/>
          </w:tcPr>
          <w:p w14:paraId="3E7CA957" w14:textId="7C55655A" w:rsidR="00F12466" w:rsidRPr="00D46BAC" w:rsidRDefault="00F12466" w:rsidP="00505E7C">
            <w:pPr>
              <w:jc w:val="center"/>
              <w:rPr>
                <w:szCs w:val="24"/>
              </w:rPr>
            </w:pPr>
            <w:r w:rsidRPr="00CA0574">
              <w:t>2.23E-14</w:t>
            </w:r>
          </w:p>
        </w:tc>
        <w:tc>
          <w:tcPr>
            <w:tcW w:w="1234" w:type="dxa"/>
            <w:tcBorders>
              <w:top w:val="nil"/>
              <w:left w:val="single" w:sz="4" w:space="0" w:color="auto"/>
              <w:bottom w:val="single" w:sz="4" w:space="0" w:color="auto"/>
              <w:right w:val="single" w:sz="4" w:space="0" w:color="auto"/>
            </w:tcBorders>
            <w:vAlign w:val="center"/>
          </w:tcPr>
          <w:p w14:paraId="28E84E52" w14:textId="65DF78C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F2A5501" w14:textId="769C9792" w:rsidR="00F12466" w:rsidRPr="00D46BAC" w:rsidRDefault="00F12466" w:rsidP="00505E7C">
            <w:pPr>
              <w:jc w:val="center"/>
              <w:rPr>
                <w:szCs w:val="24"/>
              </w:rPr>
            </w:pPr>
            <w:r w:rsidRPr="00CA0574">
              <w:t>N/A</w:t>
            </w:r>
          </w:p>
        </w:tc>
      </w:tr>
      <w:tr w:rsidR="00F12466" w:rsidRPr="00D46BAC" w14:paraId="5A0F3822" w14:textId="068A2EF0"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0738056" w14:textId="77777777" w:rsidR="00F12466" w:rsidRPr="00D46BAC" w:rsidRDefault="00F12466" w:rsidP="00ED2B5C">
            <w:pPr>
              <w:rPr>
                <w:szCs w:val="24"/>
              </w:rPr>
            </w:pPr>
            <w:r w:rsidRPr="00D46BAC">
              <w:rPr>
                <w:szCs w:val="24"/>
              </w:rPr>
              <w:t>Benzo(b)fluoranthene (less than)</w:t>
            </w:r>
          </w:p>
        </w:tc>
        <w:tc>
          <w:tcPr>
            <w:tcW w:w="1412" w:type="dxa"/>
            <w:tcBorders>
              <w:top w:val="nil"/>
              <w:left w:val="single" w:sz="4" w:space="0" w:color="auto"/>
              <w:bottom w:val="single" w:sz="4" w:space="0" w:color="auto"/>
              <w:right w:val="single" w:sz="4" w:space="0" w:color="auto"/>
            </w:tcBorders>
            <w:vAlign w:val="center"/>
          </w:tcPr>
          <w:p w14:paraId="0B2C7F61" w14:textId="06C108DD" w:rsidR="00F12466" w:rsidRPr="00D46BAC" w:rsidRDefault="00F12466" w:rsidP="00505E7C">
            <w:pPr>
              <w:jc w:val="center"/>
              <w:rPr>
                <w:szCs w:val="24"/>
              </w:rPr>
            </w:pPr>
            <w:r w:rsidRPr="00CA0574">
              <w:t>0.00011</w:t>
            </w:r>
          </w:p>
        </w:tc>
        <w:tc>
          <w:tcPr>
            <w:tcW w:w="1245" w:type="dxa"/>
            <w:tcBorders>
              <w:top w:val="nil"/>
              <w:left w:val="single" w:sz="4" w:space="0" w:color="auto"/>
              <w:bottom w:val="single" w:sz="4" w:space="0" w:color="auto"/>
              <w:right w:val="single" w:sz="4" w:space="0" w:color="auto"/>
            </w:tcBorders>
            <w:vAlign w:val="center"/>
          </w:tcPr>
          <w:p w14:paraId="11B20CF4" w14:textId="11B0AF7A" w:rsidR="00F12466" w:rsidRPr="00D46BAC" w:rsidRDefault="00F12466" w:rsidP="00505E7C">
            <w:pPr>
              <w:jc w:val="center"/>
              <w:rPr>
                <w:szCs w:val="24"/>
              </w:rPr>
            </w:pPr>
            <w:r w:rsidRPr="00CA0574">
              <w:t>1.22E-15</w:t>
            </w:r>
          </w:p>
        </w:tc>
        <w:tc>
          <w:tcPr>
            <w:tcW w:w="1234" w:type="dxa"/>
            <w:tcBorders>
              <w:top w:val="nil"/>
              <w:left w:val="single" w:sz="4" w:space="0" w:color="auto"/>
              <w:bottom w:val="single" w:sz="4" w:space="0" w:color="auto"/>
              <w:right w:val="single" w:sz="4" w:space="0" w:color="auto"/>
            </w:tcBorders>
            <w:vAlign w:val="center"/>
          </w:tcPr>
          <w:p w14:paraId="1BC05E54" w14:textId="78720D8C"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E37660E" w14:textId="7B3E8B01" w:rsidR="00F12466" w:rsidRPr="00D46BAC" w:rsidRDefault="00F12466" w:rsidP="00505E7C">
            <w:pPr>
              <w:jc w:val="center"/>
              <w:rPr>
                <w:szCs w:val="24"/>
              </w:rPr>
            </w:pPr>
            <w:r w:rsidRPr="00CA0574">
              <w:t>N/A</w:t>
            </w:r>
          </w:p>
        </w:tc>
      </w:tr>
      <w:tr w:rsidR="00F12466" w:rsidRPr="00D46BAC" w14:paraId="5967B694" w14:textId="4281D67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4E968D7" w14:textId="77777777" w:rsidR="00F12466" w:rsidRPr="00D46BAC" w:rsidRDefault="00F12466" w:rsidP="00ED2B5C">
            <w:pPr>
              <w:rPr>
                <w:szCs w:val="24"/>
              </w:rPr>
            </w:pPr>
            <w:r w:rsidRPr="00D46BAC">
              <w:rPr>
                <w:szCs w:val="24"/>
              </w:rPr>
              <w:lastRenderedPageBreak/>
              <w:t>Benzo(g,h,i)perylene (less than)</w:t>
            </w:r>
          </w:p>
        </w:tc>
        <w:tc>
          <w:tcPr>
            <w:tcW w:w="1412" w:type="dxa"/>
            <w:tcBorders>
              <w:top w:val="nil"/>
              <w:left w:val="single" w:sz="4" w:space="0" w:color="auto"/>
              <w:bottom w:val="single" w:sz="4" w:space="0" w:color="auto"/>
              <w:right w:val="single" w:sz="4" w:space="0" w:color="auto"/>
            </w:tcBorders>
            <w:vAlign w:val="center"/>
          </w:tcPr>
          <w:p w14:paraId="0AD698A1" w14:textId="04F1C3E9"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6DDF5231" w14:textId="6A1386F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6A79043" w14:textId="3812C7C5"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A0E422B" w14:textId="1E026373" w:rsidR="00F12466" w:rsidRPr="00D46BAC" w:rsidRDefault="00F12466" w:rsidP="00505E7C">
            <w:pPr>
              <w:jc w:val="center"/>
              <w:rPr>
                <w:szCs w:val="24"/>
              </w:rPr>
            </w:pPr>
            <w:r w:rsidRPr="00CA0574">
              <w:t>N/A</w:t>
            </w:r>
          </w:p>
        </w:tc>
      </w:tr>
      <w:tr w:rsidR="00F12466" w:rsidRPr="00D46BAC" w14:paraId="3801197D" w14:textId="67476D9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AD427A0" w14:textId="77777777" w:rsidR="00F12466" w:rsidRPr="00D46BAC" w:rsidRDefault="00F12466" w:rsidP="00ED2B5C">
            <w:pPr>
              <w:rPr>
                <w:szCs w:val="24"/>
              </w:rPr>
            </w:pPr>
            <w:r w:rsidRPr="00D46BAC">
              <w:rPr>
                <w:szCs w:val="24"/>
              </w:rPr>
              <w:t>Benzo(k)fluoranthene (less than)</w:t>
            </w:r>
          </w:p>
        </w:tc>
        <w:tc>
          <w:tcPr>
            <w:tcW w:w="1412" w:type="dxa"/>
            <w:tcBorders>
              <w:top w:val="nil"/>
              <w:left w:val="single" w:sz="4" w:space="0" w:color="auto"/>
              <w:bottom w:val="single" w:sz="4" w:space="0" w:color="auto"/>
              <w:right w:val="single" w:sz="4" w:space="0" w:color="auto"/>
            </w:tcBorders>
            <w:vAlign w:val="center"/>
          </w:tcPr>
          <w:p w14:paraId="736E0482" w14:textId="19BCD6E1" w:rsidR="00F12466" w:rsidRPr="00D46BAC" w:rsidRDefault="00F12466" w:rsidP="00505E7C">
            <w:pPr>
              <w:jc w:val="center"/>
              <w:rPr>
                <w:szCs w:val="24"/>
              </w:rPr>
            </w:pPr>
            <w:r w:rsidRPr="00CA0574">
              <w:t>0.00011</w:t>
            </w:r>
          </w:p>
        </w:tc>
        <w:tc>
          <w:tcPr>
            <w:tcW w:w="1245" w:type="dxa"/>
            <w:tcBorders>
              <w:top w:val="nil"/>
              <w:left w:val="single" w:sz="4" w:space="0" w:color="auto"/>
              <w:bottom w:val="single" w:sz="4" w:space="0" w:color="auto"/>
              <w:right w:val="single" w:sz="4" w:space="0" w:color="auto"/>
            </w:tcBorders>
            <w:vAlign w:val="center"/>
          </w:tcPr>
          <w:p w14:paraId="2D1F9922" w14:textId="28918F18" w:rsidR="00F12466" w:rsidRPr="00D46BAC" w:rsidRDefault="00F12466" w:rsidP="00505E7C">
            <w:pPr>
              <w:jc w:val="center"/>
              <w:rPr>
                <w:szCs w:val="24"/>
              </w:rPr>
            </w:pPr>
            <w:r w:rsidRPr="00CA0574">
              <w:t>1.09E-15</w:t>
            </w:r>
          </w:p>
        </w:tc>
        <w:tc>
          <w:tcPr>
            <w:tcW w:w="1234" w:type="dxa"/>
            <w:tcBorders>
              <w:top w:val="nil"/>
              <w:left w:val="single" w:sz="4" w:space="0" w:color="auto"/>
              <w:bottom w:val="single" w:sz="4" w:space="0" w:color="auto"/>
              <w:right w:val="single" w:sz="4" w:space="0" w:color="auto"/>
            </w:tcBorders>
            <w:vAlign w:val="center"/>
          </w:tcPr>
          <w:p w14:paraId="11390254" w14:textId="5F465A43"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3A4535D1" w14:textId="403E0E1A" w:rsidR="00F12466" w:rsidRPr="00D46BAC" w:rsidRDefault="00F12466" w:rsidP="00505E7C">
            <w:pPr>
              <w:jc w:val="center"/>
              <w:rPr>
                <w:szCs w:val="24"/>
              </w:rPr>
            </w:pPr>
            <w:r w:rsidRPr="00CA0574">
              <w:t>N/A</w:t>
            </w:r>
          </w:p>
        </w:tc>
      </w:tr>
      <w:tr w:rsidR="00F12466" w:rsidRPr="00D46BAC" w14:paraId="158364FA" w14:textId="1ED7BF31"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D3BADB3" w14:textId="77777777" w:rsidR="00F12466" w:rsidRPr="00D46BAC" w:rsidRDefault="00F12466" w:rsidP="00ED2B5C">
            <w:pPr>
              <w:rPr>
                <w:szCs w:val="24"/>
              </w:rPr>
            </w:pPr>
            <w:r w:rsidRPr="00D46BAC">
              <w:rPr>
                <w:szCs w:val="24"/>
              </w:rPr>
              <w:t>Chrysene (less than)</w:t>
            </w:r>
          </w:p>
        </w:tc>
        <w:tc>
          <w:tcPr>
            <w:tcW w:w="1412" w:type="dxa"/>
            <w:tcBorders>
              <w:top w:val="nil"/>
              <w:left w:val="single" w:sz="4" w:space="0" w:color="auto"/>
              <w:bottom w:val="single" w:sz="4" w:space="0" w:color="auto"/>
              <w:right w:val="single" w:sz="4" w:space="0" w:color="auto"/>
            </w:tcBorders>
            <w:vAlign w:val="center"/>
          </w:tcPr>
          <w:p w14:paraId="21B90B90" w14:textId="20AFD685" w:rsidR="00F12466" w:rsidRPr="00D46BAC" w:rsidRDefault="00F12466" w:rsidP="00505E7C">
            <w:pPr>
              <w:jc w:val="center"/>
              <w:rPr>
                <w:szCs w:val="24"/>
              </w:rPr>
            </w:pPr>
            <w:r w:rsidRPr="00CA0574">
              <w:t>0.000011</w:t>
            </w:r>
          </w:p>
        </w:tc>
        <w:tc>
          <w:tcPr>
            <w:tcW w:w="1245" w:type="dxa"/>
            <w:tcBorders>
              <w:top w:val="nil"/>
              <w:left w:val="single" w:sz="4" w:space="0" w:color="auto"/>
              <w:bottom w:val="single" w:sz="4" w:space="0" w:color="auto"/>
              <w:right w:val="single" w:sz="4" w:space="0" w:color="auto"/>
            </w:tcBorders>
            <w:vAlign w:val="center"/>
          </w:tcPr>
          <w:p w14:paraId="62C4BE3B" w14:textId="759F21E5" w:rsidR="00F12466" w:rsidRPr="00D46BAC" w:rsidRDefault="00F12466" w:rsidP="00505E7C">
            <w:pPr>
              <w:jc w:val="center"/>
              <w:rPr>
                <w:szCs w:val="24"/>
              </w:rPr>
            </w:pPr>
            <w:r w:rsidRPr="00CA0574">
              <w:t>4.14E-16</w:t>
            </w:r>
          </w:p>
        </w:tc>
        <w:tc>
          <w:tcPr>
            <w:tcW w:w="1234" w:type="dxa"/>
            <w:tcBorders>
              <w:top w:val="nil"/>
              <w:left w:val="single" w:sz="4" w:space="0" w:color="auto"/>
              <w:bottom w:val="single" w:sz="4" w:space="0" w:color="auto"/>
              <w:right w:val="single" w:sz="4" w:space="0" w:color="auto"/>
            </w:tcBorders>
            <w:vAlign w:val="center"/>
          </w:tcPr>
          <w:p w14:paraId="7CA9BB7C" w14:textId="7389A27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5CE75C5" w14:textId="5DF7AFB1" w:rsidR="00F12466" w:rsidRPr="00D46BAC" w:rsidRDefault="00F12466" w:rsidP="00505E7C">
            <w:pPr>
              <w:jc w:val="center"/>
              <w:rPr>
                <w:szCs w:val="24"/>
              </w:rPr>
            </w:pPr>
            <w:r w:rsidRPr="00CA0574">
              <w:t>N/A</w:t>
            </w:r>
          </w:p>
        </w:tc>
      </w:tr>
      <w:tr w:rsidR="00F12466" w:rsidRPr="00D46BAC" w14:paraId="6FCFF82D" w14:textId="4BB12F57"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CC58018" w14:textId="77777777" w:rsidR="00F12466" w:rsidRPr="00D46BAC" w:rsidRDefault="00F12466" w:rsidP="00ED2B5C">
            <w:pPr>
              <w:rPr>
                <w:szCs w:val="24"/>
              </w:rPr>
            </w:pPr>
            <w:r w:rsidRPr="00D46BAC">
              <w:rPr>
                <w:szCs w:val="24"/>
              </w:rPr>
              <w:t>Dibenzo(a,h)anthracene (less than)</w:t>
            </w:r>
          </w:p>
        </w:tc>
        <w:tc>
          <w:tcPr>
            <w:tcW w:w="1412" w:type="dxa"/>
            <w:tcBorders>
              <w:top w:val="nil"/>
              <w:left w:val="single" w:sz="4" w:space="0" w:color="auto"/>
              <w:bottom w:val="single" w:sz="4" w:space="0" w:color="auto"/>
              <w:right w:val="single" w:sz="4" w:space="0" w:color="auto"/>
            </w:tcBorders>
            <w:vAlign w:val="center"/>
          </w:tcPr>
          <w:p w14:paraId="20083C34" w14:textId="09D7C061" w:rsidR="00F12466" w:rsidRPr="00D46BAC" w:rsidRDefault="00F12466" w:rsidP="00505E7C">
            <w:pPr>
              <w:jc w:val="center"/>
              <w:rPr>
                <w:szCs w:val="24"/>
              </w:rPr>
            </w:pPr>
            <w:r w:rsidRPr="00CA0574">
              <w:t>0.00011</w:t>
            </w:r>
          </w:p>
        </w:tc>
        <w:tc>
          <w:tcPr>
            <w:tcW w:w="1245" w:type="dxa"/>
            <w:tcBorders>
              <w:top w:val="nil"/>
              <w:left w:val="single" w:sz="4" w:space="0" w:color="auto"/>
              <w:bottom w:val="single" w:sz="4" w:space="0" w:color="auto"/>
              <w:right w:val="single" w:sz="4" w:space="0" w:color="auto"/>
            </w:tcBorders>
            <w:vAlign w:val="center"/>
          </w:tcPr>
          <w:p w14:paraId="40507F36" w14:textId="438510DA" w:rsidR="00F12466" w:rsidRPr="00D46BAC" w:rsidRDefault="00F12466" w:rsidP="00505E7C">
            <w:pPr>
              <w:jc w:val="center"/>
              <w:rPr>
                <w:szCs w:val="24"/>
              </w:rPr>
            </w:pPr>
            <w:r w:rsidRPr="00CA0574">
              <w:t>9.73E-16</w:t>
            </w:r>
          </w:p>
        </w:tc>
        <w:tc>
          <w:tcPr>
            <w:tcW w:w="1234" w:type="dxa"/>
            <w:tcBorders>
              <w:top w:val="nil"/>
              <w:left w:val="single" w:sz="4" w:space="0" w:color="auto"/>
              <w:bottom w:val="single" w:sz="4" w:space="0" w:color="auto"/>
              <w:right w:val="single" w:sz="4" w:space="0" w:color="auto"/>
            </w:tcBorders>
            <w:vAlign w:val="center"/>
          </w:tcPr>
          <w:p w14:paraId="275303DB" w14:textId="6B9527F0"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771E86E" w14:textId="6F8D270A" w:rsidR="00F12466" w:rsidRPr="00D46BAC" w:rsidRDefault="00F12466" w:rsidP="00505E7C">
            <w:pPr>
              <w:jc w:val="center"/>
              <w:rPr>
                <w:szCs w:val="24"/>
              </w:rPr>
            </w:pPr>
            <w:r w:rsidRPr="00CA0574">
              <w:t>N/A</w:t>
            </w:r>
          </w:p>
        </w:tc>
      </w:tr>
      <w:tr w:rsidR="00F12466" w:rsidRPr="00D46BAC" w14:paraId="388557C5" w14:textId="732785E8"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870C013" w14:textId="77777777" w:rsidR="00F12466" w:rsidRPr="00D46BAC" w:rsidRDefault="00F12466" w:rsidP="00ED2B5C">
            <w:pPr>
              <w:rPr>
                <w:szCs w:val="24"/>
              </w:rPr>
            </w:pPr>
            <w:r w:rsidRPr="00D46BAC">
              <w:rPr>
                <w:szCs w:val="24"/>
              </w:rPr>
              <w:t>Fluorene</w:t>
            </w:r>
          </w:p>
        </w:tc>
        <w:tc>
          <w:tcPr>
            <w:tcW w:w="1412" w:type="dxa"/>
            <w:tcBorders>
              <w:top w:val="nil"/>
              <w:left w:val="single" w:sz="4" w:space="0" w:color="auto"/>
              <w:bottom w:val="single" w:sz="4" w:space="0" w:color="auto"/>
              <w:right w:val="single" w:sz="4" w:space="0" w:color="auto"/>
            </w:tcBorders>
            <w:vAlign w:val="center"/>
          </w:tcPr>
          <w:p w14:paraId="2A7DEB2A" w14:textId="76F2F336"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1ABF131B" w14:textId="23F6FE23"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45B2EA6" w14:textId="356285AB"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4E490DC4" w14:textId="0F0EF828" w:rsidR="00F12466" w:rsidRPr="00D46BAC" w:rsidRDefault="00F12466" w:rsidP="00505E7C">
            <w:pPr>
              <w:jc w:val="center"/>
              <w:rPr>
                <w:szCs w:val="24"/>
              </w:rPr>
            </w:pPr>
            <w:r w:rsidRPr="00CA0574">
              <w:t>N/A</w:t>
            </w:r>
          </w:p>
        </w:tc>
      </w:tr>
      <w:tr w:rsidR="00F12466" w:rsidRPr="00D46BAC" w14:paraId="7B0F0169" w14:textId="27E34224"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E84E340" w14:textId="77777777" w:rsidR="00F12466" w:rsidRPr="00D46BAC" w:rsidRDefault="00F12466" w:rsidP="00ED2B5C">
            <w:pPr>
              <w:rPr>
                <w:szCs w:val="24"/>
              </w:rPr>
            </w:pPr>
            <w:r w:rsidRPr="00D46BAC">
              <w:rPr>
                <w:szCs w:val="24"/>
              </w:rPr>
              <w:t>Fluoranthene</w:t>
            </w:r>
          </w:p>
        </w:tc>
        <w:tc>
          <w:tcPr>
            <w:tcW w:w="1412" w:type="dxa"/>
            <w:tcBorders>
              <w:top w:val="nil"/>
              <w:left w:val="single" w:sz="4" w:space="0" w:color="auto"/>
              <w:bottom w:val="single" w:sz="4" w:space="0" w:color="auto"/>
              <w:right w:val="single" w:sz="4" w:space="0" w:color="auto"/>
            </w:tcBorders>
            <w:vAlign w:val="center"/>
          </w:tcPr>
          <w:p w14:paraId="10D5EDDC" w14:textId="1E842741"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7480A84C" w14:textId="6A7622E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5C8843A" w14:textId="248A96D1"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46D15ED" w14:textId="71D290A5" w:rsidR="00F12466" w:rsidRPr="00D46BAC" w:rsidRDefault="00F12466" w:rsidP="00505E7C">
            <w:pPr>
              <w:jc w:val="center"/>
              <w:rPr>
                <w:szCs w:val="24"/>
              </w:rPr>
            </w:pPr>
            <w:r w:rsidRPr="00CA0574">
              <w:t>N/A</w:t>
            </w:r>
          </w:p>
        </w:tc>
      </w:tr>
      <w:tr w:rsidR="00F12466" w:rsidRPr="00D46BAC" w14:paraId="2B0570EC" w14:textId="3A41A1A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9B62065" w14:textId="77777777" w:rsidR="00F12466" w:rsidRPr="00D46BAC" w:rsidRDefault="00F12466" w:rsidP="00ED2B5C">
            <w:pPr>
              <w:rPr>
                <w:szCs w:val="24"/>
              </w:rPr>
            </w:pPr>
            <w:r w:rsidRPr="00D46BAC">
              <w:rPr>
                <w:szCs w:val="24"/>
              </w:rPr>
              <w:t>Indeno(1,2,3-cd)pyrene (less than)</w:t>
            </w:r>
          </w:p>
        </w:tc>
        <w:tc>
          <w:tcPr>
            <w:tcW w:w="1412" w:type="dxa"/>
            <w:tcBorders>
              <w:top w:val="nil"/>
              <w:left w:val="single" w:sz="4" w:space="0" w:color="auto"/>
              <w:bottom w:val="single" w:sz="4" w:space="0" w:color="auto"/>
              <w:right w:val="single" w:sz="4" w:space="0" w:color="auto"/>
            </w:tcBorders>
            <w:vAlign w:val="center"/>
          </w:tcPr>
          <w:p w14:paraId="38B1038C" w14:textId="4F93B267" w:rsidR="00F12466" w:rsidRPr="00D46BAC" w:rsidRDefault="00F12466" w:rsidP="00505E7C">
            <w:pPr>
              <w:jc w:val="center"/>
              <w:rPr>
                <w:szCs w:val="24"/>
              </w:rPr>
            </w:pPr>
            <w:r w:rsidRPr="00CA0574">
              <w:t>0.00011</w:t>
            </w:r>
          </w:p>
        </w:tc>
        <w:tc>
          <w:tcPr>
            <w:tcW w:w="1245" w:type="dxa"/>
            <w:tcBorders>
              <w:top w:val="nil"/>
              <w:left w:val="single" w:sz="4" w:space="0" w:color="auto"/>
              <w:bottom w:val="single" w:sz="4" w:space="0" w:color="auto"/>
              <w:right w:val="single" w:sz="4" w:space="0" w:color="auto"/>
            </w:tcBorders>
            <w:vAlign w:val="center"/>
          </w:tcPr>
          <w:p w14:paraId="45E85249" w14:textId="78E7AFEA" w:rsidR="00F12466" w:rsidRPr="00D46BAC" w:rsidRDefault="00F12466" w:rsidP="00505E7C">
            <w:pPr>
              <w:jc w:val="center"/>
              <w:rPr>
                <w:szCs w:val="24"/>
              </w:rPr>
            </w:pPr>
            <w:r w:rsidRPr="00CA0574">
              <w:t>1.18E-15</w:t>
            </w:r>
          </w:p>
        </w:tc>
        <w:tc>
          <w:tcPr>
            <w:tcW w:w="1234" w:type="dxa"/>
            <w:tcBorders>
              <w:top w:val="nil"/>
              <w:left w:val="single" w:sz="4" w:space="0" w:color="auto"/>
              <w:bottom w:val="single" w:sz="4" w:space="0" w:color="auto"/>
              <w:right w:val="single" w:sz="4" w:space="0" w:color="auto"/>
            </w:tcBorders>
            <w:vAlign w:val="center"/>
          </w:tcPr>
          <w:p w14:paraId="63AB0629" w14:textId="2926BDA0"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2E331FA" w14:textId="57514A02" w:rsidR="00F12466" w:rsidRPr="00D46BAC" w:rsidRDefault="00F12466" w:rsidP="00505E7C">
            <w:pPr>
              <w:jc w:val="center"/>
              <w:rPr>
                <w:szCs w:val="24"/>
              </w:rPr>
            </w:pPr>
            <w:r w:rsidRPr="00CA0574">
              <w:t>N/A</w:t>
            </w:r>
          </w:p>
        </w:tc>
      </w:tr>
      <w:tr w:rsidR="00F12466" w:rsidRPr="00D46BAC" w14:paraId="7F301F49" w14:textId="339FB056"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AC9EA59" w14:textId="77777777" w:rsidR="00F12466" w:rsidRPr="00D46BAC" w:rsidRDefault="00F12466" w:rsidP="00ED2B5C">
            <w:pPr>
              <w:rPr>
                <w:szCs w:val="24"/>
              </w:rPr>
            </w:pPr>
            <w:r w:rsidRPr="00D46BAC">
              <w:rPr>
                <w:szCs w:val="24"/>
              </w:rPr>
              <w:t>Phenanthrene</w:t>
            </w:r>
          </w:p>
        </w:tc>
        <w:tc>
          <w:tcPr>
            <w:tcW w:w="1412" w:type="dxa"/>
            <w:tcBorders>
              <w:top w:val="nil"/>
              <w:left w:val="single" w:sz="4" w:space="0" w:color="auto"/>
              <w:bottom w:val="single" w:sz="4" w:space="0" w:color="auto"/>
              <w:right w:val="single" w:sz="4" w:space="0" w:color="auto"/>
            </w:tcBorders>
            <w:vAlign w:val="center"/>
          </w:tcPr>
          <w:p w14:paraId="65A19E6D" w14:textId="2F2444C2"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59DC192D" w14:textId="34E9F90D"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7FB863D7" w14:textId="30798CD0"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103CA2E5" w14:textId="43833401" w:rsidR="00F12466" w:rsidRPr="00D46BAC" w:rsidRDefault="00F12466" w:rsidP="00505E7C">
            <w:pPr>
              <w:jc w:val="center"/>
              <w:rPr>
                <w:szCs w:val="24"/>
              </w:rPr>
            </w:pPr>
            <w:r w:rsidRPr="00CA0574">
              <w:t>N/A</w:t>
            </w:r>
          </w:p>
        </w:tc>
      </w:tr>
      <w:tr w:rsidR="00F12466" w:rsidRPr="00D46BAC" w14:paraId="053A3121" w14:textId="7259696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42D343E" w14:textId="77777777" w:rsidR="00F12466" w:rsidRPr="00D46BAC" w:rsidRDefault="00F12466" w:rsidP="00ED2B5C">
            <w:pPr>
              <w:rPr>
                <w:szCs w:val="24"/>
              </w:rPr>
            </w:pPr>
            <w:r w:rsidRPr="00D46BAC">
              <w:rPr>
                <w:szCs w:val="24"/>
              </w:rPr>
              <w:t>Pyrene</w:t>
            </w:r>
          </w:p>
        </w:tc>
        <w:tc>
          <w:tcPr>
            <w:tcW w:w="1412" w:type="dxa"/>
            <w:tcBorders>
              <w:top w:val="nil"/>
              <w:left w:val="single" w:sz="4" w:space="0" w:color="auto"/>
              <w:bottom w:val="single" w:sz="4" w:space="0" w:color="auto"/>
              <w:right w:val="single" w:sz="4" w:space="0" w:color="auto"/>
            </w:tcBorders>
            <w:vAlign w:val="center"/>
          </w:tcPr>
          <w:p w14:paraId="64729026" w14:textId="05F68A6E"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0A71179B" w14:textId="74DDA80F"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55C264F" w14:textId="720F23EE"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6B2EB11F" w14:textId="0A7F22E4" w:rsidR="00F12466" w:rsidRPr="00D46BAC" w:rsidRDefault="00F12466" w:rsidP="00505E7C">
            <w:pPr>
              <w:jc w:val="center"/>
              <w:rPr>
                <w:szCs w:val="24"/>
              </w:rPr>
            </w:pPr>
            <w:r w:rsidRPr="00CA0574">
              <w:t>N/A</w:t>
            </w:r>
          </w:p>
        </w:tc>
      </w:tr>
      <w:tr w:rsidR="00F12466" w:rsidRPr="00D46BAC" w14:paraId="2C98AB49" w14:textId="681ECC8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47B632E" w14:textId="77777777" w:rsidR="00F12466" w:rsidRPr="00D46BAC" w:rsidRDefault="00F12466" w:rsidP="00ED2B5C">
            <w:pPr>
              <w:rPr>
                <w:b/>
                <w:bCs/>
                <w:szCs w:val="24"/>
                <w:u w:val="single"/>
              </w:rPr>
            </w:pPr>
            <w:r w:rsidRPr="00D46BAC">
              <w:rPr>
                <w:b/>
                <w:bCs/>
                <w:szCs w:val="24"/>
                <w:u w:val="single"/>
              </w:rPr>
              <w:t>Dibenzofurans</w:t>
            </w:r>
          </w:p>
        </w:tc>
        <w:tc>
          <w:tcPr>
            <w:tcW w:w="1412" w:type="dxa"/>
            <w:tcBorders>
              <w:top w:val="nil"/>
              <w:left w:val="single" w:sz="4" w:space="0" w:color="auto"/>
              <w:bottom w:val="single" w:sz="4" w:space="0" w:color="auto"/>
              <w:right w:val="single" w:sz="4" w:space="0" w:color="auto"/>
            </w:tcBorders>
            <w:vAlign w:val="center"/>
          </w:tcPr>
          <w:p w14:paraId="436ACBE8" w14:textId="4A6A3B87" w:rsidR="00F12466" w:rsidRPr="00D46BAC" w:rsidRDefault="00F12466" w:rsidP="00505E7C">
            <w:pPr>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2B1BCE50" w14:textId="687A7472"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69685D4A" w14:textId="3CD2216A"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009A4359" w14:textId="6458BDD7" w:rsidR="00F12466" w:rsidRPr="00D46BAC" w:rsidRDefault="00F12466" w:rsidP="00505E7C">
            <w:pPr>
              <w:jc w:val="center"/>
              <w:rPr>
                <w:b/>
                <w:bCs/>
                <w:szCs w:val="24"/>
                <w:u w:val="single"/>
              </w:rPr>
            </w:pPr>
          </w:p>
        </w:tc>
      </w:tr>
      <w:tr w:rsidR="00915979" w:rsidRPr="00D46BAC" w14:paraId="4948868F" w14:textId="1A916237"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7EFE59C" w14:textId="77777777" w:rsidR="00915979" w:rsidRPr="00D46BAC" w:rsidRDefault="00915979" w:rsidP="00915979">
            <w:pPr>
              <w:rPr>
                <w:szCs w:val="24"/>
              </w:rPr>
            </w:pPr>
            <w:r w:rsidRPr="00D46BAC">
              <w:rPr>
                <w:szCs w:val="24"/>
              </w:rPr>
              <w:t>1,2,3,4,6,7,8-Heptachlorodebenzofuran (less than)</w:t>
            </w:r>
          </w:p>
        </w:tc>
        <w:tc>
          <w:tcPr>
            <w:tcW w:w="1412" w:type="dxa"/>
            <w:tcBorders>
              <w:top w:val="nil"/>
              <w:left w:val="single" w:sz="4" w:space="0" w:color="auto"/>
              <w:bottom w:val="single" w:sz="4" w:space="0" w:color="auto"/>
              <w:right w:val="single" w:sz="4" w:space="0" w:color="auto"/>
            </w:tcBorders>
            <w:vAlign w:val="center"/>
          </w:tcPr>
          <w:p w14:paraId="7D094900" w14:textId="5BA205BC"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7F85BFC2" w14:textId="71C2DBDB"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1259FFCB" w14:textId="0E3332A0"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5671920D" w14:textId="5D29EBC1" w:rsidR="00915979" w:rsidRPr="00D46BAC" w:rsidRDefault="00915979" w:rsidP="00505E7C">
            <w:pPr>
              <w:jc w:val="center"/>
              <w:rPr>
                <w:szCs w:val="24"/>
              </w:rPr>
            </w:pPr>
            <w:r w:rsidRPr="0034616E">
              <w:t>N/A</w:t>
            </w:r>
          </w:p>
        </w:tc>
      </w:tr>
      <w:tr w:rsidR="00915979" w:rsidRPr="00D46BAC" w14:paraId="1E190043" w14:textId="4B02EEB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E5F0392" w14:textId="77777777" w:rsidR="00915979" w:rsidRPr="00D46BAC" w:rsidRDefault="00915979" w:rsidP="00915979">
            <w:pPr>
              <w:rPr>
                <w:szCs w:val="24"/>
              </w:rPr>
            </w:pPr>
            <w:r w:rsidRPr="00D46BAC">
              <w:rPr>
                <w:szCs w:val="24"/>
              </w:rPr>
              <w:t>1,2,3,4,7,8,9-Heptachlofodibenzofuran (less than)</w:t>
            </w:r>
          </w:p>
        </w:tc>
        <w:tc>
          <w:tcPr>
            <w:tcW w:w="1412" w:type="dxa"/>
            <w:tcBorders>
              <w:top w:val="nil"/>
              <w:left w:val="single" w:sz="4" w:space="0" w:color="auto"/>
              <w:bottom w:val="single" w:sz="4" w:space="0" w:color="auto"/>
              <w:right w:val="single" w:sz="4" w:space="0" w:color="auto"/>
            </w:tcBorders>
            <w:vAlign w:val="center"/>
          </w:tcPr>
          <w:p w14:paraId="3DE1D41D" w14:textId="5B79433D"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54E50F3C" w14:textId="56155D8A"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021E5E34" w14:textId="2C463DD4"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4A8D44B0" w14:textId="1DBECB61" w:rsidR="00915979" w:rsidRPr="00D46BAC" w:rsidRDefault="00915979" w:rsidP="00505E7C">
            <w:pPr>
              <w:jc w:val="center"/>
              <w:rPr>
                <w:szCs w:val="24"/>
              </w:rPr>
            </w:pPr>
            <w:r w:rsidRPr="0034616E">
              <w:t>N/A</w:t>
            </w:r>
          </w:p>
        </w:tc>
      </w:tr>
      <w:tr w:rsidR="00915979" w:rsidRPr="00D46BAC" w14:paraId="6A6B3D98" w14:textId="402D2A3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02BC682" w14:textId="77777777" w:rsidR="00915979" w:rsidRPr="00D46BAC" w:rsidRDefault="00915979" w:rsidP="00915979">
            <w:pPr>
              <w:rPr>
                <w:szCs w:val="24"/>
              </w:rPr>
            </w:pPr>
            <w:r w:rsidRPr="00D46BAC">
              <w:rPr>
                <w:szCs w:val="24"/>
              </w:rPr>
              <w:t>1,2,3,4,7,8-Hexachlorodibenzofuran</w:t>
            </w:r>
          </w:p>
        </w:tc>
        <w:tc>
          <w:tcPr>
            <w:tcW w:w="1412" w:type="dxa"/>
            <w:tcBorders>
              <w:top w:val="nil"/>
              <w:left w:val="single" w:sz="4" w:space="0" w:color="auto"/>
              <w:bottom w:val="single" w:sz="4" w:space="0" w:color="auto"/>
              <w:right w:val="single" w:sz="4" w:space="0" w:color="auto"/>
            </w:tcBorders>
            <w:vAlign w:val="center"/>
          </w:tcPr>
          <w:p w14:paraId="187A5949" w14:textId="0CB263EF"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39E201C8" w14:textId="32B07169"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1764A91C" w14:textId="3B8D0827"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1FBA2F38" w14:textId="2C7E97B0" w:rsidR="00915979" w:rsidRPr="00D46BAC" w:rsidRDefault="00915979" w:rsidP="00505E7C">
            <w:pPr>
              <w:jc w:val="center"/>
              <w:rPr>
                <w:szCs w:val="24"/>
              </w:rPr>
            </w:pPr>
            <w:r w:rsidRPr="0034616E">
              <w:t>N/A</w:t>
            </w:r>
          </w:p>
        </w:tc>
      </w:tr>
      <w:tr w:rsidR="00915979" w:rsidRPr="00D46BAC" w14:paraId="012A9035" w14:textId="540A4E2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F26DE4A" w14:textId="77777777" w:rsidR="00915979" w:rsidRPr="00D46BAC" w:rsidRDefault="00915979" w:rsidP="00915979">
            <w:pPr>
              <w:rPr>
                <w:szCs w:val="24"/>
              </w:rPr>
            </w:pPr>
            <w:r w:rsidRPr="00D46BAC">
              <w:rPr>
                <w:szCs w:val="24"/>
              </w:rPr>
              <w:t>1,2,3,6,7,8-Hexachlorodibenzofuran</w:t>
            </w:r>
          </w:p>
        </w:tc>
        <w:tc>
          <w:tcPr>
            <w:tcW w:w="1412" w:type="dxa"/>
            <w:tcBorders>
              <w:top w:val="nil"/>
              <w:left w:val="single" w:sz="4" w:space="0" w:color="auto"/>
              <w:bottom w:val="single" w:sz="4" w:space="0" w:color="auto"/>
              <w:right w:val="single" w:sz="4" w:space="0" w:color="auto"/>
            </w:tcBorders>
            <w:vAlign w:val="center"/>
          </w:tcPr>
          <w:p w14:paraId="3817DF2E" w14:textId="35FB9BB7"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16A4423A" w14:textId="10919BC4"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0CA383B4" w14:textId="0F8DF469"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2A661C0C" w14:textId="53E61FD5" w:rsidR="00915979" w:rsidRPr="00D46BAC" w:rsidRDefault="00915979" w:rsidP="00505E7C">
            <w:pPr>
              <w:jc w:val="center"/>
              <w:rPr>
                <w:szCs w:val="24"/>
              </w:rPr>
            </w:pPr>
            <w:r w:rsidRPr="0034616E">
              <w:t>N/A</w:t>
            </w:r>
          </w:p>
        </w:tc>
      </w:tr>
      <w:tr w:rsidR="00915979" w:rsidRPr="00D46BAC" w14:paraId="48A47CA4" w14:textId="7EB11B10"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58EAF421" w14:textId="77777777" w:rsidR="00915979" w:rsidRPr="00D46BAC" w:rsidRDefault="00915979" w:rsidP="00915979">
            <w:pPr>
              <w:rPr>
                <w:szCs w:val="24"/>
              </w:rPr>
            </w:pPr>
            <w:r w:rsidRPr="00D46BAC">
              <w:rPr>
                <w:szCs w:val="24"/>
              </w:rPr>
              <w:t>1,2,3,7,8,9-Hexachlorodibenzofuran</w:t>
            </w:r>
          </w:p>
        </w:tc>
        <w:tc>
          <w:tcPr>
            <w:tcW w:w="1412" w:type="dxa"/>
            <w:tcBorders>
              <w:top w:val="nil"/>
              <w:left w:val="single" w:sz="4" w:space="0" w:color="auto"/>
              <w:bottom w:val="single" w:sz="4" w:space="0" w:color="auto"/>
              <w:right w:val="single" w:sz="4" w:space="0" w:color="auto"/>
            </w:tcBorders>
            <w:vAlign w:val="center"/>
          </w:tcPr>
          <w:p w14:paraId="626EEDDC" w14:textId="3D117157"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6DE7DDA9" w14:textId="6135E6DA"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5CCC38BE" w14:textId="3E60175B"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6B681FF5" w14:textId="076CC3E5" w:rsidR="00915979" w:rsidRPr="00D46BAC" w:rsidRDefault="00915979" w:rsidP="00505E7C">
            <w:pPr>
              <w:jc w:val="center"/>
              <w:rPr>
                <w:szCs w:val="24"/>
              </w:rPr>
            </w:pPr>
            <w:r w:rsidRPr="0034616E">
              <w:t>N/A</w:t>
            </w:r>
          </w:p>
        </w:tc>
      </w:tr>
      <w:tr w:rsidR="00915979" w:rsidRPr="00D46BAC" w14:paraId="036C65D9" w14:textId="78B90F5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94E7F09" w14:textId="77777777" w:rsidR="00915979" w:rsidRPr="00D46BAC" w:rsidRDefault="00915979" w:rsidP="00915979">
            <w:pPr>
              <w:rPr>
                <w:szCs w:val="24"/>
              </w:rPr>
            </w:pPr>
            <w:r w:rsidRPr="00D46BAC">
              <w:rPr>
                <w:szCs w:val="24"/>
              </w:rPr>
              <w:t>2,3,4,6,7,8-Hexachlorodibenzofuran</w:t>
            </w:r>
          </w:p>
        </w:tc>
        <w:tc>
          <w:tcPr>
            <w:tcW w:w="1412" w:type="dxa"/>
            <w:tcBorders>
              <w:top w:val="nil"/>
              <w:left w:val="single" w:sz="4" w:space="0" w:color="auto"/>
              <w:bottom w:val="single" w:sz="4" w:space="0" w:color="auto"/>
              <w:right w:val="single" w:sz="4" w:space="0" w:color="auto"/>
            </w:tcBorders>
            <w:vAlign w:val="center"/>
          </w:tcPr>
          <w:p w14:paraId="0364836C" w14:textId="6BE627A3"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10D07F1E" w14:textId="778B8E60"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05969350" w14:textId="72A3E6C1"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6E8ED692" w14:textId="14D86DA8" w:rsidR="00915979" w:rsidRPr="00D46BAC" w:rsidRDefault="00915979" w:rsidP="00505E7C">
            <w:pPr>
              <w:jc w:val="center"/>
              <w:rPr>
                <w:szCs w:val="24"/>
              </w:rPr>
            </w:pPr>
            <w:r w:rsidRPr="0034616E">
              <w:t>N/A</w:t>
            </w:r>
          </w:p>
        </w:tc>
      </w:tr>
      <w:tr w:rsidR="00915979" w:rsidRPr="00D46BAC" w14:paraId="421DB1E6" w14:textId="407D0065"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708BE6AF" w14:textId="77777777" w:rsidR="00915979" w:rsidRPr="00D46BAC" w:rsidRDefault="00915979" w:rsidP="00915979">
            <w:pPr>
              <w:rPr>
                <w:szCs w:val="24"/>
              </w:rPr>
            </w:pPr>
            <w:r w:rsidRPr="00D46BAC">
              <w:rPr>
                <w:szCs w:val="24"/>
              </w:rPr>
              <w:t>1,2,3,7,8-Pentachlorodibenzofuran (less than)</w:t>
            </w:r>
          </w:p>
        </w:tc>
        <w:tc>
          <w:tcPr>
            <w:tcW w:w="1412" w:type="dxa"/>
            <w:tcBorders>
              <w:top w:val="nil"/>
              <w:left w:val="single" w:sz="4" w:space="0" w:color="auto"/>
              <w:bottom w:val="single" w:sz="4" w:space="0" w:color="auto"/>
              <w:right w:val="single" w:sz="4" w:space="0" w:color="auto"/>
            </w:tcBorders>
            <w:vAlign w:val="center"/>
          </w:tcPr>
          <w:p w14:paraId="424E798A" w14:textId="3FE1E3F3"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3CEA5867" w14:textId="57F2AA7B"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2B2C2442" w14:textId="4DF37D1A"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1684F2B8" w14:textId="11133BB2" w:rsidR="00915979" w:rsidRPr="00D46BAC" w:rsidRDefault="00915979" w:rsidP="00505E7C">
            <w:pPr>
              <w:jc w:val="center"/>
              <w:rPr>
                <w:szCs w:val="24"/>
              </w:rPr>
            </w:pPr>
            <w:r w:rsidRPr="0034616E">
              <w:t>N/A</w:t>
            </w:r>
          </w:p>
        </w:tc>
      </w:tr>
      <w:tr w:rsidR="00915979" w:rsidRPr="00D46BAC" w14:paraId="63DF6AEA" w14:textId="001B5FB3"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83E94CE" w14:textId="77777777" w:rsidR="00915979" w:rsidRPr="00D46BAC" w:rsidRDefault="00915979" w:rsidP="00915979">
            <w:pPr>
              <w:rPr>
                <w:szCs w:val="24"/>
              </w:rPr>
            </w:pPr>
            <w:r w:rsidRPr="00D46BAC">
              <w:rPr>
                <w:szCs w:val="24"/>
              </w:rPr>
              <w:t>2,3,4,7,8-Pentachlorodibenzofuran (less than)</w:t>
            </w:r>
          </w:p>
        </w:tc>
        <w:tc>
          <w:tcPr>
            <w:tcW w:w="1412" w:type="dxa"/>
            <w:tcBorders>
              <w:top w:val="nil"/>
              <w:left w:val="single" w:sz="4" w:space="0" w:color="auto"/>
              <w:bottom w:val="single" w:sz="4" w:space="0" w:color="auto"/>
              <w:right w:val="single" w:sz="4" w:space="0" w:color="auto"/>
            </w:tcBorders>
            <w:vAlign w:val="center"/>
          </w:tcPr>
          <w:p w14:paraId="540DE842" w14:textId="13831C49"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0F789384" w14:textId="27E0C9B4"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59991CA5" w14:textId="29E5C8B3"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3532FC64" w14:textId="6F5134DF" w:rsidR="00915979" w:rsidRPr="00D46BAC" w:rsidRDefault="00915979" w:rsidP="00505E7C">
            <w:pPr>
              <w:jc w:val="center"/>
              <w:rPr>
                <w:szCs w:val="24"/>
              </w:rPr>
            </w:pPr>
            <w:r w:rsidRPr="0034616E">
              <w:t>N/A</w:t>
            </w:r>
          </w:p>
        </w:tc>
      </w:tr>
      <w:tr w:rsidR="00915979" w:rsidRPr="00D46BAC" w14:paraId="0E3C219F" w14:textId="61E946C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D15892C" w14:textId="77777777" w:rsidR="00915979" w:rsidRPr="00D46BAC" w:rsidRDefault="00915979" w:rsidP="00915979">
            <w:pPr>
              <w:rPr>
                <w:szCs w:val="24"/>
              </w:rPr>
            </w:pPr>
            <w:r w:rsidRPr="00D46BAC">
              <w:rPr>
                <w:szCs w:val="24"/>
              </w:rPr>
              <w:t>2,3,7,8-Tetrachlorodibenzofuran</w:t>
            </w:r>
          </w:p>
        </w:tc>
        <w:tc>
          <w:tcPr>
            <w:tcW w:w="1412" w:type="dxa"/>
            <w:tcBorders>
              <w:top w:val="nil"/>
              <w:left w:val="single" w:sz="4" w:space="0" w:color="auto"/>
              <w:bottom w:val="single" w:sz="4" w:space="0" w:color="auto"/>
              <w:right w:val="single" w:sz="4" w:space="0" w:color="auto"/>
            </w:tcBorders>
            <w:vAlign w:val="center"/>
          </w:tcPr>
          <w:p w14:paraId="593F0398" w14:textId="75A6C62B" w:rsidR="00915979" w:rsidRPr="00D46BAC" w:rsidRDefault="00915979" w:rsidP="00505E7C">
            <w:pPr>
              <w:jc w:val="center"/>
              <w:rPr>
                <w:szCs w:val="24"/>
              </w:rPr>
            </w:pPr>
            <w:r w:rsidRPr="0034616E">
              <w:t>N/A</w:t>
            </w:r>
          </w:p>
        </w:tc>
        <w:tc>
          <w:tcPr>
            <w:tcW w:w="1245" w:type="dxa"/>
            <w:tcBorders>
              <w:top w:val="nil"/>
              <w:left w:val="single" w:sz="4" w:space="0" w:color="auto"/>
              <w:bottom w:val="single" w:sz="4" w:space="0" w:color="auto"/>
              <w:right w:val="single" w:sz="4" w:space="0" w:color="auto"/>
            </w:tcBorders>
            <w:vAlign w:val="center"/>
          </w:tcPr>
          <w:p w14:paraId="7AFC4D34" w14:textId="1A0D6047"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0E5728B4" w14:textId="1966318C" w:rsidR="00915979" w:rsidRPr="00D46BAC" w:rsidRDefault="00915979" w:rsidP="00505E7C">
            <w:pPr>
              <w:jc w:val="center"/>
              <w:rPr>
                <w:szCs w:val="24"/>
              </w:rPr>
            </w:pPr>
            <w:r w:rsidRPr="0034616E">
              <w:t>N/A</w:t>
            </w:r>
          </w:p>
        </w:tc>
        <w:tc>
          <w:tcPr>
            <w:tcW w:w="1234" w:type="dxa"/>
            <w:tcBorders>
              <w:top w:val="nil"/>
              <w:left w:val="single" w:sz="4" w:space="0" w:color="auto"/>
              <w:bottom w:val="single" w:sz="4" w:space="0" w:color="auto"/>
              <w:right w:val="single" w:sz="4" w:space="0" w:color="auto"/>
            </w:tcBorders>
            <w:vAlign w:val="center"/>
          </w:tcPr>
          <w:p w14:paraId="4D4E371A" w14:textId="008775F2" w:rsidR="00915979" w:rsidRPr="00D46BAC" w:rsidRDefault="00915979" w:rsidP="00505E7C">
            <w:pPr>
              <w:jc w:val="center"/>
              <w:rPr>
                <w:szCs w:val="24"/>
              </w:rPr>
            </w:pPr>
            <w:r w:rsidRPr="0034616E">
              <w:t>N/A</w:t>
            </w:r>
          </w:p>
        </w:tc>
      </w:tr>
      <w:tr w:rsidR="00F12466" w:rsidRPr="00D46BAC" w14:paraId="162B507D" w14:textId="3B0C3AF7"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3E292ED"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022DAF96" w14:textId="77777777"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2FA4FC52" w14:textId="77777777"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63D3E96D" w14:textId="77777777"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5F3EDC89" w14:textId="77777777" w:rsidR="00F12466" w:rsidRPr="00D46BAC" w:rsidRDefault="00F12466" w:rsidP="00505E7C">
            <w:pPr>
              <w:jc w:val="center"/>
              <w:rPr>
                <w:szCs w:val="24"/>
              </w:rPr>
            </w:pPr>
          </w:p>
        </w:tc>
      </w:tr>
      <w:tr w:rsidR="00F12466" w:rsidRPr="00D46BAC" w14:paraId="319DE089" w14:textId="653065F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6BB7C57" w14:textId="77777777" w:rsidR="00F12466" w:rsidRPr="00D46BAC" w:rsidRDefault="00F12466" w:rsidP="00F9781B">
            <w:pPr>
              <w:keepNext/>
              <w:keepLines/>
              <w:rPr>
                <w:b/>
                <w:bCs/>
                <w:szCs w:val="24"/>
                <w:u w:val="single"/>
              </w:rPr>
            </w:pPr>
            <w:r w:rsidRPr="00D46BAC">
              <w:rPr>
                <w:b/>
                <w:bCs/>
                <w:szCs w:val="24"/>
                <w:u w:val="single"/>
              </w:rPr>
              <w:t>Listed Non-POM Organic HAPs</w:t>
            </w:r>
          </w:p>
        </w:tc>
        <w:tc>
          <w:tcPr>
            <w:tcW w:w="1412" w:type="dxa"/>
            <w:tcBorders>
              <w:top w:val="nil"/>
              <w:left w:val="single" w:sz="4" w:space="0" w:color="auto"/>
              <w:bottom w:val="single" w:sz="4" w:space="0" w:color="auto"/>
              <w:right w:val="single" w:sz="4" w:space="0" w:color="auto"/>
            </w:tcBorders>
            <w:vAlign w:val="center"/>
          </w:tcPr>
          <w:p w14:paraId="75724266" w14:textId="77777777" w:rsidR="00F12466" w:rsidRPr="00D46BAC" w:rsidRDefault="00F12466" w:rsidP="00F9781B">
            <w:pPr>
              <w:keepNext/>
              <w:keepLines/>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3BB9631C" w14:textId="77777777" w:rsidR="00F12466" w:rsidRPr="00D46BAC" w:rsidRDefault="00F12466" w:rsidP="00F9781B">
            <w:pPr>
              <w:keepNext/>
              <w:keepLines/>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5A979F8A" w14:textId="77777777" w:rsidR="00F12466" w:rsidRPr="00D46BAC" w:rsidRDefault="00F12466" w:rsidP="00F9781B">
            <w:pPr>
              <w:keepNext/>
              <w:keepLines/>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0CC3F32C" w14:textId="77777777" w:rsidR="00F12466" w:rsidRPr="00D46BAC" w:rsidRDefault="00F12466" w:rsidP="00F9781B">
            <w:pPr>
              <w:keepNext/>
              <w:keepLines/>
              <w:jc w:val="center"/>
              <w:rPr>
                <w:b/>
                <w:bCs/>
                <w:szCs w:val="24"/>
                <w:u w:val="single"/>
              </w:rPr>
            </w:pPr>
          </w:p>
        </w:tc>
      </w:tr>
      <w:tr w:rsidR="00F12466" w:rsidRPr="00D46BAC" w14:paraId="0BEE6725" w14:textId="477A4FE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0BBB3D3" w14:textId="77777777" w:rsidR="00F12466" w:rsidRPr="00D46BAC" w:rsidRDefault="00F12466" w:rsidP="00F9781B">
            <w:pPr>
              <w:keepNext/>
              <w:keepLines/>
              <w:rPr>
                <w:szCs w:val="24"/>
              </w:rPr>
            </w:pPr>
            <w:r w:rsidRPr="00D46BAC">
              <w:rPr>
                <w:szCs w:val="24"/>
              </w:rPr>
              <w:t>Acetaldehyde</w:t>
            </w:r>
          </w:p>
        </w:tc>
        <w:tc>
          <w:tcPr>
            <w:tcW w:w="1412" w:type="dxa"/>
            <w:tcBorders>
              <w:top w:val="nil"/>
              <w:left w:val="single" w:sz="4" w:space="0" w:color="auto"/>
              <w:bottom w:val="single" w:sz="4" w:space="0" w:color="auto"/>
              <w:right w:val="single" w:sz="4" w:space="0" w:color="auto"/>
            </w:tcBorders>
            <w:vAlign w:val="center"/>
          </w:tcPr>
          <w:p w14:paraId="7F2B9290" w14:textId="04E4B5CB" w:rsidR="00F12466" w:rsidRPr="00D46BAC" w:rsidRDefault="00F12466" w:rsidP="00F9781B">
            <w:pPr>
              <w:keepNext/>
              <w:keepLines/>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5CBE84D" w14:textId="551EE4F1" w:rsidR="00F12466" w:rsidRPr="00D46BAC" w:rsidRDefault="00F12466" w:rsidP="00F9781B">
            <w:pPr>
              <w:keepNext/>
              <w:keepLines/>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4FC1146F" w14:textId="1D41D43C" w:rsidR="00F12466" w:rsidRPr="00D46BAC" w:rsidRDefault="00F12466" w:rsidP="00F9781B">
            <w:pPr>
              <w:keepNext/>
              <w:keepLines/>
              <w:jc w:val="center"/>
              <w:rPr>
                <w:szCs w:val="24"/>
              </w:rPr>
            </w:pPr>
            <w:r w:rsidRPr="00CA0574">
              <w:t>9</w:t>
            </w:r>
          </w:p>
        </w:tc>
        <w:tc>
          <w:tcPr>
            <w:tcW w:w="1234" w:type="dxa"/>
            <w:tcBorders>
              <w:top w:val="nil"/>
              <w:left w:val="single" w:sz="4" w:space="0" w:color="auto"/>
              <w:bottom w:val="single" w:sz="4" w:space="0" w:color="auto"/>
              <w:right w:val="single" w:sz="4" w:space="0" w:color="auto"/>
            </w:tcBorders>
            <w:vAlign w:val="center"/>
          </w:tcPr>
          <w:p w14:paraId="3A589E99" w14:textId="0177BDBE" w:rsidR="00F12466" w:rsidRPr="00D46BAC" w:rsidRDefault="00F12466" w:rsidP="00F9781B">
            <w:pPr>
              <w:keepNext/>
              <w:keepLines/>
              <w:jc w:val="center"/>
              <w:rPr>
                <w:szCs w:val="24"/>
              </w:rPr>
            </w:pPr>
            <w:r w:rsidRPr="00CA0574">
              <w:t>2.01E-08</w:t>
            </w:r>
          </w:p>
        </w:tc>
      </w:tr>
      <w:tr w:rsidR="00F12466" w:rsidRPr="00D46BAC" w14:paraId="5DD43E56" w14:textId="1C0FFAF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53F7A07A" w14:textId="77777777" w:rsidR="00F12466" w:rsidRPr="00D46BAC" w:rsidRDefault="00F12466" w:rsidP="00F9781B">
            <w:pPr>
              <w:keepNext/>
              <w:keepLines/>
              <w:rPr>
                <w:szCs w:val="24"/>
              </w:rPr>
            </w:pPr>
            <w:r w:rsidRPr="00D46BAC">
              <w:rPr>
                <w:szCs w:val="24"/>
              </w:rPr>
              <w:t>Formaldehyde</w:t>
            </w:r>
          </w:p>
        </w:tc>
        <w:tc>
          <w:tcPr>
            <w:tcW w:w="1412" w:type="dxa"/>
            <w:tcBorders>
              <w:top w:val="nil"/>
              <w:left w:val="single" w:sz="4" w:space="0" w:color="auto"/>
              <w:bottom w:val="single" w:sz="4" w:space="0" w:color="auto"/>
              <w:right w:val="single" w:sz="4" w:space="0" w:color="auto"/>
            </w:tcBorders>
            <w:vAlign w:val="center"/>
          </w:tcPr>
          <w:p w14:paraId="610CB6F2" w14:textId="27F54C7C" w:rsidR="00F12466" w:rsidRPr="00D46BAC" w:rsidRDefault="00F12466" w:rsidP="00F9781B">
            <w:pPr>
              <w:keepNext/>
              <w:keepLines/>
              <w:jc w:val="center"/>
              <w:rPr>
                <w:szCs w:val="24"/>
              </w:rPr>
            </w:pPr>
            <w:r w:rsidRPr="00CA0574">
              <w:t>0.000013</w:t>
            </w:r>
          </w:p>
        </w:tc>
        <w:tc>
          <w:tcPr>
            <w:tcW w:w="1245" w:type="dxa"/>
            <w:tcBorders>
              <w:top w:val="nil"/>
              <w:left w:val="single" w:sz="4" w:space="0" w:color="auto"/>
              <w:bottom w:val="single" w:sz="4" w:space="0" w:color="auto"/>
              <w:right w:val="single" w:sz="4" w:space="0" w:color="auto"/>
            </w:tcBorders>
            <w:vAlign w:val="center"/>
          </w:tcPr>
          <w:p w14:paraId="19B489BA" w14:textId="477553C1" w:rsidR="00F12466" w:rsidRPr="00D46BAC" w:rsidRDefault="00F12466" w:rsidP="00F9781B">
            <w:pPr>
              <w:keepNext/>
              <w:keepLines/>
              <w:jc w:val="center"/>
              <w:rPr>
                <w:szCs w:val="24"/>
              </w:rPr>
            </w:pPr>
            <w:r w:rsidRPr="00CA0574">
              <w:t>6.15E-13</w:t>
            </w:r>
          </w:p>
        </w:tc>
        <w:tc>
          <w:tcPr>
            <w:tcW w:w="1234" w:type="dxa"/>
            <w:tcBorders>
              <w:top w:val="nil"/>
              <w:left w:val="single" w:sz="4" w:space="0" w:color="auto"/>
              <w:bottom w:val="single" w:sz="4" w:space="0" w:color="auto"/>
              <w:right w:val="single" w:sz="4" w:space="0" w:color="auto"/>
            </w:tcBorders>
            <w:vAlign w:val="center"/>
          </w:tcPr>
          <w:p w14:paraId="2A55FDEA" w14:textId="55EF5C8F" w:rsidR="00F12466" w:rsidRPr="00D46BAC" w:rsidRDefault="00F12466" w:rsidP="00F9781B">
            <w:pPr>
              <w:keepNext/>
              <w:keepLines/>
              <w:jc w:val="center"/>
              <w:rPr>
                <w:szCs w:val="24"/>
              </w:rPr>
            </w:pPr>
            <w:r w:rsidRPr="00CA0574">
              <w:t>9.8</w:t>
            </w:r>
          </w:p>
        </w:tc>
        <w:tc>
          <w:tcPr>
            <w:tcW w:w="1234" w:type="dxa"/>
            <w:tcBorders>
              <w:top w:val="nil"/>
              <w:left w:val="single" w:sz="4" w:space="0" w:color="auto"/>
              <w:bottom w:val="single" w:sz="4" w:space="0" w:color="auto"/>
              <w:right w:val="single" w:sz="4" w:space="0" w:color="auto"/>
            </w:tcBorders>
            <w:vAlign w:val="center"/>
          </w:tcPr>
          <w:p w14:paraId="2C1AC56C" w14:textId="60BF2128" w:rsidR="00F12466" w:rsidRPr="00D46BAC" w:rsidRDefault="00F12466" w:rsidP="00F9781B">
            <w:pPr>
              <w:keepNext/>
              <w:keepLines/>
              <w:jc w:val="center"/>
              <w:rPr>
                <w:szCs w:val="24"/>
              </w:rPr>
            </w:pPr>
            <w:r w:rsidRPr="00CA0574">
              <w:t>4.83E-09</w:t>
            </w:r>
          </w:p>
        </w:tc>
      </w:tr>
      <w:tr w:rsidR="00F12466" w:rsidRPr="00D46BAC" w14:paraId="67E4ABA4" w14:textId="1EA8AFC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268572A" w14:textId="77777777" w:rsidR="00F12466" w:rsidRPr="00D46BAC" w:rsidRDefault="00F12466" w:rsidP="00F9781B">
            <w:pPr>
              <w:keepNext/>
              <w:keepLines/>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240D09EE" w14:textId="1F67EB1A" w:rsidR="00F12466" w:rsidRPr="00D46BAC" w:rsidRDefault="00F12466" w:rsidP="00F9781B">
            <w:pPr>
              <w:keepNext/>
              <w:keepLines/>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59C357E8" w14:textId="70B309AD" w:rsidR="00F12466" w:rsidRPr="00D46BAC" w:rsidRDefault="00F12466" w:rsidP="00F9781B">
            <w:pPr>
              <w:keepNext/>
              <w:keepLines/>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35C11504" w14:textId="1F872BC2" w:rsidR="00F12466" w:rsidRPr="00D46BAC" w:rsidRDefault="00F12466" w:rsidP="00F9781B">
            <w:pPr>
              <w:keepNext/>
              <w:keepLines/>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486D5EC8" w14:textId="1FA67956" w:rsidR="00F12466" w:rsidRPr="00D46BAC" w:rsidRDefault="00F12466" w:rsidP="00F9781B">
            <w:pPr>
              <w:keepNext/>
              <w:keepLines/>
              <w:jc w:val="center"/>
              <w:rPr>
                <w:szCs w:val="24"/>
              </w:rPr>
            </w:pPr>
          </w:p>
        </w:tc>
      </w:tr>
      <w:tr w:rsidR="00F12466" w:rsidRPr="00D46BAC" w14:paraId="00D1E95B" w14:textId="6809C1A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A99940F" w14:textId="77777777" w:rsidR="00F12466" w:rsidRPr="00D46BAC" w:rsidRDefault="00F12466" w:rsidP="00F9781B">
            <w:pPr>
              <w:keepNext/>
              <w:keepLines/>
              <w:rPr>
                <w:b/>
                <w:bCs/>
                <w:szCs w:val="24"/>
                <w:u w:val="single"/>
              </w:rPr>
            </w:pPr>
            <w:r w:rsidRPr="00D46BAC">
              <w:rPr>
                <w:b/>
                <w:bCs/>
                <w:szCs w:val="24"/>
                <w:u w:val="single"/>
              </w:rPr>
              <w:t>Listed Acids</w:t>
            </w:r>
          </w:p>
        </w:tc>
        <w:tc>
          <w:tcPr>
            <w:tcW w:w="1412" w:type="dxa"/>
            <w:tcBorders>
              <w:top w:val="nil"/>
              <w:left w:val="single" w:sz="4" w:space="0" w:color="auto"/>
              <w:bottom w:val="single" w:sz="4" w:space="0" w:color="auto"/>
              <w:right w:val="single" w:sz="4" w:space="0" w:color="auto"/>
            </w:tcBorders>
            <w:vAlign w:val="center"/>
          </w:tcPr>
          <w:p w14:paraId="45B223DB" w14:textId="5BF84007" w:rsidR="00F12466" w:rsidRPr="00D46BAC" w:rsidRDefault="00F12466" w:rsidP="00F9781B">
            <w:pPr>
              <w:keepNext/>
              <w:keepLines/>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31D6F9C7" w14:textId="5DBD2FD3" w:rsidR="00F12466" w:rsidRPr="00D46BAC" w:rsidRDefault="00F12466" w:rsidP="00F9781B">
            <w:pPr>
              <w:keepNext/>
              <w:keepLines/>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0AD670E7" w14:textId="3DE08D5D" w:rsidR="00F12466" w:rsidRPr="00D46BAC" w:rsidRDefault="00F12466" w:rsidP="00F9781B">
            <w:pPr>
              <w:keepNext/>
              <w:keepLines/>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59583907" w14:textId="6A9C0F36" w:rsidR="00F12466" w:rsidRPr="00D46BAC" w:rsidRDefault="00F12466" w:rsidP="00F9781B">
            <w:pPr>
              <w:keepNext/>
              <w:keepLines/>
              <w:jc w:val="center"/>
              <w:rPr>
                <w:b/>
                <w:bCs/>
                <w:szCs w:val="24"/>
                <w:u w:val="single"/>
              </w:rPr>
            </w:pPr>
          </w:p>
        </w:tc>
      </w:tr>
      <w:tr w:rsidR="00F12466" w:rsidRPr="00D46BAC" w14:paraId="5179865F" w14:textId="555F04F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0FF1FCBD" w14:textId="77777777" w:rsidR="00F12466" w:rsidRPr="00D46BAC" w:rsidRDefault="00F12466" w:rsidP="00ED2B5C">
            <w:pPr>
              <w:rPr>
                <w:szCs w:val="24"/>
              </w:rPr>
            </w:pPr>
            <w:r w:rsidRPr="00D46BAC">
              <w:rPr>
                <w:szCs w:val="24"/>
              </w:rPr>
              <w:t>Hydrogen chloride (hydrochloric acid)</w:t>
            </w:r>
          </w:p>
        </w:tc>
        <w:tc>
          <w:tcPr>
            <w:tcW w:w="1412" w:type="dxa"/>
            <w:tcBorders>
              <w:top w:val="nil"/>
              <w:left w:val="single" w:sz="4" w:space="0" w:color="auto"/>
              <w:bottom w:val="single" w:sz="4" w:space="0" w:color="auto"/>
              <w:right w:val="single" w:sz="4" w:space="0" w:color="auto"/>
            </w:tcBorders>
            <w:vAlign w:val="center"/>
          </w:tcPr>
          <w:p w14:paraId="523D1454" w14:textId="50899323"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1F7AE37F" w14:textId="48DE76B6"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2E4EE0DC" w14:textId="197D0B85" w:rsidR="00F12466" w:rsidRPr="00D46BAC" w:rsidRDefault="00F12466" w:rsidP="00505E7C">
            <w:pPr>
              <w:jc w:val="center"/>
              <w:rPr>
                <w:szCs w:val="24"/>
              </w:rPr>
            </w:pPr>
            <w:r w:rsidRPr="00CA0574">
              <w:t>20</w:t>
            </w:r>
          </w:p>
        </w:tc>
        <w:tc>
          <w:tcPr>
            <w:tcW w:w="1234" w:type="dxa"/>
            <w:tcBorders>
              <w:top w:val="nil"/>
              <w:left w:val="single" w:sz="4" w:space="0" w:color="auto"/>
              <w:bottom w:val="single" w:sz="4" w:space="0" w:color="auto"/>
              <w:right w:val="single" w:sz="4" w:space="0" w:color="auto"/>
            </w:tcBorders>
            <w:vAlign w:val="center"/>
          </w:tcPr>
          <w:p w14:paraId="394F3AAC" w14:textId="6D2FBA44" w:rsidR="00F12466" w:rsidRPr="00D46BAC" w:rsidRDefault="00F12466" w:rsidP="00505E7C">
            <w:pPr>
              <w:jc w:val="center"/>
              <w:rPr>
                <w:szCs w:val="24"/>
              </w:rPr>
            </w:pPr>
            <w:r w:rsidRPr="00CA0574">
              <w:t>5.01E-06</w:t>
            </w:r>
          </w:p>
        </w:tc>
      </w:tr>
      <w:tr w:rsidR="00F12466" w:rsidRPr="00D46BAC" w14:paraId="26D36CB5" w14:textId="4C278A4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E24DA31" w14:textId="77777777" w:rsidR="00F12466" w:rsidRPr="00D46BAC" w:rsidRDefault="00F12466" w:rsidP="00ED2B5C">
            <w:pPr>
              <w:rPr>
                <w:szCs w:val="24"/>
              </w:rPr>
            </w:pPr>
            <w:r w:rsidRPr="00D46BAC">
              <w:rPr>
                <w:szCs w:val="24"/>
              </w:rPr>
              <w:t>Hydrogen fluoride</w:t>
            </w:r>
          </w:p>
        </w:tc>
        <w:tc>
          <w:tcPr>
            <w:tcW w:w="1412" w:type="dxa"/>
            <w:tcBorders>
              <w:top w:val="nil"/>
              <w:left w:val="single" w:sz="4" w:space="0" w:color="auto"/>
              <w:bottom w:val="single" w:sz="4" w:space="0" w:color="auto"/>
              <w:right w:val="single" w:sz="4" w:space="0" w:color="auto"/>
            </w:tcBorders>
            <w:vAlign w:val="center"/>
          </w:tcPr>
          <w:p w14:paraId="28528E14" w14:textId="1DE94E3D" w:rsidR="00F12466" w:rsidRPr="00D46BAC" w:rsidRDefault="00F12466" w:rsidP="00505E7C">
            <w:pPr>
              <w:jc w:val="center"/>
              <w:rPr>
                <w:szCs w:val="24"/>
              </w:rPr>
            </w:pPr>
            <w:r w:rsidRPr="00CA0574">
              <w:t>N/A</w:t>
            </w:r>
          </w:p>
        </w:tc>
        <w:tc>
          <w:tcPr>
            <w:tcW w:w="1245" w:type="dxa"/>
            <w:tcBorders>
              <w:top w:val="nil"/>
              <w:left w:val="single" w:sz="4" w:space="0" w:color="auto"/>
              <w:bottom w:val="single" w:sz="4" w:space="0" w:color="auto"/>
              <w:right w:val="single" w:sz="4" w:space="0" w:color="auto"/>
            </w:tcBorders>
            <w:vAlign w:val="center"/>
          </w:tcPr>
          <w:p w14:paraId="4785D159" w14:textId="1EF31EAC"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54B2664E" w14:textId="5A668F52" w:rsidR="00F12466" w:rsidRPr="00D46BAC" w:rsidRDefault="00F12466" w:rsidP="00505E7C">
            <w:pPr>
              <w:jc w:val="center"/>
              <w:rPr>
                <w:szCs w:val="24"/>
              </w:rPr>
            </w:pPr>
            <w:r w:rsidRPr="00CA0574">
              <w:t>14</w:t>
            </w:r>
          </w:p>
        </w:tc>
        <w:tc>
          <w:tcPr>
            <w:tcW w:w="1234" w:type="dxa"/>
            <w:tcBorders>
              <w:top w:val="nil"/>
              <w:left w:val="single" w:sz="4" w:space="0" w:color="auto"/>
              <w:bottom w:val="single" w:sz="4" w:space="0" w:color="auto"/>
              <w:right w:val="single" w:sz="4" w:space="0" w:color="auto"/>
            </w:tcBorders>
            <w:vAlign w:val="center"/>
          </w:tcPr>
          <w:p w14:paraId="23EFE1EA" w14:textId="15CABF89" w:rsidR="00F12466" w:rsidRPr="00D46BAC" w:rsidRDefault="00F12466" w:rsidP="00505E7C">
            <w:pPr>
              <w:jc w:val="center"/>
              <w:rPr>
                <w:szCs w:val="24"/>
              </w:rPr>
            </w:pPr>
            <w:r w:rsidRPr="00CA0574">
              <w:t>6.56E-08</w:t>
            </w:r>
          </w:p>
        </w:tc>
      </w:tr>
      <w:tr w:rsidR="00F12466" w:rsidRPr="00D46BAC" w14:paraId="0D01E96A" w14:textId="1253A85D"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7FE2C9B"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749167F4" w14:textId="1E22B52D"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414C21A0" w14:textId="348D40FC"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2A4CCB38" w14:textId="2A02E1E2"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2E6EADA9" w14:textId="4BA068E0" w:rsidR="00F12466" w:rsidRPr="00D46BAC" w:rsidRDefault="00F12466" w:rsidP="00505E7C">
            <w:pPr>
              <w:jc w:val="center"/>
              <w:rPr>
                <w:szCs w:val="24"/>
              </w:rPr>
            </w:pPr>
          </w:p>
        </w:tc>
      </w:tr>
      <w:tr w:rsidR="00F12466" w:rsidRPr="00D46BAC" w14:paraId="28856F3D" w14:textId="69E5F265"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D643657" w14:textId="77777777" w:rsidR="00F12466" w:rsidRPr="00D46BAC" w:rsidRDefault="00F12466" w:rsidP="00ED2B5C">
            <w:pPr>
              <w:rPr>
                <w:b/>
                <w:bCs/>
                <w:szCs w:val="24"/>
                <w:u w:val="single"/>
              </w:rPr>
            </w:pPr>
            <w:r w:rsidRPr="00D46BAC">
              <w:rPr>
                <w:b/>
                <w:bCs/>
                <w:szCs w:val="24"/>
                <w:u w:val="single"/>
              </w:rPr>
              <w:t>Dioxins</w:t>
            </w:r>
          </w:p>
        </w:tc>
        <w:tc>
          <w:tcPr>
            <w:tcW w:w="1412" w:type="dxa"/>
            <w:tcBorders>
              <w:top w:val="nil"/>
              <w:left w:val="single" w:sz="4" w:space="0" w:color="auto"/>
              <w:bottom w:val="single" w:sz="4" w:space="0" w:color="auto"/>
              <w:right w:val="single" w:sz="4" w:space="0" w:color="auto"/>
            </w:tcBorders>
            <w:vAlign w:val="center"/>
          </w:tcPr>
          <w:p w14:paraId="3D2D641A" w14:textId="3876F69C" w:rsidR="00F12466" w:rsidRPr="00D46BAC" w:rsidRDefault="00F12466" w:rsidP="00505E7C">
            <w:pPr>
              <w:jc w:val="center"/>
              <w:rPr>
                <w:b/>
                <w:bCs/>
                <w:szCs w:val="24"/>
                <w:u w:val="single"/>
              </w:rPr>
            </w:pPr>
          </w:p>
        </w:tc>
        <w:tc>
          <w:tcPr>
            <w:tcW w:w="1245" w:type="dxa"/>
            <w:tcBorders>
              <w:top w:val="nil"/>
              <w:left w:val="single" w:sz="4" w:space="0" w:color="auto"/>
              <w:bottom w:val="single" w:sz="4" w:space="0" w:color="auto"/>
              <w:right w:val="single" w:sz="4" w:space="0" w:color="auto"/>
            </w:tcBorders>
            <w:vAlign w:val="center"/>
          </w:tcPr>
          <w:p w14:paraId="1AD05229" w14:textId="46DF85DB"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2C41DD72" w14:textId="081EEB78" w:rsidR="00F12466" w:rsidRPr="00D46BAC" w:rsidRDefault="00F12466" w:rsidP="00505E7C">
            <w:pPr>
              <w:jc w:val="center"/>
              <w:rPr>
                <w:b/>
                <w:bCs/>
                <w:szCs w:val="24"/>
                <w:u w:val="single"/>
              </w:rPr>
            </w:pPr>
          </w:p>
        </w:tc>
        <w:tc>
          <w:tcPr>
            <w:tcW w:w="1234" w:type="dxa"/>
            <w:tcBorders>
              <w:top w:val="nil"/>
              <w:left w:val="single" w:sz="4" w:space="0" w:color="auto"/>
              <w:bottom w:val="single" w:sz="4" w:space="0" w:color="auto"/>
              <w:right w:val="single" w:sz="4" w:space="0" w:color="auto"/>
            </w:tcBorders>
            <w:vAlign w:val="center"/>
          </w:tcPr>
          <w:p w14:paraId="35910135" w14:textId="253C03F5" w:rsidR="00F12466" w:rsidRPr="00D46BAC" w:rsidRDefault="00F12466" w:rsidP="00505E7C">
            <w:pPr>
              <w:jc w:val="center"/>
              <w:rPr>
                <w:b/>
                <w:bCs/>
                <w:szCs w:val="24"/>
                <w:u w:val="single"/>
              </w:rPr>
            </w:pPr>
          </w:p>
        </w:tc>
      </w:tr>
      <w:tr w:rsidR="00F12466" w:rsidRPr="00D46BAC" w14:paraId="586FD5F3" w14:textId="0E53847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2094384" w14:textId="77777777" w:rsidR="00F12466" w:rsidRPr="00D46BAC" w:rsidRDefault="00F12466" w:rsidP="00ED2B5C">
            <w:pPr>
              <w:rPr>
                <w:szCs w:val="24"/>
              </w:rPr>
            </w:pPr>
            <w:r w:rsidRPr="00D46BAC">
              <w:rPr>
                <w:szCs w:val="24"/>
              </w:rPr>
              <w:t>2,3,7,8-tetrachlorodibenzo-p-dioxin</w:t>
            </w:r>
          </w:p>
        </w:tc>
        <w:tc>
          <w:tcPr>
            <w:tcW w:w="1412" w:type="dxa"/>
            <w:tcBorders>
              <w:top w:val="nil"/>
              <w:left w:val="single" w:sz="4" w:space="0" w:color="auto"/>
              <w:bottom w:val="single" w:sz="4" w:space="0" w:color="auto"/>
              <w:right w:val="single" w:sz="4" w:space="0" w:color="auto"/>
            </w:tcBorders>
            <w:vAlign w:val="center"/>
          </w:tcPr>
          <w:p w14:paraId="2BA9A333" w14:textId="63E4480B" w:rsidR="00F12466" w:rsidRPr="00D46BAC" w:rsidRDefault="00F12466" w:rsidP="00505E7C">
            <w:pPr>
              <w:jc w:val="center"/>
              <w:rPr>
                <w:szCs w:val="24"/>
              </w:rPr>
            </w:pPr>
            <w:r w:rsidRPr="00CA0574">
              <w:t>33</w:t>
            </w:r>
          </w:p>
        </w:tc>
        <w:tc>
          <w:tcPr>
            <w:tcW w:w="1245" w:type="dxa"/>
            <w:tcBorders>
              <w:top w:val="nil"/>
              <w:left w:val="single" w:sz="4" w:space="0" w:color="auto"/>
              <w:bottom w:val="single" w:sz="4" w:space="0" w:color="auto"/>
              <w:right w:val="single" w:sz="4" w:space="0" w:color="auto"/>
            </w:tcBorders>
            <w:vAlign w:val="center"/>
          </w:tcPr>
          <w:p w14:paraId="5487F6FA" w14:textId="47ACB2B3" w:rsidR="00F12466" w:rsidRPr="00D46BAC" w:rsidRDefault="00F12466" w:rsidP="00505E7C">
            <w:pPr>
              <w:jc w:val="center"/>
              <w:rPr>
                <w:szCs w:val="24"/>
              </w:rPr>
            </w:pPr>
            <w:r w:rsidRPr="00CA0574">
              <w:t>3.65E-12</w:t>
            </w:r>
          </w:p>
        </w:tc>
        <w:tc>
          <w:tcPr>
            <w:tcW w:w="1234" w:type="dxa"/>
            <w:tcBorders>
              <w:top w:val="nil"/>
              <w:left w:val="single" w:sz="4" w:space="0" w:color="auto"/>
              <w:bottom w:val="single" w:sz="4" w:space="0" w:color="auto"/>
              <w:right w:val="single" w:sz="4" w:space="0" w:color="auto"/>
            </w:tcBorders>
            <w:vAlign w:val="center"/>
          </w:tcPr>
          <w:p w14:paraId="33C59BCD" w14:textId="47505BA9" w:rsidR="00F12466" w:rsidRPr="00D46BAC" w:rsidRDefault="00F12466" w:rsidP="00505E7C">
            <w:pPr>
              <w:jc w:val="center"/>
              <w:rPr>
                <w:szCs w:val="24"/>
              </w:rPr>
            </w:pPr>
            <w:r w:rsidRPr="00CA0574">
              <w:t>0.00004</w:t>
            </w:r>
          </w:p>
        </w:tc>
        <w:tc>
          <w:tcPr>
            <w:tcW w:w="1234" w:type="dxa"/>
            <w:tcBorders>
              <w:top w:val="nil"/>
              <w:left w:val="single" w:sz="4" w:space="0" w:color="auto"/>
              <w:bottom w:val="single" w:sz="4" w:space="0" w:color="auto"/>
              <w:right w:val="single" w:sz="4" w:space="0" w:color="auto"/>
            </w:tcBorders>
            <w:vAlign w:val="center"/>
          </w:tcPr>
          <w:p w14:paraId="350CBB18" w14:textId="70D94C0A" w:rsidR="00F12466" w:rsidRPr="00D46BAC" w:rsidRDefault="00F12466" w:rsidP="00505E7C">
            <w:pPr>
              <w:jc w:val="center"/>
              <w:rPr>
                <w:szCs w:val="24"/>
              </w:rPr>
            </w:pPr>
            <w:r w:rsidRPr="00CA0574">
              <w:t>2.76E-09</w:t>
            </w:r>
          </w:p>
        </w:tc>
      </w:tr>
      <w:tr w:rsidR="00F12466" w:rsidRPr="00D46BAC" w14:paraId="38FB6C1A" w14:textId="63C3872F"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556FB18E"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49FA88FB" w14:textId="5B47202E"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7114EB04" w14:textId="52AA6AFD"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7B2BABDB" w14:textId="6ED7436D"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5F260FFB" w14:textId="53428C6E" w:rsidR="00F12466" w:rsidRPr="00D46BAC" w:rsidRDefault="00F12466" w:rsidP="00505E7C">
            <w:pPr>
              <w:jc w:val="center"/>
              <w:rPr>
                <w:szCs w:val="24"/>
              </w:rPr>
            </w:pPr>
          </w:p>
        </w:tc>
      </w:tr>
      <w:tr w:rsidR="00915979" w:rsidRPr="00D46BAC" w14:paraId="5D90E6D8" w14:textId="0ECDD1F5"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06F0148" w14:textId="77777777" w:rsidR="00915979" w:rsidRPr="00D46BAC" w:rsidRDefault="00915979" w:rsidP="00915979">
            <w:pPr>
              <w:rPr>
                <w:szCs w:val="24"/>
              </w:rPr>
            </w:pPr>
            <w:r w:rsidRPr="00D46BAC">
              <w:rPr>
                <w:szCs w:val="24"/>
              </w:rPr>
              <w:t>1,2,3,4,6,7,8-Heptachlorodibenzo-p-dioxin</w:t>
            </w:r>
          </w:p>
        </w:tc>
        <w:tc>
          <w:tcPr>
            <w:tcW w:w="1412" w:type="dxa"/>
            <w:tcBorders>
              <w:top w:val="nil"/>
              <w:left w:val="single" w:sz="4" w:space="0" w:color="auto"/>
              <w:bottom w:val="single" w:sz="4" w:space="0" w:color="auto"/>
              <w:right w:val="single" w:sz="4" w:space="0" w:color="auto"/>
            </w:tcBorders>
            <w:vAlign w:val="center"/>
          </w:tcPr>
          <w:p w14:paraId="63710790" w14:textId="58A7B056" w:rsidR="00915979" w:rsidRPr="00D46BAC" w:rsidRDefault="00915979" w:rsidP="00505E7C">
            <w:pPr>
              <w:jc w:val="center"/>
              <w:rPr>
                <w:szCs w:val="24"/>
              </w:rPr>
            </w:pPr>
            <w:r w:rsidRPr="00C13AC7">
              <w:t>N/A</w:t>
            </w:r>
          </w:p>
        </w:tc>
        <w:tc>
          <w:tcPr>
            <w:tcW w:w="1245" w:type="dxa"/>
            <w:tcBorders>
              <w:top w:val="nil"/>
              <w:left w:val="single" w:sz="4" w:space="0" w:color="auto"/>
              <w:bottom w:val="single" w:sz="4" w:space="0" w:color="auto"/>
              <w:right w:val="single" w:sz="4" w:space="0" w:color="auto"/>
            </w:tcBorders>
            <w:vAlign w:val="center"/>
          </w:tcPr>
          <w:p w14:paraId="15B4D0FF" w14:textId="3424C2D0" w:rsidR="00915979" w:rsidRPr="00D46BAC" w:rsidRDefault="00915979" w:rsidP="00505E7C">
            <w:pPr>
              <w:jc w:val="center"/>
              <w:rPr>
                <w:szCs w:val="24"/>
              </w:rPr>
            </w:pPr>
            <w:r w:rsidRPr="00C13AC7">
              <w:t>N/A</w:t>
            </w:r>
          </w:p>
        </w:tc>
        <w:tc>
          <w:tcPr>
            <w:tcW w:w="1234" w:type="dxa"/>
            <w:tcBorders>
              <w:top w:val="nil"/>
              <w:left w:val="single" w:sz="4" w:space="0" w:color="auto"/>
              <w:bottom w:val="single" w:sz="4" w:space="0" w:color="auto"/>
              <w:right w:val="single" w:sz="4" w:space="0" w:color="auto"/>
            </w:tcBorders>
            <w:vAlign w:val="center"/>
          </w:tcPr>
          <w:p w14:paraId="59427551" w14:textId="51D7E7A7" w:rsidR="00915979" w:rsidRPr="00D46BAC" w:rsidRDefault="00915979" w:rsidP="00505E7C">
            <w:pPr>
              <w:jc w:val="center"/>
              <w:rPr>
                <w:szCs w:val="24"/>
              </w:rPr>
            </w:pPr>
            <w:r w:rsidRPr="00C13AC7">
              <w:t>N/A</w:t>
            </w:r>
          </w:p>
        </w:tc>
        <w:tc>
          <w:tcPr>
            <w:tcW w:w="1234" w:type="dxa"/>
            <w:tcBorders>
              <w:top w:val="nil"/>
              <w:left w:val="single" w:sz="4" w:space="0" w:color="auto"/>
              <w:bottom w:val="single" w:sz="4" w:space="0" w:color="auto"/>
              <w:right w:val="single" w:sz="4" w:space="0" w:color="auto"/>
            </w:tcBorders>
            <w:vAlign w:val="center"/>
          </w:tcPr>
          <w:p w14:paraId="08FC64AC" w14:textId="62DEDFD0" w:rsidR="00915979" w:rsidRPr="00D46BAC" w:rsidRDefault="00915979" w:rsidP="00505E7C">
            <w:pPr>
              <w:jc w:val="center"/>
              <w:rPr>
                <w:szCs w:val="24"/>
              </w:rPr>
            </w:pPr>
            <w:r w:rsidRPr="00C13AC7">
              <w:t>N/A</w:t>
            </w:r>
          </w:p>
        </w:tc>
      </w:tr>
      <w:tr w:rsidR="00F12466" w:rsidRPr="00D46BAC" w14:paraId="3DAD3C3F" w14:textId="4A4B2CB0"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1AF4D572"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31513B1D" w14:textId="6CC33177"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67E33530" w14:textId="174D9360"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1B4DA32C" w14:textId="45E4C1EF"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40FE480F" w14:textId="3942A4BF" w:rsidR="00F12466" w:rsidRPr="00D46BAC" w:rsidRDefault="00F12466" w:rsidP="00505E7C">
            <w:pPr>
              <w:jc w:val="center"/>
              <w:rPr>
                <w:szCs w:val="24"/>
              </w:rPr>
            </w:pPr>
          </w:p>
        </w:tc>
      </w:tr>
      <w:tr w:rsidR="00F12466" w:rsidRPr="00D46BAC" w14:paraId="59371C1A" w14:textId="00E9320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9ED21D1" w14:textId="77777777" w:rsidR="00F12466" w:rsidRPr="00D46BAC" w:rsidRDefault="00F12466" w:rsidP="00ED2B5C">
            <w:pPr>
              <w:rPr>
                <w:szCs w:val="24"/>
              </w:rPr>
            </w:pPr>
            <w:r w:rsidRPr="00D46BAC">
              <w:rPr>
                <w:szCs w:val="24"/>
              </w:rPr>
              <w:t>SUM of Hexachlorodibenzo-p-dioxin</w:t>
            </w:r>
          </w:p>
        </w:tc>
        <w:tc>
          <w:tcPr>
            <w:tcW w:w="1412" w:type="dxa"/>
            <w:tcBorders>
              <w:top w:val="nil"/>
              <w:left w:val="single" w:sz="4" w:space="0" w:color="auto"/>
              <w:bottom w:val="single" w:sz="4" w:space="0" w:color="auto"/>
              <w:right w:val="single" w:sz="4" w:space="0" w:color="auto"/>
            </w:tcBorders>
            <w:vAlign w:val="center"/>
          </w:tcPr>
          <w:p w14:paraId="1AF2E271" w14:textId="73F0D5E6" w:rsidR="00F12466" w:rsidRPr="00D46BAC" w:rsidRDefault="00F12466" w:rsidP="00505E7C">
            <w:pPr>
              <w:jc w:val="center"/>
              <w:rPr>
                <w:szCs w:val="24"/>
              </w:rPr>
            </w:pPr>
            <w:r w:rsidRPr="00CA0574">
              <w:t>1.3</w:t>
            </w:r>
          </w:p>
        </w:tc>
        <w:tc>
          <w:tcPr>
            <w:tcW w:w="1245" w:type="dxa"/>
            <w:tcBorders>
              <w:top w:val="nil"/>
              <w:left w:val="single" w:sz="4" w:space="0" w:color="auto"/>
              <w:bottom w:val="single" w:sz="4" w:space="0" w:color="auto"/>
              <w:right w:val="single" w:sz="4" w:space="0" w:color="auto"/>
            </w:tcBorders>
            <w:vAlign w:val="center"/>
          </w:tcPr>
          <w:p w14:paraId="61717E05" w14:textId="794ABDDB" w:rsidR="00F12466" w:rsidRPr="00D46BAC" w:rsidRDefault="00F12466" w:rsidP="00505E7C">
            <w:pPr>
              <w:jc w:val="center"/>
              <w:rPr>
                <w:szCs w:val="24"/>
              </w:rPr>
            </w:pPr>
            <w:r w:rsidRPr="00CA0574">
              <w:t>2.11E-12</w:t>
            </w:r>
          </w:p>
        </w:tc>
        <w:tc>
          <w:tcPr>
            <w:tcW w:w="1234" w:type="dxa"/>
            <w:tcBorders>
              <w:top w:val="nil"/>
              <w:left w:val="single" w:sz="4" w:space="0" w:color="auto"/>
              <w:bottom w:val="single" w:sz="4" w:space="0" w:color="auto"/>
              <w:right w:val="single" w:sz="4" w:space="0" w:color="auto"/>
            </w:tcBorders>
            <w:vAlign w:val="center"/>
          </w:tcPr>
          <w:p w14:paraId="53B13BF6" w14:textId="43626A94" w:rsidR="00F12466" w:rsidRPr="00D46BAC" w:rsidRDefault="00F12466" w:rsidP="00505E7C">
            <w:pPr>
              <w:jc w:val="center"/>
              <w:rPr>
                <w:szCs w:val="24"/>
              </w:rPr>
            </w:pPr>
            <w:r w:rsidRPr="00CA0574">
              <w:t>N/A</w:t>
            </w:r>
          </w:p>
        </w:tc>
        <w:tc>
          <w:tcPr>
            <w:tcW w:w="1234" w:type="dxa"/>
            <w:tcBorders>
              <w:top w:val="nil"/>
              <w:left w:val="single" w:sz="4" w:space="0" w:color="auto"/>
              <w:bottom w:val="single" w:sz="4" w:space="0" w:color="auto"/>
              <w:right w:val="single" w:sz="4" w:space="0" w:color="auto"/>
            </w:tcBorders>
            <w:vAlign w:val="center"/>
          </w:tcPr>
          <w:p w14:paraId="0D316D12" w14:textId="319F7886" w:rsidR="00F12466" w:rsidRPr="00D46BAC" w:rsidRDefault="00F12466" w:rsidP="00505E7C">
            <w:pPr>
              <w:jc w:val="center"/>
              <w:rPr>
                <w:szCs w:val="24"/>
              </w:rPr>
            </w:pPr>
            <w:r w:rsidRPr="00CA0574">
              <w:t>N/A</w:t>
            </w:r>
          </w:p>
        </w:tc>
      </w:tr>
      <w:tr w:rsidR="00F12466" w:rsidRPr="00D46BAC" w14:paraId="0CFC5B3F" w14:textId="772DE472"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323DEEBB" w14:textId="77777777" w:rsidR="00F12466" w:rsidRPr="00D46BAC" w:rsidRDefault="00F12466" w:rsidP="00ED2B5C">
            <w:pPr>
              <w:rPr>
                <w:szCs w:val="24"/>
              </w:rPr>
            </w:pPr>
            <w:r w:rsidRPr="00D46BAC">
              <w:rPr>
                <w:szCs w:val="24"/>
              </w:rPr>
              <w:t> </w:t>
            </w:r>
          </w:p>
        </w:tc>
        <w:tc>
          <w:tcPr>
            <w:tcW w:w="1412" w:type="dxa"/>
            <w:tcBorders>
              <w:top w:val="nil"/>
              <w:left w:val="single" w:sz="4" w:space="0" w:color="auto"/>
              <w:bottom w:val="single" w:sz="4" w:space="0" w:color="auto"/>
              <w:right w:val="single" w:sz="4" w:space="0" w:color="auto"/>
            </w:tcBorders>
            <w:vAlign w:val="center"/>
          </w:tcPr>
          <w:p w14:paraId="2E165082" w14:textId="4DDF6E77" w:rsidR="00F12466" w:rsidRPr="00D46BAC" w:rsidRDefault="00F12466" w:rsidP="00505E7C">
            <w:pPr>
              <w:jc w:val="center"/>
              <w:rPr>
                <w:szCs w:val="24"/>
              </w:rPr>
            </w:pPr>
          </w:p>
        </w:tc>
        <w:tc>
          <w:tcPr>
            <w:tcW w:w="1245" w:type="dxa"/>
            <w:tcBorders>
              <w:top w:val="nil"/>
              <w:left w:val="single" w:sz="4" w:space="0" w:color="auto"/>
              <w:bottom w:val="single" w:sz="4" w:space="0" w:color="auto"/>
              <w:right w:val="single" w:sz="4" w:space="0" w:color="auto"/>
            </w:tcBorders>
            <w:vAlign w:val="center"/>
          </w:tcPr>
          <w:p w14:paraId="7D9AAA15" w14:textId="0F9DB781"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5D63CD9F" w14:textId="30959566" w:rsidR="00F12466" w:rsidRPr="00D46BAC" w:rsidRDefault="00F12466" w:rsidP="00505E7C">
            <w:pPr>
              <w:jc w:val="center"/>
              <w:rPr>
                <w:szCs w:val="24"/>
              </w:rPr>
            </w:pPr>
          </w:p>
        </w:tc>
        <w:tc>
          <w:tcPr>
            <w:tcW w:w="1234" w:type="dxa"/>
            <w:tcBorders>
              <w:top w:val="nil"/>
              <w:left w:val="single" w:sz="4" w:space="0" w:color="auto"/>
              <w:bottom w:val="single" w:sz="4" w:space="0" w:color="auto"/>
              <w:right w:val="single" w:sz="4" w:space="0" w:color="auto"/>
            </w:tcBorders>
            <w:vAlign w:val="center"/>
          </w:tcPr>
          <w:p w14:paraId="36A1D670" w14:textId="7591331B" w:rsidR="00F12466" w:rsidRPr="00D46BAC" w:rsidRDefault="00F12466" w:rsidP="00505E7C">
            <w:pPr>
              <w:jc w:val="center"/>
              <w:rPr>
                <w:szCs w:val="24"/>
              </w:rPr>
            </w:pPr>
          </w:p>
        </w:tc>
      </w:tr>
      <w:tr w:rsidR="00915979" w:rsidRPr="00D46BAC" w14:paraId="2215455B" w14:textId="7D0A71D1"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8453529" w14:textId="77777777" w:rsidR="00915979" w:rsidRPr="00D46BAC" w:rsidRDefault="00915979" w:rsidP="00915979">
            <w:pPr>
              <w:rPr>
                <w:szCs w:val="24"/>
              </w:rPr>
            </w:pPr>
            <w:r w:rsidRPr="00D46BAC">
              <w:rPr>
                <w:szCs w:val="24"/>
              </w:rPr>
              <w:t>1,2,3,4,7,8-Hexachlorodibenzo-p-dioxin</w:t>
            </w:r>
          </w:p>
        </w:tc>
        <w:tc>
          <w:tcPr>
            <w:tcW w:w="1412" w:type="dxa"/>
            <w:tcBorders>
              <w:top w:val="nil"/>
              <w:left w:val="single" w:sz="4" w:space="0" w:color="auto"/>
              <w:bottom w:val="single" w:sz="4" w:space="0" w:color="auto"/>
              <w:right w:val="single" w:sz="4" w:space="0" w:color="auto"/>
            </w:tcBorders>
            <w:vAlign w:val="center"/>
          </w:tcPr>
          <w:p w14:paraId="1B606D78" w14:textId="6E881F4A" w:rsidR="00915979" w:rsidRPr="00D46BAC" w:rsidRDefault="00915979" w:rsidP="00505E7C">
            <w:pPr>
              <w:jc w:val="center"/>
              <w:rPr>
                <w:szCs w:val="24"/>
              </w:rPr>
            </w:pPr>
            <w:r w:rsidRPr="00547A1D">
              <w:t>N/A</w:t>
            </w:r>
          </w:p>
        </w:tc>
        <w:tc>
          <w:tcPr>
            <w:tcW w:w="1245" w:type="dxa"/>
            <w:tcBorders>
              <w:top w:val="nil"/>
              <w:left w:val="single" w:sz="4" w:space="0" w:color="auto"/>
              <w:bottom w:val="single" w:sz="4" w:space="0" w:color="auto"/>
              <w:right w:val="single" w:sz="4" w:space="0" w:color="auto"/>
            </w:tcBorders>
            <w:vAlign w:val="center"/>
          </w:tcPr>
          <w:p w14:paraId="24388B43" w14:textId="77254806" w:rsidR="00915979" w:rsidRPr="00D46BAC" w:rsidRDefault="00915979" w:rsidP="00505E7C">
            <w:pPr>
              <w:jc w:val="center"/>
              <w:rPr>
                <w:szCs w:val="24"/>
              </w:rPr>
            </w:pPr>
            <w:r w:rsidRPr="00547A1D">
              <w:t>N/A</w:t>
            </w:r>
          </w:p>
        </w:tc>
        <w:tc>
          <w:tcPr>
            <w:tcW w:w="1234" w:type="dxa"/>
            <w:tcBorders>
              <w:top w:val="nil"/>
              <w:left w:val="single" w:sz="4" w:space="0" w:color="auto"/>
              <w:bottom w:val="single" w:sz="4" w:space="0" w:color="auto"/>
              <w:right w:val="single" w:sz="4" w:space="0" w:color="auto"/>
            </w:tcBorders>
            <w:vAlign w:val="center"/>
          </w:tcPr>
          <w:p w14:paraId="3B8E421F" w14:textId="409BEFC0" w:rsidR="00915979" w:rsidRPr="00D46BAC" w:rsidRDefault="00915979" w:rsidP="00505E7C">
            <w:pPr>
              <w:jc w:val="center"/>
              <w:rPr>
                <w:szCs w:val="24"/>
              </w:rPr>
            </w:pPr>
            <w:r w:rsidRPr="00547A1D">
              <w:t>N/A</w:t>
            </w:r>
          </w:p>
        </w:tc>
        <w:tc>
          <w:tcPr>
            <w:tcW w:w="1234" w:type="dxa"/>
            <w:tcBorders>
              <w:top w:val="nil"/>
              <w:left w:val="single" w:sz="4" w:space="0" w:color="auto"/>
              <w:bottom w:val="single" w:sz="4" w:space="0" w:color="auto"/>
              <w:right w:val="single" w:sz="4" w:space="0" w:color="auto"/>
            </w:tcBorders>
            <w:vAlign w:val="center"/>
          </w:tcPr>
          <w:p w14:paraId="14BD4C2D" w14:textId="39497C8F" w:rsidR="00915979" w:rsidRPr="00D46BAC" w:rsidRDefault="00915979" w:rsidP="00505E7C">
            <w:pPr>
              <w:jc w:val="center"/>
              <w:rPr>
                <w:szCs w:val="24"/>
              </w:rPr>
            </w:pPr>
            <w:r w:rsidRPr="00547A1D">
              <w:t>N/A</w:t>
            </w:r>
          </w:p>
        </w:tc>
      </w:tr>
      <w:tr w:rsidR="00915979" w:rsidRPr="00D46BAC" w14:paraId="50766948" w14:textId="3E866FBA"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25127745" w14:textId="77777777" w:rsidR="00915979" w:rsidRPr="00D46BAC" w:rsidRDefault="00915979" w:rsidP="00915979">
            <w:pPr>
              <w:rPr>
                <w:szCs w:val="24"/>
              </w:rPr>
            </w:pPr>
            <w:r w:rsidRPr="00D46BAC">
              <w:rPr>
                <w:szCs w:val="24"/>
              </w:rPr>
              <w:t>1,2,3,6,7,8-Hexachlorodibenzo-p-dioxin</w:t>
            </w:r>
          </w:p>
        </w:tc>
        <w:tc>
          <w:tcPr>
            <w:tcW w:w="1412" w:type="dxa"/>
            <w:tcBorders>
              <w:top w:val="single" w:sz="4" w:space="0" w:color="auto"/>
              <w:left w:val="single" w:sz="4" w:space="0" w:color="auto"/>
              <w:bottom w:val="single" w:sz="4" w:space="0" w:color="auto"/>
              <w:right w:val="single" w:sz="4" w:space="0" w:color="auto"/>
            </w:tcBorders>
            <w:vAlign w:val="center"/>
          </w:tcPr>
          <w:p w14:paraId="28B549DF" w14:textId="6C490EFB" w:rsidR="00915979" w:rsidRPr="00D46BAC" w:rsidRDefault="00915979" w:rsidP="00505E7C">
            <w:pPr>
              <w:jc w:val="center"/>
              <w:rPr>
                <w:szCs w:val="24"/>
              </w:rPr>
            </w:pPr>
            <w:r w:rsidRPr="00547A1D">
              <w:t>N/A</w:t>
            </w:r>
          </w:p>
        </w:tc>
        <w:tc>
          <w:tcPr>
            <w:tcW w:w="1245" w:type="dxa"/>
            <w:tcBorders>
              <w:top w:val="single" w:sz="4" w:space="0" w:color="auto"/>
              <w:left w:val="single" w:sz="4" w:space="0" w:color="auto"/>
              <w:bottom w:val="single" w:sz="4" w:space="0" w:color="auto"/>
              <w:right w:val="single" w:sz="4" w:space="0" w:color="auto"/>
            </w:tcBorders>
            <w:vAlign w:val="center"/>
          </w:tcPr>
          <w:p w14:paraId="5302DEB0" w14:textId="49D09650" w:rsidR="00915979" w:rsidRPr="00D46BAC" w:rsidRDefault="00915979" w:rsidP="00505E7C">
            <w:pPr>
              <w:jc w:val="center"/>
              <w:rPr>
                <w:szCs w:val="24"/>
              </w:rPr>
            </w:pPr>
            <w:r w:rsidRPr="00547A1D">
              <w:t>N/A</w:t>
            </w:r>
          </w:p>
        </w:tc>
        <w:tc>
          <w:tcPr>
            <w:tcW w:w="1234" w:type="dxa"/>
            <w:tcBorders>
              <w:top w:val="single" w:sz="4" w:space="0" w:color="auto"/>
              <w:left w:val="single" w:sz="4" w:space="0" w:color="auto"/>
              <w:bottom w:val="single" w:sz="4" w:space="0" w:color="auto"/>
              <w:right w:val="single" w:sz="4" w:space="0" w:color="auto"/>
            </w:tcBorders>
            <w:vAlign w:val="center"/>
          </w:tcPr>
          <w:p w14:paraId="5094D4D0" w14:textId="533C4254" w:rsidR="00915979" w:rsidRPr="00D46BAC" w:rsidRDefault="00915979" w:rsidP="00505E7C">
            <w:pPr>
              <w:jc w:val="center"/>
              <w:rPr>
                <w:szCs w:val="24"/>
              </w:rPr>
            </w:pPr>
            <w:r w:rsidRPr="00547A1D">
              <w:t>N/A</w:t>
            </w:r>
          </w:p>
        </w:tc>
        <w:tc>
          <w:tcPr>
            <w:tcW w:w="1234" w:type="dxa"/>
            <w:tcBorders>
              <w:top w:val="single" w:sz="4" w:space="0" w:color="auto"/>
              <w:left w:val="single" w:sz="4" w:space="0" w:color="auto"/>
              <w:bottom w:val="single" w:sz="4" w:space="0" w:color="auto"/>
              <w:right w:val="single" w:sz="4" w:space="0" w:color="auto"/>
            </w:tcBorders>
            <w:vAlign w:val="center"/>
          </w:tcPr>
          <w:p w14:paraId="467907B0" w14:textId="49C97C30" w:rsidR="00915979" w:rsidRPr="00D46BAC" w:rsidRDefault="00915979" w:rsidP="00505E7C">
            <w:pPr>
              <w:jc w:val="center"/>
              <w:rPr>
                <w:szCs w:val="24"/>
              </w:rPr>
            </w:pPr>
            <w:r w:rsidRPr="00547A1D">
              <w:t>N/A</w:t>
            </w:r>
          </w:p>
        </w:tc>
      </w:tr>
      <w:tr w:rsidR="00915979" w:rsidRPr="00D46BAC" w14:paraId="66F113DB" w14:textId="1EFFC4E1"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69B1D97A" w14:textId="77777777" w:rsidR="00915979" w:rsidRPr="00D46BAC" w:rsidRDefault="00915979" w:rsidP="00915979">
            <w:pPr>
              <w:rPr>
                <w:szCs w:val="24"/>
              </w:rPr>
            </w:pPr>
            <w:r w:rsidRPr="00D46BAC">
              <w:rPr>
                <w:szCs w:val="24"/>
              </w:rPr>
              <w:t>1,2,3,7,8,9-Hexachlorodibenzo-p-dioxin</w:t>
            </w:r>
          </w:p>
        </w:tc>
        <w:tc>
          <w:tcPr>
            <w:tcW w:w="1412" w:type="dxa"/>
            <w:tcBorders>
              <w:top w:val="single" w:sz="4" w:space="0" w:color="auto"/>
              <w:left w:val="single" w:sz="4" w:space="0" w:color="auto"/>
              <w:bottom w:val="single" w:sz="4" w:space="0" w:color="auto"/>
              <w:right w:val="single" w:sz="4" w:space="0" w:color="auto"/>
            </w:tcBorders>
            <w:vAlign w:val="center"/>
          </w:tcPr>
          <w:p w14:paraId="01FBF1F1" w14:textId="622360E3" w:rsidR="00915979" w:rsidRPr="00D46BAC" w:rsidRDefault="00915979" w:rsidP="00505E7C">
            <w:pPr>
              <w:jc w:val="center"/>
              <w:rPr>
                <w:szCs w:val="24"/>
              </w:rPr>
            </w:pPr>
            <w:r w:rsidRPr="00547A1D">
              <w:t>N/A</w:t>
            </w:r>
          </w:p>
        </w:tc>
        <w:tc>
          <w:tcPr>
            <w:tcW w:w="1245" w:type="dxa"/>
            <w:tcBorders>
              <w:top w:val="single" w:sz="4" w:space="0" w:color="auto"/>
              <w:left w:val="single" w:sz="4" w:space="0" w:color="auto"/>
              <w:bottom w:val="single" w:sz="4" w:space="0" w:color="auto"/>
              <w:right w:val="single" w:sz="4" w:space="0" w:color="auto"/>
            </w:tcBorders>
            <w:vAlign w:val="center"/>
          </w:tcPr>
          <w:p w14:paraId="1B8A3A2D" w14:textId="0248DEE7" w:rsidR="00915979" w:rsidRPr="00D46BAC" w:rsidRDefault="00915979" w:rsidP="00505E7C">
            <w:pPr>
              <w:jc w:val="center"/>
              <w:rPr>
                <w:szCs w:val="24"/>
              </w:rPr>
            </w:pPr>
            <w:r w:rsidRPr="00547A1D">
              <w:t>N/A</w:t>
            </w:r>
          </w:p>
        </w:tc>
        <w:tc>
          <w:tcPr>
            <w:tcW w:w="1234" w:type="dxa"/>
            <w:tcBorders>
              <w:top w:val="single" w:sz="4" w:space="0" w:color="auto"/>
              <w:left w:val="single" w:sz="4" w:space="0" w:color="auto"/>
              <w:bottom w:val="single" w:sz="4" w:space="0" w:color="auto"/>
              <w:right w:val="single" w:sz="4" w:space="0" w:color="auto"/>
            </w:tcBorders>
            <w:vAlign w:val="center"/>
          </w:tcPr>
          <w:p w14:paraId="25168982" w14:textId="51AE17F3" w:rsidR="00915979" w:rsidRPr="00D46BAC" w:rsidRDefault="00915979" w:rsidP="00505E7C">
            <w:pPr>
              <w:jc w:val="center"/>
              <w:rPr>
                <w:szCs w:val="24"/>
              </w:rPr>
            </w:pPr>
            <w:r w:rsidRPr="00547A1D">
              <w:t>N/A</w:t>
            </w:r>
          </w:p>
        </w:tc>
        <w:tc>
          <w:tcPr>
            <w:tcW w:w="1234" w:type="dxa"/>
            <w:tcBorders>
              <w:top w:val="single" w:sz="4" w:space="0" w:color="auto"/>
              <w:left w:val="single" w:sz="4" w:space="0" w:color="auto"/>
              <w:bottom w:val="single" w:sz="4" w:space="0" w:color="auto"/>
              <w:right w:val="single" w:sz="4" w:space="0" w:color="auto"/>
            </w:tcBorders>
            <w:vAlign w:val="center"/>
          </w:tcPr>
          <w:p w14:paraId="5530AF2C" w14:textId="1ED9AF4E" w:rsidR="00915979" w:rsidRPr="00D46BAC" w:rsidRDefault="00915979" w:rsidP="00505E7C">
            <w:pPr>
              <w:jc w:val="center"/>
              <w:rPr>
                <w:szCs w:val="24"/>
              </w:rPr>
            </w:pPr>
            <w:r w:rsidRPr="00547A1D">
              <w:t>N/A</w:t>
            </w:r>
          </w:p>
        </w:tc>
      </w:tr>
      <w:tr w:rsidR="00F12466" w:rsidRPr="00D46BAC" w14:paraId="3F6F4D31" w14:textId="09570ADE" w:rsidTr="00505E7C">
        <w:trPr>
          <w:trHeight w:val="264"/>
        </w:trPr>
        <w:tc>
          <w:tcPr>
            <w:tcW w:w="4220" w:type="dxa"/>
            <w:tcBorders>
              <w:top w:val="nil"/>
              <w:left w:val="single" w:sz="4" w:space="0" w:color="auto"/>
              <w:bottom w:val="single" w:sz="4" w:space="0" w:color="auto"/>
              <w:right w:val="single" w:sz="4" w:space="0" w:color="auto"/>
            </w:tcBorders>
            <w:noWrap/>
            <w:vAlign w:val="bottom"/>
            <w:hideMark/>
          </w:tcPr>
          <w:p w14:paraId="4993A009" w14:textId="77777777" w:rsidR="00F12466" w:rsidRPr="00D46BAC" w:rsidRDefault="00F12466" w:rsidP="00ED2B5C">
            <w:pPr>
              <w:rPr>
                <w:szCs w:val="24"/>
              </w:rPr>
            </w:pPr>
            <w:r w:rsidRPr="00D46BAC">
              <w:rPr>
                <w:szCs w:val="24"/>
              </w:rPr>
              <w:t> </w:t>
            </w:r>
          </w:p>
        </w:tc>
        <w:tc>
          <w:tcPr>
            <w:tcW w:w="1412" w:type="dxa"/>
            <w:tcBorders>
              <w:top w:val="single" w:sz="4" w:space="0" w:color="auto"/>
              <w:left w:val="single" w:sz="4" w:space="0" w:color="auto"/>
              <w:bottom w:val="single" w:sz="4" w:space="0" w:color="auto"/>
              <w:right w:val="single" w:sz="4" w:space="0" w:color="auto"/>
            </w:tcBorders>
            <w:vAlign w:val="center"/>
          </w:tcPr>
          <w:p w14:paraId="3BCC2267" w14:textId="77777777" w:rsidR="00F12466" w:rsidRPr="00D46BAC" w:rsidRDefault="00F12466" w:rsidP="00505E7C">
            <w:pPr>
              <w:jc w:val="center"/>
              <w:rPr>
                <w:szCs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3A173FE2" w14:textId="1E8F4CE3" w:rsidR="00F12466" w:rsidRPr="00D46BAC" w:rsidRDefault="00F12466" w:rsidP="00505E7C">
            <w:pPr>
              <w:jc w:val="center"/>
              <w:rPr>
                <w:szCs w:val="24"/>
              </w:rPr>
            </w:pPr>
          </w:p>
        </w:tc>
        <w:tc>
          <w:tcPr>
            <w:tcW w:w="1234" w:type="dxa"/>
            <w:tcBorders>
              <w:top w:val="single" w:sz="4" w:space="0" w:color="auto"/>
              <w:left w:val="single" w:sz="4" w:space="0" w:color="auto"/>
              <w:bottom w:val="single" w:sz="4" w:space="0" w:color="auto"/>
              <w:right w:val="single" w:sz="4" w:space="0" w:color="auto"/>
            </w:tcBorders>
            <w:vAlign w:val="center"/>
          </w:tcPr>
          <w:p w14:paraId="4FE41363" w14:textId="77777777" w:rsidR="00F12466" w:rsidRPr="00D46BAC" w:rsidRDefault="00F12466" w:rsidP="00505E7C">
            <w:pPr>
              <w:jc w:val="center"/>
              <w:rPr>
                <w:szCs w:val="24"/>
              </w:rPr>
            </w:pPr>
          </w:p>
        </w:tc>
        <w:tc>
          <w:tcPr>
            <w:tcW w:w="1234" w:type="dxa"/>
            <w:tcBorders>
              <w:top w:val="single" w:sz="4" w:space="0" w:color="auto"/>
              <w:left w:val="single" w:sz="4" w:space="0" w:color="auto"/>
              <w:bottom w:val="single" w:sz="4" w:space="0" w:color="auto"/>
              <w:right w:val="single" w:sz="4" w:space="0" w:color="auto"/>
            </w:tcBorders>
            <w:vAlign w:val="center"/>
          </w:tcPr>
          <w:p w14:paraId="6B489D32" w14:textId="524E3D37" w:rsidR="00F12466" w:rsidRPr="00D46BAC" w:rsidRDefault="00F12466" w:rsidP="00505E7C">
            <w:pPr>
              <w:jc w:val="center"/>
              <w:rPr>
                <w:szCs w:val="24"/>
              </w:rPr>
            </w:pPr>
          </w:p>
        </w:tc>
      </w:tr>
      <w:tr w:rsidR="00915979" w:rsidRPr="00D46BAC" w14:paraId="5AC1CC7F" w14:textId="369CF669" w:rsidTr="00505E7C">
        <w:trPr>
          <w:trHeight w:val="264"/>
        </w:trPr>
        <w:tc>
          <w:tcPr>
            <w:tcW w:w="4220" w:type="dxa"/>
            <w:tcBorders>
              <w:top w:val="single" w:sz="4" w:space="0" w:color="auto"/>
              <w:left w:val="single" w:sz="4" w:space="0" w:color="auto"/>
              <w:bottom w:val="single" w:sz="4" w:space="0" w:color="auto"/>
              <w:right w:val="single" w:sz="4" w:space="0" w:color="auto"/>
            </w:tcBorders>
            <w:noWrap/>
            <w:vAlign w:val="bottom"/>
            <w:hideMark/>
          </w:tcPr>
          <w:p w14:paraId="2BF11510" w14:textId="77777777" w:rsidR="00915979" w:rsidRPr="00D46BAC" w:rsidRDefault="00915979" w:rsidP="00915979">
            <w:pPr>
              <w:rPr>
                <w:szCs w:val="24"/>
              </w:rPr>
            </w:pPr>
            <w:r w:rsidRPr="00D46BAC">
              <w:rPr>
                <w:szCs w:val="24"/>
              </w:rPr>
              <w:lastRenderedPageBreak/>
              <w:t>1,2,3,7,8-Pentachlorodibenzo-p-dioxin</w:t>
            </w:r>
          </w:p>
        </w:tc>
        <w:tc>
          <w:tcPr>
            <w:tcW w:w="1412" w:type="dxa"/>
            <w:tcBorders>
              <w:top w:val="single" w:sz="4" w:space="0" w:color="auto"/>
              <w:left w:val="single" w:sz="4" w:space="0" w:color="auto"/>
              <w:bottom w:val="single" w:sz="4" w:space="0" w:color="auto"/>
              <w:right w:val="single" w:sz="4" w:space="0" w:color="auto"/>
            </w:tcBorders>
            <w:vAlign w:val="center"/>
          </w:tcPr>
          <w:p w14:paraId="78D1E940" w14:textId="78D09C3B" w:rsidR="00915979" w:rsidRPr="00D46BAC" w:rsidRDefault="00915979" w:rsidP="00505E7C">
            <w:pPr>
              <w:jc w:val="center"/>
              <w:rPr>
                <w:szCs w:val="24"/>
              </w:rPr>
            </w:pPr>
            <w:r w:rsidRPr="0071244B">
              <w:t>N/A</w:t>
            </w:r>
          </w:p>
        </w:tc>
        <w:tc>
          <w:tcPr>
            <w:tcW w:w="1245" w:type="dxa"/>
            <w:tcBorders>
              <w:top w:val="single" w:sz="4" w:space="0" w:color="auto"/>
              <w:left w:val="single" w:sz="4" w:space="0" w:color="auto"/>
              <w:bottom w:val="single" w:sz="4" w:space="0" w:color="auto"/>
              <w:right w:val="single" w:sz="4" w:space="0" w:color="auto"/>
            </w:tcBorders>
            <w:vAlign w:val="center"/>
          </w:tcPr>
          <w:p w14:paraId="69753A1A" w14:textId="76067B17" w:rsidR="00915979" w:rsidRPr="00D46BAC" w:rsidRDefault="00915979" w:rsidP="00505E7C">
            <w:pPr>
              <w:jc w:val="center"/>
              <w:rPr>
                <w:szCs w:val="24"/>
              </w:rPr>
            </w:pPr>
            <w:r w:rsidRPr="0071244B">
              <w:t>N/A</w:t>
            </w:r>
          </w:p>
        </w:tc>
        <w:tc>
          <w:tcPr>
            <w:tcW w:w="1234" w:type="dxa"/>
            <w:tcBorders>
              <w:top w:val="single" w:sz="4" w:space="0" w:color="auto"/>
              <w:left w:val="single" w:sz="4" w:space="0" w:color="auto"/>
              <w:bottom w:val="single" w:sz="4" w:space="0" w:color="auto"/>
              <w:right w:val="single" w:sz="4" w:space="0" w:color="auto"/>
            </w:tcBorders>
            <w:vAlign w:val="center"/>
          </w:tcPr>
          <w:p w14:paraId="20B890B0" w14:textId="71AD24B4" w:rsidR="00915979" w:rsidRPr="00D46BAC" w:rsidRDefault="00915979" w:rsidP="00505E7C">
            <w:pPr>
              <w:jc w:val="center"/>
              <w:rPr>
                <w:szCs w:val="24"/>
              </w:rPr>
            </w:pPr>
            <w:r w:rsidRPr="0071244B">
              <w:t>N/A</w:t>
            </w:r>
          </w:p>
        </w:tc>
        <w:tc>
          <w:tcPr>
            <w:tcW w:w="1234" w:type="dxa"/>
            <w:tcBorders>
              <w:top w:val="single" w:sz="4" w:space="0" w:color="auto"/>
              <w:left w:val="single" w:sz="4" w:space="0" w:color="auto"/>
              <w:bottom w:val="single" w:sz="4" w:space="0" w:color="auto"/>
              <w:right w:val="single" w:sz="4" w:space="0" w:color="auto"/>
            </w:tcBorders>
            <w:vAlign w:val="center"/>
          </w:tcPr>
          <w:p w14:paraId="3EA5EAFE" w14:textId="1A65F744" w:rsidR="00915979" w:rsidRPr="00D46BAC" w:rsidRDefault="00915979" w:rsidP="00505E7C">
            <w:pPr>
              <w:jc w:val="center"/>
              <w:rPr>
                <w:szCs w:val="24"/>
              </w:rPr>
            </w:pPr>
            <w:r w:rsidRPr="0071244B">
              <w:t>N/A</w:t>
            </w:r>
          </w:p>
        </w:tc>
      </w:tr>
      <w:tr w:rsidR="00B87B16" w:rsidRPr="00D46BAC" w14:paraId="4CA34243" w14:textId="77777777" w:rsidTr="00505E7C">
        <w:trPr>
          <w:trHeight w:val="264"/>
        </w:trPr>
        <w:tc>
          <w:tcPr>
            <w:tcW w:w="4220" w:type="dxa"/>
            <w:tcBorders>
              <w:top w:val="single" w:sz="4" w:space="0" w:color="auto"/>
              <w:left w:val="single" w:sz="4" w:space="0" w:color="auto"/>
              <w:bottom w:val="single" w:sz="4" w:space="0" w:color="auto"/>
              <w:right w:val="single" w:sz="4" w:space="0" w:color="auto"/>
            </w:tcBorders>
            <w:noWrap/>
            <w:vAlign w:val="bottom"/>
          </w:tcPr>
          <w:p w14:paraId="4842C125" w14:textId="34C55CB9" w:rsidR="00B87B16" w:rsidRPr="008B0D95" w:rsidRDefault="00B87B16" w:rsidP="00B87B16">
            <w:pPr>
              <w:rPr>
                <w:b/>
                <w:bCs/>
                <w:szCs w:val="24"/>
              </w:rPr>
            </w:pPr>
            <w:r w:rsidRPr="008B0D95">
              <w:rPr>
                <w:b/>
                <w:bCs/>
                <w:szCs w:val="24"/>
              </w:rPr>
              <w:t>Sum</w:t>
            </w:r>
          </w:p>
        </w:tc>
        <w:tc>
          <w:tcPr>
            <w:tcW w:w="1412" w:type="dxa"/>
            <w:tcBorders>
              <w:top w:val="single" w:sz="4" w:space="0" w:color="auto"/>
              <w:left w:val="single" w:sz="4" w:space="0" w:color="auto"/>
              <w:bottom w:val="single" w:sz="4" w:space="0" w:color="auto"/>
              <w:right w:val="single" w:sz="4" w:space="0" w:color="auto"/>
            </w:tcBorders>
            <w:vAlign w:val="center"/>
          </w:tcPr>
          <w:p w14:paraId="43F88820" w14:textId="77777777" w:rsidR="00B87B16" w:rsidRPr="00D46BAC" w:rsidRDefault="00B87B16" w:rsidP="00505E7C">
            <w:pPr>
              <w:jc w:val="center"/>
              <w:rPr>
                <w:szCs w:val="24"/>
              </w:rPr>
            </w:pPr>
          </w:p>
        </w:tc>
        <w:tc>
          <w:tcPr>
            <w:tcW w:w="1245" w:type="dxa"/>
            <w:tcBorders>
              <w:top w:val="single" w:sz="4" w:space="0" w:color="auto"/>
              <w:left w:val="single" w:sz="4" w:space="0" w:color="auto"/>
              <w:bottom w:val="single" w:sz="4" w:space="0" w:color="auto"/>
              <w:right w:val="single" w:sz="4" w:space="0" w:color="auto"/>
            </w:tcBorders>
            <w:vAlign w:val="center"/>
          </w:tcPr>
          <w:p w14:paraId="308B0BBE" w14:textId="003A7608" w:rsidR="00B87B16" w:rsidRPr="00D46BAC" w:rsidRDefault="00B87B16" w:rsidP="00505E7C">
            <w:pPr>
              <w:jc w:val="center"/>
              <w:rPr>
                <w:szCs w:val="24"/>
              </w:rPr>
            </w:pPr>
            <w:r w:rsidRPr="00F52CDF">
              <w:t>3.54E-10</w:t>
            </w:r>
          </w:p>
        </w:tc>
        <w:tc>
          <w:tcPr>
            <w:tcW w:w="1234" w:type="dxa"/>
            <w:tcBorders>
              <w:top w:val="single" w:sz="4" w:space="0" w:color="auto"/>
              <w:left w:val="single" w:sz="4" w:space="0" w:color="auto"/>
              <w:bottom w:val="single" w:sz="4" w:space="0" w:color="auto"/>
              <w:right w:val="single" w:sz="4" w:space="0" w:color="auto"/>
            </w:tcBorders>
            <w:vAlign w:val="center"/>
          </w:tcPr>
          <w:p w14:paraId="614E42E0" w14:textId="77777777" w:rsidR="00B87B16" w:rsidRPr="00D46BAC" w:rsidRDefault="00B87B16" w:rsidP="00505E7C">
            <w:pPr>
              <w:jc w:val="center"/>
              <w:rPr>
                <w:szCs w:val="24"/>
              </w:rPr>
            </w:pPr>
          </w:p>
        </w:tc>
        <w:tc>
          <w:tcPr>
            <w:tcW w:w="1234" w:type="dxa"/>
            <w:tcBorders>
              <w:top w:val="single" w:sz="4" w:space="0" w:color="auto"/>
              <w:left w:val="single" w:sz="4" w:space="0" w:color="auto"/>
              <w:bottom w:val="single" w:sz="4" w:space="0" w:color="auto"/>
              <w:right w:val="single" w:sz="4" w:space="0" w:color="auto"/>
            </w:tcBorders>
            <w:vAlign w:val="center"/>
          </w:tcPr>
          <w:p w14:paraId="126876D3" w14:textId="5DCEBBFD" w:rsidR="00B87B16" w:rsidRPr="00D46BAC" w:rsidRDefault="00B87B16" w:rsidP="00505E7C">
            <w:pPr>
              <w:jc w:val="center"/>
              <w:rPr>
                <w:szCs w:val="24"/>
              </w:rPr>
            </w:pPr>
            <w:r w:rsidRPr="00F52CDF">
              <w:t>9.5</w:t>
            </w:r>
            <w:r>
              <w:t>4</w:t>
            </w:r>
            <w:r w:rsidRPr="00F52CDF">
              <w:t>E-06</w:t>
            </w:r>
          </w:p>
        </w:tc>
      </w:tr>
    </w:tbl>
    <w:p w14:paraId="0FF3B16D" w14:textId="67B1FD44" w:rsidR="00216E18" w:rsidRPr="00CE7322" w:rsidRDefault="00505E7C" w:rsidP="003E0D07">
      <w:pPr>
        <w:autoSpaceDE w:val="0"/>
        <w:autoSpaceDN w:val="0"/>
        <w:adjustRightInd w:val="0"/>
        <w:ind w:left="360"/>
        <w:rPr>
          <w:sz w:val="22"/>
          <w:szCs w:val="18"/>
        </w:rPr>
      </w:pPr>
      <w:r w:rsidRPr="00CE7322">
        <w:rPr>
          <w:sz w:val="22"/>
          <w:szCs w:val="18"/>
        </w:rPr>
        <w:t>1-</w:t>
      </w:r>
      <w:r w:rsidR="00ED5BD1" w:rsidRPr="00CE7322">
        <w:rPr>
          <w:sz w:val="22"/>
          <w:szCs w:val="18"/>
        </w:rPr>
        <w:t xml:space="preserve">Cancer </w:t>
      </w:r>
      <w:r w:rsidR="00B70BDF" w:rsidRPr="00CE7322">
        <w:rPr>
          <w:sz w:val="22"/>
          <w:szCs w:val="18"/>
        </w:rPr>
        <w:t>Chronic</w:t>
      </w:r>
      <w:r w:rsidR="00ED5BD1" w:rsidRPr="00CE7322">
        <w:rPr>
          <w:sz w:val="22"/>
          <w:szCs w:val="18"/>
        </w:rPr>
        <w:t xml:space="preserve"> Inhalation unit Risk Factor, 1/ug/m</w:t>
      </w:r>
      <w:r w:rsidR="00ED5BD1" w:rsidRPr="00CE7322">
        <w:rPr>
          <w:sz w:val="22"/>
          <w:szCs w:val="18"/>
          <w:vertAlign w:val="superscript"/>
        </w:rPr>
        <w:t>3</w:t>
      </w:r>
    </w:p>
    <w:p w14:paraId="52C7CC71" w14:textId="6EA40B81" w:rsidR="00ED5BD1" w:rsidRDefault="00ED5BD1" w:rsidP="003E0D07">
      <w:pPr>
        <w:autoSpaceDE w:val="0"/>
        <w:autoSpaceDN w:val="0"/>
        <w:adjustRightInd w:val="0"/>
        <w:ind w:left="360"/>
        <w:rPr>
          <w:sz w:val="22"/>
          <w:szCs w:val="18"/>
        </w:rPr>
      </w:pPr>
      <w:r w:rsidRPr="00CE7322">
        <w:rPr>
          <w:sz w:val="22"/>
          <w:szCs w:val="18"/>
        </w:rPr>
        <w:t>2-</w:t>
      </w:r>
      <w:r w:rsidR="00F632CC" w:rsidRPr="00CE7322">
        <w:rPr>
          <w:sz w:val="22"/>
          <w:szCs w:val="18"/>
        </w:rPr>
        <w:t xml:space="preserve">Cancer Risk is unitless and is calculated by multiplying the predicted </w:t>
      </w:r>
      <w:r w:rsidR="00CE7322" w:rsidRPr="00CE7322">
        <w:rPr>
          <w:sz w:val="22"/>
          <w:szCs w:val="18"/>
        </w:rPr>
        <w:t>concentration by the URF</w:t>
      </w:r>
    </w:p>
    <w:p w14:paraId="53F55330" w14:textId="5C09F481" w:rsidR="004B1799" w:rsidRDefault="004B1799" w:rsidP="003E0D07">
      <w:pPr>
        <w:autoSpaceDE w:val="0"/>
        <w:autoSpaceDN w:val="0"/>
        <w:adjustRightInd w:val="0"/>
        <w:ind w:left="360"/>
        <w:rPr>
          <w:sz w:val="22"/>
          <w:szCs w:val="18"/>
        </w:rPr>
      </w:pPr>
      <w:r>
        <w:rPr>
          <w:sz w:val="22"/>
          <w:szCs w:val="18"/>
        </w:rPr>
        <w:t xml:space="preserve">3-Chronic </w:t>
      </w:r>
      <w:r w:rsidR="00B70BDF">
        <w:rPr>
          <w:sz w:val="22"/>
          <w:szCs w:val="18"/>
        </w:rPr>
        <w:t>Non-Cancer</w:t>
      </w:r>
      <w:r>
        <w:rPr>
          <w:sz w:val="22"/>
          <w:szCs w:val="18"/>
        </w:rPr>
        <w:t xml:space="preserve"> Exposure Level</w:t>
      </w:r>
    </w:p>
    <w:p w14:paraId="23F4BAAB" w14:textId="5F1D1F83" w:rsidR="00B70BDF" w:rsidRPr="00CE7322" w:rsidRDefault="003E0D07" w:rsidP="003E0D07">
      <w:pPr>
        <w:autoSpaceDE w:val="0"/>
        <w:autoSpaceDN w:val="0"/>
        <w:adjustRightInd w:val="0"/>
        <w:ind w:left="360"/>
        <w:rPr>
          <w:sz w:val="22"/>
          <w:szCs w:val="18"/>
        </w:rPr>
      </w:pPr>
      <w:r>
        <w:rPr>
          <w:sz w:val="22"/>
          <w:szCs w:val="18"/>
        </w:rPr>
        <w:t>4-CNCREL Quotient Value is Calculated by dividing the modeled HAP Concentration by the CNCREL</w:t>
      </w:r>
    </w:p>
    <w:p w14:paraId="44E91212" w14:textId="77777777" w:rsidR="002D1092" w:rsidRDefault="002D1092" w:rsidP="004A3159">
      <w:pPr>
        <w:autoSpaceDE w:val="0"/>
        <w:autoSpaceDN w:val="0"/>
        <w:adjustRightInd w:val="0"/>
        <w:ind w:left="720"/>
      </w:pPr>
    </w:p>
    <w:p w14:paraId="29506540" w14:textId="1BF3CB2C" w:rsidR="00650CFB" w:rsidRDefault="00F9781B" w:rsidP="00F9781B">
      <w:pPr>
        <w:autoSpaceDE w:val="0"/>
        <w:autoSpaceDN w:val="0"/>
        <w:adjustRightInd w:val="0"/>
        <w:ind w:left="432"/>
      </w:pPr>
      <w:r>
        <w:br w:type="page"/>
      </w:r>
    </w:p>
    <w:p w14:paraId="4C8CA36C" w14:textId="51DBBEA0" w:rsidR="002E7458" w:rsidRPr="002E7458" w:rsidRDefault="006B787F" w:rsidP="006D5013">
      <w:pPr>
        <w:ind w:left="720"/>
        <w:rPr>
          <w:sz w:val="22"/>
          <w:szCs w:val="22"/>
        </w:rPr>
      </w:pPr>
      <w:r w:rsidRPr="002E7458">
        <w:rPr>
          <w:sz w:val="22"/>
          <w:szCs w:val="22"/>
        </w:rPr>
        <w:lastRenderedPageBreak/>
        <w:t>03/26/26</w:t>
      </w:r>
    </w:p>
    <w:p w14:paraId="4A663462" w14:textId="3E5C5067" w:rsidR="002E7458" w:rsidRPr="002E7458" w:rsidRDefault="006B787F" w:rsidP="006D5013">
      <w:pPr>
        <w:ind w:left="720"/>
        <w:rPr>
          <w:sz w:val="22"/>
          <w:szCs w:val="22"/>
        </w:rPr>
      </w:pPr>
      <w:r w:rsidRPr="002E7458">
        <w:rPr>
          <w:sz w:val="22"/>
          <w:szCs w:val="22"/>
        </w:rPr>
        <w:t>11:05:51</w:t>
      </w:r>
    </w:p>
    <w:p w14:paraId="2A3F9621" w14:textId="77777777" w:rsidR="006B787F" w:rsidRDefault="006B787F" w:rsidP="006D5013">
      <w:pPr>
        <w:ind w:left="720"/>
        <w:rPr>
          <w:sz w:val="22"/>
          <w:szCs w:val="22"/>
        </w:rPr>
      </w:pPr>
    </w:p>
    <w:p w14:paraId="4DF47EC0" w14:textId="3462C9C1" w:rsidR="002E7458" w:rsidRPr="002E7458" w:rsidRDefault="006B787F" w:rsidP="006D5013">
      <w:pPr>
        <w:ind w:left="720"/>
        <w:rPr>
          <w:sz w:val="22"/>
          <w:szCs w:val="22"/>
        </w:rPr>
      </w:pPr>
      <w:r w:rsidRPr="002E7458">
        <w:rPr>
          <w:sz w:val="22"/>
          <w:szCs w:val="22"/>
        </w:rPr>
        <w:t>*** Screen3 Model Run ***</w:t>
      </w:r>
    </w:p>
    <w:p w14:paraId="37AF5BD9" w14:textId="70AAC8BE" w:rsidR="002E7458" w:rsidRPr="002E7458" w:rsidRDefault="006B787F" w:rsidP="006D5013">
      <w:pPr>
        <w:ind w:left="720"/>
        <w:rPr>
          <w:sz w:val="22"/>
          <w:szCs w:val="22"/>
        </w:rPr>
      </w:pPr>
      <w:r w:rsidRPr="002E7458">
        <w:rPr>
          <w:sz w:val="22"/>
          <w:szCs w:val="22"/>
        </w:rPr>
        <w:t>*** Version Dated 13043 ***</w:t>
      </w:r>
    </w:p>
    <w:p w14:paraId="5D637457" w14:textId="77777777" w:rsidR="002E7458" w:rsidRPr="002E7458" w:rsidRDefault="002E7458" w:rsidP="006D5013">
      <w:pPr>
        <w:ind w:left="720"/>
        <w:rPr>
          <w:sz w:val="22"/>
          <w:szCs w:val="22"/>
        </w:rPr>
      </w:pPr>
    </w:p>
    <w:p w14:paraId="4B7305A5" w14:textId="334047EF" w:rsidR="002E7458" w:rsidRPr="002E7458" w:rsidRDefault="006B787F" w:rsidP="006D5013">
      <w:pPr>
        <w:ind w:left="720"/>
        <w:rPr>
          <w:sz w:val="22"/>
          <w:szCs w:val="22"/>
        </w:rPr>
      </w:pPr>
      <w:r w:rsidRPr="002E7458">
        <w:rPr>
          <w:sz w:val="22"/>
          <w:szCs w:val="22"/>
        </w:rPr>
        <w:t>C:\Users\</w:t>
      </w:r>
      <w:r>
        <w:rPr>
          <w:sz w:val="22"/>
          <w:szCs w:val="22"/>
        </w:rPr>
        <w:t>c</w:t>
      </w:r>
      <w:r w:rsidRPr="002E7458">
        <w:rPr>
          <w:sz w:val="22"/>
          <w:szCs w:val="22"/>
        </w:rPr>
        <w:t>ba482\</w:t>
      </w:r>
      <w:r>
        <w:rPr>
          <w:sz w:val="22"/>
          <w:szCs w:val="22"/>
        </w:rPr>
        <w:t>O</w:t>
      </w:r>
      <w:r w:rsidRPr="002E7458">
        <w:rPr>
          <w:sz w:val="22"/>
          <w:szCs w:val="22"/>
        </w:rPr>
        <w:t>nedrive - M</w:t>
      </w:r>
      <w:r>
        <w:rPr>
          <w:sz w:val="22"/>
          <w:szCs w:val="22"/>
        </w:rPr>
        <w:t>T</w:t>
      </w:r>
      <w:r w:rsidRPr="002E7458">
        <w:rPr>
          <w:sz w:val="22"/>
          <w:szCs w:val="22"/>
        </w:rPr>
        <w:t>\Desktop\5350-00.</w:t>
      </w:r>
      <w:r w:rsidR="004A4A4A">
        <w:rPr>
          <w:sz w:val="22"/>
          <w:szCs w:val="22"/>
        </w:rPr>
        <w:t>s</w:t>
      </w:r>
      <w:r w:rsidRPr="002E7458">
        <w:rPr>
          <w:sz w:val="22"/>
          <w:szCs w:val="22"/>
        </w:rPr>
        <w:t>cr</w:t>
      </w:r>
    </w:p>
    <w:p w14:paraId="16AC7531" w14:textId="77777777" w:rsidR="002E7458" w:rsidRPr="002E7458" w:rsidRDefault="002E7458" w:rsidP="006D5013">
      <w:pPr>
        <w:ind w:left="720"/>
        <w:rPr>
          <w:sz w:val="22"/>
          <w:szCs w:val="22"/>
        </w:rPr>
      </w:pPr>
    </w:p>
    <w:p w14:paraId="7118A201" w14:textId="6693CA02" w:rsidR="002E7458" w:rsidRPr="002E7458" w:rsidRDefault="006B787F" w:rsidP="006D5013">
      <w:pPr>
        <w:ind w:left="720"/>
        <w:rPr>
          <w:sz w:val="22"/>
          <w:szCs w:val="22"/>
        </w:rPr>
      </w:pPr>
      <w:r w:rsidRPr="002E7458">
        <w:rPr>
          <w:sz w:val="22"/>
          <w:szCs w:val="22"/>
        </w:rPr>
        <w:t>Simple Terrain Inputs:</w:t>
      </w:r>
    </w:p>
    <w:p w14:paraId="590BEBF6" w14:textId="164B8415" w:rsidR="002E7458" w:rsidRPr="002E7458" w:rsidRDefault="006B787F" w:rsidP="006D5013">
      <w:pPr>
        <w:ind w:left="720"/>
        <w:rPr>
          <w:sz w:val="22"/>
          <w:szCs w:val="22"/>
        </w:rPr>
      </w:pPr>
      <w:r w:rsidRPr="002E7458">
        <w:rPr>
          <w:sz w:val="22"/>
          <w:szCs w:val="22"/>
        </w:rPr>
        <w:t>Source Type            =        Point</w:t>
      </w:r>
    </w:p>
    <w:p w14:paraId="39680FEA" w14:textId="579F1093" w:rsidR="002E7458" w:rsidRPr="002E7458" w:rsidRDefault="006B787F" w:rsidP="006D5013">
      <w:pPr>
        <w:ind w:left="720"/>
        <w:rPr>
          <w:sz w:val="22"/>
          <w:szCs w:val="22"/>
        </w:rPr>
      </w:pPr>
      <w:r w:rsidRPr="002E7458">
        <w:rPr>
          <w:sz w:val="22"/>
          <w:szCs w:val="22"/>
        </w:rPr>
        <w:t>Emission Rate (G/S)    =     0.623564e-05</w:t>
      </w:r>
    </w:p>
    <w:p w14:paraId="68374BC9" w14:textId="595460CE" w:rsidR="002E7458" w:rsidRPr="002E7458" w:rsidRDefault="006B787F" w:rsidP="006D5013">
      <w:pPr>
        <w:ind w:left="720"/>
        <w:rPr>
          <w:sz w:val="22"/>
          <w:szCs w:val="22"/>
        </w:rPr>
      </w:pPr>
      <w:r w:rsidRPr="002E7458">
        <w:rPr>
          <w:sz w:val="22"/>
          <w:szCs w:val="22"/>
        </w:rPr>
        <w:t>Stack Height (M)       =       6.0960</w:t>
      </w:r>
    </w:p>
    <w:p w14:paraId="2C635EAC" w14:textId="3BB6505C" w:rsidR="002E7458" w:rsidRPr="002E7458" w:rsidRDefault="006B787F" w:rsidP="006D5013">
      <w:pPr>
        <w:ind w:left="720"/>
        <w:rPr>
          <w:sz w:val="22"/>
          <w:szCs w:val="22"/>
        </w:rPr>
      </w:pPr>
      <w:r w:rsidRPr="002E7458">
        <w:rPr>
          <w:sz w:val="22"/>
          <w:szCs w:val="22"/>
        </w:rPr>
        <w:t>Stk Inside Diam (M)    =       0.7620</w:t>
      </w:r>
    </w:p>
    <w:p w14:paraId="7B33C19A" w14:textId="6F5A1E0E" w:rsidR="002E7458" w:rsidRPr="002E7458" w:rsidRDefault="006B787F" w:rsidP="006D5013">
      <w:pPr>
        <w:ind w:left="720"/>
        <w:rPr>
          <w:sz w:val="22"/>
          <w:szCs w:val="22"/>
        </w:rPr>
      </w:pPr>
      <w:r w:rsidRPr="002E7458">
        <w:rPr>
          <w:sz w:val="22"/>
          <w:szCs w:val="22"/>
        </w:rPr>
        <w:t>Stk Exit Velocity (M/S)=       2.5872</w:t>
      </w:r>
    </w:p>
    <w:p w14:paraId="0B9717FA" w14:textId="0814C44E" w:rsidR="002E7458" w:rsidRPr="002E7458" w:rsidRDefault="006B787F" w:rsidP="006D5013">
      <w:pPr>
        <w:ind w:left="720"/>
        <w:rPr>
          <w:sz w:val="22"/>
          <w:szCs w:val="22"/>
        </w:rPr>
      </w:pPr>
      <w:r w:rsidRPr="002E7458">
        <w:rPr>
          <w:sz w:val="22"/>
          <w:szCs w:val="22"/>
        </w:rPr>
        <w:t>Stk Gas Exit Temp (K)  =     810.9278</w:t>
      </w:r>
    </w:p>
    <w:p w14:paraId="3E7F7C01" w14:textId="6EF75F08" w:rsidR="002E7458" w:rsidRPr="002E7458" w:rsidRDefault="006B787F" w:rsidP="006D5013">
      <w:pPr>
        <w:ind w:left="720"/>
        <w:rPr>
          <w:sz w:val="22"/>
          <w:szCs w:val="22"/>
        </w:rPr>
      </w:pPr>
      <w:r w:rsidRPr="002E7458">
        <w:rPr>
          <w:sz w:val="22"/>
          <w:szCs w:val="22"/>
        </w:rPr>
        <w:t>Ambient Air Temp (K)   =     293.0000</w:t>
      </w:r>
    </w:p>
    <w:p w14:paraId="3BC51651" w14:textId="21F14DAB" w:rsidR="002E7458" w:rsidRPr="002E7458" w:rsidRDefault="006B787F" w:rsidP="006D5013">
      <w:pPr>
        <w:ind w:left="720"/>
        <w:rPr>
          <w:sz w:val="22"/>
          <w:szCs w:val="22"/>
        </w:rPr>
      </w:pPr>
      <w:r w:rsidRPr="002E7458">
        <w:rPr>
          <w:sz w:val="22"/>
          <w:szCs w:val="22"/>
        </w:rPr>
        <w:t>Receptor Height (M)    =       0.0000</w:t>
      </w:r>
    </w:p>
    <w:p w14:paraId="12F6071B" w14:textId="427C5309" w:rsidR="002E7458" w:rsidRPr="002E7458" w:rsidRDefault="006B787F" w:rsidP="006D5013">
      <w:pPr>
        <w:ind w:left="720"/>
        <w:rPr>
          <w:sz w:val="22"/>
          <w:szCs w:val="22"/>
        </w:rPr>
      </w:pPr>
      <w:r w:rsidRPr="002E7458">
        <w:rPr>
          <w:sz w:val="22"/>
          <w:szCs w:val="22"/>
        </w:rPr>
        <w:t>Urban/Rural Option     =        Rural</w:t>
      </w:r>
    </w:p>
    <w:p w14:paraId="037B5CF2" w14:textId="64A88A00" w:rsidR="002E7458" w:rsidRPr="002E7458" w:rsidRDefault="006B787F" w:rsidP="006D5013">
      <w:pPr>
        <w:ind w:left="720"/>
        <w:rPr>
          <w:sz w:val="22"/>
          <w:szCs w:val="22"/>
        </w:rPr>
      </w:pPr>
      <w:r w:rsidRPr="002E7458">
        <w:rPr>
          <w:sz w:val="22"/>
          <w:szCs w:val="22"/>
        </w:rPr>
        <w:t>Building Height (M)    =       0.0000</w:t>
      </w:r>
    </w:p>
    <w:p w14:paraId="2EA963FE" w14:textId="17EF2C8E" w:rsidR="002E7458" w:rsidRPr="002E7458" w:rsidRDefault="006B787F" w:rsidP="006D5013">
      <w:pPr>
        <w:ind w:left="720"/>
        <w:rPr>
          <w:sz w:val="22"/>
          <w:szCs w:val="22"/>
        </w:rPr>
      </w:pPr>
      <w:r w:rsidRPr="002E7458">
        <w:rPr>
          <w:sz w:val="22"/>
          <w:szCs w:val="22"/>
        </w:rPr>
        <w:t>Min Horiz Bldg Dim (M) =       0.0000</w:t>
      </w:r>
    </w:p>
    <w:p w14:paraId="336DC3F7" w14:textId="01396CFD" w:rsidR="002E7458" w:rsidRPr="002E7458" w:rsidRDefault="006B787F" w:rsidP="006D5013">
      <w:pPr>
        <w:ind w:left="720"/>
        <w:rPr>
          <w:sz w:val="22"/>
          <w:szCs w:val="22"/>
        </w:rPr>
      </w:pPr>
      <w:r w:rsidRPr="002E7458">
        <w:rPr>
          <w:sz w:val="22"/>
          <w:szCs w:val="22"/>
        </w:rPr>
        <w:t>Max Horiz Bldg Dim (M) =       0.0000</w:t>
      </w:r>
    </w:p>
    <w:p w14:paraId="1503B985" w14:textId="77777777" w:rsidR="002E7458" w:rsidRPr="002E7458" w:rsidRDefault="002E7458" w:rsidP="006D5013">
      <w:pPr>
        <w:ind w:left="720"/>
        <w:rPr>
          <w:sz w:val="22"/>
          <w:szCs w:val="22"/>
        </w:rPr>
      </w:pPr>
    </w:p>
    <w:p w14:paraId="4AF0CE2D" w14:textId="3384458F" w:rsidR="002E7458" w:rsidRPr="002E7458" w:rsidRDefault="006B787F" w:rsidP="006D5013">
      <w:pPr>
        <w:ind w:left="720"/>
        <w:rPr>
          <w:sz w:val="22"/>
          <w:szCs w:val="22"/>
        </w:rPr>
      </w:pPr>
      <w:r w:rsidRPr="002E7458">
        <w:rPr>
          <w:sz w:val="22"/>
          <w:szCs w:val="22"/>
        </w:rPr>
        <w:t>The Regulatory (Default) Mixing Height Option Was Selected.</w:t>
      </w:r>
    </w:p>
    <w:p w14:paraId="13226A4B" w14:textId="1882D5BA" w:rsidR="002E7458" w:rsidRPr="002E7458" w:rsidRDefault="006B787F" w:rsidP="006D5013">
      <w:pPr>
        <w:ind w:left="720"/>
        <w:rPr>
          <w:sz w:val="22"/>
          <w:szCs w:val="22"/>
        </w:rPr>
      </w:pPr>
      <w:r w:rsidRPr="002E7458">
        <w:rPr>
          <w:sz w:val="22"/>
          <w:szCs w:val="22"/>
        </w:rPr>
        <w:t>The Regulatory (Default) Anemometer Height Of 10.0 Meters Was Entered.</w:t>
      </w:r>
    </w:p>
    <w:p w14:paraId="2A547FD6" w14:textId="77777777" w:rsidR="002E7458" w:rsidRPr="002E7458" w:rsidRDefault="002E7458" w:rsidP="006D5013">
      <w:pPr>
        <w:ind w:left="720"/>
        <w:rPr>
          <w:sz w:val="22"/>
          <w:szCs w:val="22"/>
        </w:rPr>
      </w:pPr>
    </w:p>
    <w:p w14:paraId="06B8FE40" w14:textId="24720AC0" w:rsidR="002E7458" w:rsidRPr="002E7458" w:rsidRDefault="006B787F" w:rsidP="006D5013">
      <w:pPr>
        <w:ind w:left="720"/>
        <w:rPr>
          <w:sz w:val="22"/>
          <w:szCs w:val="22"/>
        </w:rPr>
      </w:pPr>
      <w:r w:rsidRPr="002E7458">
        <w:rPr>
          <w:sz w:val="22"/>
          <w:szCs w:val="22"/>
        </w:rPr>
        <w:t>Stack Exit Velocity Was Calculated From</w:t>
      </w:r>
    </w:p>
    <w:p w14:paraId="01FE97FF" w14:textId="363B712B" w:rsidR="002E7458" w:rsidRPr="002E7458" w:rsidRDefault="006B787F" w:rsidP="006D5013">
      <w:pPr>
        <w:ind w:left="720"/>
        <w:rPr>
          <w:sz w:val="22"/>
          <w:szCs w:val="22"/>
        </w:rPr>
      </w:pPr>
      <w:r w:rsidRPr="002E7458">
        <w:rPr>
          <w:sz w:val="22"/>
          <w:szCs w:val="22"/>
        </w:rPr>
        <w:t>Volume Flow Rate =   1.1798675     (M**3/S)</w:t>
      </w:r>
    </w:p>
    <w:p w14:paraId="1F19D4B3" w14:textId="77777777" w:rsidR="002E7458" w:rsidRPr="002E7458" w:rsidRDefault="002E7458" w:rsidP="006D5013">
      <w:pPr>
        <w:ind w:left="720"/>
        <w:rPr>
          <w:sz w:val="22"/>
          <w:szCs w:val="22"/>
        </w:rPr>
      </w:pPr>
    </w:p>
    <w:p w14:paraId="3D01A04F" w14:textId="06E909E7" w:rsidR="002E7458" w:rsidRPr="002E7458" w:rsidRDefault="006B787F" w:rsidP="006D5013">
      <w:pPr>
        <w:ind w:left="720"/>
        <w:rPr>
          <w:sz w:val="22"/>
          <w:szCs w:val="22"/>
        </w:rPr>
      </w:pPr>
      <w:r w:rsidRPr="002E7458">
        <w:rPr>
          <w:sz w:val="22"/>
          <w:szCs w:val="22"/>
        </w:rPr>
        <w:t>Buoy. Flux =    2.352 M**4/S**3;  Mom. Flux =    0.351 M**4/S**2.</w:t>
      </w:r>
    </w:p>
    <w:p w14:paraId="026FD9E9" w14:textId="77777777" w:rsidR="002E7458" w:rsidRPr="002E7458" w:rsidRDefault="002E7458" w:rsidP="006D5013">
      <w:pPr>
        <w:ind w:left="720"/>
        <w:rPr>
          <w:sz w:val="22"/>
          <w:szCs w:val="22"/>
        </w:rPr>
      </w:pPr>
    </w:p>
    <w:p w14:paraId="18075FA4" w14:textId="57044FEB" w:rsidR="002E7458" w:rsidRPr="002E7458" w:rsidRDefault="006B787F" w:rsidP="006D5013">
      <w:pPr>
        <w:ind w:left="720"/>
        <w:rPr>
          <w:sz w:val="22"/>
          <w:szCs w:val="22"/>
        </w:rPr>
      </w:pPr>
      <w:r w:rsidRPr="002E7458">
        <w:rPr>
          <w:sz w:val="22"/>
          <w:szCs w:val="22"/>
        </w:rPr>
        <w:t>*** Full Meteorology ***</w:t>
      </w:r>
    </w:p>
    <w:p w14:paraId="6DECDF8F" w14:textId="77777777" w:rsidR="002E7458" w:rsidRPr="002E7458" w:rsidRDefault="002E7458" w:rsidP="006D5013">
      <w:pPr>
        <w:ind w:left="720"/>
        <w:rPr>
          <w:sz w:val="22"/>
          <w:szCs w:val="22"/>
        </w:rPr>
      </w:pPr>
    </w:p>
    <w:p w14:paraId="33495EA5" w14:textId="13B43007" w:rsidR="002E7458" w:rsidRPr="002E7458" w:rsidRDefault="006B787F" w:rsidP="006D5013">
      <w:pPr>
        <w:ind w:left="720"/>
        <w:rPr>
          <w:sz w:val="22"/>
          <w:szCs w:val="22"/>
        </w:rPr>
      </w:pPr>
      <w:r w:rsidRPr="002E7458">
        <w:rPr>
          <w:sz w:val="22"/>
          <w:szCs w:val="22"/>
        </w:rPr>
        <w:t>**********************************</w:t>
      </w:r>
    </w:p>
    <w:p w14:paraId="20C0B6C9" w14:textId="73473085" w:rsidR="002E7458" w:rsidRPr="002E7458" w:rsidRDefault="006B787F" w:rsidP="006D5013">
      <w:pPr>
        <w:ind w:left="720"/>
        <w:rPr>
          <w:sz w:val="22"/>
          <w:szCs w:val="22"/>
        </w:rPr>
      </w:pPr>
      <w:r w:rsidRPr="002E7458">
        <w:rPr>
          <w:sz w:val="22"/>
          <w:szCs w:val="22"/>
        </w:rPr>
        <w:t>*** Screen Automated Distances ***</w:t>
      </w:r>
    </w:p>
    <w:p w14:paraId="1C310481" w14:textId="3BB15B33" w:rsidR="002E7458" w:rsidRPr="002E7458" w:rsidRDefault="006B787F" w:rsidP="006D5013">
      <w:pPr>
        <w:ind w:left="720"/>
        <w:rPr>
          <w:sz w:val="22"/>
          <w:szCs w:val="22"/>
        </w:rPr>
      </w:pPr>
      <w:r w:rsidRPr="002E7458">
        <w:rPr>
          <w:sz w:val="22"/>
          <w:szCs w:val="22"/>
        </w:rPr>
        <w:t>**********************************</w:t>
      </w:r>
    </w:p>
    <w:p w14:paraId="1F868748" w14:textId="77777777" w:rsidR="002E7458" w:rsidRPr="002E7458" w:rsidRDefault="002E7458" w:rsidP="006D5013">
      <w:pPr>
        <w:ind w:left="720"/>
        <w:rPr>
          <w:sz w:val="22"/>
          <w:szCs w:val="22"/>
        </w:rPr>
      </w:pPr>
    </w:p>
    <w:p w14:paraId="07009466" w14:textId="5F3ED4F8" w:rsidR="002E7458" w:rsidRPr="002E7458" w:rsidRDefault="006B787F" w:rsidP="006D5013">
      <w:pPr>
        <w:ind w:left="720"/>
        <w:rPr>
          <w:sz w:val="22"/>
          <w:szCs w:val="22"/>
        </w:rPr>
      </w:pPr>
      <w:r w:rsidRPr="002E7458">
        <w:rPr>
          <w:sz w:val="22"/>
          <w:szCs w:val="22"/>
        </w:rPr>
        <w:t>*** Terrain Height Of    0. M Above Stack Base Used For Following Distances ***</w:t>
      </w:r>
    </w:p>
    <w:p w14:paraId="3C49CC38" w14:textId="77777777" w:rsidR="002E7458" w:rsidRPr="002E7458" w:rsidRDefault="002E7458" w:rsidP="006D5013">
      <w:pPr>
        <w:ind w:left="720"/>
        <w:rPr>
          <w:sz w:val="22"/>
          <w:szCs w:val="22"/>
        </w:rPr>
      </w:pPr>
    </w:p>
    <w:p w14:paraId="762C5EE6" w14:textId="760704BF" w:rsidR="002E7458" w:rsidRPr="002E7458" w:rsidRDefault="006B787F" w:rsidP="006D5013">
      <w:pPr>
        <w:ind w:left="720"/>
        <w:rPr>
          <w:sz w:val="22"/>
          <w:szCs w:val="22"/>
        </w:rPr>
      </w:pPr>
      <w:r w:rsidRPr="002E7458">
        <w:rPr>
          <w:sz w:val="22"/>
          <w:szCs w:val="22"/>
        </w:rPr>
        <w:t>Dist     Conc             U10m   Ustk  Mix Ht   Plume   Sigma   Sigma</w:t>
      </w:r>
    </w:p>
    <w:p w14:paraId="1F41A69A" w14:textId="3A0CC55D" w:rsidR="002E7458" w:rsidRPr="002E7458" w:rsidRDefault="006B787F" w:rsidP="006D5013">
      <w:pPr>
        <w:ind w:left="720"/>
        <w:rPr>
          <w:sz w:val="22"/>
          <w:szCs w:val="22"/>
        </w:rPr>
      </w:pPr>
      <w:r w:rsidRPr="002E7458">
        <w:rPr>
          <w:sz w:val="22"/>
          <w:szCs w:val="22"/>
        </w:rPr>
        <w:t xml:space="preserve">(M)  </w:t>
      </w:r>
      <w:r w:rsidR="003F0466">
        <w:rPr>
          <w:sz w:val="22"/>
          <w:szCs w:val="22"/>
        </w:rPr>
        <w:t xml:space="preserve">    </w:t>
      </w:r>
      <w:r w:rsidRPr="002E7458">
        <w:rPr>
          <w:sz w:val="22"/>
          <w:szCs w:val="22"/>
        </w:rPr>
        <w:t xml:space="preserve"> (Ug/M**3)   Stab  (M/S)  (M/S)    (M)   Ht (M)   Y (M)   Z (M)  Dwash</w:t>
      </w:r>
    </w:p>
    <w:p w14:paraId="34A11DF7" w14:textId="69EFAB06" w:rsidR="002E7458" w:rsidRPr="002E7458" w:rsidRDefault="006B787F" w:rsidP="006D5013">
      <w:pPr>
        <w:ind w:left="720"/>
        <w:rPr>
          <w:sz w:val="22"/>
          <w:szCs w:val="22"/>
        </w:rPr>
      </w:pPr>
      <w:r w:rsidRPr="002E7458">
        <w:rPr>
          <w:sz w:val="22"/>
          <w:szCs w:val="22"/>
        </w:rPr>
        <w:t>-------  ----------  ----  -----  -----  ------  ------  ------  ------  -----</w:t>
      </w:r>
    </w:p>
    <w:p w14:paraId="2407532A" w14:textId="06809762" w:rsidR="002E7458" w:rsidRPr="002E7458" w:rsidRDefault="006B787F" w:rsidP="006D5013">
      <w:pPr>
        <w:ind w:left="720"/>
        <w:rPr>
          <w:sz w:val="22"/>
          <w:szCs w:val="22"/>
        </w:rPr>
      </w:pPr>
      <w:r w:rsidRPr="002E7458">
        <w:rPr>
          <w:sz w:val="22"/>
          <w:szCs w:val="22"/>
        </w:rPr>
        <w:t>1.</w:t>
      </w:r>
      <w:r w:rsidR="004031C1">
        <w:rPr>
          <w:sz w:val="22"/>
          <w:szCs w:val="22"/>
        </w:rPr>
        <w:t xml:space="preserve">     </w:t>
      </w:r>
      <w:r w:rsidRPr="002E7458">
        <w:rPr>
          <w:sz w:val="22"/>
          <w:szCs w:val="22"/>
        </w:rPr>
        <w:t xml:space="preserve">    0.000     </w:t>
      </w:r>
      <w:r w:rsidR="003F0466">
        <w:rPr>
          <w:sz w:val="22"/>
          <w:szCs w:val="22"/>
        </w:rPr>
        <w:t xml:space="preserve">    </w:t>
      </w:r>
      <w:r w:rsidRPr="002E7458">
        <w:rPr>
          <w:sz w:val="22"/>
          <w:szCs w:val="22"/>
        </w:rPr>
        <w:t xml:space="preserve">   1     1.0    1.0   320.0   46.79    0.74   </w:t>
      </w:r>
      <w:r w:rsidR="003F0466">
        <w:rPr>
          <w:sz w:val="22"/>
          <w:szCs w:val="22"/>
        </w:rPr>
        <w:t xml:space="preserve"> </w:t>
      </w:r>
      <w:r w:rsidRPr="002E7458">
        <w:rPr>
          <w:sz w:val="22"/>
          <w:szCs w:val="22"/>
        </w:rPr>
        <w:t xml:space="preserve"> 0.63    No</w:t>
      </w:r>
    </w:p>
    <w:p w14:paraId="480E4235" w14:textId="1F070DB7" w:rsidR="002E7458" w:rsidRPr="002E7458" w:rsidRDefault="006B787F" w:rsidP="006D5013">
      <w:pPr>
        <w:ind w:left="720"/>
        <w:rPr>
          <w:sz w:val="22"/>
          <w:szCs w:val="22"/>
        </w:rPr>
      </w:pPr>
      <w:r w:rsidRPr="002E7458">
        <w:rPr>
          <w:sz w:val="22"/>
          <w:szCs w:val="22"/>
        </w:rPr>
        <w:t>100.</w:t>
      </w:r>
      <w:r w:rsidR="004031C1">
        <w:rPr>
          <w:sz w:val="22"/>
          <w:szCs w:val="22"/>
        </w:rPr>
        <w:t xml:space="preserve">  </w:t>
      </w:r>
      <w:r w:rsidRPr="002E7458">
        <w:rPr>
          <w:sz w:val="22"/>
          <w:szCs w:val="22"/>
        </w:rPr>
        <w:t xml:space="preserve">   0.1211e-02    3     8.0    8.0  2560.0    9.39   12.55    7.58    No</w:t>
      </w:r>
    </w:p>
    <w:p w14:paraId="660EBDD3" w14:textId="180F8581" w:rsidR="002E7458" w:rsidRPr="002E7458" w:rsidRDefault="006B787F" w:rsidP="006D5013">
      <w:pPr>
        <w:ind w:left="720"/>
        <w:rPr>
          <w:sz w:val="22"/>
          <w:szCs w:val="22"/>
        </w:rPr>
      </w:pPr>
      <w:r w:rsidRPr="002E7458">
        <w:rPr>
          <w:sz w:val="22"/>
          <w:szCs w:val="22"/>
        </w:rPr>
        <w:t xml:space="preserve">200. </w:t>
      </w:r>
      <w:r w:rsidR="004031C1">
        <w:rPr>
          <w:sz w:val="22"/>
          <w:szCs w:val="22"/>
        </w:rPr>
        <w:t xml:space="preserve">  </w:t>
      </w:r>
      <w:r w:rsidRPr="002E7458">
        <w:rPr>
          <w:sz w:val="22"/>
          <w:szCs w:val="22"/>
        </w:rPr>
        <w:t xml:space="preserve">  0.1017e-02    4     8.0    8.0  2560.0    9.39   15.63    8.62    No</w:t>
      </w:r>
    </w:p>
    <w:p w14:paraId="5E9527EF" w14:textId="4D9D55A3" w:rsidR="002E7458" w:rsidRPr="002E7458" w:rsidRDefault="006B787F" w:rsidP="006D5013">
      <w:pPr>
        <w:ind w:left="720"/>
        <w:rPr>
          <w:sz w:val="22"/>
          <w:szCs w:val="22"/>
        </w:rPr>
      </w:pPr>
      <w:r w:rsidRPr="002E7458">
        <w:rPr>
          <w:sz w:val="22"/>
          <w:szCs w:val="22"/>
        </w:rPr>
        <w:t xml:space="preserve">300. </w:t>
      </w:r>
      <w:r w:rsidR="004031C1">
        <w:rPr>
          <w:sz w:val="22"/>
          <w:szCs w:val="22"/>
        </w:rPr>
        <w:t xml:space="preserve">  </w:t>
      </w:r>
      <w:r w:rsidRPr="002E7458">
        <w:rPr>
          <w:sz w:val="22"/>
          <w:szCs w:val="22"/>
        </w:rPr>
        <w:t xml:space="preserve">  0.8482e-03    4     4.0    4.0  1280.0   14.97   22.80   12.44    No</w:t>
      </w:r>
    </w:p>
    <w:p w14:paraId="1B29E553" w14:textId="029D7C13" w:rsidR="002E7458" w:rsidRPr="002E7458" w:rsidRDefault="006B787F" w:rsidP="006D5013">
      <w:pPr>
        <w:ind w:left="720"/>
        <w:rPr>
          <w:sz w:val="22"/>
          <w:szCs w:val="22"/>
        </w:rPr>
      </w:pPr>
      <w:r w:rsidRPr="002E7458">
        <w:rPr>
          <w:sz w:val="22"/>
          <w:szCs w:val="22"/>
        </w:rPr>
        <w:t xml:space="preserve">400. </w:t>
      </w:r>
      <w:r w:rsidR="004031C1">
        <w:rPr>
          <w:sz w:val="22"/>
          <w:szCs w:val="22"/>
        </w:rPr>
        <w:t xml:space="preserve">  </w:t>
      </w:r>
      <w:r w:rsidRPr="002E7458">
        <w:rPr>
          <w:sz w:val="22"/>
          <w:szCs w:val="22"/>
        </w:rPr>
        <w:t xml:space="preserve">  0.6994e-03    4     3.0    3.0   960.0   18.69   29.71   15.75    No</w:t>
      </w:r>
    </w:p>
    <w:p w14:paraId="314F7167" w14:textId="13236548" w:rsidR="002E7458" w:rsidRPr="002E7458" w:rsidRDefault="006B787F" w:rsidP="006D5013">
      <w:pPr>
        <w:ind w:left="720"/>
        <w:rPr>
          <w:sz w:val="22"/>
          <w:szCs w:val="22"/>
        </w:rPr>
      </w:pPr>
      <w:r w:rsidRPr="002E7458">
        <w:rPr>
          <w:sz w:val="22"/>
          <w:szCs w:val="22"/>
        </w:rPr>
        <w:t>500.</w:t>
      </w:r>
      <w:r w:rsidR="004031C1">
        <w:rPr>
          <w:sz w:val="22"/>
          <w:szCs w:val="22"/>
        </w:rPr>
        <w:t xml:space="preserve">  </w:t>
      </w:r>
      <w:r w:rsidRPr="002E7458">
        <w:rPr>
          <w:sz w:val="22"/>
          <w:szCs w:val="22"/>
        </w:rPr>
        <w:t xml:space="preserve">   0.5974e-03    4     2.5    2.5   800.0   21.66   36.44   18.88    No</w:t>
      </w:r>
    </w:p>
    <w:p w14:paraId="4FBE4480" w14:textId="71B0D8DE" w:rsidR="002E7458" w:rsidRPr="002E7458" w:rsidRDefault="006B787F" w:rsidP="006D5013">
      <w:pPr>
        <w:ind w:left="720"/>
        <w:rPr>
          <w:sz w:val="22"/>
          <w:szCs w:val="22"/>
        </w:rPr>
      </w:pPr>
      <w:r w:rsidRPr="002E7458">
        <w:rPr>
          <w:sz w:val="22"/>
          <w:szCs w:val="22"/>
        </w:rPr>
        <w:t xml:space="preserve">600.  </w:t>
      </w:r>
      <w:r w:rsidR="004031C1">
        <w:rPr>
          <w:sz w:val="22"/>
          <w:szCs w:val="22"/>
        </w:rPr>
        <w:t xml:space="preserve">  </w:t>
      </w:r>
      <w:r w:rsidRPr="002E7458">
        <w:rPr>
          <w:sz w:val="22"/>
          <w:szCs w:val="22"/>
        </w:rPr>
        <w:t xml:space="preserve"> 0.5173e-03    4     2.5    2.5   800.0   21.66   42.97   21.72    No</w:t>
      </w:r>
    </w:p>
    <w:p w14:paraId="5156B24C" w14:textId="51FEA49E" w:rsidR="002E7458" w:rsidRPr="002E7458" w:rsidRDefault="006B787F" w:rsidP="006D5013">
      <w:pPr>
        <w:ind w:left="720"/>
        <w:rPr>
          <w:sz w:val="22"/>
          <w:szCs w:val="22"/>
        </w:rPr>
      </w:pPr>
      <w:r w:rsidRPr="002E7458">
        <w:rPr>
          <w:sz w:val="22"/>
          <w:szCs w:val="22"/>
        </w:rPr>
        <w:t xml:space="preserve">700. </w:t>
      </w:r>
      <w:r w:rsidR="004031C1">
        <w:rPr>
          <w:sz w:val="22"/>
          <w:szCs w:val="22"/>
        </w:rPr>
        <w:t xml:space="preserve">  </w:t>
      </w:r>
      <w:r w:rsidRPr="002E7458">
        <w:rPr>
          <w:sz w:val="22"/>
          <w:szCs w:val="22"/>
        </w:rPr>
        <w:t xml:space="preserve">  0.4637e-03    4     2.0    2.0   640.0   26.13   49.53   24.73    No</w:t>
      </w:r>
    </w:p>
    <w:p w14:paraId="0602F89C" w14:textId="20509A5C" w:rsidR="002E7458" w:rsidRPr="002E7458" w:rsidRDefault="006B787F" w:rsidP="006D5013">
      <w:pPr>
        <w:ind w:left="720"/>
        <w:rPr>
          <w:sz w:val="22"/>
          <w:szCs w:val="22"/>
        </w:rPr>
      </w:pPr>
      <w:r w:rsidRPr="002E7458">
        <w:rPr>
          <w:sz w:val="22"/>
          <w:szCs w:val="22"/>
        </w:rPr>
        <w:t xml:space="preserve">800. </w:t>
      </w:r>
      <w:r w:rsidR="004031C1">
        <w:rPr>
          <w:sz w:val="22"/>
          <w:szCs w:val="22"/>
        </w:rPr>
        <w:t xml:space="preserve">  </w:t>
      </w:r>
      <w:r w:rsidRPr="002E7458">
        <w:rPr>
          <w:sz w:val="22"/>
          <w:szCs w:val="22"/>
        </w:rPr>
        <w:t xml:space="preserve">  0.4158e-03    4     1.5    1.5   480.0   33.22   56.11   27.88    No</w:t>
      </w:r>
    </w:p>
    <w:p w14:paraId="3B083AD6" w14:textId="2AD7CC38" w:rsidR="002E7458" w:rsidRPr="002E7458" w:rsidRDefault="006B787F" w:rsidP="006D5013">
      <w:pPr>
        <w:ind w:left="720"/>
        <w:rPr>
          <w:sz w:val="22"/>
          <w:szCs w:val="22"/>
        </w:rPr>
      </w:pPr>
      <w:r w:rsidRPr="002E7458">
        <w:rPr>
          <w:sz w:val="22"/>
          <w:szCs w:val="22"/>
        </w:rPr>
        <w:t xml:space="preserve">900. </w:t>
      </w:r>
      <w:r w:rsidR="004031C1">
        <w:rPr>
          <w:sz w:val="22"/>
          <w:szCs w:val="22"/>
        </w:rPr>
        <w:t xml:space="preserve">  </w:t>
      </w:r>
      <w:r w:rsidRPr="002E7458">
        <w:rPr>
          <w:sz w:val="22"/>
          <w:szCs w:val="22"/>
        </w:rPr>
        <w:t xml:space="preserve">  0.3843e-03    4     1.5    1.5   480.0   33.22   62.37   30.47    No</w:t>
      </w:r>
    </w:p>
    <w:p w14:paraId="45C5E621" w14:textId="3D6D23E6" w:rsidR="002E7458" w:rsidRPr="002E7458" w:rsidRDefault="006B787F" w:rsidP="006D5013">
      <w:pPr>
        <w:ind w:left="720"/>
        <w:rPr>
          <w:sz w:val="22"/>
          <w:szCs w:val="22"/>
        </w:rPr>
      </w:pPr>
      <w:r w:rsidRPr="002E7458">
        <w:rPr>
          <w:sz w:val="22"/>
          <w:szCs w:val="22"/>
        </w:rPr>
        <w:t>1000.   0.3523e-03    4     1.5    1.5   480.0   33.22   68.57   33.02    No</w:t>
      </w:r>
    </w:p>
    <w:p w14:paraId="541A5747" w14:textId="77777777" w:rsidR="002E7458" w:rsidRPr="002E7458" w:rsidRDefault="002E7458" w:rsidP="006D5013">
      <w:pPr>
        <w:ind w:left="720"/>
        <w:rPr>
          <w:sz w:val="22"/>
          <w:szCs w:val="22"/>
        </w:rPr>
      </w:pPr>
    </w:p>
    <w:p w14:paraId="11933016" w14:textId="0F78BF27" w:rsidR="002E7458" w:rsidRPr="002E7458" w:rsidRDefault="006B787F" w:rsidP="006D5013">
      <w:pPr>
        <w:keepNext/>
        <w:keepLines/>
        <w:ind w:left="720"/>
        <w:rPr>
          <w:sz w:val="22"/>
          <w:szCs w:val="22"/>
        </w:rPr>
      </w:pPr>
      <w:r w:rsidRPr="002E7458">
        <w:rPr>
          <w:sz w:val="22"/>
          <w:szCs w:val="22"/>
        </w:rPr>
        <w:lastRenderedPageBreak/>
        <w:t>Maximum 1-Hr Concentration At Or Beyond     1. M:</w:t>
      </w:r>
    </w:p>
    <w:p w14:paraId="56A8880B" w14:textId="7029EF6A" w:rsidR="002E7458" w:rsidRPr="002E7458" w:rsidRDefault="006B787F" w:rsidP="006D5013">
      <w:pPr>
        <w:keepNext/>
        <w:keepLines/>
        <w:ind w:left="720"/>
        <w:rPr>
          <w:sz w:val="22"/>
          <w:szCs w:val="22"/>
        </w:rPr>
      </w:pPr>
      <w:r w:rsidRPr="002E7458">
        <w:rPr>
          <w:sz w:val="22"/>
          <w:szCs w:val="22"/>
        </w:rPr>
        <w:t>75.   0.1292e-02    3    10.0   10.0  3200.0    8.27    9.73    5.89    No</w:t>
      </w:r>
    </w:p>
    <w:p w14:paraId="1A77F5D9" w14:textId="77777777" w:rsidR="002E7458" w:rsidRPr="002E7458" w:rsidRDefault="002E7458" w:rsidP="006D5013">
      <w:pPr>
        <w:ind w:left="720"/>
        <w:rPr>
          <w:sz w:val="22"/>
          <w:szCs w:val="22"/>
        </w:rPr>
      </w:pPr>
    </w:p>
    <w:p w14:paraId="071F563C" w14:textId="5654AE98" w:rsidR="002E7458" w:rsidRPr="002E7458" w:rsidRDefault="006B787F" w:rsidP="006D5013">
      <w:pPr>
        <w:ind w:left="720"/>
        <w:rPr>
          <w:sz w:val="22"/>
          <w:szCs w:val="22"/>
        </w:rPr>
      </w:pPr>
      <w:r w:rsidRPr="002E7458">
        <w:rPr>
          <w:sz w:val="22"/>
          <w:szCs w:val="22"/>
        </w:rPr>
        <w:t>Dwash=   Means No Calc Made (Conc = 0.0)</w:t>
      </w:r>
    </w:p>
    <w:p w14:paraId="583BEB73" w14:textId="7DAFA333" w:rsidR="002E7458" w:rsidRPr="002E7458" w:rsidRDefault="006B787F" w:rsidP="006D5013">
      <w:pPr>
        <w:ind w:left="720"/>
        <w:rPr>
          <w:sz w:val="22"/>
          <w:szCs w:val="22"/>
        </w:rPr>
      </w:pPr>
      <w:r w:rsidRPr="002E7458">
        <w:rPr>
          <w:sz w:val="22"/>
          <w:szCs w:val="22"/>
        </w:rPr>
        <w:t>Dwash=No Means No Building Downwash Used</w:t>
      </w:r>
    </w:p>
    <w:p w14:paraId="0DC488B3" w14:textId="504A30AF" w:rsidR="002E7458" w:rsidRPr="002E7458" w:rsidRDefault="006B787F" w:rsidP="006D5013">
      <w:pPr>
        <w:ind w:left="720"/>
        <w:rPr>
          <w:sz w:val="22"/>
          <w:szCs w:val="22"/>
        </w:rPr>
      </w:pPr>
      <w:r w:rsidRPr="002E7458">
        <w:rPr>
          <w:sz w:val="22"/>
          <w:szCs w:val="22"/>
        </w:rPr>
        <w:t>Dwash=Hs Means Huber-Snyder Downwash Used</w:t>
      </w:r>
    </w:p>
    <w:p w14:paraId="47BD0069" w14:textId="5F5DDFF2" w:rsidR="002E7458" w:rsidRPr="002E7458" w:rsidRDefault="006B787F" w:rsidP="006D5013">
      <w:pPr>
        <w:ind w:left="720"/>
        <w:rPr>
          <w:sz w:val="22"/>
          <w:szCs w:val="22"/>
        </w:rPr>
      </w:pPr>
      <w:r w:rsidRPr="002E7458">
        <w:rPr>
          <w:sz w:val="22"/>
          <w:szCs w:val="22"/>
        </w:rPr>
        <w:t>Dwash=Ss Means Schulman-Scire Downwash Used</w:t>
      </w:r>
    </w:p>
    <w:p w14:paraId="38C59DA1" w14:textId="1206078A" w:rsidR="002E7458" w:rsidRPr="002E7458" w:rsidRDefault="006B787F" w:rsidP="006D5013">
      <w:pPr>
        <w:ind w:left="720"/>
        <w:rPr>
          <w:sz w:val="22"/>
          <w:szCs w:val="22"/>
        </w:rPr>
      </w:pPr>
      <w:r w:rsidRPr="002E7458">
        <w:rPr>
          <w:sz w:val="22"/>
          <w:szCs w:val="22"/>
        </w:rPr>
        <w:t>Dwash=Na Means Downwash Not Applicable, X&lt;3*Lb</w:t>
      </w:r>
    </w:p>
    <w:p w14:paraId="103CE908" w14:textId="77777777" w:rsidR="002E7458" w:rsidRPr="002E7458" w:rsidRDefault="002E7458" w:rsidP="006D5013">
      <w:pPr>
        <w:ind w:left="720"/>
        <w:rPr>
          <w:sz w:val="22"/>
          <w:szCs w:val="22"/>
        </w:rPr>
      </w:pPr>
    </w:p>
    <w:p w14:paraId="0BC48C96" w14:textId="3E5185AE" w:rsidR="002E7458" w:rsidRPr="002E7458" w:rsidRDefault="006B787F" w:rsidP="006D5013">
      <w:pPr>
        <w:ind w:left="720"/>
        <w:rPr>
          <w:sz w:val="22"/>
          <w:szCs w:val="22"/>
        </w:rPr>
      </w:pPr>
      <w:r w:rsidRPr="002E7458">
        <w:rPr>
          <w:sz w:val="22"/>
          <w:szCs w:val="22"/>
        </w:rPr>
        <w:t>***************************************</w:t>
      </w:r>
    </w:p>
    <w:p w14:paraId="0E51FE35" w14:textId="71B07E4E" w:rsidR="002E7458" w:rsidRPr="002E7458" w:rsidRDefault="006B787F" w:rsidP="006D5013">
      <w:pPr>
        <w:ind w:left="720"/>
        <w:rPr>
          <w:sz w:val="22"/>
          <w:szCs w:val="22"/>
        </w:rPr>
      </w:pPr>
      <w:r w:rsidRPr="002E7458">
        <w:rPr>
          <w:sz w:val="22"/>
          <w:szCs w:val="22"/>
        </w:rPr>
        <w:t>*** Summary Of Screen Model Results ***</w:t>
      </w:r>
    </w:p>
    <w:p w14:paraId="7A91F511" w14:textId="2FC6DE66" w:rsidR="002E7458" w:rsidRPr="002E7458" w:rsidRDefault="006B787F" w:rsidP="006D5013">
      <w:pPr>
        <w:ind w:left="720"/>
        <w:rPr>
          <w:sz w:val="22"/>
          <w:szCs w:val="22"/>
        </w:rPr>
      </w:pPr>
      <w:r w:rsidRPr="002E7458">
        <w:rPr>
          <w:sz w:val="22"/>
          <w:szCs w:val="22"/>
        </w:rPr>
        <w:t>***************************************</w:t>
      </w:r>
    </w:p>
    <w:p w14:paraId="4C7387C2" w14:textId="77777777" w:rsidR="002E7458" w:rsidRPr="002E7458" w:rsidRDefault="002E7458" w:rsidP="006D5013">
      <w:pPr>
        <w:ind w:left="720"/>
        <w:rPr>
          <w:sz w:val="22"/>
          <w:szCs w:val="22"/>
        </w:rPr>
      </w:pPr>
    </w:p>
    <w:p w14:paraId="072BFD9D" w14:textId="70680458" w:rsidR="002E7458" w:rsidRPr="002E7458" w:rsidRDefault="006B787F" w:rsidP="006D5013">
      <w:pPr>
        <w:ind w:left="720"/>
        <w:rPr>
          <w:sz w:val="22"/>
          <w:szCs w:val="22"/>
        </w:rPr>
      </w:pPr>
      <w:r w:rsidRPr="002E7458">
        <w:rPr>
          <w:sz w:val="22"/>
          <w:szCs w:val="22"/>
        </w:rPr>
        <w:t>Calculation        Max Conc    Dist To   Terrain</w:t>
      </w:r>
    </w:p>
    <w:p w14:paraId="3DAD253C" w14:textId="201B7BB4" w:rsidR="002E7458" w:rsidRPr="002E7458" w:rsidRDefault="006B787F" w:rsidP="006D5013">
      <w:pPr>
        <w:ind w:left="720"/>
        <w:rPr>
          <w:sz w:val="22"/>
          <w:szCs w:val="22"/>
        </w:rPr>
      </w:pPr>
      <w:r w:rsidRPr="002E7458">
        <w:rPr>
          <w:sz w:val="22"/>
          <w:szCs w:val="22"/>
        </w:rPr>
        <w:t>Procedure        (Ug/M**3)    Max (M)    Ht (M)</w:t>
      </w:r>
    </w:p>
    <w:p w14:paraId="367A474A" w14:textId="384C0A77" w:rsidR="002E7458" w:rsidRPr="002E7458" w:rsidRDefault="006B787F" w:rsidP="006D5013">
      <w:pPr>
        <w:ind w:left="720"/>
        <w:rPr>
          <w:sz w:val="22"/>
          <w:szCs w:val="22"/>
        </w:rPr>
      </w:pPr>
      <w:r w:rsidRPr="002E7458">
        <w:rPr>
          <w:sz w:val="22"/>
          <w:szCs w:val="22"/>
        </w:rPr>
        <w:t>--------------    -----------   ---------   -------</w:t>
      </w:r>
    </w:p>
    <w:p w14:paraId="0C0DA938" w14:textId="1E94A551" w:rsidR="002E7458" w:rsidRPr="002E7458" w:rsidRDefault="006B787F" w:rsidP="006D5013">
      <w:pPr>
        <w:ind w:left="720"/>
        <w:rPr>
          <w:sz w:val="22"/>
          <w:szCs w:val="22"/>
        </w:rPr>
      </w:pPr>
      <w:r w:rsidRPr="002E7458">
        <w:rPr>
          <w:sz w:val="22"/>
          <w:szCs w:val="22"/>
        </w:rPr>
        <w:t>Simple Terrain      0.1292e-02       75.        0.</w:t>
      </w:r>
    </w:p>
    <w:p w14:paraId="7C43B532" w14:textId="77777777" w:rsidR="002548C0" w:rsidRDefault="002548C0" w:rsidP="003808FD">
      <w:pPr>
        <w:rPr>
          <w:szCs w:val="24"/>
        </w:rPr>
      </w:pPr>
    </w:p>
    <w:p w14:paraId="4F82067D" w14:textId="1473C7FE" w:rsidR="002548C0" w:rsidRPr="0047775E" w:rsidRDefault="002548C0" w:rsidP="002548C0">
      <w:pPr>
        <w:autoSpaceDE w:val="0"/>
        <w:autoSpaceDN w:val="0"/>
        <w:adjustRightInd w:val="0"/>
        <w:ind w:left="720"/>
        <w:rPr>
          <w:szCs w:val="24"/>
        </w:rPr>
      </w:pPr>
      <w:r w:rsidRPr="0047775E">
        <w:rPr>
          <w:szCs w:val="24"/>
        </w:rPr>
        <w:t xml:space="preserve">No individual pollutant concentration exceeds the Cancer Risk threshold of 1.00E-06 and the sum of all Cancer Risks concentrations does not exceed 1.00E-05, and further, the sum of the Chronic Non-cancer Reference Exposure Level hazard quotients is less than 1.0.  Therefore, compliance with the negligible risk requirement as outlined in ARM 17.8.770 is demonstrated. Further, such determination is made assuming 8,760 hours of operation per year of the </w:t>
      </w:r>
      <w:r w:rsidR="001F37E8">
        <w:rPr>
          <w:szCs w:val="24"/>
        </w:rPr>
        <w:t>incinerator</w:t>
      </w:r>
      <w:r w:rsidRPr="0047775E">
        <w:rPr>
          <w:szCs w:val="24"/>
        </w:rPr>
        <w:t xml:space="preserve"> and conservative emissions estimations.  The presence or absence of this facility in this area would not be expected to cause a discernable change in human health risks in this area.</w:t>
      </w:r>
    </w:p>
    <w:p w14:paraId="4A3FC379" w14:textId="77777777" w:rsidR="002548C0" w:rsidRPr="0047775E" w:rsidRDefault="002548C0" w:rsidP="002548C0">
      <w:pPr>
        <w:rPr>
          <w:szCs w:val="24"/>
        </w:rPr>
      </w:pPr>
    </w:p>
    <w:p w14:paraId="0B3ADF8A" w14:textId="4501FC17" w:rsidR="002548C0" w:rsidRPr="0047775E" w:rsidRDefault="002548C0" w:rsidP="002548C0">
      <w:pPr>
        <w:autoSpaceDE w:val="0"/>
        <w:autoSpaceDN w:val="0"/>
        <w:adjustRightInd w:val="0"/>
        <w:ind w:left="720"/>
      </w:pPr>
      <w:r w:rsidRPr="0047775E">
        <w:rPr>
          <w:szCs w:val="24"/>
        </w:rPr>
        <w:t>Based on the information provided and the conditions established in MAQP #</w:t>
      </w:r>
      <w:r w:rsidR="00697F78">
        <w:rPr>
          <w:szCs w:val="24"/>
        </w:rPr>
        <w:t>5350</w:t>
      </w:r>
      <w:r w:rsidRPr="0047775E">
        <w:rPr>
          <w:szCs w:val="24"/>
        </w:rPr>
        <w:t>-00, DEQ determined that the impact from this permitting action will be minor. DEQ believes it will not cause or contribute to a violation of any ambient air quality standard.</w:t>
      </w:r>
      <w:r w:rsidRPr="0047775E">
        <w:rPr>
          <w:i/>
          <w:color w:val="FF0000"/>
          <w:szCs w:val="24"/>
        </w:rPr>
        <w:t xml:space="preserve"> </w:t>
      </w:r>
    </w:p>
    <w:p w14:paraId="6E984C07" w14:textId="77777777" w:rsidR="002548C0" w:rsidRPr="00205895" w:rsidRDefault="002548C0" w:rsidP="003808FD">
      <w:pPr>
        <w:rPr>
          <w:szCs w:val="24"/>
        </w:rPr>
      </w:pPr>
    </w:p>
    <w:p w14:paraId="046042DE" w14:textId="682188A8" w:rsidR="003808FD" w:rsidRPr="00153B19" w:rsidRDefault="00C46274" w:rsidP="00153B19">
      <w:pPr>
        <w:pStyle w:val="Heading1"/>
      </w:pPr>
      <w:bookmarkStart w:id="59" w:name="_Toc223955027"/>
      <w:bookmarkStart w:id="60" w:name="_Toc223955142"/>
      <w:r>
        <w:t xml:space="preserve">Section </w:t>
      </w:r>
      <w:r w:rsidR="00153B19">
        <w:t xml:space="preserve">IX </w:t>
      </w:r>
      <w:r w:rsidR="003808FD" w:rsidRPr="00153B19">
        <w:t>Taking or Damaging Implication Analysis</w:t>
      </w:r>
      <w:bookmarkEnd w:id="59"/>
      <w:bookmarkEnd w:id="60"/>
    </w:p>
    <w:p w14:paraId="7BF1E1DD" w14:textId="77777777" w:rsidR="003808FD" w:rsidRPr="00205895" w:rsidRDefault="003808FD" w:rsidP="003808FD">
      <w:pPr>
        <w:rPr>
          <w:szCs w:val="24"/>
        </w:rPr>
      </w:pPr>
    </w:p>
    <w:p w14:paraId="6021FD94" w14:textId="5DB22B9B" w:rsidR="0020145F" w:rsidRPr="00205895" w:rsidRDefault="0020145F" w:rsidP="0020145F">
      <w:pPr>
        <w:pStyle w:val="BodyTextIndent2"/>
        <w:ind w:left="720"/>
        <w:rPr>
          <w:sz w:val="24"/>
          <w:szCs w:val="24"/>
        </w:rPr>
      </w:pPr>
      <w:r w:rsidRPr="0020145F">
        <w:rPr>
          <w:sz w:val="24"/>
          <w:szCs w:val="24"/>
        </w:rPr>
        <w:t xml:space="preserve">As required by </w:t>
      </w:r>
      <w:r w:rsidR="00430F58">
        <w:rPr>
          <w:sz w:val="24"/>
          <w:szCs w:val="24"/>
        </w:rPr>
        <w:t xml:space="preserve">§ </w:t>
      </w:r>
      <w:r w:rsidRPr="0020145F">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77777777"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Does the action damage the property by causing some physical disturbance with respect to the property in excess of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3325DE22" w14:textId="77777777" w:rsidR="0020145F" w:rsidRDefault="0020145F" w:rsidP="0020145F">
      <w:pPr>
        <w:ind w:left="432"/>
        <w:rPr>
          <w:szCs w:val="24"/>
        </w:rPr>
      </w:pPr>
    </w:p>
    <w:p w14:paraId="599C67AE" w14:textId="02E5FEBB" w:rsidR="0020145F" w:rsidRPr="0020145F" w:rsidRDefault="0020145F" w:rsidP="0020145F">
      <w:pPr>
        <w:pStyle w:val="BodyTextIndent2"/>
        <w:ind w:left="720"/>
        <w:rPr>
          <w:sz w:val="24"/>
          <w:szCs w:val="24"/>
        </w:rPr>
      </w:pPr>
      <w:r w:rsidRPr="0020145F">
        <w:rPr>
          <w:sz w:val="24"/>
          <w:szCs w:val="24"/>
        </w:rPr>
        <w:t xml:space="preserve">The proposed project would take place on private land. DEQ has determined that the permit conditions are reasonably necessary to ensure compliance with applicable requirements under the Montana Clean Air Act. Therefore, DEQ’s approval of MAQP </w:t>
      </w:r>
      <w:r w:rsidRPr="002548C0">
        <w:rPr>
          <w:sz w:val="24"/>
          <w:szCs w:val="24"/>
        </w:rPr>
        <w:t>#</w:t>
      </w:r>
      <w:r w:rsidR="00697F78">
        <w:rPr>
          <w:sz w:val="24"/>
          <w:szCs w:val="24"/>
        </w:rPr>
        <w:t>5350</w:t>
      </w:r>
      <w:r w:rsidR="00890031" w:rsidRPr="002548C0">
        <w:rPr>
          <w:sz w:val="24"/>
          <w:szCs w:val="24"/>
        </w:rPr>
        <w:t>-00</w:t>
      </w:r>
      <w:r w:rsidRPr="0020145F">
        <w:rPr>
          <w:sz w:val="24"/>
          <w:szCs w:val="24"/>
        </w:rPr>
        <w:t xml:space="preserve"> would not have private property-taking or damaging implications.</w:t>
      </w:r>
    </w:p>
    <w:p w14:paraId="60425D98" w14:textId="77777777" w:rsidR="0020145F" w:rsidRPr="0020145F" w:rsidRDefault="0020145F" w:rsidP="0020145F">
      <w:pPr>
        <w:pStyle w:val="BodyTextIndent2"/>
        <w:ind w:left="720"/>
        <w:rPr>
          <w:i/>
          <w:iCs/>
          <w:sz w:val="24"/>
          <w:szCs w:val="24"/>
        </w:rPr>
      </w:pPr>
    </w:p>
    <w:p w14:paraId="0BC2DA19" w14:textId="3BD189EF" w:rsidR="003808FD" w:rsidRPr="00153B19" w:rsidRDefault="00C46274" w:rsidP="35C0CAAF">
      <w:pPr>
        <w:pStyle w:val="Heading1"/>
        <w:widowControl w:val="0"/>
      </w:pPr>
      <w:bookmarkStart w:id="61" w:name="_Toc223955028"/>
      <w:bookmarkStart w:id="62" w:name="_Toc223955143"/>
      <w:r>
        <w:t xml:space="preserve">Section </w:t>
      </w:r>
      <w:r w:rsidR="00662769">
        <w:t>X.</w:t>
      </w:r>
      <w:r w:rsidR="00662769">
        <w:tab/>
      </w:r>
      <w:r w:rsidR="003808FD">
        <w:t>Environmental Assessment</w:t>
      </w:r>
      <w:bookmarkEnd w:id="61"/>
      <w:bookmarkEnd w:id="62"/>
    </w:p>
    <w:p w14:paraId="78EB784C" w14:textId="77777777" w:rsidR="0020145F" w:rsidRDefault="0020145F" w:rsidP="0020145F">
      <w:pPr>
        <w:pStyle w:val="Heading3"/>
        <w:ind w:firstLine="288"/>
        <w:rPr>
          <w:sz w:val="24"/>
          <w:szCs w:val="24"/>
        </w:rPr>
      </w:pPr>
    </w:p>
    <w:p w14:paraId="4D35B5A4" w14:textId="7857B924" w:rsidR="003808FD" w:rsidRPr="00205895" w:rsidRDefault="00430F58" w:rsidP="00035757">
      <w:pPr>
        <w:pStyle w:val="BodyTextIndent2"/>
        <w:ind w:left="720"/>
        <w:rPr>
          <w:szCs w:val="24"/>
        </w:rPr>
      </w:pPr>
      <w:r>
        <w:rPr>
          <w:sz w:val="24"/>
          <w:szCs w:val="24"/>
        </w:rPr>
        <w:t>An environmental assessment (EA), prepared p</w:t>
      </w:r>
      <w:r w:rsidR="0020145F">
        <w:rPr>
          <w:sz w:val="24"/>
          <w:szCs w:val="24"/>
        </w:rPr>
        <w:t xml:space="preserve">ursuant to the applicable requirements of </w:t>
      </w:r>
      <w:r>
        <w:rPr>
          <w:sz w:val="24"/>
          <w:szCs w:val="24"/>
        </w:rPr>
        <w:t xml:space="preserve">Title 75, Chapter 1, Parts 1-3, was completed for the proposed project. A copy of the EA is attached.  </w:t>
      </w:r>
    </w:p>
    <w:sectPr w:rsidR="003808FD" w:rsidRPr="00205895" w:rsidSect="00CE2CF5">
      <w:footerReference w:type="default" r:id="rId16"/>
      <w:pgSz w:w="12240" w:h="15840" w:code="1"/>
      <w:pgMar w:top="1152" w:right="1440" w:bottom="1008"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74A62" w14:textId="77777777" w:rsidR="00B16D5D" w:rsidRDefault="00B16D5D">
      <w:r>
        <w:separator/>
      </w:r>
    </w:p>
  </w:endnote>
  <w:endnote w:type="continuationSeparator" w:id="0">
    <w:p w14:paraId="40091D23" w14:textId="77777777" w:rsidR="00B16D5D" w:rsidRDefault="00B1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44155"/>
      <w:docPartObj>
        <w:docPartGallery w:val="Page Numbers (Bottom of Page)"/>
        <w:docPartUnique/>
      </w:docPartObj>
    </w:sdtPr>
    <w:sdtEndPr>
      <w:rPr>
        <w:noProof/>
        <w:sz w:val="20"/>
        <w:szCs w:val="16"/>
      </w:rPr>
    </w:sdtEndPr>
    <w:sdtContent>
      <w:p w14:paraId="149BF432" w14:textId="35E8BF63" w:rsidR="004C3A96" w:rsidRPr="003C1713" w:rsidRDefault="004C3A96" w:rsidP="004C3A96">
        <w:pPr>
          <w:pStyle w:val="Footer"/>
          <w:jc w:val="center"/>
          <w:rPr>
            <w:sz w:val="20"/>
            <w:szCs w:val="16"/>
          </w:rPr>
        </w:pPr>
        <w:r w:rsidRPr="003C1713">
          <w:rPr>
            <w:sz w:val="20"/>
            <w:szCs w:val="16"/>
          </w:rPr>
          <w:fldChar w:fldCharType="begin"/>
        </w:r>
        <w:r w:rsidRPr="003C1713">
          <w:rPr>
            <w:sz w:val="20"/>
            <w:szCs w:val="16"/>
          </w:rPr>
          <w:instrText xml:space="preserve"> PAGE   \* MERGEFORMAT </w:instrText>
        </w:r>
        <w:r w:rsidRPr="003C1713">
          <w:rPr>
            <w:sz w:val="20"/>
            <w:szCs w:val="16"/>
          </w:rPr>
          <w:fldChar w:fldCharType="separate"/>
        </w:r>
        <w:r w:rsidRPr="003C1713">
          <w:rPr>
            <w:noProof/>
            <w:sz w:val="20"/>
            <w:szCs w:val="16"/>
          </w:rPr>
          <w:t>2</w:t>
        </w:r>
        <w:r w:rsidRPr="003C1713">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0FC" w14:textId="77777777" w:rsidR="00B87C8F" w:rsidRDefault="00B87C8F" w:rsidP="00B87C8F">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Governor  I  Sonja Nowakowski, Director  I  P.O. Box 200901  I  Helena, MT 59620-0901  I  (406) 444-2544  I  www.deq.mt.gov    </w:t>
    </w:r>
  </w:p>
  <w:p w14:paraId="16A19FC7" w14:textId="16176CD7" w:rsidR="002E0BEB" w:rsidRPr="00B87C8F" w:rsidRDefault="002E0BEB" w:rsidP="00B87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A9A6" w14:textId="77777777" w:rsidR="00554ABE" w:rsidRPr="002548C0" w:rsidRDefault="00554ABE" w:rsidP="002548C0">
    <w:pPr>
      <w:tabs>
        <w:tab w:val="center" w:pos="4680"/>
        <w:tab w:val="right" w:pos="9360"/>
      </w:tabs>
      <w:rPr>
        <w:rFonts w:ascii="Times New Roman" w:hAnsi="Times New Roman"/>
        <w:sz w:val="16"/>
        <w:szCs w:val="16"/>
      </w:rPr>
    </w:pPr>
  </w:p>
  <w:p w14:paraId="03FB2F68" w14:textId="7A4C8380" w:rsidR="00554ABE" w:rsidRPr="002548C0" w:rsidRDefault="00554ABE" w:rsidP="002548C0">
    <w:pPr>
      <w:tabs>
        <w:tab w:val="center" w:pos="4680"/>
        <w:tab w:val="right" w:pos="9360"/>
      </w:tabs>
      <w:rPr>
        <w:rFonts w:ascii="Times New Roman" w:hAnsi="Times New Roman"/>
        <w:sz w:val="16"/>
        <w:szCs w:val="16"/>
      </w:rPr>
    </w:pPr>
    <w:r>
      <w:rPr>
        <w:sz w:val="18"/>
        <w:szCs w:val="18"/>
      </w:rPr>
      <w:t>53</w:t>
    </w:r>
    <w:r w:rsidR="00954F10">
      <w:rPr>
        <w:sz w:val="18"/>
        <w:szCs w:val="18"/>
      </w:rPr>
      <w:t>50</w:t>
    </w:r>
    <w:r>
      <w:rPr>
        <w:sz w:val="18"/>
        <w:szCs w:val="18"/>
      </w:rPr>
      <w:t>-00</w:t>
    </w:r>
    <w:r w:rsidRPr="002548C0">
      <w:rPr>
        <w:sz w:val="18"/>
        <w:szCs w:val="18"/>
      </w:rPr>
      <w:tab/>
    </w:r>
    <w:r w:rsidRPr="002548C0">
      <w:rPr>
        <w:sz w:val="18"/>
        <w:szCs w:val="18"/>
      </w:rPr>
      <w:fldChar w:fldCharType="begin"/>
    </w:r>
    <w:r w:rsidRPr="002548C0">
      <w:rPr>
        <w:sz w:val="18"/>
        <w:szCs w:val="18"/>
      </w:rPr>
      <w:instrText xml:space="preserve"> PAGE   \* MERGEFORMAT </w:instrText>
    </w:r>
    <w:r w:rsidRPr="002548C0">
      <w:rPr>
        <w:sz w:val="18"/>
        <w:szCs w:val="18"/>
      </w:rPr>
      <w:fldChar w:fldCharType="separate"/>
    </w:r>
    <w:r w:rsidRPr="002548C0">
      <w:rPr>
        <w:sz w:val="18"/>
        <w:szCs w:val="18"/>
      </w:rPr>
      <w:t>2</w:t>
    </w:r>
    <w:r w:rsidRPr="002548C0">
      <w:rPr>
        <w:noProof/>
        <w:sz w:val="18"/>
        <w:szCs w:val="18"/>
      </w:rPr>
      <w:fldChar w:fldCharType="end"/>
    </w:r>
    <w:r w:rsidRPr="002548C0">
      <w:rPr>
        <w:rFonts w:ascii="Times New Roman" w:hAnsi="Times New Roman"/>
        <w:sz w:val="18"/>
      </w:rPr>
      <w:tab/>
    </w:r>
    <w:r w:rsidR="00A32EC7">
      <w:rPr>
        <w:sz w:val="18"/>
        <w:szCs w:val="18"/>
      </w:rPr>
      <w:t>D</w:t>
    </w:r>
    <w:r>
      <w:rPr>
        <w:sz w:val="18"/>
        <w:szCs w:val="18"/>
      </w:rPr>
      <w:t>D</w:t>
    </w:r>
    <w:r w:rsidRPr="002548C0">
      <w:rPr>
        <w:sz w:val="18"/>
        <w:szCs w:val="18"/>
      </w:rPr>
      <w:t xml:space="preserve">: </w:t>
    </w:r>
    <w:r>
      <w:rPr>
        <w:sz w:val="18"/>
        <w:szCs w:val="18"/>
      </w:rPr>
      <w:t>0</w:t>
    </w:r>
    <w:r w:rsidR="00A32EC7">
      <w:rPr>
        <w:sz w:val="18"/>
        <w:szCs w:val="18"/>
      </w:rPr>
      <w:t>5</w:t>
    </w:r>
    <w:r w:rsidRPr="002548C0">
      <w:rPr>
        <w:sz w:val="18"/>
        <w:szCs w:val="18"/>
      </w:rPr>
      <w:t>/</w:t>
    </w:r>
    <w:r w:rsidR="00A32EC7">
      <w:rPr>
        <w:sz w:val="18"/>
        <w:szCs w:val="18"/>
      </w:rPr>
      <w:t>19</w:t>
    </w:r>
    <w:r w:rsidRPr="002548C0">
      <w:rPr>
        <w:sz w:val="18"/>
        <w:szCs w:val="18"/>
      </w:rPr>
      <w:t>/</w:t>
    </w:r>
    <w:r>
      <w:rPr>
        <w:sz w:val="18"/>
        <w:szCs w:val="18"/>
      </w:rPr>
      <w:t>2026</w:t>
    </w:r>
  </w:p>
  <w:p w14:paraId="5656640C" w14:textId="77777777" w:rsidR="00554ABE" w:rsidRDefault="00554ABE" w:rsidP="002548C0">
    <w:pPr>
      <w:pStyle w:val="Footer"/>
      <w:tabs>
        <w:tab w:val="clear" w:pos="4320"/>
        <w:tab w:val="clear" w:pos="8640"/>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3D7F" w14:textId="1938A69F" w:rsidR="00EE4AD9" w:rsidRPr="002548C0" w:rsidRDefault="00EE4AD9" w:rsidP="00EE4AD9">
    <w:pPr>
      <w:tabs>
        <w:tab w:val="center" w:pos="4680"/>
        <w:tab w:val="right" w:pos="9360"/>
      </w:tabs>
      <w:rPr>
        <w:rFonts w:ascii="Times New Roman" w:hAnsi="Times New Roman"/>
        <w:sz w:val="18"/>
      </w:rPr>
    </w:pPr>
    <w:r>
      <w:rPr>
        <w:sz w:val="18"/>
        <w:szCs w:val="18"/>
      </w:rPr>
      <w:t>5350-00</w:t>
    </w:r>
    <w:r w:rsidRPr="002548C0">
      <w:rPr>
        <w:rFonts w:ascii="Times New Roman" w:hAnsi="Times New Roman"/>
        <w:sz w:val="18"/>
      </w:rPr>
      <w:tab/>
    </w:r>
    <w:r w:rsidRPr="002548C0">
      <w:rPr>
        <w:rFonts w:ascii="Times New Roman" w:hAnsi="Times New Roman"/>
        <w:sz w:val="18"/>
      </w:rPr>
      <w:fldChar w:fldCharType="begin"/>
    </w:r>
    <w:r w:rsidRPr="002548C0">
      <w:rPr>
        <w:rFonts w:ascii="Times New Roman" w:hAnsi="Times New Roman"/>
        <w:sz w:val="18"/>
      </w:rPr>
      <w:instrText xml:space="preserve"> PAGE   \* MERGEFORMAT </w:instrText>
    </w:r>
    <w:r w:rsidRPr="002548C0">
      <w:rPr>
        <w:rFonts w:ascii="Times New Roman" w:hAnsi="Times New Roman"/>
        <w:sz w:val="18"/>
      </w:rPr>
      <w:fldChar w:fldCharType="separate"/>
    </w:r>
    <w:r>
      <w:rPr>
        <w:rFonts w:ascii="Times New Roman" w:hAnsi="Times New Roman"/>
        <w:sz w:val="18"/>
      </w:rPr>
      <w:t>22</w:t>
    </w:r>
    <w:r w:rsidRPr="002548C0">
      <w:rPr>
        <w:rFonts w:ascii="Times New Roman" w:hAnsi="Times New Roman"/>
        <w:noProof/>
        <w:sz w:val="18"/>
      </w:rPr>
      <w:fldChar w:fldCharType="end"/>
    </w:r>
    <w:r w:rsidRPr="002548C0">
      <w:rPr>
        <w:rFonts w:ascii="Times New Roman" w:hAnsi="Times New Roman"/>
        <w:sz w:val="18"/>
      </w:rPr>
      <w:tab/>
    </w:r>
    <w:r w:rsidR="00A32EC7">
      <w:rPr>
        <w:sz w:val="18"/>
        <w:szCs w:val="18"/>
      </w:rPr>
      <w:t>DD</w:t>
    </w:r>
    <w:r w:rsidRPr="002548C0">
      <w:rPr>
        <w:sz w:val="18"/>
        <w:szCs w:val="18"/>
      </w:rPr>
      <w:t xml:space="preserve">: </w:t>
    </w:r>
    <w:r>
      <w:rPr>
        <w:sz w:val="18"/>
        <w:szCs w:val="18"/>
      </w:rPr>
      <w:t>0</w:t>
    </w:r>
    <w:r w:rsidR="00A32EC7">
      <w:rPr>
        <w:sz w:val="18"/>
        <w:szCs w:val="18"/>
      </w:rPr>
      <w:t>5</w:t>
    </w:r>
    <w:r>
      <w:rPr>
        <w:sz w:val="18"/>
        <w:szCs w:val="18"/>
      </w:rPr>
      <w:t>/</w:t>
    </w:r>
    <w:r w:rsidR="00A32EC7">
      <w:rPr>
        <w:sz w:val="18"/>
        <w:szCs w:val="18"/>
      </w:rPr>
      <w:t>19</w:t>
    </w:r>
    <w:r>
      <w:rPr>
        <w:sz w:val="18"/>
        <w:szCs w:val="18"/>
      </w:rPr>
      <w:t>/2026</w:t>
    </w:r>
  </w:p>
  <w:p w14:paraId="323A5746" w14:textId="54F60192" w:rsidR="00E47E78" w:rsidRPr="00EE4AD9" w:rsidRDefault="00EE4AD9" w:rsidP="00EE4AD9">
    <w:pPr>
      <w:tabs>
        <w:tab w:val="center" w:pos="4680"/>
        <w:tab w:val="right" w:pos="9360"/>
      </w:tabs>
      <w:jc w:val="right"/>
      <w:rPr>
        <w:sz w:val="18"/>
        <w:szCs w:val="18"/>
      </w:rPr>
    </w:pPr>
    <w:r w:rsidRPr="002548C0">
      <w:rPr>
        <w:sz w:val="18"/>
        <w:szCs w:val="18"/>
      </w:rPr>
      <w:t xml:space="preserve">Permit Analysis: </w:t>
    </w:r>
    <w:r w:rsidR="00A32EC7">
      <w:rPr>
        <w:sz w:val="18"/>
        <w:szCs w:val="18"/>
      </w:rPr>
      <w:t>05</w:t>
    </w:r>
    <w:r w:rsidRPr="002548C0">
      <w:rPr>
        <w:sz w:val="18"/>
        <w:szCs w:val="18"/>
      </w:rPr>
      <w:t>/</w:t>
    </w:r>
    <w:r w:rsidR="00A32EC7">
      <w:rPr>
        <w:sz w:val="18"/>
        <w:szCs w:val="18"/>
      </w:rPr>
      <w:t>19</w:t>
    </w:r>
    <w:r w:rsidRPr="002548C0">
      <w:rPr>
        <w:sz w:val="18"/>
        <w:szCs w:val="18"/>
      </w:rPr>
      <w:t>/202</w:t>
    </w:r>
    <w:r>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5F81" w14:textId="77777777" w:rsidR="00B16D5D" w:rsidRDefault="00B16D5D">
      <w:r>
        <w:separator/>
      </w:r>
    </w:p>
  </w:footnote>
  <w:footnote w:type="continuationSeparator" w:id="0">
    <w:p w14:paraId="49F11E45" w14:textId="77777777" w:rsidR="00B16D5D" w:rsidRDefault="00B16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D81"/>
    <w:multiLevelType w:val="singleLevel"/>
    <w:tmpl w:val="AE66F886"/>
    <w:lvl w:ilvl="0">
      <w:start w:val="1"/>
      <w:numFmt w:val="upperLetter"/>
      <w:lvlText w:val="%1."/>
      <w:lvlJc w:val="left"/>
      <w:pPr>
        <w:tabs>
          <w:tab w:val="num" w:pos="864"/>
        </w:tabs>
        <w:ind w:left="864" w:hanging="432"/>
      </w:pPr>
      <w:rPr>
        <w:rFonts w:hint="default"/>
      </w:r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33774A4"/>
    <w:multiLevelType w:val="hybridMultilevel"/>
    <w:tmpl w:val="2AB606CA"/>
    <w:lvl w:ilvl="0" w:tplc="FFFFFFFF">
      <w:start w:val="1"/>
      <w:numFmt w:val="decimal"/>
      <w:lvlText w:val="%1."/>
      <w:lvlJc w:val="left"/>
      <w:pPr>
        <w:ind w:left="189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4B540A7"/>
    <w:multiLevelType w:val="singleLevel"/>
    <w:tmpl w:val="2404F62A"/>
    <w:lvl w:ilvl="0">
      <w:start w:val="1"/>
      <w:numFmt w:val="upperLetter"/>
      <w:lvlText w:val="%1."/>
      <w:lvlJc w:val="left"/>
      <w:pPr>
        <w:tabs>
          <w:tab w:val="num" w:pos="864"/>
        </w:tabs>
        <w:ind w:left="864" w:hanging="432"/>
      </w:pPr>
      <w:rPr>
        <w:rFonts w:hint="default"/>
      </w:rPr>
    </w:lvl>
  </w:abstractNum>
  <w:abstractNum w:abstractNumId="4"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5" w15:restartNumberingAfterBreak="0">
    <w:nsid w:val="06A34D9D"/>
    <w:multiLevelType w:val="hybridMultilevel"/>
    <w:tmpl w:val="9552E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7" w15:restartNumberingAfterBreak="0">
    <w:nsid w:val="09B517AB"/>
    <w:multiLevelType w:val="hybridMultilevel"/>
    <w:tmpl w:val="4BE4F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534B2"/>
    <w:multiLevelType w:val="hybridMultilevel"/>
    <w:tmpl w:val="B3961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F904E7"/>
    <w:multiLevelType w:val="hybridMultilevel"/>
    <w:tmpl w:val="160E9D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0C24777C"/>
    <w:multiLevelType w:val="hybridMultilevel"/>
    <w:tmpl w:val="35765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7B6C2A"/>
    <w:multiLevelType w:val="hybridMultilevel"/>
    <w:tmpl w:val="EEE0A936"/>
    <w:lvl w:ilvl="0" w:tplc="9AE4CB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B5476B"/>
    <w:multiLevelType w:val="hybridMultilevel"/>
    <w:tmpl w:val="7A7A38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516143F"/>
    <w:multiLevelType w:val="singleLevel"/>
    <w:tmpl w:val="3580D2EA"/>
    <w:lvl w:ilvl="0">
      <w:start w:val="1"/>
      <w:numFmt w:val="upperLetter"/>
      <w:lvlText w:val="%1."/>
      <w:lvlJc w:val="left"/>
      <w:pPr>
        <w:tabs>
          <w:tab w:val="num" w:pos="1296"/>
        </w:tabs>
        <w:ind w:left="1296" w:hanging="432"/>
      </w:pPr>
      <w:rPr>
        <w:rFonts w:hint="default"/>
      </w:rPr>
    </w:lvl>
  </w:abstractNum>
  <w:abstractNum w:abstractNumId="19"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7EF5D51"/>
    <w:multiLevelType w:val="hybridMultilevel"/>
    <w:tmpl w:val="8E54A3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BCE59D6"/>
    <w:multiLevelType w:val="hybridMultilevel"/>
    <w:tmpl w:val="2AB606C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28"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9"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30" w15:restartNumberingAfterBreak="0">
    <w:nsid w:val="23DA1435"/>
    <w:multiLevelType w:val="hybridMultilevel"/>
    <w:tmpl w:val="E61ED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3DF5429"/>
    <w:multiLevelType w:val="singleLevel"/>
    <w:tmpl w:val="6EA4FF12"/>
    <w:lvl w:ilvl="0">
      <w:start w:val="1"/>
      <w:numFmt w:val="decimal"/>
      <w:lvlText w:val="%1."/>
      <w:lvlJc w:val="left"/>
      <w:pPr>
        <w:tabs>
          <w:tab w:val="num" w:pos="1728"/>
        </w:tabs>
        <w:ind w:left="1728" w:hanging="432"/>
      </w:pPr>
      <w:rPr>
        <w:rFonts w:ascii="Garamond" w:hAnsi="Garamond" w:hint="default"/>
        <w:b w:val="0"/>
        <w:i w:val="0"/>
        <w:sz w:val="22"/>
      </w:rPr>
    </w:lvl>
  </w:abstractNum>
  <w:abstractNum w:abstractNumId="32"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3" w15:restartNumberingAfterBreak="0">
    <w:nsid w:val="25283208"/>
    <w:multiLevelType w:val="singleLevel"/>
    <w:tmpl w:val="0F64BE98"/>
    <w:lvl w:ilvl="0">
      <w:start w:val="1"/>
      <w:numFmt w:val="upperLetter"/>
      <w:lvlText w:val="%1."/>
      <w:lvlJc w:val="left"/>
      <w:pPr>
        <w:tabs>
          <w:tab w:val="num" w:pos="1296"/>
        </w:tabs>
        <w:ind w:left="1296" w:hanging="432"/>
      </w:pPr>
      <w:rPr>
        <w:rFonts w:hint="default"/>
      </w:rPr>
    </w:lvl>
  </w:abstractNum>
  <w:abstractNum w:abstractNumId="34"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35" w15:restartNumberingAfterBreak="0">
    <w:nsid w:val="28B327FC"/>
    <w:multiLevelType w:val="hybridMultilevel"/>
    <w:tmpl w:val="55507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536620"/>
    <w:multiLevelType w:val="hybridMultilevel"/>
    <w:tmpl w:val="81423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C3F1554"/>
    <w:multiLevelType w:val="hybridMultilevel"/>
    <w:tmpl w:val="DA50E7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39"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23228D"/>
    <w:multiLevelType w:val="singleLevel"/>
    <w:tmpl w:val="74F2E7A8"/>
    <w:lvl w:ilvl="0">
      <w:start w:val="1"/>
      <w:numFmt w:val="decimal"/>
      <w:lvlText w:val="%1."/>
      <w:lvlJc w:val="left"/>
      <w:pPr>
        <w:tabs>
          <w:tab w:val="num" w:pos="1728"/>
        </w:tabs>
        <w:ind w:left="1728" w:hanging="432"/>
      </w:pPr>
      <w:rPr>
        <w:rFonts w:ascii="Garamond" w:hAnsi="Garamond" w:hint="default"/>
        <w:b w:val="0"/>
        <w:i w:val="0"/>
        <w:sz w:val="22"/>
      </w:rPr>
    </w:lvl>
  </w:abstractNum>
  <w:abstractNum w:abstractNumId="41" w15:restartNumberingAfterBreak="0">
    <w:nsid w:val="3297192F"/>
    <w:multiLevelType w:val="hybridMultilevel"/>
    <w:tmpl w:val="313AD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44" w15:restartNumberingAfterBreak="0">
    <w:nsid w:val="3639795F"/>
    <w:multiLevelType w:val="hybridMultilevel"/>
    <w:tmpl w:val="E2DEF69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87B72F4"/>
    <w:multiLevelType w:val="hybridMultilevel"/>
    <w:tmpl w:val="E4B44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7" w15:restartNumberingAfterBreak="0">
    <w:nsid w:val="39E36D93"/>
    <w:multiLevelType w:val="singleLevel"/>
    <w:tmpl w:val="060E8A9C"/>
    <w:lvl w:ilvl="0">
      <w:start w:val="2"/>
      <w:numFmt w:val="decimal"/>
      <w:lvlText w:val="%1."/>
      <w:lvlJc w:val="left"/>
      <w:pPr>
        <w:tabs>
          <w:tab w:val="num" w:pos="1728"/>
        </w:tabs>
        <w:ind w:left="1728" w:hanging="432"/>
      </w:pPr>
      <w:rPr>
        <w:rFonts w:ascii="Garamond" w:hAnsi="Garamond" w:hint="default"/>
        <w:b w:val="0"/>
        <w:i w:val="0"/>
        <w:sz w:val="22"/>
      </w:rPr>
    </w:lvl>
  </w:abstractNum>
  <w:abstractNum w:abstractNumId="48"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49" w15:restartNumberingAfterBreak="0">
    <w:nsid w:val="3CCD4063"/>
    <w:multiLevelType w:val="hybridMultilevel"/>
    <w:tmpl w:val="F1525D94"/>
    <w:lvl w:ilvl="0" w:tplc="7B0AA9CC">
      <w:start w:val="1"/>
      <w:numFmt w:val="upperLetter"/>
      <w:pStyle w:val="SectionA"/>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4"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55"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7" w15:restartNumberingAfterBreak="0">
    <w:nsid w:val="4BBE7B74"/>
    <w:multiLevelType w:val="hybridMultilevel"/>
    <w:tmpl w:val="2AB606CA"/>
    <w:lvl w:ilvl="0" w:tplc="70284FC8">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9"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0"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1" w15:restartNumberingAfterBreak="0">
    <w:nsid w:val="58447C08"/>
    <w:multiLevelType w:val="hybridMultilevel"/>
    <w:tmpl w:val="897CFC6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2" w15:restartNumberingAfterBreak="0">
    <w:nsid w:val="59B53D45"/>
    <w:multiLevelType w:val="hybridMultilevel"/>
    <w:tmpl w:val="1B90BAC0"/>
    <w:lvl w:ilvl="0" w:tplc="512EAAE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5C1F5204"/>
    <w:multiLevelType w:val="hybridMultilevel"/>
    <w:tmpl w:val="2AB606CA"/>
    <w:lvl w:ilvl="0" w:tplc="FFFFFFFF">
      <w:start w:val="1"/>
      <w:numFmt w:val="decimal"/>
      <w:lvlText w:val="%1."/>
      <w:lvlJc w:val="left"/>
      <w:pPr>
        <w:ind w:left="189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4"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68"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9"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73"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74"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5"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num w:numId="1" w16cid:durableId="287785633">
    <w:abstractNumId w:val="33"/>
  </w:num>
  <w:num w:numId="2" w16cid:durableId="861943082">
    <w:abstractNumId w:val="47"/>
  </w:num>
  <w:num w:numId="3" w16cid:durableId="625235649">
    <w:abstractNumId w:val="31"/>
  </w:num>
  <w:num w:numId="4" w16cid:durableId="1380788112">
    <w:abstractNumId w:val="40"/>
  </w:num>
  <w:num w:numId="5" w16cid:durableId="614941506">
    <w:abstractNumId w:val="18"/>
  </w:num>
  <w:num w:numId="6" w16cid:durableId="1797210176">
    <w:abstractNumId w:val="0"/>
  </w:num>
  <w:num w:numId="7" w16cid:durableId="798450171">
    <w:abstractNumId w:val="3"/>
  </w:num>
  <w:num w:numId="8" w16cid:durableId="800223629">
    <w:abstractNumId w:val="34"/>
  </w:num>
  <w:num w:numId="9" w16cid:durableId="1888712626">
    <w:abstractNumId w:val="75"/>
  </w:num>
  <w:num w:numId="10" w16cid:durableId="1840926260">
    <w:abstractNumId w:val="43"/>
  </w:num>
  <w:num w:numId="11" w16cid:durableId="790980922">
    <w:abstractNumId w:val="28"/>
  </w:num>
  <w:num w:numId="12" w16cid:durableId="1194920001">
    <w:abstractNumId w:val="54"/>
  </w:num>
  <w:num w:numId="13" w16cid:durableId="1226835966">
    <w:abstractNumId w:val="72"/>
  </w:num>
  <w:num w:numId="14" w16cid:durableId="94711351">
    <w:abstractNumId w:val="38"/>
  </w:num>
  <w:num w:numId="15" w16cid:durableId="1538082385">
    <w:abstractNumId w:val="27"/>
  </w:num>
  <w:num w:numId="16" w16cid:durableId="1833913354">
    <w:abstractNumId w:val="29"/>
  </w:num>
  <w:num w:numId="17" w16cid:durableId="1548376575">
    <w:abstractNumId w:val="62"/>
  </w:num>
  <w:num w:numId="18" w16cid:durableId="1653679357">
    <w:abstractNumId w:val="59"/>
  </w:num>
  <w:num w:numId="19" w16cid:durableId="930938953">
    <w:abstractNumId w:val="1"/>
  </w:num>
  <w:num w:numId="20" w16cid:durableId="1440025656">
    <w:abstractNumId w:val="4"/>
  </w:num>
  <w:num w:numId="21" w16cid:durableId="249238940">
    <w:abstractNumId w:val="26"/>
  </w:num>
  <w:num w:numId="22" w16cid:durableId="1956980611">
    <w:abstractNumId w:val="67"/>
  </w:num>
  <w:num w:numId="23" w16cid:durableId="827208141">
    <w:abstractNumId w:val="20"/>
  </w:num>
  <w:num w:numId="24" w16cid:durableId="1141003525">
    <w:abstractNumId w:val="66"/>
  </w:num>
  <w:num w:numId="25" w16cid:durableId="1066731274">
    <w:abstractNumId w:val="68"/>
  </w:num>
  <w:num w:numId="26" w16cid:durableId="1391223519">
    <w:abstractNumId w:val="17"/>
  </w:num>
  <w:num w:numId="27" w16cid:durableId="1093475092">
    <w:abstractNumId w:val="15"/>
  </w:num>
  <w:num w:numId="28" w16cid:durableId="1697923440">
    <w:abstractNumId w:val="19"/>
  </w:num>
  <w:num w:numId="29" w16cid:durableId="1599869822">
    <w:abstractNumId w:val="56"/>
  </w:num>
  <w:num w:numId="30" w16cid:durableId="34425861">
    <w:abstractNumId w:val="6"/>
  </w:num>
  <w:num w:numId="31" w16cid:durableId="1614052019">
    <w:abstractNumId w:val="53"/>
  </w:num>
  <w:num w:numId="32" w16cid:durableId="1501846134">
    <w:abstractNumId w:val="58"/>
  </w:num>
  <w:num w:numId="33" w16cid:durableId="1192574576">
    <w:abstractNumId w:val="71"/>
  </w:num>
  <w:num w:numId="34" w16cid:durableId="75901882">
    <w:abstractNumId w:val="70"/>
  </w:num>
  <w:num w:numId="35" w16cid:durableId="345180226">
    <w:abstractNumId w:val="14"/>
  </w:num>
  <w:num w:numId="36" w16cid:durableId="1952514839">
    <w:abstractNumId w:val="42"/>
  </w:num>
  <w:num w:numId="37" w16cid:durableId="1482847904">
    <w:abstractNumId w:val="12"/>
  </w:num>
  <w:num w:numId="38" w16cid:durableId="1662543228">
    <w:abstractNumId w:val="51"/>
  </w:num>
  <w:num w:numId="39" w16cid:durableId="397365851">
    <w:abstractNumId w:val="73"/>
  </w:num>
  <w:num w:numId="40" w16cid:durableId="1788158107">
    <w:abstractNumId w:val="52"/>
  </w:num>
  <w:num w:numId="41" w16cid:durableId="2004429514">
    <w:abstractNumId w:val="25"/>
  </w:num>
  <w:num w:numId="42" w16cid:durableId="1801998542">
    <w:abstractNumId w:val="39"/>
  </w:num>
  <w:num w:numId="43" w16cid:durableId="1490830436">
    <w:abstractNumId w:val="60"/>
  </w:num>
  <w:num w:numId="44" w16cid:durableId="240020321">
    <w:abstractNumId w:val="55"/>
  </w:num>
  <w:num w:numId="45" w16cid:durableId="1052802199">
    <w:abstractNumId w:val="46"/>
  </w:num>
  <w:num w:numId="46" w16cid:durableId="812482533">
    <w:abstractNumId w:val="64"/>
  </w:num>
  <w:num w:numId="47" w16cid:durableId="3750874">
    <w:abstractNumId w:val="74"/>
  </w:num>
  <w:num w:numId="48" w16cid:durableId="1480658853">
    <w:abstractNumId w:val="69"/>
  </w:num>
  <w:num w:numId="49" w16cid:durableId="537594471">
    <w:abstractNumId w:val="32"/>
  </w:num>
  <w:num w:numId="50" w16cid:durableId="1293753867">
    <w:abstractNumId w:val="50"/>
  </w:num>
  <w:num w:numId="51" w16cid:durableId="1139613950">
    <w:abstractNumId w:val="16"/>
  </w:num>
  <w:num w:numId="52" w16cid:durableId="1640842018">
    <w:abstractNumId w:val="22"/>
  </w:num>
  <w:num w:numId="53" w16cid:durableId="625308468">
    <w:abstractNumId w:val="65"/>
  </w:num>
  <w:num w:numId="54" w16cid:durableId="1093016944">
    <w:abstractNumId w:val="48"/>
  </w:num>
  <w:num w:numId="55" w16cid:durableId="1580484582">
    <w:abstractNumId w:val="49"/>
  </w:num>
  <w:num w:numId="56" w16cid:durableId="1438669975">
    <w:abstractNumId w:val="23"/>
  </w:num>
  <w:num w:numId="57" w16cid:durableId="990673899">
    <w:abstractNumId w:val="57"/>
  </w:num>
  <w:num w:numId="58" w16cid:durableId="683288998">
    <w:abstractNumId w:val="24"/>
  </w:num>
  <w:num w:numId="59" w16cid:durableId="70860672">
    <w:abstractNumId w:val="11"/>
  </w:num>
  <w:num w:numId="60" w16cid:durableId="953488562">
    <w:abstractNumId w:val="41"/>
  </w:num>
  <w:num w:numId="61" w16cid:durableId="1641498089">
    <w:abstractNumId w:val="44"/>
  </w:num>
  <w:num w:numId="62" w16cid:durableId="227232285">
    <w:abstractNumId w:val="9"/>
  </w:num>
  <w:num w:numId="63" w16cid:durableId="288442620">
    <w:abstractNumId w:val="36"/>
  </w:num>
  <w:num w:numId="64" w16cid:durableId="469791381">
    <w:abstractNumId w:val="13"/>
  </w:num>
  <w:num w:numId="65" w16cid:durableId="174227412">
    <w:abstractNumId w:val="37"/>
  </w:num>
  <w:num w:numId="66" w16cid:durableId="458188516">
    <w:abstractNumId w:val="10"/>
  </w:num>
  <w:num w:numId="67" w16cid:durableId="898789187">
    <w:abstractNumId w:val="30"/>
  </w:num>
  <w:num w:numId="68" w16cid:durableId="577322419">
    <w:abstractNumId w:val="45"/>
  </w:num>
  <w:num w:numId="69" w16cid:durableId="1543130711">
    <w:abstractNumId w:val="21"/>
  </w:num>
  <w:num w:numId="70" w16cid:durableId="1404135112">
    <w:abstractNumId w:val="61"/>
  </w:num>
  <w:num w:numId="71" w16cid:durableId="954673367">
    <w:abstractNumId w:val="8"/>
  </w:num>
  <w:num w:numId="72" w16cid:durableId="1752311143">
    <w:abstractNumId w:val="7"/>
  </w:num>
  <w:num w:numId="73" w16cid:durableId="210381693">
    <w:abstractNumId w:val="35"/>
  </w:num>
  <w:num w:numId="74" w16cid:durableId="1441338228">
    <w:abstractNumId w:val="5"/>
  </w:num>
  <w:num w:numId="75" w16cid:durableId="2107380953">
    <w:abstractNumId w:val="2"/>
  </w:num>
  <w:num w:numId="76" w16cid:durableId="1005548663">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Jr0z4QDYS3eKMD5oMmqokFeHjShxVRTucwCYvItqfbfepDq9C28PGmBrqvmNGd8z3+vEfsXjNl0uaJDSo0G6A==" w:salt="iv4JwrIFaf1XenkZEf+hog=="/>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24F53"/>
    <w:rsid w:val="00027A04"/>
    <w:rsid w:val="0003080C"/>
    <w:rsid w:val="00035757"/>
    <w:rsid w:val="00043CB7"/>
    <w:rsid w:val="0004643F"/>
    <w:rsid w:val="00051C19"/>
    <w:rsid w:val="000564CA"/>
    <w:rsid w:val="0005769B"/>
    <w:rsid w:val="0006631B"/>
    <w:rsid w:val="000668E0"/>
    <w:rsid w:val="00073EC0"/>
    <w:rsid w:val="00077320"/>
    <w:rsid w:val="0008279E"/>
    <w:rsid w:val="00083BD4"/>
    <w:rsid w:val="000918B6"/>
    <w:rsid w:val="00091EC7"/>
    <w:rsid w:val="000A61A4"/>
    <w:rsid w:val="000A61E2"/>
    <w:rsid w:val="000B269D"/>
    <w:rsid w:val="000B2A1E"/>
    <w:rsid w:val="000B58C2"/>
    <w:rsid w:val="000C2DAA"/>
    <w:rsid w:val="000D7084"/>
    <w:rsid w:val="000D73FA"/>
    <w:rsid w:val="000E189E"/>
    <w:rsid w:val="000F031D"/>
    <w:rsid w:val="000F1136"/>
    <w:rsid w:val="000F155C"/>
    <w:rsid w:val="00102A9E"/>
    <w:rsid w:val="001073BB"/>
    <w:rsid w:val="00111393"/>
    <w:rsid w:val="001136B3"/>
    <w:rsid w:val="001179A7"/>
    <w:rsid w:val="001213C9"/>
    <w:rsid w:val="001221FF"/>
    <w:rsid w:val="0012412C"/>
    <w:rsid w:val="00131CDD"/>
    <w:rsid w:val="0013314B"/>
    <w:rsid w:val="00134A75"/>
    <w:rsid w:val="001408E8"/>
    <w:rsid w:val="00142E41"/>
    <w:rsid w:val="00150E66"/>
    <w:rsid w:val="00153B19"/>
    <w:rsid w:val="00160618"/>
    <w:rsid w:val="00166FD6"/>
    <w:rsid w:val="001709BA"/>
    <w:rsid w:val="00171763"/>
    <w:rsid w:val="0017768D"/>
    <w:rsid w:val="00184692"/>
    <w:rsid w:val="00193D1C"/>
    <w:rsid w:val="00195C20"/>
    <w:rsid w:val="001A101A"/>
    <w:rsid w:val="001A2759"/>
    <w:rsid w:val="001A371B"/>
    <w:rsid w:val="001A50B7"/>
    <w:rsid w:val="001B124C"/>
    <w:rsid w:val="001B3349"/>
    <w:rsid w:val="001B503D"/>
    <w:rsid w:val="001B71D0"/>
    <w:rsid w:val="001B7655"/>
    <w:rsid w:val="001D01B0"/>
    <w:rsid w:val="001D1F8A"/>
    <w:rsid w:val="001D7505"/>
    <w:rsid w:val="001E4D35"/>
    <w:rsid w:val="001F2E35"/>
    <w:rsid w:val="001F37E8"/>
    <w:rsid w:val="001F4229"/>
    <w:rsid w:val="001F531A"/>
    <w:rsid w:val="001F5E15"/>
    <w:rsid w:val="001F6494"/>
    <w:rsid w:val="0020145F"/>
    <w:rsid w:val="00205895"/>
    <w:rsid w:val="00206032"/>
    <w:rsid w:val="00214039"/>
    <w:rsid w:val="00216E18"/>
    <w:rsid w:val="00224ABE"/>
    <w:rsid w:val="00225052"/>
    <w:rsid w:val="00232FE0"/>
    <w:rsid w:val="002343E8"/>
    <w:rsid w:val="002373D5"/>
    <w:rsid w:val="00243AF3"/>
    <w:rsid w:val="00245FB1"/>
    <w:rsid w:val="002471F7"/>
    <w:rsid w:val="002548C0"/>
    <w:rsid w:val="002548DF"/>
    <w:rsid w:val="00262E8D"/>
    <w:rsid w:val="00263CBD"/>
    <w:rsid w:val="00264930"/>
    <w:rsid w:val="00266E8B"/>
    <w:rsid w:val="00271733"/>
    <w:rsid w:val="00272A0E"/>
    <w:rsid w:val="00277A8C"/>
    <w:rsid w:val="00277F6B"/>
    <w:rsid w:val="002807C1"/>
    <w:rsid w:val="00280A6A"/>
    <w:rsid w:val="002815C8"/>
    <w:rsid w:val="002844EA"/>
    <w:rsid w:val="00290EC7"/>
    <w:rsid w:val="00296E4A"/>
    <w:rsid w:val="002B0194"/>
    <w:rsid w:val="002B368C"/>
    <w:rsid w:val="002B5965"/>
    <w:rsid w:val="002B6837"/>
    <w:rsid w:val="002C0045"/>
    <w:rsid w:val="002C101E"/>
    <w:rsid w:val="002D0476"/>
    <w:rsid w:val="002D1092"/>
    <w:rsid w:val="002D546C"/>
    <w:rsid w:val="002E0BEB"/>
    <w:rsid w:val="002E6B05"/>
    <w:rsid w:val="002E7458"/>
    <w:rsid w:val="002F0B94"/>
    <w:rsid w:val="002F62C8"/>
    <w:rsid w:val="00300226"/>
    <w:rsid w:val="003033CE"/>
    <w:rsid w:val="003041F9"/>
    <w:rsid w:val="003161AF"/>
    <w:rsid w:val="0032310B"/>
    <w:rsid w:val="003253CC"/>
    <w:rsid w:val="00330DAC"/>
    <w:rsid w:val="003318CC"/>
    <w:rsid w:val="00340BB8"/>
    <w:rsid w:val="0034112A"/>
    <w:rsid w:val="00343FC7"/>
    <w:rsid w:val="00347C8D"/>
    <w:rsid w:val="00352660"/>
    <w:rsid w:val="00354923"/>
    <w:rsid w:val="00355C13"/>
    <w:rsid w:val="0035750A"/>
    <w:rsid w:val="003638D3"/>
    <w:rsid w:val="0036425B"/>
    <w:rsid w:val="0036584A"/>
    <w:rsid w:val="00376528"/>
    <w:rsid w:val="003779A5"/>
    <w:rsid w:val="003808FD"/>
    <w:rsid w:val="00393DF2"/>
    <w:rsid w:val="00393FC3"/>
    <w:rsid w:val="003B141A"/>
    <w:rsid w:val="003B5387"/>
    <w:rsid w:val="003B7FC7"/>
    <w:rsid w:val="003C1713"/>
    <w:rsid w:val="003C2272"/>
    <w:rsid w:val="003C5F71"/>
    <w:rsid w:val="003E0D07"/>
    <w:rsid w:val="003E106F"/>
    <w:rsid w:val="003E2F20"/>
    <w:rsid w:val="003E676A"/>
    <w:rsid w:val="003E6789"/>
    <w:rsid w:val="003F0466"/>
    <w:rsid w:val="003F1233"/>
    <w:rsid w:val="003F5A7B"/>
    <w:rsid w:val="004002DE"/>
    <w:rsid w:val="0040285D"/>
    <w:rsid w:val="004031C1"/>
    <w:rsid w:val="00406DC5"/>
    <w:rsid w:val="00415976"/>
    <w:rsid w:val="00426165"/>
    <w:rsid w:val="00430F58"/>
    <w:rsid w:val="0043604E"/>
    <w:rsid w:val="0044137E"/>
    <w:rsid w:val="00442A0A"/>
    <w:rsid w:val="00444C33"/>
    <w:rsid w:val="00444E0F"/>
    <w:rsid w:val="0044678C"/>
    <w:rsid w:val="004527D4"/>
    <w:rsid w:val="004528BD"/>
    <w:rsid w:val="00456C95"/>
    <w:rsid w:val="0046548C"/>
    <w:rsid w:val="00466AB3"/>
    <w:rsid w:val="00467360"/>
    <w:rsid w:val="0047226E"/>
    <w:rsid w:val="004756C5"/>
    <w:rsid w:val="004769FC"/>
    <w:rsid w:val="00480D6D"/>
    <w:rsid w:val="0048384D"/>
    <w:rsid w:val="00483BD6"/>
    <w:rsid w:val="004929BB"/>
    <w:rsid w:val="004A0D79"/>
    <w:rsid w:val="004A0F6B"/>
    <w:rsid w:val="004A3159"/>
    <w:rsid w:val="004A4A4A"/>
    <w:rsid w:val="004B1799"/>
    <w:rsid w:val="004B5DA9"/>
    <w:rsid w:val="004B6D38"/>
    <w:rsid w:val="004C3A96"/>
    <w:rsid w:val="004D4FBE"/>
    <w:rsid w:val="004E3D49"/>
    <w:rsid w:val="004E4B64"/>
    <w:rsid w:val="004E5D64"/>
    <w:rsid w:val="004E7179"/>
    <w:rsid w:val="004F3677"/>
    <w:rsid w:val="00502314"/>
    <w:rsid w:val="00502EB9"/>
    <w:rsid w:val="00505AB7"/>
    <w:rsid w:val="00505E7C"/>
    <w:rsid w:val="00506460"/>
    <w:rsid w:val="0051060A"/>
    <w:rsid w:val="0051336D"/>
    <w:rsid w:val="005139A9"/>
    <w:rsid w:val="00517367"/>
    <w:rsid w:val="00517373"/>
    <w:rsid w:val="005174DE"/>
    <w:rsid w:val="00520118"/>
    <w:rsid w:val="0052170F"/>
    <w:rsid w:val="0052365B"/>
    <w:rsid w:val="0053374C"/>
    <w:rsid w:val="005477F2"/>
    <w:rsid w:val="00554ABE"/>
    <w:rsid w:val="0056240E"/>
    <w:rsid w:val="0056604F"/>
    <w:rsid w:val="005741D2"/>
    <w:rsid w:val="00575BF2"/>
    <w:rsid w:val="00580078"/>
    <w:rsid w:val="005831CC"/>
    <w:rsid w:val="00584AAE"/>
    <w:rsid w:val="00592066"/>
    <w:rsid w:val="00595D68"/>
    <w:rsid w:val="005A0365"/>
    <w:rsid w:val="005A138B"/>
    <w:rsid w:val="005A33D2"/>
    <w:rsid w:val="005A6B8C"/>
    <w:rsid w:val="005B19BA"/>
    <w:rsid w:val="005B5DB4"/>
    <w:rsid w:val="005C072A"/>
    <w:rsid w:val="005C42E2"/>
    <w:rsid w:val="005D4DED"/>
    <w:rsid w:val="005E014A"/>
    <w:rsid w:val="005E4B15"/>
    <w:rsid w:val="005F2B22"/>
    <w:rsid w:val="005F6558"/>
    <w:rsid w:val="006012C4"/>
    <w:rsid w:val="00605ED7"/>
    <w:rsid w:val="00623F99"/>
    <w:rsid w:val="006275F0"/>
    <w:rsid w:val="00643F17"/>
    <w:rsid w:val="00650CFB"/>
    <w:rsid w:val="00653903"/>
    <w:rsid w:val="006606E0"/>
    <w:rsid w:val="006625A6"/>
    <w:rsid w:val="00662769"/>
    <w:rsid w:val="0066558C"/>
    <w:rsid w:val="0066781E"/>
    <w:rsid w:val="00672A22"/>
    <w:rsid w:val="006752DA"/>
    <w:rsid w:val="00676840"/>
    <w:rsid w:val="00682935"/>
    <w:rsid w:val="006829AF"/>
    <w:rsid w:val="00685431"/>
    <w:rsid w:val="00690E1B"/>
    <w:rsid w:val="00691BDC"/>
    <w:rsid w:val="00697F78"/>
    <w:rsid w:val="006A256E"/>
    <w:rsid w:val="006A45B2"/>
    <w:rsid w:val="006A5CFF"/>
    <w:rsid w:val="006B19E1"/>
    <w:rsid w:val="006B3E00"/>
    <w:rsid w:val="006B541D"/>
    <w:rsid w:val="006B787F"/>
    <w:rsid w:val="006C1E1A"/>
    <w:rsid w:val="006C418B"/>
    <w:rsid w:val="006C74CE"/>
    <w:rsid w:val="006D145B"/>
    <w:rsid w:val="006D5013"/>
    <w:rsid w:val="006D654F"/>
    <w:rsid w:val="006E2130"/>
    <w:rsid w:val="006F7629"/>
    <w:rsid w:val="007066FB"/>
    <w:rsid w:val="0070675F"/>
    <w:rsid w:val="00711501"/>
    <w:rsid w:val="007134A6"/>
    <w:rsid w:val="00720737"/>
    <w:rsid w:val="00721745"/>
    <w:rsid w:val="007223B7"/>
    <w:rsid w:val="007230E3"/>
    <w:rsid w:val="00734F42"/>
    <w:rsid w:val="007350C3"/>
    <w:rsid w:val="0074782D"/>
    <w:rsid w:val="007662B2"/>
    <w:rsid w:val="00773326"/>
    <w:rsid w:val="007777F2"/>
    <w:rsid w:val="0078159C"/>
    <w:rsid w:val="00782A7A"/>
    <w:rsid w:val="0078399D"/>
    <w:rsid w:val="00787289"/>
    <w:rsid w:val="00791052"/>
    <w:rsid w:val="007A23F0"/>
    <w:rsid w:val="007A7DBD"/>
    <w:rsid w:val="007B4A6A"/>
    <w:rsid w:val="007C0D51"/>
    <w:rsid w:val="007C5D47"/>
    <w:rsid w:val="007D34F4"/>
    <w:rsid w:val="007D5174"/>
    <w:rsid w:val="007D5A76"/>
    <w:rsid w:val="007E2480"/>
    <w:rsid w:val="007E4F34"/>
    <w:rsid w:val="007F3C82"/>
    <w:rsid w:val="007F7111"/>
    <w:rsid w:val="008048A7"/>
    <w:rsid w:val="00804A0E"/>
    <w:rsid w:val="00805A9E"/>
    <w:rsid w:val="00806D3D"/>
    <w:rsid w:val="0081089A"/>
    <w:rsid w:val="00814CBC"/>
    <w:rsid w:val="00816693"/>
    <w:rsid w:val="00817FCC"/>
    <w:rsid w:val="00821901"/>
    <w:rsid w:val="00827004"/>
    <w:rsid w:val="00827725"/>
    <w:rsid w:val="008464E8"/>
    <w:rsid w:val="00853707"/>
    <w:rsid w:val="00854838"/>
    <w:rsid w:val="00861860"/>
    <w:rsid w:val="00865C98"/>
    <w:rsid w:val="00866CB4"/>
    <w:rsid w:val="00890031"/>
    <w:rsid w:val="00891583"/>
    <w:rsid w:val="00892296"/>
    <w:rsid w:val="00892DE7"/>
    <w:rsid w:val="0089320C"/>
    <w:rsid w:val="00895BBF"/>
    <w:rsid w:val="008974FB"/>
    <w:rsid w:val="008A657D"/>
    <w:rsid w:val="008B0D95"/>
    <w:rsid w:val="008B151C"/>
    <w:rsid w:val="008C1F56"/>
    <w:rsid w:val="008C3722"/>
    <w:rsid w:val="008C48B7"/>
    <w:rsid w:val="008D1DC0"/>
    <w:rsid w:val="008D2A2C"/>
    <w:rsid w:val="008D5E18"/>
    <w:rsid w:val="008D78C7"/>
    <w:rsid w:val="008E1413"/>
    <w:rsid w:val="008E3574"/>
    <w:rsid w:val="008E38A4"/>
    <w:rsid w:val="008E474B"/>
    <w:rsid w:val="008E767D"/>
    <w:rsid w:val="008F4920"/>
    <w:rsid w:val="0090201A"/>
    <w:rsid w:val="00902C46"/>
    <w:rsid w:val="00903F1D"/>
    <w:rsid w:val="00913F3D"/>
    <w:rsid w:val="009147F3"/>
    <w:rsid w:val="00915979"/>
    <w:rsid w:val="00926364"/>
    <w:rsid w:val="0092658E"/>
    <w:rsid w:val="00936999"/>
    <w:rsid w:val="00942819"/>
    <w:rsid w:val="00946B60"/>
    <w:rsid w:val="00951242"/>
    <w:rsid w:val="00954F10"/>
    <w:rsid w:val="00957B73"/>
    <w:rsid w:val="00957E9C"/>
    <w:rsid w:val="00962A7C"/>
    <w:rsid w:val="00966D5E"/>
    <w:rsid w:val="00967766"/>
    <w:rsid w:val="00967953"/>
    <w:rsid w:val="00971B30"/>
    <w:rsid w:val="0097601E"/>
    <w:rsid w:val="00980955"/>
    <w:rsid w:val="0098300F"/>
    <w:rsid w:val="00985E00"/>
    <w:rsid w:val="00986892"/>
    <w:rsid w:val="0099528C"/>
    <w:rsid w:val="00997CF8"/>
    <w:rsid w:val="009A6A12"/>
    <w:rsid w:val="009C1590"/>
    <w:rsid w:val="009D422A"/>
    <w:rsid w:val="009F2A9F"/>
    <w:rsid w:val="009F4D1B"/>
    <w:rsid w:val="009F5346"/>
    <w:rsid w:val="00A01003"/>
    <w:rsid w:val="00A106FF"/>
    <w:rsid w:val="00A12F6A"/>
    <w:rsid w:val="00A13F2F"/>
    <w:rsid w:val="00A24731"/>
    <w:rsid w:val="00A31744"/>
    <w:rsid w:val="00A32EC7"/>
    <w:rsid w:val="00A34112"/>
    <w:rsid w:val="00A3704D"/>
    <w:rsid w:val="00A40319"/>
    <w:rsid w:val="00A452F7"/>
    <w:rsid w:val="00A50E45"/>
    <w:rsid w:val="00A54606"/>
    <w:rsid w:val="00A549FE"/>
    <w:rsid w:val="00A57DF1"/>
    <w:rsid w:val="00A61092"/>
    <w:rsid w:val="00A65F89"/>
    <w:rsid w:val="00A666C1"/>
    <w:rsid w:val="00A8056C"/>
    <w:rsid w:val="00A92BB8"/>
    <w:rsid w:val="00A93616"/>
    <w:rsid w:val="00A9439E"/>
    <w:rsid w:val="00A94A90"/>
    <w:rsid w:val="00A9653C"/>
    <w:rsid w:val="00AA0265"/>
    <w:rsid w:val="00AA1A16"/>
    <w:rsid w:val="00AC16C0"/>
    <w:rsid w:val="00AC498C"/>
    <w:rsid w:val="00AD2DF7"/>
    <w:rsid w:val="00AD3C38"/>
    <w:rsid w:val="00AD6C54"/>
    <w:rsid w:val="00AE676F"/>
    <w:rsid w:val="00AF2A74"/>
    <w:rsid w:val="00AF395A"/>
    <w:rsid w:val="00B00E21"/>
    <w:rsid w:val="00B01D5F"/>
    <w:rsid w:val="00B028C1"/>
    <w:rsid w:val="00B03F8F"/>
    <w:rsid w:val="00B0637D"/>
    <w:rsid w:val="00B07F2A"/>
    <w:rsid w:val="00B1347B"/>
    <w:rsid w:val="00B135E1"/>
    <w:rsid w:val="00B136E3"/>
    <w:rsid w:val="00B16D5D"/>
    <w:rsid w:val="00B24457"/>
    <w:rsid w:val="00B24D5F"/>
    <w:rsid w:val="00B27C87"/>
    <w:rsid w:val="00B334FD"/>
    <w:rsid w:val="00B45F95"/>
    <w:rsid w:val="00B50B15"/>
    <w:rsid w:val="00B515D9"/>
    <w:rsid w:val="00B556B9"/>
    <w:rsid w:val="00B67EAD"/>
    <w:rsid w:val="00B70BDF"/>
    <w:rsid w:val="00B7514B"/>
    <w:rsid w:val="00B76BF8"/>
    <w:rsid w:val="00B86A82"/>
    <w:rsid w:val="00B87B16"/>
    <w:rsid w:val="00B87C8F"/>
    <w:rsid w:val="00BA1840"/>
    <w:rsid w:val="00BA2CD4"/>
    <w:rsid w:val="00BA37F0"/>
    <w:rsid w:val="00BA4551"/>
    <w:rsid w:val="00BB0297"/>
    <w:rsid w:val="00BB0463"/>
    <w:rsid w:val="00BB20DE"/>
    <w:rsid w:val="00BB2B60"/>
    <w:rsid w:val="00BC225C"/>
    <w:rsid w:val="00BC31F2"/>
    <w:rsid w:val="00BC65AA"/>
    <w:rsid w:val="00BD3BA9"/>
    <w:rsid w:val="00BE3489"/>
    <w:rsid w:val="00BE354A"/>
    <w:rsid w:val="00BE4FD9"/>
    <w:rsid w:val="00BE755A"/>
    <w:rsid w:val="00BF51CA"/>
    <w:rsid w:val="00BF5B33"/>
    <w:rsid w:val="00BF7CC0"/>
    <w:rsid w:val="00C02FC6"/>
    <w:rsid w:val="00C042D2"/>
    <w:rsid w:val="00C06EA2"/>
    <w:rsid w:val="00C10B38"/>
    <w:rsid w:val="00C13B33"/>
    <w:rsid w:val="00C17707"/>
    <w:rsid w:val="00C30001"/>
    <w:rsid w:val="00C30419"/>
    <w:rsid w:val="00C33935"/>
    <w:rsid w:val="00C40E2F"/>
    <w:rsid w:val="00C40ECA"/>
    <w:rsid w:val="00C435D7"/>
    <w:rsid w:val="00C46274"/>
    <w:rsid w:val="00C46F77"/>
    <w:rsid w:val="00C50846"/>
    <w:rsid w:val="00C52BBC"/>
    <w:rsid w:val="00C52F2B"/>
    <w:rsid w:val="00C54545"/>
    <w:rsid w:val="00C556C0"/>
    <w:rsid w:val="00C55E70"/>
    <w:rsid w:val="00C63178"/>
    <w:rsid w:val="00C66A88"/>
    <w:rsid w:val="00C67191"/>
    <w:rsid w:val="00C7137D"/>
    <w:rsid w:val="00C736AF"/>
    <w:rsid w:val="00C76B01"/>
    <w:rsid w:val="00C82D86"/>
    <w:rsid w:val="00C84371"/>
    <w:rsid w:val="00C8556E"/>
    <w:rsid w:val="00C85A87"/>
    <w:rsid w:val="00CA171F"/>
    <w:rsid w:val="00CA30BF"/>
    <w:rsid w:val="00CA4836"/>
    <w:rsid w:val="00CA64C6"/>
    <w:rsid w:val="00CA74EB"/>
    <w:rsid w:val="00CB31C8"/>
    <w:rsid w:val="00CB3817"/>
    <w:rsid w:val="00CD10C9"/>
    <w:rsid w:val="00CD682E"/>
    <w:rsid w:val="00CE2CF5"/>
    <w:rsid w:val="00CE58AE"/>
    <w:rsid w:val="00CE7322"/>
    <w:rsid w:val="00CF1A77"/>
    <w:rsid w:val="00CF20C6"/>
    <w:rsid w:val="00CF2BE5"/>
    <w:rsid w:val="00CF4243"/>
    <w:rsid w:val="00CF433D"/>
    <w:rsid w:val="00CF78B7"/>
    <w:rsid w:val="00D005F2"/>
    <w:rsid w:val="00D00924"/>
    <w:rsid w:val="00D02482"/>
    <w:rsid w:val="00D079FC"/>
    <w:rsid w:val="00D11474"/>
    <w:rsid w:val="00D1411C"/>
    <w:rsid w:val="00D16EE1"/>
    <w:rsid w:val="00D209DA"/>
    <w:rsid w:val="00D24B05"/>
    <w:rsid w:val="00D2502E"/>
    <w:rsid w:val="00D2516B"/>
    <w:rsid w:val="00D260BD"/>
    <w:rsid w:val="00D26C75"/>
    <w:rsid w:val="00D275F5"/>
    <w:rsid w:val="00D32454"/>
    <w:rsid w:val="00D33BC1"/>
    <w:rsid w:val="00D40A2A"/>
    <w:rsid w:val="00D425D2"/>
    <w:rsid w:val="00D4639A"/>
    <w:rsid w:val="00D46793"/>
    <w:rsid w:val="00D46BAC"/>
    <w:rsid w:val="00D51EA5"/>
    <w:rsid w:val="00D572FB"/>
    <w:rsid w:val="00D72FF4"/>
    <w:rsid w:val="00D76EC1"/>
    <w:rsid w:val="00D82380"/>
    <w:rsid w:val="00D867AD"/>
    <w:rsid w:val="00D872AD"/>
    <w:rsid w:val="00D9157F"/>
    <w:rsid w:val="00D94460"/>
    <w:rsid w:val="00DA4D27"/>
    <w:rsid w:val="00DA644A"/>
    <w:rsid w:val="00DA710D"/>
    <w:rsid w:val="00DA7333"/>
    <w:rsid w:val="00DA7F5A"/>
    <w:rsid w:val="00DB0989"/>
    <w:rsid w:val="00DB23EB"/>
    <w:rsid w:val="00DB54C8"/>
    <w:rsid w:val="00DB5ABC"/>
    <w:rsid w:val="00DB73A0"/>
    <w:rsid w:val="00DC08E7"/>
    <w:rsid w:val="00DC0902"/>
    <w:rsid w:val="00DC2805"/>
    <w:rsid w:val="00DD2770"/>
    <w:rsid w:val="00DD3409"/>
    <w:rsid w:val="00DE14BD"/>
    <w:rsid w:val="00DE64FA"/>
    <w:rsid w:val="00DF19E9"/>
    <w:rsid w:val="00DF2019"/>
    <w:rsid w:val="00E11DD8"/>
    <w:rsid w:val="00E14D12"/>
    <w:rsid w:val="00E27E0A"/>
    <w:rsid w:val="00E306CA"/>
    <w:rsid w:val="00E41298"/>
    <w:rsid w:val="00E47E78"/>
    <w:rsid w:val="00E5167D"/>
    <w:rsid w:val="00E52159"/>
    <w:rsid w:val="00E57181"/>
    <w:rsid w:val="00E61ADC"/>
    <w:rsid w:val="00E64056"/>
    <w:rsid w:val="00E66489"/>
    <w:rsid w:val="00E70EF3"/>
    <w:rsid w:val="00E813A2"/>
    <w:rsid w:val="00E94C14"/>
    <w:rsid w:val="00EA233B"/>
    <w:rsid w:val="00EA40E7"/>
    <w:rsid w:val="00EA578D"/>
    <w:rsid w:val="00EB65AD"/>
    <w:rsid w:val="00EC3435"/>
    <w:rsid w:val="00EC3649"/>
    <w:rsid w:val="00EC6693"/>
    <w:rsid w:val="00ED1B9B"/>
    <w:rsid w:val="00ED2B5C"/>
    <w:rsid w:val="00ED45EB"/>
    <w:rsid w:val="00ED5BD1"/>
    <w:rsid w:val="00ED6D13"/>
    <w:rsid w:val="00EE4AD9"/>
    <w:rsid w:val="00EF0D6E"/>
    <w:rsid w:val="00EF15B2"/>
    <w:rsid w:val="00EF1746"/>
    <w:rsid w:val="00EF20E1"/>
    <w:rsid w:val="00EF5B7A"/>
    <w:rsid w:val="00F12466"/>
    <w:rsid w:val="00F128C9"/>
    <w:rsid w:val="00F15DAD"/>
    <w:rsid w:val="00F221DE"/>
    <w:rsid w:val="00F44D3D"/>
    <w:rsid w:val="00F4750E"/>
    <w:rsid w:val="00F4754D"/>
    <w:rsid w:val="00F5563B"/>
    <w:rsid w:val="00F632CC"/>
    <w:rsid w:val="00F6534A"/>
    <w:rsid w:val="00F66A86"/>
    <w:rsid w:val="00F725C9"/>
    <w:rsid w:val="00F777C0"/>
    <w:rsid w:val="00F826F2"/>
    <w:rsid w:val="00F82C01"/>
    <w:rsid w:val="00F82C1D"/>
    <w:rsid w:val="00F83CAA"/>
    <w:rsid w:val="00F8628D"/>
    <w:rsid w:val="00F87942"/>
    <w:rsid w:val="00F91768"/>
    <w:rsid w:val="00F91CF7"/>
    <w:rsid w:val="00F9781B"/>
    <w:rsid w:val="00FA5D42"/>
    <w:rsid w:val="00FA651C"/>
    <w:rsid w:val="00FB7886"/>
    <w:rsid w:val="00FC05C0"/>
    <w:rsid w:val="00FC7BD3"/>
    <w:rsid w:val="00FF15B3"/>
    <w:rsid w:val="00FF35B2"/>
    <w:rsid w:val="00FF452A"/>
    <w:rsid w:val="00FF52CE"/>
    <w:rsid w:val="00FF7E23"/>
    <w:rsid w:val="029D65D3"/>
    <w:rsid w:val="35C0C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DE64FA"/>
    <w:pPr>
      <w:keepNext/>
      <w:outlineLvl w:val="0"/>
    </w:pPr>
  </w:style>
  <w:style w:type="paragraph" w:styleId="Heading2">
    <w:name w:val="heading 2"/>
    <w:basedOn w:val="Normal"/>
    <w:next w:val="Normal"/>
    <w:link w:val="Heading2Char"/>
    <w:uiPriority w:val="9"/>
    <w:qFormat/>
    <w:pPr>
      <w:keepNext/>
      <w:ind w:left="1296"/>
      <w:outlineLvl w:val="1"/>
    </w:pPr>
    <w:rPr>
      <w:b/>
      <w:sz w:val="22"/>
    </w:rPr>
  </w:style>
  <w:style w:type="paragraph" w:styleId="Heading3">
    <w:name w:val="heading 3"/>
    <w:basedOn w:val="Normal"/>
    <w:next w:val="Normal"/>
    <w:link w:val="Heading3Char"/>
    <w:uiPriority w:val="1"/>
    <w:qFormat/>
    <w:pPr>
      <w:keepNext/>
      <w:ind w:left="432"/>
      <w:outlineLvl w:val="2"/>
    </w:pPr>
    <w:rPr>
      <w:i/>
      <w:sz w:val="22"/>
    </w:rPr>
  </w:style>
  <w:style w:type="paragraph" w:styleId="Heading4">
    <w:name w:val="heading 4"/>
    <w:aliases w:val="Figure and Table Caption"/>
    <w:basedOn w:val="Normal"/>
    <w:next w:val="Normal"/>
    <w:link w:val="Heading4Char"/>
    <w:uiPriority w:val="1"/>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1"/>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qFormat/>
    <w:rsid w:val="00903F1D"/>
    <w:pPr>
      <w:spacing w:before="240" w:after="60"/>
      <w:outlineLvl w:val="6"/>
    </w:pPr>
    <w:rPr>
      <w:szCs w:val="24"/>
    </w:rPr>
  </w:style>
  <w:style w:type="paragraph" w:styleId="Heading8">
    <w:name w:val="heading 8"/>
    <w:basedOn w:val="Normal"/>
    <w:next w:val="Normal"/>
    <w:link w:val="Heading8Char"/>
    <w:uiPriority w:val="9"/>
    <w:semiHidden/>
    <w:unhideWhenUsed/>
    <w:qFormat/>
    <w:rsid w:val="006C74CE"/>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6C74CE"/>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link w:val="BodyTextIndentChar"/>
    <w:pPr>
      <w:ind w:left="1296"/>
    </w:pPr>
    <w:rPr>
      <w:sz w:val="22"/>
    </w:rPr>
  </w:style>
  <w:style w:type="paragraph" w:styleId="BodyTextIndent2">
    <w:name w:val="Body Text Indent 2"/>
    <w:basedOn w:val="Normal"/>
    <w:link w:val="BodyTextIndent2Char"/>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link w:val="BodyTextIndent3Char"/>
    <w:pPr>
      <w:ind w:left="864"/>
    </w:pPr>
    <w:rPr>
      <w:sz w:val="22"/>
    </w:rPr>
  </w:style>
  <w:style w:type="paragraph" w:styleId="BodyText2">
    <w:name w:val="Body Text 2"/>
    <w:basedOn w:val="Normal"/>
    <w:link w:val="BodyText2Char"/>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rsid w:val="0053374C"/>
    <w:rPr>
      <w:rFonts w:ascii="Tahoma" w:hAnsi="Tahoma" w:cs="Tahoma"/>
      <w:sz w:val="16"/>
      <w:szCs w:val="16"/>
    </w:rPr>
  </w:style>
  <w:style w:type="table" w:styleId="TableGrid">
    <w:name w:val="Table Grid"/>
    <w:basedOn w:val="TableNormal"/>
    <w:uiPriority w:val="39"/>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aliases w:val="Figure and Table Caption Char"/>
    <w:basedOn w:val="DefaultParagraphFont"/>
    <w:link w:val="Heading4"/>
    <w:uiPriority w:val="1"/>
    <w:rsid w:val="00C33935"/>
    <w:rPr>
      <w:b/>
      <w:snapToGrid w:val="0"/>
      <w:sz w:val="24"/>
    </w:rPr>
  </w:style>
  <w:style w:type="character" w:customStyle="1" w:styleId="Heading5Char">
    <w:name w:val="Heading 5 Char"/>
    <w:basedOn w:val="DefaultParagraphFont"/>
    <w:link w:val="Heading5"/>
    <w:uiPriority w:val="1"/>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C33935"/>
    <w:rPr>
      <w:rFonts w:ascii="Garamond" w:hAnsi="Garamond"/>
      <w:b/>
      <w:sz w:val="22"/>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5"/>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uiPriority w:val="39"/>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7"/>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3"/>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9"/>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1"/>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5"/>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6"/>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4"/>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3"/>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5"/>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7"/>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8"/>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9"/>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8"/>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2"/>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9"/>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4"/>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20"/>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2"/>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30"/>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50"/>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3"/>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1"/>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2"/>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6"/>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8"/>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4"/>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2"/>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5"/>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1"/>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7"/>
      </w:numPr>
    </w:pPr>
  </w:style>
  <w:style w:type="paragraph" w:customStyle="1" w:styleId="RomanBullet-6">
    <w:name w:val="Roman Bullet - 6"/>
    <w:basedOn w:val="RomanBullet-5"/>
    <w:autoRedefine/>
    <w:rsid w:val="00C33935"/>
    <w:pPr>
      <w:numPr>
        <w:numId w:val="39"/>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8"/>
      </w:numPr>
      <w:ind w:left="2880" w:hanging="180"/>
    </w:pPr>
  </w:style>
  <w:style w:type="paragraph" w:customStyle="1" w:styleId="RomanBullet-9">
    <w:name w:val="Roman Bullet - 9"/>
    <w:basedOn w:val="RomanBullet-8"/>
    <w:autoRedefine/>
    <w:rsid w:val="00C33935"/>
    <w:pPr>
      <w:numPr>
        <w:numId w:val="38"/>
      </w:numPr>
    </w:pPr>
  </w:style>
  <w:style w:type="paragraph" w:customStyle="1" w:styleId="RomanBullet-10">
    <w:name w:val="Roman Bullet - 10"/>
    <w:basedOn w:val="RomanBullet-9"/>
    <w:autoRedefine/>
    <w:rsid w:val="00C33935"/>
    <w:pPr>
      <w:numPr>
        <w:numId w:val="36"/>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4"/>
      </w:numPr>
      <w:tabs>
        <w:tab w:val="num" w:pos="6480"/>
      </w:tabs>
      <w:ind w:left="6480" w:firstLine="90"/>
    </w:pPr>
  </w:style>
  <w:style w:type="paragraph" w:customStyle="1" w:styleId="alphaBullet-w">
    <w:name w:val="alpha Bullet - w"/>
    <w:basedOn w:val="alphaBullet-v"/>
    <w:autoRedefine/>
    <w:rsid w:val="00C33935"/>
    <w:pPr>
      <w:numPr>
        <w:numId w:val="40"/>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3"/>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6"/>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1"/>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DE64FA"/>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character" w:styleId="FollowedHyperlink">
    <w:name w:val="FollowedHyperlink"/>
    <w:basedOn w:val="DefaultParagraphFont"/>
    <w:uiPriority w:val="99"/>
    <w:semiHidden/>
    <w:unhideWhenUsed/>
    <w:rsid w:val="002548C0"/>
    <w:rPr>
      <w:color w:val="800080"/>
      <w:u w:val="single"/>
    </w:rPr>
  </w:style>
  <w:style w:type="paragraph" w:customStyle="1" w:styleId="msonormal0">
    <w:name w:val="msonormal"/>
    <w:basedOn w:val="Normal"/>
    <w:rsid w:val="002548C0"/>
    <w:pPr>
      <w:spacing w:before="100" w:beforeAutospacing="1" w:after="100" w:afterAutospacing="1"/>
    </w:pPr>
    <w:rPr>
      <w:rFonts w:ascii="Times New Roman" w:hAnsi="Times New Roman"/>
      <w:szCs w:val="24"/>
    </w:rPr>
  </w:style>
  <w:style w:type="paragraph" w:customStyle="1" w:styleId="xl72">
    <w:name w:val="xl72"/>
    <w:basedOn w:val="Normal"/>
    <w:rsid w:val="002548C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3">
    <w:name w:val="xl73"/>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4">
    <w:name w:val="xl74"/>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7">
    <w:name w:val="xl77"/>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u w:val="single"/>
    </w:rPr>
  </w:style>
  <w:style w:type="paragraph" w:customStyle="1" w:styleId="xl78">
    <w:name w:val="xl78"/>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9">
    <w:name w:val="xl79"/>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0">
    <w:name w:val="xl80"/>
    <w:basedOn w:val="Normal"/>
    <w:rsid w:val="002548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1">
    <w:name w:val="xl81"/>
    <w:basedOn w:val="Normal"/>
    <w:rsid w:val="002548C0"/>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82">
    <w:name w:val="xl82"/>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70C0"/>
      <w:szCs w:val="24"/>
    </w:rPr>
  </w:style>
  <w:style w:type="paragraph" w:customStyle="1" w:styleId="xl83">
    <w:name w:val="xl83"/>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70C0"/>
      <w:szCs w:val="24"/>
    </w:rPr>
  </w:style>
  <w:style w:type="paragraph" w:customStyle="1" w:styleId="xl84">
    <w:name w:val="xl84"/>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70C0"/>
      <w:szCs w:val="24"/>
    </w:rPr>
  </w:style>
  <w:style w:type="paragraph" w:customStyle="1" w:styleId="xl85">
    <w:name w:val="xl85"/>
    <w:basedOn w:val="Normal"/>
    <w:rsid w:val="002548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70C0"/>
      <w:szCs w:val="24"/>
    </w:rPr>
  </w:style>
  <w:style w:type="paragraph" w:customStyle="1" w:styleId="xl86">
    <w:name w:val="xl86"/>
    <w:basedOn w:val="Normal"/>
    <w:rsid w:val="002548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87">
    <w:name w:val="xl87"/>
    <w:basedOn w:val="Normal"/>
    <w:rsid w:val="002548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8">
    <w:name w:val="xl88"/>
    <w:basedOn w:val="Normal"/>
    <w:rsid w:val="002548C0"/>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Cs w:val="24"/>
    </w:rPr>
  </w:style>
  <w:style w:type="paragraph" w:customStyle="1" w:styleId="xl89">
    <w:name w:val="xl89"/>
    <w:basedOn w:val="Normal"/>
    <w:rsid w:val="002548C0"/>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0">
    <w:name w:val="xl90"/>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1">
    <w:name w:val="xl91"/>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rPr>
  </w:style>
  <w:style w:type="paragraph" w:customStyle="1" w:styleId="xl92">
    <w:name w:val="xl92"/>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93">
    <w:name w:val="xl93"/>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szCs w:val="24"/>
    </w:rPr>
  </w:style>
  <w:style w:type="paragraph" w:customStyle="1" w:styleId="xl94">
    <w:name w:val="xl94"/>
    <w:basedOn w:val="Normal"/>
    <w:rsid w:val="002548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95">
    <w:name w:val="xl95"/>
    <w:basedOn w:val="Normal"/>
    <w:rsid w:val="002548C0"/>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w:hAnsi="Arial" w:cs="Arial"/>
      <w:szCs w:val="24"/>
    </w:rPr>
  </w:style>
  <w:style w:type="paragraph" w:customStyle="1" w:styleId="xl96">
    <w:name w:val="xl96"/>
    <w:basedOn w:val="Normal"/>
    <w:rsid w:val="002548C0"/>
    <w:pPr>
      <w:pBdr>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97">
    <w:name w:val="xl97"/>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98">
    <w:name w:val="xl98"/>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szCs w:val="24"/>
    </w:rPr>
  </w:style>
  <w:style w:type="paragraph" w:customStyle="1" w:styleId="xl99">
    <w:name w:val="xl99"/>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rFonts w:ascii="Times New Roman" w:hAnsi="Times New Roman"/>
      <w:szCs w:val="24"/>
    </w:rPr>
  </w:style>
  <w:style w:type="paragraph" w:customStyle="1" w:styleId="xl100">
    <w:name w:val="xl100"/>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szCs w:val="24"/>
    </w:rPr>
  </w:style>
  <w:style w:type="paragraph" w:customStyle="1" w:styleId="xl101">
    <w:name w:val="xl101"/>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imes New Roman" w:hAnsi="Times New Roman"/>
      <w:szCs w:val="24"/>
    </w:rPr>
  </w:style>
  <w:style w:type="paragraph" w:customStyle="1" w:styleId="xl102">
    <w:name w:val="xl102"/>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3">
    <w:name w:val="xl103"/>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4">
    <w:name w:val="xl104"/>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Arial" w:hAnsi="Arial" w:cs="Arial"/>
      <w:color w:val="0070C0"/>
      <w:szCs w:val="24"/>
    </w:rPr>
  </w:style>
  <w:style w:type="paragraph" w:customStyle="1" w:styleId="xl105">
    <w:name w:val="xl105"/>
    <w:basedOn w:val="Normal"/>
    <w:rsid w:val="002548C0"/>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rFonts w:ascii="Times New Roman" w:hAnsi="Times New Roman"/>
      <w:szCs w:val="24"/>
    </w:rPr>
  </w:style>
  <w:style w:type="paragraph" w:customStyle="1" w:styleId="xl106">
    <w:name w:val="xl106"/>
    <w:basedOn w:val="Normal"/>
    <w:rsid w:val="002548C0"/>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Times New Roman" w:hAnsi="Times New Roman"/>
      <w:szCs w:val="24"/>
    </w:rPr>
  </w:style>
  <w:style w:type="paragraph" w:customStyle="1" w:styleId="xl107">
    <w:name w:val="xl107"/>
    <w:basedOn w:val="Normal"/>
    <w:rsid w:val="002548C0"/>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Times New Roman" w:hAnsi="Times New Roman"/>
      <w:szCs w:val="24"/>
    </w:rPr>
  </w:style>
  <w:style w:type="paragraph" w:customStyle="1" w:styleId="xl108">
    <w:name w:val="xl108"/>
    <w:basedOn w:val="Normal"/>
    <w:rsid w:val="002548C0"/>
    <w:pPr>
      <w:pBdr>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09">
    <w:name w:val="xl109"/>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10">
    <w:name w:val="xl110"/>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hAnsi="Times New Roman"/>
      <w:szCs w:val="24"/>
    </w:rPr>
  </w:style>
  <w:style w:type="paragraph" w:customStyle="1" w:styleId="xl111">
    <w:name w:val="xl111"/>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2">
    <w:name w:val="xl112"/>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3">
    <w:name w:val="xl113"/>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szCs w:val="24"/>
    </w:rPr>
  </w:style>
  <w:style w:type="paragraph" w:customStyle="1" w:styleId="xl114">
    <w:name w:val="xl114"/>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hAnsi="Times New Roman"/>
      <w:szCs w:val="24"/>
    </w:rPr>
  </w:style>
  <w:style w:type="paragraph" w:customStyle="1" w:styleId="xl115">
    <w:name w:val="xl115"/>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6">
    <w:name w:val="xl116"/>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7">
    <w:name w:val="xl117"/>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8">
    <w:name w:val="xl118"/>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Arial" w:hAnsi="Arial" w:cs="Arial"/>
      <w:color w:val="0070C0"/>
      <w:szCs w:val="24"/>
    </w:rPr>
  </w:style>
  <w:style w:type="paragraph" w:customStyle="1" w:styleId="xl119">
    <w:name w:val="xl119"/>
    <w:basedOn w:val="Normal"/>
    <w:rsid w:val="002548C0"/>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Times New Roman" w:hAnsi="Times New Roman"/>
      <w:szCs w:val="24"/>
    </w:rPr>
  </w:style>
  <w:style w:type="paragraph" w:customStyle="1" w:styleId="xl120">
    <w:name w:val="xl120"/>
    <w:basedOn w:val="Normal"/>
    <w:rsid w:val="002548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1">
    <w:name w:val="xl121"/>
    <w:basedOn w:val="Normal"/>
    <w:rsid w:val="002548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2">
    <w:name w:val="xl122"/>
    <w:basedOn w:val="Normal"/>
    <w:rsid w:val="002548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3">
    <w:name w:val="xl123"/>
    <w:basedOn w:val="Normal"/>
    <w:rsid w:val="002548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4">
    <w:name w:val="xl124"/>
    <w:basedOn w:val="Normal"/>
    <w:rsid w:val="002548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5">
    <w:name w:val="xl125"/>
    <w:basedOn w:val="Normal"/>
    <w:rsid w:val="002548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26">
    <w:name w:val="xl126"/>
    <w:basedOn w:val="Normal"/>
    <w:rsid w:val="002548C0"/>
    <w:pPr>
      <w:pBdr>
        <w:left w:val="single" w:sz="4" w:space="0" w:color="auto"/>
        <w:bottom w:val="single" w:sz="4" w:space="0" w:color="auto"/>
      </w:pBdr>
      <w:shd w:val="clear" w:color="000000" w:fill="8DB4E2"/>
      <w:spacing w:before="100" w:beforeAutospacing="1" w:after="100" w:afterAutospacing="1"/>
      <w:jc w:val="center"/>
    </w:pPr>
    <w:rPr>
      <w:rFonts w:ascii="Times New Roman" w:hAnsi="Times New Roman"/>
      <w:szCs w:val="24"/>
    </w:rPr>
  </w:style>
  <w:style w:type="paragraph" w:customStyle="1" w:styleId="xl127">
    <w:name w:val="xl127"/>
    <w:basedOn w:val="Normal"/>
    <w:rsid w:val="002548C0"/>
    <w:pPr>
      <w:pBdr>
        <w:bottom w:val="single" w:sz="4" w:space="0" w:color="auto"/>
      </w:pBdr>
      <w:shd w:val="clear" w:color="000000" w:fill="8DB4E2"/>
      <w:spacing w:before="100" w:beforeAutospacing="1" w:after="100" w:afterAutospacing="1"/>
      <w:jc w:val="center"/>
    </w:pPr>
    <w:rPr>
      <w:rFonts w:ascii="Times New Roman" w:hAnsi="Times New Roman"/>
      <w:szCs w:val="24"/>
    </w:rPr>
  </w:style>
  <w:style w:type="paragraph" w:styleId="Title">
    <w:name w:val="Title"/>
    <w:basedOn w:val="Normal"/>
    <w:next w:val="Normal"/>
    <w:link w:val="TitleChar"/>
    <w:uiPriority w:val="10"/>
    <w:qFormat/>
    <w:rsid w:val="00DE64FA"/>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DE64FA"/>
    <w:rPr>
      <w:rFonts w:ascii="Garamond" w:eastAsiaTheme="majorEastAsia" w:hAnsi="Garamond" w:cstheme="majorBidi"/>
      <w:spacing w:val="-10"/>
      <w:kern w:val="28"/>
      <w:sz w:val="24"/>
      <w:szCs w:val="56"/>
    </w:rPr>
  </w:style>
  <w:style w:type="table" w:customStyle="1" w:styleId="TableGrid2">
    <w:name w:val="Table Grid2"/>
    <w:basedOn w:val="TableNormal"/>
    <w:next w:val="TableGrid"/>
    <w:uiPriority w:val="39"/>
    <w:rsid w:val="00E70EF3"/>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47E78"/>
    <w:pPr>
      <w:keepLines/>
      <w:spacing w:before="240"/>
      <w:outlineLvl w:val="9"/>
    </w:pPr>
    <w:rPr>
      <w:rFonts w:asciiTheme="majorHAnsi" w:eastAsiaTheme="majorEastAsia" w:hAnsiTheme="majorHAnsi" w:cstheme="majorBidi"/>
      <w:color w:val="365F91" w:themeColor="accent1" w:themeShade="BF"/>
      <w:sz w:val="32"/>
      <w:szCs w:val="32"/>
    </w:rPr>
  </w:style>
  <w:style w:type="numbering" w:customStyle="1" w:styleId="NoList2">
    <w:name w:val="No List2"/>
    <w:next w:val="NoList"/>
    <w:uiPriority w:val="99"/>
    <w:semiHidden/>
    <w:unhideWhenUsed/>
    <w:rsid w:val="00E47E78"/>
  </w:style>
  <w:style w:type="table" w:customStyle="1" w:styleId="TableGrid3">
    <w:name w:val="Table Grid3"/>
    <w:basedOn w:val="TableNormal"/>
    <w:next w:val="TableGrid"/>
    <w:uiPriority w:val="39"/>
    <w:rsid w:val="00E47E78"/>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unhideWhenUsed/>
    <w:rsid w:val="00E47E78"/>
  </w:style>
  <w:style w:type="character" w:customStyle="1" w:styleId="Heading3Char">
    <w:name w:val="Heading 3 Char"/>
    <w:basedOn w:val="DefaultParagraphFont"/>
    <w:link w:val="Heading3"/>
    <w:uiPriority w:val="1"/>
    <w:rsid w:val="00E47E78"/>
    <w:rPr>
      <w:rFonts w:ascii="Garamond" w:hAnsi="Garamond"/>
      <w:i/>
      <w:sz w:val="22"/>
    </w:rPr>
  </w:style>
  <w:style w:type="paragraph" w:styleId="Caption">
    <w:name w:val="caption"/>
    <w:basedOn w:val="Normal"/>
    <w:next w:val="Normal"/>
    <w:uiPriority w:val="6"/>
    <w:qFormat/>
    <w:rsid w:val="00E47E78"/>
    <w:pPr>
      <w:widowControl w:val="0"/>
      <w:autoSpaceDE w:val="0"/>
      <w:autoSpaceDN w:val="0"/>
      <w:spacing w:after="200"/>
      <w:jc w:val="both"/>
    </w:pPr>
    <w:rPr>
      <w:rFonts w:ascii="Calibri" w:hAnsi="Calibri"/>
      <w:b/>
      <w:iCs/>
      <w:sz w:val="22"/>
      <w:szCs w:val="18"/>
      <w:lang w:bidi="en-US"/>
    </w:rPr>
  </w:style>
  <w:style w:type="character" w:styleId="Strong">
    <w:name w:val="Strong"/>
    <w:basedOn w:val="DefaultParagraphFont"/>
    <w:uiPriority w:val="22"/>
    <w:qFormat/>
    <w:rsid w:val="0032310B"/>
    <w:rPr>
      <w:b/>
      <w:bCs/>
    </w:rPr>
  </w:style>
  <w:style w:type="character" w:customStyle="1" w:styleId="Heading8Char">
    <w:name w:val="Heading 8 Char"/>
    <w:basedOn w:val="DefaultParagraphFont"/>
    <w:link w:val="Heading8"/>
    <w:uiPriority w:val="9"/>
    <w:semiHidden/>
    <w:rsid w:val="006C74CE"/>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6C74CE"/>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7Char">
    <w:name w:val="Heading 7 Char"/>
    <w:basedOn w:val="DefaultParagraphFont"/>
    <w:link w:val="Heading7"/>
    <w:uiPriority w:val="1"/>
    <w:rsid w:val="006C74CE"/>
    <w:rPr>
      <w:rFonts w:ascii="Garamond" w:hAnsi="Garamond"/>
      <w:sz w:val="24"/>
      <w:szCs w:val="24"/>
    </w:rPr>
  </w:style>
  <w:style w:type="paragraph" w:styleId="Subtitle">
    <w:name w:val="Subtitle"/>
    <w:basedOn w:val="Normal"/>
    <w:next w:val="Normal"/>
    <w:link w:val="SubtitleChar"/>
    <w:uiPriority w:val="11"/>
    <w:qFormat/>
    <w:rsid w:val="006C74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74CE"/>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C74C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6C74CE"/>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6C74CE"/>
    <w:rPr>
      <w:i/>
      <w:iCs/>
      <w:color w:val="365F91" w:themeColor="accent1" w:themeShade="BF"/>
    </w:rPr>
  </w:style>
  <w:style w:type="paragraph" w:styleId="IntenseQuote">
    <w:name w:val="Intense Quote"/>
    <w:basedOn w:val="Normal"/>
    <w:next w:val="Normal"/>
    <w:link w:val="IntenseQuoteChar"/>
    <w:uiPriority w:val="30"/>
    <w:qFormat/>
    <w:rsid w:val="006C74C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6C74CE"/>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6C74CE"/>
    <w:rPr>
      <w:b/>
      <w:bCs/>
      <w:smallCaps/>
      <w:color w:val="365F91" w:themeColor="accent1" w:themeShade="BF"/>
      <w:spacing w:val="5"/>
    </w:rPr>
  </w:style>
  <w:style w:type="character" w:customStyle="1" w:styleId="BodyTextIndent2Char">
    <w:name w:val="Body Text Indent 2 Char"/>
    <w:basedOn w:val="DefaultParagraphFont"/>
    <w:link w:val="BodyTextIndent2"/>
    <w:rsid w:val="006C74CE"/>
    <w:rPr>
      <w:rFonts w:ascii="Garamond" w:hAnsi="Garamond"/>
      <w:sz w:val="22"/>
    </w:rPr>
  </w:style>
  <w:style w:type="character" w:customStyle="1" w:styleId="BodyText2Char">
    <w:name w:val="Body Text 2 Char"/>
    <w:basedOn w:val="DefaultParagraphFont"/>
    <w:link w:val="BodyText2"/>
    <w:rsid w:val="006C74CE"/>
    <w:rPr>
      <w:rFonts w:ascii="Garamond" w:hAnsi="Garamond"/>
      <w:sz w:val="22"/>
    </w:rPr>
  </w:style>
  <w:style w:type="character" w:customStyle="1" w:styleId="Hyperlink1">
    <w:name w:val="Hyperlink1"/>
    <w:basedOn w:val="DefaultParagraphFont"/>
    <w:uiPriority w:val="99"/>
    <w:unhideWhenUsed/>
    <w:rsid w:val="006C74CE"/>
    <w:rPr>
      <w:color w:val="0563C1"/>
      <w:u w:val="single"/>
    </w:rPr>
  </w:style>
  <w:style w:type="character" w:customStyle="1" w:styleId="BodyTextIndentChar">
    <w:name w:val="Body Text Indent Char"/>
    <w:basedOn w:val="DefaultParagraphFont"/>
    <w:link w:val="BodyTextIndent"/>
    <w:rsid w:val="006C74CE"/>
    <w:rPr>
      <w:rFonts w:ascii="Garamond" w:hAnsi="Garamond"/>
      <w:sz w:val="22"/>
    </w:rPr>
  </w:style>
  <w:style w:type="character" w:customStyle="1" w:styleId="BodyTextIndent3Char">
    <w:name w:val="Body Text Indent 3 Char"/>
    <w:basedOn w:val="DefaultParagraphFont"/>
    <w:link w:val="BodyTextIndent3"/>
    <w:rsid w:val="006C74CE"/>
    <w:rPr>
      <w:rFonts w:ascii="Garamond" w:hAnsi="Garamond"/>
      <w:sz w:val="22"/>
    </w:rPr>
  </w:style>
  <w:style w:type="numbering" w:customStyle="1" w:styleId="NoList11">
    <w:name w:val="No List11"/>
    <w:next w:val="NoList"/>
    <w:uiPriority w:val="99"/>
    <w:semiHidden/>
    <w:unhideWhenUsed/>
    <w:rsid w:val="006C74CE"/>
  </w:style>
  <w:style w:type="character" w:customStyle="1" w:styleId="FollowedHyperlink1">
    <w:name w:val="FollowedHyperlink1"/>
    <w:basedOn w:val="DefaultParagraphFont"/>
    <w:semiHidden/>
    <w:unhideWhenUsed/>
    <w:rsid w:val="006C74CE"/>
    <w:rPr>
      <w:color w:val="800080"/>
      <w:u w:val="single"/>
    </w:rPr>
  </w:style>
  <w:style w:type="numbering" w:customStyle="1" w:styleId="NoList111">
    <w:name w:val="No List111"/>
    <w:next w:val="NoList"/>
    <w:uiPriority w:val="99"/>
    <w:semiHidden/>
    <w:unhideWhenUsed/>
    <w:rsid w:val="006C74CE"/>
  </w:style>
  <w:style w:type="character" w:styleId="PlaceholderText">
    <w:name w:val="Placeholder Text"/>
    <w:basedOn w:val="DefaultParagraphFont"/>
    <w:uiPriority w:val="99"/>
    <w:semiHidden/>
    <w:rsid w:val="006C74CE"/>
    <w:rPr>
      <w:color w:val="666666"/>
    </w:rPr>
  </w:style>
  <w:style w:type="numbering" w:customStyle="1" w:styleId="NoList1111">
    <w:name w:val="No List1111"/>
    <w:next w:val="NoList"/>
    <w:uiPriority w:val="99"/>
    <w:semiHidden/>
    <w:unhideWhenUsed/>
    <w:rsid w:val="006C74CE"/>
  </w:style>
  <w:style w:type="numbering" w:customStyle="1" w:styleId="NoList11111">
    <w:name w:val="No List11111"/>
    <w:next w:val="NoList"/>
    <w:uiPriority w:val="99"/>
    <w:semiHidden/>
    <w:unhideWhenUsed/>
    <w:rsid w:val="006C74CE"/>
  </w:style>
  <w:style w:type="paragraph" w:customStyle="1" w:styleId="TOCHeading2">
    <w:name w:val="TOC Heading2"/>
    <w:basedOn w:val="Heading1"/>
    <w:next w:val="Normal"/>
    <w:uiPriority w:val="39"/>
    <w:unhideWhenUsed/>
    <w:qFormat/>
    <w:rsid w:val="006C74CE"/>
    <w:pPr>
      <w:keepLines/>
      <w:spacing w:before="240"/>
      <w:outlineLvl w:val="9"/>
    </w:pPr>
    <w:rPr>
      <w:rFonts w:ascii="Cambria" w:hAnsi="Cambria"/>
      <w:color w:val="365F91"/>
      <w:sz w:val="32"/>
      <w:szCs w:val="32"/>
      <w14:ligatures w14:val="standardContextual"/>
    </w:rPr>
  </w:style>
  <w:style w:type="character" w:customStyle="1" w:styleId="Heading6Char2">
    <w:name w:val="Heading 6 Char2"/>
    <w:basedOn w:val="DefaultParagraphFont"/>
    <w:semiHidden/>
    <w:rsid w:val="006C74CE"/>
    <w:rPr>
      <w:rFonts w:ascii="Cambria" w:eastAsia="Times New Roman" w:hAnsi="Cambria" w:cs="Times New Roman"/>
      <w:color w:val="243F60"/>
    </w:rPr>
  </w:style>
  <w:style w:type="numbering" w:customStyle="1" w:styleId="NoList12">
    <w:name w:val="No List12"/>
    <w:next w:val="NoList"/>
    <w:uiPriority w:val="99"/>
    <w:semiHidden/>
    <w:unhideWhenUsed/>
    <w:rsid w:val="006C74CE"/>
  </w:style>
  <w:style w:type="numbering" w:customStyle="1" w:styleId="NoList112">
    <w:name w:val="No List112"/>
    <w:next w:val="NoList"/>
    <w:uiPriority w:val="99"/>
    <w:semiHidden/>
    <w:unhideWhenUsed/>
    <w:rsid w:val="006C74CE"/>
  </w:style>
  <w:style w:type="numbering" w:customStyle="1" w:styleId="NoList111111">
    <w:name w:val="No List111111"/>
    <w:next w:val="NoList"/>
    <w:uiPriority w:val="99"/>
    <w:semiHidden/>
    <w:unhideWhenUsed/>
    <w:rsid w:val="006C74CE"/>
  </w:style>
  <w:style w:type="character" w:customStyle="1" w:styleId="FollowedHyperlink2">
    <w:name w:val="FollowedHyperlink2"/>
    <w:basedOn w:val="DefaultParagraphFont"/>
    <w:uiPriority w:val="99"/>
    <w:semiHidden/>
    <w:unhideWhenUsed/>
    <w:rsid w:val="006C74CE"/>
    <w:rPr>
      <w:color w:val="954F72"/>
      <w:u w:val="single"/>
    </w:rPr>
  </w:style>
  <w:style w:type="character" w:customStyle="1" w:styleId="Heading6Char3">
    <w:name w:val="Heading 6 Char3"/>
    <w:basedOn w:val="DefaultParagraphFont"/>
    <w:uiPriority w:val="9"/>
    <w:semiHidden/>
    <w:rsid w:val="006C74CE"/>
    <w:rPr>
      <w:rFonts w:ascii="Calibri Light" w:eastAsia="Yu Gothic Light" w:hAnsi="Calibri Light" w:cs="Times New Roman"/>
      <w:color w:val="1F3763"/>
      <w:sz w:val="24"/>
      <w:szCs w:val="20"/>
    </w:rPr>
  </w:style>
  <w:style w:type="character" w:customStyle="1" w:styleId="citation">
    <w:name w:val="citation"/>
    <w:basedOn w:val="DefaultParagraphFont"/>
    <w:rsid w:val="006C74CE"/>
  </w:style>
  <w:style w:type="paragraph" w:customStyle="1" w:styleId="pf0">
    <w:name w:val="pf0"/>
    <w:basedOn w:val="Normal"/>
    <w:rsid w:val="006C74CE"/>
    <w:pPr>
      <w:spacing w:before="100" w:beforeAutospacing="1" w:after="100" w:afterAutospacing="1"/>
    </w:pPr>
    <w:rPr>
      <w:rFonts w:ascii="Times New Roman" w:hAnsi="Times New Roman"/>
      <w:szCs w:val="24"/>
      <w14:ligatures w14:val="standardContextual"/>
    </w:rPr>
  </w:style>
  <w:style w:type="character" w:customStyle="1" w:styleId="cf01">
    <w:name w:val="cf01"/>
    <w:basedOn w:val="DefaultParagraphFont"/>
    <w:rsid w:val="006C74CE"/>
    <w:rPr>
      <w:rFonts w:ascii="Segoe UI" w:hAnsi="Segoe UI" w:cs="Segoe UI" w:hint="default"/>
      <w:sz w:val="18"/>
      <w:szCs w:val="18"/>
    </w:rPr>
  </w:style>
  <w:style w:type="paragraph" w:customStyle="1" w:styleId="Caption2">
    <w:name w:val="Caption2"/>
    <w:basedOn w:val="Normal"/>
    <w:next w:val="Normal"/>
    <w:uiPriority w:val="35"/>
    <w:unhideWhenUsed/>
    <w:qFormat/>
    <w:rsid w:val="006C74CE"/>
    <w:pPr>
      <w:spacing w:after="200"/>
    </w:pPr>
    <w:rPr>
      <w:rFonts w:asciiTheme="minorHAnsi" w:eastAsiaTheme="minorHAnsi" w:hAnsiTheme="minorHAnsi" w:cstheme="minorBidi"/>
      <w:b/>
      <w:i/>
      <w:iCs/>
      <w:kern w:val="2"/>
      <w:sz w:val="2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667493">
      <w:bodyDiv w:val="1"/>
      <w:marLeft w:val="0"/>
      <w:marRight w:val="0"/>
      <w:marTop w:val="0"/>
      <w:marBottom w:val="0"/>
      <w:divBdr>
        <w:top w:val="none" w:sz="0" w:space="0" w:color="auto"/>
        <w:left w:val="none" w:sz="0" w:space="0" w:color="auto"/>
        <w:bottom w:val="none" w:sz="0" w:space="0" w:color="auto"/>
        <w:right w:val="none" w:sz="0" w:space="0" w:color="auto"/>
      </w:divBdr>
    </w:div>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yan@affordable-fcs.com"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ric.merchant2@mt.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conor.fox@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13836</Words>
  <Characters>78870</Characters>
  <Application>Microsoft Office Word</Application>
  <DocSecurity>8</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2026-05-19T20:19:00Z</dcterms:created>
  <dcterms:modified xsi:type="dcterms:W3CDTF">2026-05-19T20:37:00Z</dcterms:modified>
  <cp:contentStatus/>
</cp:coreProperties>
</file>