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9C820" w14:textId="77777777" w:rsidR="00B3415D" w:rsidRPr="00E752DF" w:rsidRDefault="00B3415D" w:rsidP="00A73E6A"/>
    <w:p w14:paraId="54DF181D" w14:textId="77777777" w:rsidR="00B3415D" w:rsidRPr="00CA41EC" w:rsidRDefault="00B3415D" w:rsidP="00B3415D">
      <w:pPr>
        <w:jc w:val="center"/>
        <w:rPr>
          <w:rFonts w:cstheme="minorHAnsi"/>
        </w:rPr>
      </w:pPr>
      <w:r w:rsidRPr="00CA41EC">
        <w:rPr>
          <w:rFonts w:cstheme="minorHAnsi"/>
          <w:noProof/>
        </w:rPr>
        <w:drawing>
          <wp:inline distT="0" distB="0" distL="0" distR="0" wp14:anchorId="19BF263C" wp14:editId="76432D6F">
            <wp:extent cx="2876550" cy="1549526"/>
            <wp:effectExtent l="0" t="0" r="0" b="0"/>
            <wp:docPr id="2" name="Picture 2" descr="Logo for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Department of Environmental Qual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0DACFBFC" w14:textId="77777777" w:rsidR="00B3415D" w:rsidRPr="00CA41EC" w:rsidRDefault="00B3415D" w:rsidP="00B3415D">
      <w:pPr>
        <w:rPr>
          <w:rFonts w:cstheme="minorHAnsi"/>
        </w:rPr>
      </w:pPr>
    </w:p>
    <w:p w14:paraId="404BB828" w14:textId="6564116A" w:rsidR="00B3415D" w:rsidRPr="00756D6D" w:rsidRDefault="7A34E73E" w:rsidP="00AE458E">
      <w:pPr>
        <w:pStyle w:val="Heading1"/>
      </w:pPr>
      <w:bookmarkStart w:id="0" w:name="_Toc196305899"/>
      <w:bookmarkStart w:id="1" w:name="_Toc219800148"/>
      <w:r>
        <w:t xml:space="preserve">Supplemental </w:t>
      </w:r>
      <w:r w:rsidR="00093B76">
        <w:t>Final</w:t>
      </w:r>
      <w:r w:rsidR="142F9C3F">
        <w:t xml:space="preserve"> ENVIRONMEN</w:t>
      </w:r>
      <w:r w:rsidR="7978AE3F">
        <w:t>T</w:t>
      </w:r>
      <w:r w:rsidR="142F9C3F">
        <w:t>AL ASSESSMENT</w:t>
      </w:r>
      <w:bookmarkEnd w:id="0"/>
      <w:bookmarkEnd w:id="1"/>
    </w:p>
    <w:p w14:paraId="33E4A68E" w14:textId="77777777" w:rsidR="00B3415D" w:rsidRPr="00CA41EC" w:rsidRDefault="00B3415D" w:rsidP="00B3415D">
      <w:pPr>
        <w:jc w:val="center"/>
        <w:rPr>
          <w:rFonts w:cstheme="minorHAnsi"/>
          <w:b/>
        </w:rPr>
      </w:pPr>
    </w:p>
    <w:p w14:paraId="65D66F20" w14:textId="28F29ED1" w:rsidR="00B3415D" w:rsidRPr="000F1937" w:rsidRDefault="00E0370E" w:rsidP="27F276F4">
      <w:pPr>
        <w:jc w:val="center"/>
        <w:rPr>
          <w:rFonts w:cstheme="minorBidi"/>
          <w:b/>
          <w:bCs/>
          <w:sz w:val="28"/>
          <w:szCs w:val="28"/>
        </w:rPr>
      </w:pPr>
      <w:r>
        <w:rPr>
          <w:rFonts w:cstheme="minorBidi"/>
          <w:b/>
          <w:bCs/>
          <w:sz w:val="28"/>
          <w:szCs w:val="28"/>
        </w:rPr>
        <w:t>April 16</w:t>
      </w:r>
      <w:r w:rsidR="79C6EB33" w:rsidRPr="27F276F4">
        <w:rPr>
          <w:rFonts w:cstheme="minorBidi"/>
          <w:b/>
          <w:bCs/>
          <w:sz w:val="28"/>
          <w:szCs w:val="28"/>
        </w:rPr>
        <w:t>,</w:t>
      </w:r>
      <w:r w:rsidR="7A34E73E" w:rsidRPr="27F276F4">
        <w:rPr>
          <w:rFonts w:cstheme="minorBidi"/>
          <w:b/>
          <w:bCs/>
          <w:sz w:val="28"/>
          <w:szCs w:val="28"/>
        </w:rPr>
        <w:t xml:space="preserve"> 202</w:t>
      </w:r>
      <w:r w:rsidR="00EB58A1">
        <w:rPr>
          <w:rFonts w:cstheme="minorBidi"/>
          <w:b/>
          <w:bCs/>
          <w:sz w:val="28"/>
          <w:szCs w:val="28"/>
        </w:rPr>
        <w:t>6</w:t>
      </w:r>
    </w:p>
    <w:p w14:paraId="6E71FAC9" w14:textId="77777777" w:rsidR="00B3415D" w:rsidRPr="000F1937" w:rsidRDefault="00B3415D" w:rsidP="00756D6D">
      <w:pPr>
        <w:pStyle w:val="Heading2"/>
      </w:pPr>
    </w:p>
    <w:p w14:paraId="5BFDEF24" w14:textId="77777777" w:rsidR="00504D6A" w:rsidRPr="00DC2420" w:rsidRDefault="00504D6A" w:rsidP="00B3415D">
      <w:pPr>
        <w:jc w:val="center"/>
        <w:rPr>
          <w:rFonts w:cstheme="minorHAnsi"/>
          <w:b/>
          <w:bCs/>
          <w:sz w:val="28"/>
          <w:szCs w:val="28"/>
        </w:rPr>
      </w:pPr>
      <w:r w:rsidRPr="00DC2420">
        <w:rPr>
          <w:rFonts w:cstheme="minorHAnsi"/>
          <w:b/>
          <w:bCs/>
          <w:sz w:val="28"/>
          <w:szCs w:val="28"/>
        </w:rPr>
        <w:t>Air Quality Permitting Services Section</w:t>
      </w:r>
    </w:p>
    <w:p w14:paraId="1F8DC7E2" w14:textId="340F8624" w:rsidR="00E71A82" w:rsidRDefault="00E71A82" w:rsidP="00B3415D">
      <w:pPr>
        <w:jc w:val="center"/>
        <w:rPr>
          <w:rFonts w:cstheme="minorHAnsi"/>
          <w:b/>
          <w:bCs/>
          <w:sz w:val="28"/>
          <w:szCs w:val="28"/>
        </w:rPr>
      </w:pPr>
      <w:r w:rsidRPr="00DC2420">
        <w:rPr>
          <w:rFonts w:cstheme="minorHAnsi"/>
          <w:b/>
          <w:bCs/>
          <w:sz w:val="28"/>
          <w:szCs w:val="28"/>
        </w:rPr>
        <w:t>Air Quality Bureau</w:t>
      </w:r>
    </w:p>
    <w:p w14:paraId="25AEDAE5" w14:textId="537A8D5B" w:rsidR="00B3415D" w:rsidRPr="000F1937" w:rsidRDefault="004B0C01" w:rsidP="00B3415D">
      <w:pPr>
        <w:jc w:val="center"/>
        <w:rPr>
          <w:rFonts w:cstheme="minorHAnsi"/>
          <w:b/>
          <w:bCs/>
          <w:sz w:val="28"/>
          <w:szCs w:val="28"/>
        </w:rPr>
      </w:pPr>
      <w:r>
        <w:rPr>
          <w:rFonts w:cstheme="minorHAnsi"/>
          <w:b/>
          <w:bCs/>
          <w:sz w:val="28"/>
          <w:szCs w:val="28"/>
        </w:rPr>
        <w:t>Air</w:t>
      </w:r>
      <w:r w:rsidR="00E71A82">
        <w:rPr>
          <w:rFonts w:cstheme="minorHAnsi"/>
          <w:b/>
          <w:bCs/>
          <w:sz w:val="28"/>
          <w:szCs w:val="28"/>
        </w:rPr>
        <w:t xml:space="preserve">, Energy and Mining Division </w:t>
      </w:r>
    </w:p>
    <w:p w14:paraId="40104FFE" w14:textId="77777777" w:rsidR="00B3415D" w:rsidRPr="000F1937" w:rsidRDefault="00B3415D" w:rsidP="00B3415D">
      <w:pPr>
        <w:jc w:val="center"/>
        <w:rPr>
          <w:rFonts w:cstheme="minorHAnsi"/>
          <w:b/>
          <w:sz w:val="28"/>
          <w:szCs w:val="28"/>
        </w:rPr>
      </w:pPr>
      <w:r w:rsidRPr="000F1937">
        <w:rPr>
          <w:rFonts w:cstheme="minorHAnsi"/>
          <w:b/>
          <w:sz w:val="28"/>
          <w:szCs w:val="28"/>
        </w:rPr>
        <w:t>Montana Department of Environmental Quality</w:t>
      </w:r>
    </w:p>
    <w:p w14:paraId="270BB736" w14:textId="77777777" w:rsidR="00B3415D" w:rsidRDefault="00B3415D" w:rsidP="00B3415D">
      <w:pPr>
        <w:pStyle w:val="BodyText"/>
        <w:spacing w:before="2"/>
        <w:rPr>
          <w:rFonts w:cstheme="minorHAnsi"/>
          <w:b/>
          <w:sz w:val="22"/>
          <w:szCs w:val="22"/>
        </w:rPr>
      </w:pPr>
    </w:p>
    <w:p w14:paraId="77B51723" w14:textId="77777777" w:rsidR="00377695" w:rsidRPr="00CA41EC" w:rsidRDefault="00377695" w:rsidP="00B3415D">
      <w:pPr>
        <w:pStyle w:val="BodyText"/>
        <w:spacing w:before="2"/>
        <w:rPr>
          <w:rFonts w:cstheme="minorHAnsi"/>
          <w:b/>
          <w:sz w:val="22"/>
          <w:szCs w:val="22"/>
        </w:rPr>
      </w:pPr>
    </w:p>
    <w:p w14:paraId="62919B69" w14:textId="52C3009B" w:rsidR="00B3415D" w:rsidRPr="00DC2420" w:rsidRDefault="00377695" w:rsidP="00377695">
      <w:pPr>
        <w:pStyle w:val="Caption"/>
        <w:rPr>
          <w:szCs w:val="22"/>
        </w:rPr>
      </w:pPr>
      <w:r w:rsidRPr="00DC2420">
        <w:t>PROJECT/SITE NAME:</w:t>
      </w:r>
      <w:r w:rsidR="00582F0D">
        <w:t xml:space="preserve"> Bull Mountain Coal Mine</w:t>
      </w:r>
    </w:p>
    <w:p w14:paraId="3FBFE7B7" w14:textId="14DE8FB2" w:rsidR="00B3415D" w:rsidRPr="00DC2420" w:rsidRDefault="00377695" w:rsidP="00377695">
      <w:pPr>
        <w:pStyle w:val="Caption"/>
        <w:rPr>
          <w:szCs w:val="22"/>
        </w:rPr>
      </w:pPr>
      <w:r w:rsidRPr="00DC2420">
        <w:t>APPLICANT/COMPANY NAME:</w:t>
      </w:r>
      <w:r w:rsidR="00582F0D">
        <w:t xml:space="preserve"> Signal Peak Energy, LLC.</w:t>
      </w:r>
    </w:p>
    <w:p w14:paraId="063C3524" w14:textId="4D9AD702" w:rsidR="00B3415D" w:rsidRPr="00DC2420" w:rsidRDefault="00504D6A" w:rsidP="00377695">
      <w:pPr>
        <w:pStyle w:val="Caption"/>
        <w:rPr>
          <w:szCs w:val="22"/>
        </w:rPr>
      </w:pPr>
      <w:r w:rsidRPr="00DC2420">
        <w:t>M</w:t>
      </w:r>
      <w:r w:rsidR="00B22A0A" w:rsidRPr="00DC2420">
        <w:t xml:space="preserve">ontana </w:t>
      </w:r>
      <w:r w:rsidRPr="00DC2420">
        <w:t>A</w:t>
      </w:r>
      <w:r w:rsidR="00B22A0A" w:rsidRPr="00DC2420">
        <w:t xml:space="preserve">ir </w:t>
      </w:r>
      <w:r w:rsidRPr="00DC2420">
        <w:t>Q</w:t>
      </w:r>
      <w:r w:rsidR="00B22A0A" w:rsidRPr="00DC2420">
        <w:t xml:space="preserve">uality </w:t>
      </w:r>
      <w:r w:rsidRPr="00DC2420">
        <w:t>P</w:t>
      </w:r>
      <w:r w:rsidR="00B22A0A" w:rsidRPr="00DC2420">
        <w:t>ermit</w:t>
      </w:r>
      <w:r w:rsidRPr="00DC2420">
        <w:t xml:space="preserve"> </w:t>
      </w:r>
      <w:r w:rsidR="004D6C06" w:rsidRPr="00DC2420">
        <w:t>#</w:t>
      </w:r>
      <w:r w:rsidR="00582F0D">
        <w:t>3179-13</w:t>
      </w:r>
    </w:p>
    <w:p w14:paraId="7A2F4C28" w14:textId="05E9ABDC" w:rsidR="00377695" w:rsidRPr="00DC2420" w:rsidRDefault="00377695" w:rsidP="00377695">
      <w:pPr>
        <w:pStyle w:val="Caption"/>
        <w:rPr>
          <w:bCs/>
        </w:rPr>
      </w:pPr>
      <w:r w:rsidRPr="00DC2420">
        <w:t xml:space="preserve">LOCATION: </w:t>
      </w:r>
      <w:r w:rsidR="00DB2053" w:rsidRPr="00DB2053">
        <w:t>Section 12, West ½ Section 13, and Section 14, Township 6 North, Range 26 East</w:t>
      </w:r>
    </w:p>
    <w:p w14:paraId="4DA396D7" w14:textId="3D41E596" w:rsidR="00377695" w:rsidRPr="00DC2420" w:rsidRDefault="00377695" w:rsidP="00377695">
      <w:pPr>
        <w:pStyle w:val="Caption"/>
      </w:pPr>
      <w:r w:rsidRPr="00DC2420">
        <w:t>COUNTY:</w:t>
      </w:r>
      <w:r w:rsidR="00582F0D">
        <w:t xml:space="preserve"> Musselshell</w:t>
      </w:r>
    </w:p>
    <w:p w14:paraId="5C875688" w14:textId="008EA849" w:rsidR="00377695" w:rsidRDefault="00377695" w:rsidP="00377695">
      <w:pPr>
        <w:pStyle w:val="Caption"/>
        <w:rPr>
          <w:bCs/>
        </w:rPr>
      </w:pPr>
      <w:r w:rsidRPr="00DC2420">
        <w:t>PROPERTY OWNERSHIP</w:t>
      </w:r>
      <w:r w:rsidR="00582F0D">
        <w:t xml:space="preserve"> – </w:t>
      </w:r>
      <w:r w:rsidRPr="00DC2420">
        <w:t>FEDERAL</w:t>
      </w:r>
      <w:r w:rsidR="00582F0D">
        <w:t>:</w:t>
      </w:r>
      <w:r w:rsidRPr="00DC2420">
        <w:tab/>
      </w:r>
      <w:r w:rsidRPr="00DC2420">
        <w:tab/>
        <w:t>STATE</w:t>
      </w:r>
      <w:r w:rsidR="00582F0D">
        <w:t>:</w:t>
      </w:r>
      <w:r w:rsidRPr="00DC2420">
        <w:tab/>
      </w:r>
      <w:r w:rsidRPr="00DC2420">
        <w:tab/>
        <w:t>PRIVATE</w:t>
      </w:r>
      <w:r w:rsidR="00582F0D">
        <w:t xml:space="preserve">: </w:t>
      </w:r>
      <w:r>
        <w:t xml:space="preserve"> </w:t>
      </w:r>
      <w:r w:rsidR="00582F0D">
        <w:t>X</w:t>
      </w:r>
    </w:p>
    <w:p w14:paraId="514C964E" w14:textId="672221A9" w:rsidR="00B3415D" w:rsidRPr="000F1937" w:rsidRDefault="00377695" w:rsidP="00377695">
      <w:pPr>
        <w:widowControl/>
        <w:autoSpaceDE/>
        <w:autoSpaceDN/>
        <w:spacing w:after="160" w:line="259" w:lineRule="auto"/>
        <w:jc w:val="left"/>
        <w:rPr>
          <w:b/>
          <w:caps/>
          <w:color w:val="004A97"/>
          <w:sz w:val="36"/>
          <w:szCs w:val="36"/>
        </w:rPr>
      </w:pPr>
      <w:r>
        <w:rPr>
          <w:rFonts w:cstheme="minorHAnsi"/>
          <w:b/>
          <w:bCs/>
          <w:highlight w:val="yellow"/>
        </w:rPr>
        <w:br w:type="page"/>
      </w:r>
    </w:p>
    <w:sdt>
      <w:sdtPr>
        <w:rPr>
          <w:rFonts w:asciiTheme="minorHAnsi" w:eastAsia="Times New Roman" w:hAnsiTheme="minorHAnsi" w:cstheme="minorBidi"/>
          <w:caps w:val="0"/>
          <w:noProof/>
          <w:color w:val="auto"/>
          <w:sz w:val="24"/>
          <w:szCs w:val="24"/>
          <w:lang w:bidi="en-US"/>
        </w:rPr>
        <w:id w:val="8676913"/>
        <w:docPartObj>
          <w:docPartGallery w:val="Table of Contents"/>
          <w:docPartUnique/>
        </w:docPartObj>
      </w:sdtPr>
      <w:sdtEndPr/>
      <w:sdtContent>
        <w:p w14:paraId="3B961DDF" w14:textId="407CDA0E" w:rsidR="00746BB0" w:rsidRPr="00B02126" w:rsidRDefault="248C2ADE">
          <w:pPr>
            <w:pStyle w:val="TOCHeading"/>
            <w:rPr>
              <w:b/>
              <w:bCs/>
            </w:rPr>
          </w:pPr>
          <w:r w:rsidRPr="00B02126">
            <w:rPr>
              <w:b/>
              <w:bCs/>
            </w:rPr>
            <w:t>Table of Contents</w:t>
          </w:r>
        </w:p>
        <w:p w14:paraId="46ACE726" w14:textId="7C26BA10" w:rsidR="00C666EE" w:rsidRDefault="00B330A2">
          <w:pPr>
            <w:pStyle w:val="TOC1"/>
            <w:rPr>
              <w:rFonts w:eastAsiaTheme="minorEastAsia" w:cstheme="minorBidi"/>
              <w:kern w:val="2"/>
              <w:lang w:bidi="ar-SA"/>
              <w14:ligatures w14:val="standardContextual"/>
            </w:rPr>
          </w:pPr>
          <w:r>
            <w:fldChar w:fldCharType="begin"/>
          </w:r>
          <w:r w:rsidR="00746BB0">
            <w:instrText>TOC \o "1-3" \z \u \h</w:instrText>
          </w:r>
          <w:r>
            <w:fldChar w:fldCharType="separate"/>
          </w:r>
          <w:hyperlink w:anchor="_Toc219800148" w:history="1">
            <w:r w:rsidR="00C666EE" w:rsidRPr="00F336C1">
              <w:rPr>
                <w:rStyle w:val="Hyperlink"/>
              </w:rPr>
              <w:t>Supplemental Final E</w:t>
            </w:r>
            <w:r w:rsidR="002E72B4">
              <w:rPr>
                <w:rStyle w:val="Hyperlink"/>
              </w:rPr>
              <w:t>nvirtonmental Assessment</w:t>
            </w:r>
            <w:r w:rsidR="00C666EE">
              <w:rPr>
                <w:webHidden/>
              </w:rPr>
              <w:tab/>
            </w:r>
            <w:r w:rsidR="00C666EE">
              <w:rPr>
                <w:webHidden/>
              </w:rPr>
              <w:fldChar w:fldCharType="begin"/>
            </w:r>
            <w:r w:rsidR="00C666EE">
              <w:rPr>
                <w:webHidden/>
              </w:rPr>
              <w:instrText xml:space="preserve"> PAGEREF _Toc219800148 \h </w:instrText>
            </w:r>
            <w:r w:rsidR="00C666EE">
              <w:rPr>
                <w:webHidden/>
              </w:rPr>
            </w:r>
            <w:r w:rsidR="00C666EE">
              <w:rPr>
                <w:webHidden/>
              </w:rPr>
              <w:fldChar w:fldCharType="separate"/>
            </w:r>
            <w:r w:rsidR="0035419E">
              <w:rPr>
                <w:webHidden/>
              </w:rPr>
              <w:t>1</w:t>
            </w:r>
            <w:r w:rsidR="00C666EE">
              <w:rPr>
                <w:webHidden/>
              </w:rPr>
              <w:fldChar w:fldCharType="end"/>
            </w:r>
          </w:hyperlink>
        </w:p>
        <w:p w14:paraId="722C8A46" w14:textId="208D83DB" w:rsidR="00C666EE" w:rsidRDefault="00C666EE">
          <w:pPr>
            <w:pStyle w:val="TOC2"/>
            <w:rPr>
              <w:rFonts w:eastAsiaTheme="minorEastAsia" w:cstheme="minorBidi"/>
              <w:kern w:val="2"/>
              <w:sz w:val="24"/>
              <w:szCs w:val="24"/>
              <w:lang w:bidi="ar-SA"/>
              <w14:ligatures w14:val="standardContextual"/>
            </w:rPr>
          </w:pPr>
          <w:hyperlink w:anchor="_Toc219800149" w:history="1">
            <w:r w:rsidRPr="00F336C1">
              <w:rPr>
                <w:rStyle w:val="Hyperlink"/>
              </w:rPr>
              <w:t>Overview of Proposed Action</w:t>
            </w:r>
            <w:r>
              <w:rPr>
                <w:webHidden/>
              </w:rPr>
              <w:tab/>
            </w:r>
            <w:r>
              <w:rPr>
                <w:webHidden/>
              </w:rPr>
              <w:fldChar w:fldCharType="begin"/>
            </w:r>
            <w:r>
              <w:rPr>
                <w:webHidden/>
              </w:rPr>
              <w:instrText xml:space="preserve"> PAGEREF _Toc219800149 \h </w:instrText>
            </w:r>
            <w:r>
              <w:rPr>
                <w:webHidden/>
              </w:rPr>
            </w:r>
            <w:r>
              <w:rPr>
                <w:webHidden/>
              </w:rPr>
              <w:fldChar w:fldCharType="separate"/>
            </w:r>
            <w:r w:rsidR="0035419E">
              <w:rPr>
                <w:webHidden/>
              </w:rPr>
              <w:t>3</w:t>
            </w:r>
            <w:r>
              <w:rPr>
                <w:webHidden/>
              </w:rPr>
              <w:fldChar w:fldCharType="end"/>
            </w:r>
          </w:hyperlink>
        </w:p>
        <w:p w14:paraId="31C187BB" w14:textId="6210EEA2" w:rsidR="00C666EE" w:rsidRDefault="00C666EE">
          <w:pPr>
            <w:pStyle w:val="TOC3"/>
            <w:rPr>
              <w:rFonts w:eastAsiaTheme="minorEastAsia" w:cstheme="minorBidi"/>
              <w:noProof/>
              <w:kern w:val="2"/>
              <w:sz w:val="24"/>
              <w:szCs w:val="24"/>
              <w:lang w:bidi="ar-SA"/>
              <w14:ligatures w14:val="standardContextual"/>
            </w:rPr>
          </w:pPr>
          <w:hyperlink w:anchor="_Toc219800150" w:history="1">
            <w:r w:rsidRPr="00F336C1">
              <w:rPr>
                <w:rStyle w:val="Hyperlink"/>
                <w:noProof/>
              </w:rPr>
              <w:t>Background and Authorizing Action</w:t>
            </w:r>
            <w:r>
              <w:rPr>
                <w:noProof/>
                <w:webHidden/>
              </w:rPr>
              <w:tab/>
            </w:r>
            <w:r>
              <w:rPr>
                <w:noProof/>
                <w:webHidden/>
              </w:rPr>
              <w:fldChar w:fldCharType="begin"/>
            </w:r>
            <w:r>
              <w:rPr>
                <w:noProof/>
                <w:webHidden/>
              </w:rPr>
              <w:instrText xml:space="preserve"> PAGEREF _Toc219800150 \h </w:instrText>
            </w:r>
            <w:r>
              <w:rPr>
                <w:noProof/>
                <w:webHidden/>
              </w:rPr>
            </w:r>
            <w:r>
              <w:rPr>
                <w:noProof/>
                <w:webHidden/>
              </w:rPr>
              <w:fldChar w:fldCharType="separate"/>
            </w:r>
            <w:r w:rsidR="0035419E">
              <w:rPr>
                <w:noProof/>
                <w:webHidden/>
              </w:rPr>
              <w:t>3</w:t>
            </w:r>
            <w:r>
              <w:rPr>
                <w:noProof/>
                <w:webHidden/>
              </w:rPr>
              <w:fldChar w:fldCharType="end"/>
            </w:r>
          </w:hyperlink>
        </w:p>
        <w:p w14:paraId="6880E4C7" w14:textId="65BCA74E" w:rsidR="00C666EE" w:rsidRDefault="00C666EE">
          <w:pPr>
            <w:pStyle w:val="TOC3"/>
            <w:rPr>
              <w:rFonts w:eastAsiaTheme="minorEastAsia" w:cstheme="minorBidi"/>
              <w:noProof/>
              <w:kern w:val="2"/>
              <w:sz w:val="24"/>
              <w:szCs w:val="24"/>
              <w:lang w:bidi="ar-SA"/>
              <w14:ligatures w14:val="standardContextual"/>
            </w:rPr>
          </w:pPr>
          <w:hyperlink w:anchor="_Toc219800151" w:history="1">
            <w:r w:rsidRPr="00F336C1">
              <w:rPr>
                <w:rStyle w:val="Hyperlink"/>
                <w:noProof/>
              </w:rPr>
              <w:t>Proposed Action</w:t>
            </w:r>
            <w:r>
              <w:rPr>
                <w:noProof/>
                <w:webHidden/>
              </w:rPr>
              <w:tab/>
            </w:r>
            <w:r>
              <w:rPr>
                <w:noProof/>
                <w:webHidden/>
              </w:rPr>
              <w:fldChar w:fldCharType="begin"/>
            </w:r>
            <w:r>
              <w:rPr>
                <w:noProof/>
                <w:webHidden/>
              </w:rPr>
              <w:instrText xml:space="preserve"> PAGEREF _Toc219800151 \h </w:instrText>
            </w:r>
            <w:r>
              <w:rPr>
                <w:noProof/>
                <w:webHidden/>
              </w:rPr>
            </w:r>
            <w:r>
              <w:rPr>
                <w:noProof/>
                <w:webHidden/>
              </w:rPr>
              <w:fldChar w:fldCharType="separate"/>
            </w:r>
            <w:r w:rsidR="0035419E">
              <w:rPr>
                <w:noProof/>
                <w:webHidden/>
              </w:rPr>
              <w:t>4</w:t>
            </w:r>
            <w:r>
              <w:rPr>
                <w:noProof/>
                <w:webHidden/>
              </w:rPr>
              <w:fldChar w:fldCharType="end"/>
            </w:r>
          </w:hyperlink>
        </w:p>
        <w:p w14:paraId="33D589F3" w14:textId="58239469" w:rsidR="00C666EE" w:rsidRDefault="00C666EE">
          <w:pPr>
            <w:pStyle w:val="TOC3"/>
            <w:rPr>
              <w:rFonts w:eastAsiaTheme="minorEastAsia" w:cstheme="minorBidi"/>
              <w:noProof/>
              <w:kern w:val="2"/>
              <w:sz w:val="24"/>
              <w:szCs w:val="24"/>
              <w:lang w:bidi="ar-SA"/>
              <w14:ligatures w14:val="standardContextual"/>
            </w:rPr>
          </w:pPr>
          <w:hyperlink w:anchor="_Toc219800152" w:history="1">
            <w:r w:rsidRPr="00F336C1">
              <w:rPr>
                <w:rStyle w:val="Hyperlink"/>
                <w:noProof/>
              </w:rPr>
              <w:t>Other Governmental Agencies and Programs with Jurisdiction</w:t>
            </w:r>
            <w:r>
              <w:rPr>
                <w:noProof/>
                <w:webHidden/>
              </w:rPr>
              <w:tab/>
            </w:r>
            <w:r>
              <w:rPr>
                <w:noProof/>
                <w:webHidden/>
              </w:rPr>
              <w:fldChar w:fldCharType="begin"/>
            </w:r>
            <w:r>
              <w:rPr>
                <w:noProof/>
                <w:webHidden/>
              </w:rPr>
              <w:instrText xml:space="preserve"> PAGEREF _Toc219800152 \h </w:instrText>
            </w:r>
            <w:r>
              <w:rPr>
                <w:noProof/>
                <w:webHidden/>
              </w:rPr>
            </w:r>
            <w:r>
              <w:rPr>
                <w:noProof/>
                <w:webHidden/>
              </w:rPr>
              <w:fldChar w:fldCharType="separate"/>
            </w:r>
            <w:r w:rsidR="0035419E">
              <w:rPr>
                <w:noProof/>
                <w:webHidden/>
              </w:rPr>
              <w:t>6</w:t>
            </w:r>
            <w:r>
              <w:rPr>
                <w:noProof/>
                <w:webHidden/>
              </w:rPr>
              <w:fldChar w:fldCharType="end"/>
            </w:r>
          </w:hyperlink>
        </w:p>
        <w:p w14:paraId="2219F915" w14:textId="74661E55" w:rsidR="00C666EE" w:rsidRDefault="00C666EE">
          <w:pPr>
            <w:pStyle w:val="TOC2"/>
            <w:rPr>
              <w:rFonts w:eastAsiaTheme="minorEastAsia" w:cstheme="minorBidi"/>
              <w:kern w:val="2"/>
              <w:sz w:val="24"/>
              <w:szCs w:val="24"/>
              <w:lang w:bidi="ar-SA"/>
              <w14:ligatures w14:val="standardContextual"/>
            </w:rPr>
          </w:pPr>
          <w:hyperlink w:anchor="_Toc219800153" w:history="1">
            <w:r w:rsidRPr="00F336C1">
              <w:rPr>
                <w:rStyle w:val="Hyperlink"/>
              </w:rPr>
              <w:t>Scope of Potential GHG Impacts</w:t>
            </w:r>
            <w:r>
              <w:rPr>
                <w:webHidden/>
              </w:rPr>
              <w:tab/>
            </w:r>
            <w:r>
              <w:rPr>
                <w:webHidden/>
              </w:rPr>
              <w:fldChar w:fldCharType="begin"/>
            </w:r>
            <w:r>
              <w:rPr>
                <w:webHidden/>
              </w:rPr>
              <w:instrText xml:space="preserve"> PAGEREF _Toc219800153 \h </w:instrText>
            </w:r>
            <w:r>
              <w:rPr>
                <w:webHidden/>
              </w:rPr>
            </w:r>
            <w:r>
              <w:rPr>
                <w:webHidden/>
              </w:rPr>
              <w:fldChar w:fldCharType="separate"/>
            </w:r>
            <w:r w:rsidR="0035419E">
              <w:rPr>
                <w:webHidden/>
              </w:rPr>
              <w:t>7</w:t>
            </w:r>
            <w:r>
              <w:rPr>
                <w:webHidden/>
              </w:rPr>
              <w:fldChar w:fldCharType="end"/>
            </w:r>
          </w:hyperlink>
        </w:p>
        <w:p w14:paraId="5975713F" w14:textId="415670D0" w:rsidR="00C666EE" w:rsidRPr="00C666EE" w:rsidRDefault="00C666EE">
          <w:pPr>
            <w:pStyle w:val="TOC3"/>
            <w:rPr>
              <w:rStyle w:val="Hyperlink"/>
              <w:rFonts w:cstheme="minorHAnsi"/>
              <w:noProof/>
            </w:rPr>
          </w:pPr>
          <w:hyperlink w:anchor="_Toc219800154" w:history="1">
            <w:r w:rsidRPr="00C666EE">
              <w:rPr>
                <w:rStyle w:val="Hyperlink"/>
                <w:rFonts w:cstheme="minorHAnsi"/>
                <w:noProof/>
              </w:rPr>
              <w:t>Analysis</w:t>
            </w:r>
            <w:r>
              <w:rPr>
                <w:rStyle w:val="Hyperlink"/>
                <w:rFonts w:cstheme="minorHAnsi"/>
                <w:noProof/>
              </w:rPr>
              <w:t>……………….</w:t>
            </w:r>
            <w:r w:rsidRPr="00C666EE">
              <w:rPr>
                <w:rStyle w:val="Hyperlink"/>
                <w:rFonts w:cstheme="minorHAnsi"/>
                <w:noProof/>
                <w:webHidden/>
              </w:rPr>
              <w:tab/>
            </w:r>
            <w:r w:rsidRPr="00C666EE">
              <w:rPr>
                <w:rStyle w:val="Hyperlink"/>
                <w:rFonts w:cstheme="minorHAnsi"/>
                <w:noProof/>
                <w:webHidden/>
              </w:rPr>
              <w:fldChar w:fldCharType="begin"/>
            </w:r>
            <w:r w:rsidRPr="00C666EE">
              <w:rPr>
                <w:rStyle w:val="Hyperlink"/>
                <w:rFonts w:cstheme="minorHAnsi"/>
                <w:noProof/>
                <w:webHidden/>
              </w:rPr>
              <w:instrText xml:space="preserve"> PAGEREF _Toc219800154 \h </w:instrText>
            </w:r>
            <w:r w:rsidRPr="00C666EE">
              <w:rPr>
                <w:rStyle w:val="Hyperlink"/>
                <w:rFonts w:cstheme="minorHAnsi"/>
                <w:noProof/>
                <w:webHidden/>
              </w:rPr>
            </w:r>
            <w:r w:rsidRPr="00C666EE">
              <w:rPr>
                <w:rStyle w:val="Hyperlink"/>
                <w:rFonts w:cstheme="minorHAnsi"/>
                <w:noProof/>
                <w:webHidden/>
              </w:rPr>
              <w:fldChar w:fldCharType="separate"/>
            </w:r>
            <w:r w:rsidR="0035419E">
              <w:rPr>
                <w:rStyle w:val="Hyperlink"/>
                <w:rFonts w:cstheme="minorHAnsi"/>
                <w:noProof/>
                <w:webHidden/>
              </w:rPr>
              <w:t>10</w:t>
            </w:r>
            <w:r w:rsidRPr="00C666EE">
              <w:rPr>
                <w:rStyle w:val="Hyperlink"/>
                <w:rFonts w:cstheme="minorHAnsi"/>
                <w:noProof/>
                <w:webHidden/>
              </w:rPr>
              <w:fldChar w:fldCharType="end"/>
            </w:r>
          </w:hyperlink>
        </w:p>
        <w:p w14:paraId="098656D5" w14:textId="00BF7CF0" w:rsidR="00C666EE" w:rsidRDefault="00C666EE">
          <w:pPr>
            <w:pStyle w:val="TOC3"/>
            <w:rPr>
              <w:rFonts w:eastAsiaTheme="minorEastAsia" w:cstheme="minorBidi"/>
              <w:noProof/>
              <w:kern w:val="2"/>
              <w:sz w:val="24"/>
              <w:szCs w:val="24"/>
              <w:lang w:bidi="ar-SA"/>
              <w14:ligatures w14:val="standardContextual"/>
            </w:rPr>
          </w:pPr>
          <w:hyperlink w:anchor="_Toc219800155" w:history="1">
            <w:r w:rsidRPr="00F336C1">
              <w:rPr>
                <w:rStyle w:val="Hyperlink"/>
                <w:noProof/>
              </w:rPr>
              <w:t>Description of Alternatives</w:t>
            </w:r>
            <w:r>
              <w:rPr>
                <w:noProof/>
                <w:webHidden/>
              </w:rPr>
              <w:tab/>
            </w:r>
            <w:r>
              <w:rPr>
                <w:noProof/>
                <w:webHidden/>
              </w:rPr>
              <w:fldChar w:fldCharType="begin"/>
            </w:r>
            <w:r>
              <w:rPr>
                <w:noProof/>
                <w:webHidden/>
              </w:rPr>
              <w:instrText xml:space="preserve"> PAGEREF _Toc219800155 \h </w:instrText>
            </w:r>
            <w:r>
              <w:rPr>
                <w:noProof/>
                <w:webHidden/>
              </w:rPr>
            </w:r>
            <w:r>
              <w:rPr>
                <w:noProof/>
                <w:webHidden/>
              </w:rPr>
              <w:fldChar w:fldCharType="separate"/>
            </w:r>
            <w:r w:rsidR="0035419E">
              <w:rPr>
                <w:noProof/>
                <w:webHidden/>
              </w:rPr>
              <w:t>15</w:t>
            </w:r>
            <w:r>
              <w:rPr>
                <w:noProof/>
                <w:webHidden/>
              </w:rPr>
              <w:fldChar w:fldCharType="end"/>
            </w:r>
          </w:hyperlink>
        </w:p>
        <w:p w14:paraId="01BDCDCC" w14:textId="7E4B25E8" w:rsidR="00C666EE" w:rsidRDefault="00C666EE">
          <w:pPr>
            <w:pStyle w:val="TOC3"/>
            <w:rPr>
              <w:rFonts w:eastAsiaTheme="minorEastAsia" w:cstheme="minorBidi"/>
              <w:noProof/>
              <w:kern w:val="2"/>
              <w:sz w:val="24"/>
              <w:szCs w:val="24"/>
              <w:lang w:bidi="ar-SA"/>
              <w14:ligatures w14:val="standardContextual"/>
            </w:rPr>
          </w:pPr>
          <w:hyperlink w:anchor="_Toc219800156" w:history="1">
            <w:r w:rsidRPr="00F336C1">
              <w:rPr>
                <w:rStyle w:val="Hyperlink"/>
                <w:noProof/>
              </w:rPr>
              <w:t>Consultation</w:t>
            </w:r>
            <w:r>
              <w:rPr>
                <w:noProof/>
                <w:webHidden/>
              </w:rPr>
              <w:tab/>
            </w:r>
            <w:r>
              <w:rPr>
                <w:noProof/>
                <w:webHidden/>
              </w:rPr>
              <w:fldChar w:fldCharType="begin"/>
            </w:r>
            <w:r>
              <w:rPr>
                <w:noProof/>
                <w:webHidden/>
              </w:rPr>
              <w:instrText xml:space="preserve"> PAGEREF _Toc219800156 \h </w:instrText>
            </w:r>
            <w:r>
              <w:rPr>
                <w:noProof/>
                <w:webHidden/>
              </w:rPr>
            </w:r>
            <w:r>
              <w:rPr>
                <w:noProof/>
                <w:webHidden/>
              </w:rPr>
              <w:fldChar w:fldCharType="separate"/>
            </w:r>
            <w:r w:rsidR="0035419E">
              <w:rPr>
                <w:noProof/>
                <w:webHidden/>
              </w:rPr>
              <w:t>15</w:t>
            </w:r>
            <w:r>
              <w:rPr>
                <w:noProof/>
                <w:webHidden/>
              </w:rPr>
              <w:fldChar w:fldCharType="end"/>
            </w:r>
          </w:hyperlink>
        </w:p>
        <w:p w14:paraId="698CC939" w14:textId="79E59414" w:rsidR="00C666EE" w:rsidRDefault="00C666EE">
          <w:pPr>
            <w:pStyle w:val="TOC3"/>
            <w:rPr>
              <w:rFonts w:eastAsiaTheme="minorEastAsia" w:cstheme="minorBidi"/>
              <w:noProof/>
              <w:kern w:val="2"/>
              <w:sz w:val="24"/>
              <w:szCs w:val="24"/>
              <w:lang w:bidi="ar-SA"/>
              <w14:ligatures w14:val="standardContextual"/>
            </w:rPr>
          </w:pPr>
          <w:hyperlink w:anchor="_Toc219800157" w:history="1">
            <w:r w:rsidRPr="00F336C1">
              <w:rPr>
                <w:rStyle w:val="Hyperlink"/>
                <w:noProof/>
              </w:rPr>
              <w:t>Public Involvement</w:t>
            </w:r>
            <w:r>
              <w:rPr>
                <w:noProof/>
                <w:webHidden/>
              </w:rPr>
              <w:tab/>
            </w:r>
            <w:r>
              <w:rPr>
                <w:noProof/>
                <w:webHidden/>
              </w:rPr>
              <w:fldChar w:fldCharType="begin"/>
            </w:r>
            <w:r>
              <w:rPr>
                <w:noProof/>
                <w:webHidden/>
              </w:rPr>
              <w:instrText xml:space="preserve"> PAGEREF _Toc219800157 \h </w:instrText>
            </w:r>
            <w:r>
              <w:rPr>
                <w:noProof/>
                <w:webHidden/>
              </w:rPr>
            </w:r>
            <w:r>
              <w:rPr>
                <w:noProof/>
                <w:webHidden/>
              </w:rPr>
              <w:fldChar w:fldCharType="separate"/>
            </w:r>
            <w:r w:rsidR="0035419E">
              <w:rPr>
                <w:noProof/>
                <w:webHidden/>
              </w:rPr>
              <w:t>15</w:t>
            </w:r>
            <w:r>
              <w:rPr>
                <w:noProof/>
                <w:webHidden/>
              </w:rPr>
              <w:fldChar w:fldCharType="end"/>
            </w:r>
          </w:hyperlink>
        </w:p>
        <w:p w14:paraId="59107FCD" w14:textId="22B0CFC0" w:rsidR="00C666EE" w:rsidRDefault="00C666EE">
          <w:pPr>
            <w:pStyle w:val="TOC3"/>
            <w:rPr>
              <w:rFonts w:eastAsiaTheme="minorEastAsia" w:cstheme="minorBidi"/>
              <w:noProof/>
              <w:kern w:val="2"/>
              <w:sz w:val="24"/>
              <w:szCs w:val="24"/>
              <w:lang w:bidi="ar-SA"/>
              <w14:ligatures w14:val="standardContextual"/>
            </w:rPr>
          </w:pPr>
          <w:hyperlink w:anchor="_Toc219800158" w:history="1">
            <w:r w:rsidRPr="00F336C1">
              <w:rPr>
                <w:rStyle w:val="Hyperlink"/>
                <w:noProof/>
              </w:rPr>
              <w:t>Need for Further Analysis</w:t>
            </w:r>
            <w:r>
              <w:rPr>
                <w:noProof/>
                <w:webHidden/>
              </w:rPr>
              <w:tab/>
            </w:r>
            <w:r>
              <w:rPr>
                <w:noProof/>
                <w:webHidden/>
              </w:rPr>
              <w:fldChar w:fldCharType="begin"/>
            </w:r>
            <w:r>
              <w:rPr>
                <w:noProof/>
                <w:webHidden/>
              </w:rPr>
              <w:instrText xml:space="preserve"> PAGEREF _Toc219800158 \h </w:instrText>
            </w:r>
            <w:r>
              <w:rPr>
                <w:noProof/>
                <w:webHidden/>
              </w:rPr>
            </w:r>
            <w:r>
              <w:rPr>
                <w:noProof/>
                <w:webHidden/>
              </w:rPr>
              <w:fldChar w:fldCharType="separate"/>
            </w:r>
            <w:r w:rsidR="0035419E">
              <w:rPr>
                <w:noProof/>
                <w:webHidden/>
              </w:rPr>
              <w:t>18</w:t>
            </w:r>
            <w:r>
              <w:rPr>
                <w:noProof/>
                <w:webHidden/>
              </w:rPr>
              <w:fldChar w:fldCharType="end"/>
            </w:r>
          </w:hyperlink>
        </w:p>
        <w:p w14:paraId="6903C21F" w14:textId="5C140A3E" w:rsidR="00C666EE" w:rsidRDefault="00C666EE">
          <w:pPr>
            <w:pStyle w:val="TOC3"/>
            <w:rPr>
              <w:rFonts w:eastAsiaTheme="minorEastAsia" w:cstheme="minorBidi"/>
              <w:noProof/>
              <w:kern w:val="2"/>
              <w:sz w:val="24"/>
              <w:szCs w:val="24"/>
              <w:lang w:bidi="ar-SA"/>
              <w14:ligatures w14:val="standardContextual"/>
            </w:rPr>
          </w:pPr>
          <w:hyperlink w:anchor="_Toc219800159" w:history="1">
            <w:r w:rsidRPr="00F336C1">
              <w:rPr>
                <w:rStyle w:val="Hyperlink"/>
                <w:noProof/>
              </w:rPr>
              <w:t>Conclusions and Findings</w:t>
            </w:r>
            <w:r>
              <w:rPr>
                <w:noProof/>
                <w:webHidden/>
              </w:rPr>
              <w:tab/>
            </w:r>
            <w:r>
              <w:rPr>
                <w:noProof/>
                <w:webHidden/>
              </w:rPr>
              <w:fldChar w:fldCharType="begin"/>
            </w:r>
            <w:r>
              <w:rPr>
                <w:noProof/>
                <w:webHidden/>
              </w:rPr>
              <w:instrText xml:space="preserve"> PAGEREF _Toc219800159 \h </w:instrText>
            </w:r>
            <w:r>
              <w:rPr>
                <w:noProof/>
                <w:webHidden/>
              </w:rPr>
            </w:r>
            <w:r>
              <w:rPr>
                <w:noProof/>
                <w:webHidden/>
              </w:rPr>
              <w:fldChar w:fldCharType="separate"/>
            </w:r>
            <w:r w:rsidR="0035419E">
              <w:rPr>
                <w:noProof/>
                <w:webHidden/>
              </w:rPr>
              <w:t>20</w:t>
            </w:r>
            <w:r>
              <w:rPr>
                <w:noProof/>
                <w:webHidden/>
              </w:rPr>
              <w:fldChar w:fldCharType="end"/>
            </w:r>
          </w:hyperlink>
        </w:p>
        <w:p w14:paraId="503B199E" w14:textId="09543B62" w:rsidR="00C666EE" w:rsidRDefault="00C666EE">
          <w:pPr>
            <w:pStyle w:val="TOC2"/>
            <w:rPr>
              <w:rFonts w:eastAsiaTheme="minorEastAsia" w:cstheme="minorBidi"/>
              <w:kern w:val="2"/>
              <w:sz w:val="24"/>
              <w:szCs w:val="24"/>
              <w:lang w:bidi="ar-SA"/>
              <w14:ligatures w14:val="standardContextual"/>
            </w:rPr>
          </w:pPr>
          <w:hyperlink w:anchor="_Toc219800160" w:history="1">
            <w:r w:rsidRPr="00F336C1">
              <w:rPr>
                <w:rStyle w:val="Hyperlink"/>
              </w:rPr>
              <w:t>Preparation</w:t>
            </w:r>
            <w:r>
              <w:rPr>
                <w:webHidden/>
              </w:rPr>
              <w:tab/>
            </w:r>
            <w:r>
              <w:rPr>
                <w:webHidden/>
              </w:rPr>
              <w:fldChar w:fldCharType="begin"/>
            </w:r>
            <w:r>
              <w:rPr>
                <w:webHidden/>
              </w:rPr>
              <w:instrText xml:space="preserve"> PAGEREF _Toc219800160 \h </w:instrText>
            </w:r>
            <w:r>
              <w:rPr>
                <w:webHidden/>
              </w:rPr>
            </w:r>
            <w:r>
              <w:rPr>
                <w:webHidden/>
              </w:rPr>
              <w:fldChar w:fldCharType="separate"/>
            </w:r>
            <w:r w:rsidR="0035419E">
              <w:rPr>
                <w:webHidden/>
              </w:rPr>
              <w:t>21</w:t>
            </w:r>
            <w:r>
              <w:rPr>
                <w:webHidden/>
              </w:rPr>
              <w:fldChar w:fldCharType="end"/>
            </w:r>
          </w:hyperlink>
        </w:p>
        <w:p w14:paraId="0652B3FE" w14:textId="3370548E" w:rsidR="00C666EE" w:rsidRDefault="00C666EE">
          <w:pPr>
            <w:pStyle w:val="TOC2"/>
            <w:rPr>
              <w:rFonts w:eastAsiaTheme="minorEastAsia" w:cstheme="minorBidi"/>
              <w:kern w:val="2"/>
              <w:sz w:val="24"/>
              <w:szCs w:val="24"/>
              <w:lang w:bidi="ar-SA"/>
              <w14:ligatures w14:val="standardContextual"/>
            </w:rPr>
          </w:pPr>
          <w:hyperlink w:anchor="_Toc219800161" w:history="1">
            <w:r w:rsidRPr="00F336C1">
              <w:rPr>
                <w:rStyle w:val="Hyperlink"/>
              </w:rPr>
              <w:t>References</w:t>
            </w:r>
            <w:r>
              <w:rPr>
                <w:webHidden/>
              </w:rPr>
              <w:tab/>
            </w:r>
            <w:r>
              <w:rPr>
                <w:webHidden/>
              </w:rPr>
              <w:fldChar w:fldCharType="begin"/>
            </w:r>
            <w:r>
              <w:rPr>
                <w:webHidden/>
              </w:rPr>
              <w:instrText xml:space="preserve"> PAGEREF _Toc219800161 \h </w:instrText>
            </w:r>
            <w:r>
              <w:rPr>
                <w:webHidden/>
              </w:rPr>
            </w:r>
            <w:r>
              <w:rPr>
                <w:webHidden/>
              </w:rPr>
              <w:fldChar w:fldCharType="separate"/>
            </w:r>
            <w:r w:rsidR="0035419E">
              <w:rPr>
                <w:webHidden/>
              </w:rPr>
              <w:t>22</w:t>
            </w:r>
            <w:r>
              <w:rPr>
                <w:webHidden/>
              </w:rPr>
              <w:fldChar w:fldCharType="end"/>
            </w:r>
          </w:hyperlink>
        </w:p>
        <w:p w14:paraId="7C899809" w14:textId="2DCFD8D6" w:rsidR="00B330A2" w:rsidRDefault="00B330A2" w:rsidP="007B2CE6">
          <w:pPr>
            <w:pStyle w:val="TOC1"/>
            <w:rPr>
              <w:rStyle w:val="Hyperlink"/>
              <w:kern w:val="2"/>
              <w:lang w:bidi="ar-SA"/>
              <w14:ligatures w14:val="standardContextual"/>
            </w:rPr>
          </w:pPr>
          <w:r>
            <w:fldChar w:fldCharType="end"/>
          </w:r>
        </w:p>
      </w:sdtContent>
    </w:sdt>
    <w:p w14:paraId="0904B727" w14:textId="4CD675D4" w:rsidR="00746BB0" w:rsidRDefault="00746BB0"/>
    <w:p w14:paraId="022F0F13" w14:textId="77777777" w:rsidR="00B3415D" w:rsidRPr="00CA41EC" w:rsidRDefault="00B3415D" w:rsidP="00B3415D">
      <w:pPr>
        <w:rPr>
          <w:rFonts w:cstheme="minorHAnsi"/>
          <w:lang w:bidi="ar-SA"/>
        </w:rPr>
      </w:pPr>
    </w:p>
    <w:p w14:paraId="278CD2E4" w14:textId="36050D83" w:rsidR="000F1937" w:rsidRDefault="000F1937" w:rsidP="00B3415D">
      <w:pPr>
        <w:rPr>
          <w:rFonts w:cstheme="minorHAnsi"/>
        </w:rPr>
      </w:pPr>
    </w:p>
    <w:p w14:paraId="5C8628C5" w14:textId="1FF6C7AF" w:rsidR="00802E6A" w:rsidRDefault="00802E6A">
      <w:pPr>
        <w:widowControl/>
        <w:autoSpaceDE/>
        <w:autoSpaceDN/>
        <w:spacing w:after="160" w:line="259" w:lineRule="auto"/>
        <w:jc w:val="left"/>
        <w:rPr>
          <w:rFonts w:cstheme="minorHAnsi"/>
        </w:rPr>
      </w:pPr>
      <w:r>
        <w:rPr>
          <w:rFonts w:cstheme="minorHAnsi"/>
        </w:rPr>
        <w:br w:type="page"/>
      </w:r>
    </w:p>
    <w:p w14:paraId="73F15FCC" w14:textId="0050C0AC" w:rsidR="00647288" w:rsidRDefault="1FFE2709" w:rsidP="27F276F4">
      <w:pPr>
        <w:pStyle w:val="Heading2"/>
        <w:jc w:val="center"/>
      </w:pPr>
      <w:bookmarkStart w:id="2" w:name="_Toc196305900"/>
      <w:bookmarkStart w:id="3" w:name="_Toc829476446"/>
      <w:bookmarkStart w:id="4" w:name="_Toc219800149"/>
      <w:r>
        <w:lastRenderedPageBreak/>
        <w:t>Overview of Proposed Action</w:t>
      </w:r>
      <w:bookmarkEnd w:id="2"/>
      <w:bookmarkEnd w:id="3"/>
      <w:bookmarkEnd w:id="4"/>
    </w:p>
    <w:p w14:paraId="7D0A3E65" w14:textId="6EDA3EB3" w:rsidR="00B3415D" w:rsidRPr="00756D6D" w:rsidRDefault="3BB102BB" w:rsidP="00756D6D">
      <w:pPr>
        <w:pStyle w:val="Heading3"/>
      </w:pPr>
      <w:bookmarkStart w:id="5" w:name="_Toc196305901"/>
      <w:bookmarkStart w:id="6" w:name="_Toc219800150"/>
      <w:r>
        <w:t xml:space="preserve">Background and </w:t>
      </w:r>
      <w:r w:rsidR="14CD5ED4">
        <w:t>Authorizing Action</w:t>
      </w:r>
      <w:bookmarkEnd w:id="5"/>
      <w:bookmarkEnd w:id="6"/>
    </w:p>
    <w:p w14:paraId="3BD7B080" w14:textId="003BDD9D" w:rsidR="00803F67" w:rsidRPr="006465B9" w:rsidRDefault="7422183F" w:rsidP="27F276F4">
      <w:pPr>
        <w:rPr>
          <w:rFonts w:eastAsiaTheme="minorEastAsia"/>
          <w:b/>
        </w:rPr>
      </w:pPr>
      <w:r w:rsidRPr="27F276F4">
        <w:rPr>
          <w:rFonts w:eastAsiaTheme="minorEastAsia"/>
        </w:rPr>
        <w:t xml:space="preserve">DEQ implements the Clean Air Act of Montana, overseeing the development of Signal Peak Energy, LLC. – Bull Mountain Mine (Signal Peak) and associated facilities. Additionally, </w:t>
      </w:r>
      <w:r>
        <w:t>p</w:t>
      </w:r>
      <w:r w:rsidR="24F50B57">
        <w:t>ursuant to</w:t>
      </w:r>
      <w:r w:rsidR="39F90E11">
        <w:t xml:space="preserve"> </w:t>
      </w:r>
      <w:r w:rsidR="142F9C3F" w:rsidRPr="27F276F4">
        <w:rPr>
          <w:rFonts w:eastAsiaTheme="minorEastAsia"/>
          <w:lang w:bidi="ar-SA"/>
        </w:rPr>
        <w:t xml:space="preserve">the Montana Environmental Policy Act (MEPA), Montana agencies are required to prepare an environmental review for state actions that may have an impact on the </w:t>
      </w:r>
      <w:r w:rsidR="6CBB592F" w:rsidRPr="27F276F4">
        <w:rPr>
          <w:rFonts w:eastAsiaTheme="minorEastAsia"/>
          <w:lang w:bidi="ar-SA"/>
        </w:rPr>
        <w:t>Montana</w:t>
      </w:r>
      <w:r w:rsidR="142F9C3F" w:rsidRPr="27F276F4">
        <w:rPr>
          <w:rFonts w:eastAsiaTheme="minorEastAsia"/>
          <w:lang w:bidi="ar-SA"/>
        </w:rPr>
        <w:t xml:space="preserve"> environment. The Proposed Action is a state action that may have an impact on the </w:t>
      </w:r>
      <w:r w:rsidR="6CBB592F" w:rsidRPr="27F276F4">
        <w:rPr>
          <w:rFonts w:eastAsiaTheme="minorEastAsia"/>
          <w:lang w:bidi="ar-SA"/>
        </w:rPr>
        <w:t>Montana</w:t>
      </w:r>
      <w:r w:rsidR="142F9C3F" w:rsidRPr="27F276F4">
        <w:rPr>
          <w:rFonts w:eastAsiaTheme="minorEastAsia"/>
          <w:lang w:bidi="ar-SA"/>
        </w:rPr>
        <w:t xml:space="preserve"> environment</w:t>
      </w:r>
      <w:r w:rsidR="7CC99B23" w:rsidRPr="27F276F4">
        <w:rPr>
          <w:rFonts w:eastAsiaTheme="minorEastAsia"/>
          <w:lang w:bidi="ar-SA"/>
        </w:rPr>
        <w:t>;</w:t>
      </w:r>
      <w:r w:rsidR="142F9C3F" w:rsidRPr="27F276F4">
        <w:rPr>
          <w:rFonts w:eastAsiaTheme="minorEastAsia"/>
          <w:lang w:bidi="ar-SA"/>
        </w:rPr>
        <w:t xml:space="preserve"> therefore, the </w:t>
      </w:r>
      <w:r w:rsidR="7CC99B23" w:rsidRPr="27F276F4">
        <w:rPr>
          <w:rFonts w:eastAsiaTheme="minorEastAsia"/>
          <w:lang w:bidi="ar-SA"/>
        </w:rPr>
        <w:t xml:space="preserve">Montana </w:t>
      </w:r>
      <w:r w:rsidR="142F9C3F" w:rsidRPr="27F276F4">
        <w:rPr>
          <w:rFonts w:eastAsiaTheme="minorEastAsia"/>
          <w:lang w:bidi="ar-SA"/>
        </w:rPr>
        <w:t>Department of Environmental Quality (DEQ) must prepare an environmental review</w:t>
      </w:r>
      <w:r w:rsidR="698C79EB" w:rsidRPr="27F276F4">
        <w:rPr>
          <w:rFonts w:eastAsiaTheme="minorEastAsia"/>
          <w:lang w:bidi="ar-SA"/>
        </w:rPr>
        <w:t>, which was issued final on December 4, 2023</w:t>
      </w:r>
      <w:r w:rsidR="142F9C3F" w:rsidRPr="27F276F4">
        <w:rPr>
          <w:rFonts w:eastAsiaTheme="minorEastAsia"/>
          <w:lang w:bidi="ar-SA"/>
        </w:rPr>
        <w:t xml:space="preserve">. </w:t>
      </w:r>
    </w:p>
    <w:p w14:paraId="050445B9" w14:textId="77777777" w:rsidR="00803F67" w:rsidRDefault="00803F67" w:rsidP="00803F67">
      <w:pPr>
        <w:rPr>
          <w:rFonts w:eastAsiaTheme="minorEastAsia"/>
          <w:lang w:bidi="ar-SA"/>
        </w:rPr>
      </w:pPr>
    </w:p>
    <w:p w14:paraId="1DCC59A8" w14:textId="167B50FE" w:rsidR="00803F67" w:rsidRDefault="00803F67" w:rsidP="00803F67">
      <w:pPr>
        <w:rPr>
          <w:rFonts w:eastAsiaTheme="minorEastAsia"/>
          <w:lang w:bidi="ar-SA"/>
        </w:rPr>
      </w:pPr>
      <w:r w:rsidRPr="590349C5">
        <w:rPr>
          <w:rFonts w:eastAsiaTheme="minorEastAsia"/>
          <w:lang w:bidi="ar-SA"/>
        </w:rPr>
        <w:t xml:space="preserve">Previously, DEQ completed an Environmental Assessment (EA) under MEPA for Montana Air Quality Permit (MAQP) </w:t>
      </w:r>
      <w:bookmarkStart w:id="7" w:name="_Hlk213672429"/>
      <w:r w:rsidRPr="590349C5">
        <w:rPr>
          <w:rFonts w:eastAsiaTheme="minorEastAsia"/>
          <w:lang w:bidi="ar-SA"/>
        </w:rPr>
        <w:t xml:space="preserve">#3179-13 </w:t>
      </w:r>
      <w:bookmarkEnd w:id="7"/>
      <w:r w:rsidRPr="590349C5">
        <w:rPr>
          <w:rFonts w:eastAsiaTheme="minorEastAsia"/>
          <w:lang w:bidi="ar-SA"/>
        </w:rPr>
        <w:t xml:space="preserve">in conjunction with application approval. The EA, however, did not include an assessment of either greenhouse gas emissions (GHG) or climate impacts that could result from the proposed action. </w:t>
      </w:r>
    </w:p>
    <w:p w14:paraId="61759A18" w14:textId="77777777" w:rsidR="00803F67" w:rsidRDefault="00803F67" w:rsidP="00803F67">
      <w:pPr>
        <w:rPr>
          <w:rFonts w:eastAsiaTheme="minorEastAsia"/>
          <w:lang w:bidi="ar-SA"/>
        </w:rPr>
      </w:pPr>
    </w:p>
    <w:p w14:paraId="1B640279" w14:textId="255C0C36" w:rsidR="00803F67" w:rsidRDefault="00803F67" w:rsidP="00803F67">
      <w:pPr>
        <w:rPr>
          <w:rFonts w:eastAsiaTheme="minorEastAsia"/>
          <w:lang w:bidi="ar-SA"/>
        </w:rPr>
      </w:pPr>
      <w:r w:rsidRPr="590349C5">
        <w:rPr>
          <w:rFonts w:eastAsiaTheme="minorEastAsia"/>
          <w:lang w:bidi="ar-SA"/>
        </w:rPr>
        <w:t xml:space="preserve">On January 2, 2024, Montana Environmental Information Center (MEIC) timely filed a MEPA challenge in Montana’s Fourteenth Judicial District, </w:t>
      </w:r>
      <w:r w:rsidRPr="590349C5">
        <w:rPr>
          <w:rFonts w:eastAsiaTheme="minorEastAsia"/>
          <w:i/>
          <w:lang w:bidi="ar-SA"/>
        </w:rPr>
        <w:t>MEIC v. Mont. DEQ</w:t>
      </w:r>
      <w:r w:rsidRPr="590349C5">
        <w:rPr>
          <w:rFonts w:eastAsiaTheme="minorEastAsia"/>
          <w:lang w:bidi="ar-SA"/>
        </w:rPr>
        <w:t>, DV-2024-00006, under MAQP #3179-13, alleging DEQ erred by failing to consider GHG and climate impacts from the permit.</w:t>
      </w:r>
    </w:p>
    <w:p w14:paraId="13B7A5EE" w14:textId="77777777" w:rsidR="00803F67" w:rsidRDefault="00803F67" w:rsidP="00803F67">
      <w:pPr>
        <w:rPr>
          <w:rFonts w:eastAsiaTheme="minorEastAsia"/>
          <w:lang w:bidi="ar-SA"/>
        </w:rPr>
      </w:pPr>
    </w:p>
    <w:p w14:paraId="0D100D7E" w14:textId="656D65D7" w:rsidR="00803F67" w:rsidRDefault="00803F67" w:rsidP="00803F67">
      <w:pPr>
        <w:rPr>
          <w:rFonts w:eastAsiaTheme="minorEastAsia"/>
          <w:lang w:bidi="ar-SA"/>
        </w:rPr>
      </w:pPr>
      <w:r w:rsidRPr="590349C5">
        <w:rPr>
          <w:rFonts w:eastAsiaTheme="minorEastAsia"/>
          <w:lang w:bidi="ar-SA"/>
        </w:rPr>
        <w:t xml:space="preserve">On December 18, 2024, the Montana Supreme Court affirmed in a separate case, </w:t>
      </w:r>
      <w:proofErr w:type="gramStart"/>
      <w:r w:rsidRPr="590349C5">
        <w:rPr>
          <w:rFonts w:eastAsiaTheme="minorEastAsia"/>
          <w:i/>
          <w:lang w:bidi="ar-SA"/>
        </w:rPr>
        <w:t>Held</w:t>
      </w:r>
      <w:proofErr w:type="gramEnd"/>
      <w:r w:rsidRPr="590349C5">
        <w:rPr>
          <w:rFonts w:eastAsiaTheme="minorEastAsia"/>
          <w:i/>
          <w:lang w:bidi="ar-SA"/>
        </w:rPr>
        <w:t xml:space="preserve"> v. State</w:t>
      </w:r>
      <w:r w:rsidRPr="590349C5">
        <w:rPr>
          <w:rFonts w:eastAsiaTheme="minorEastAsia"/>
          <w:lang w:bidi="ar-SA"/>
        </w:rPr>
        <w:t xml:space="preserve">, 2024 MT 312, 419 Mont. 403, 560 P.3d 1235, that MEPA’s prohibition on considering GHGs, formerly appearing at § 75-1-201(2)(a), MCA, violated the constitutional right to a Clean and Healthful Environment enumerated in Montana’s constitution. </w:t>
      </w:r>
    </w:p>
    <w:p w14:paraId="5F452D96" w14:textId="77777777" w:rsidR="00FE168F" w:rsidRDefault="00FE168F" w:rsidP="00803F67">
      <w:pPr>
        <w:rPr>
          <w:rFonts w:eastAsiaTheme="minorEastAsia"/>
          <w:lang w:bidi="ar-SA"/>
        </w:rPr>
      </w:pPr>
    </w:p>
    <w:p w14:paraId="5F8885E2" w14:textId="733BEF29" w:rsidR="00FE168F" w:rsidRPr="007B2CE6" w:rsidRDefault="00A8D196" w:rsidP="27F276F4">
      <w:pPr>
        <w:rPr>
          <w:rFonts w:eastAsiaTheme="minorEastAsia"/>
          <w:lang w:bidi="ar-SA"/>
        </w:rPr>
      </w:pPr>
      <w:r w:rsidRPr="27F276F4">
        <w:rPr>
          <w:rFonts w:eastAsiaTheme="minorEastAsia"/>
          <w:lang w:bidi="ar-SA"/>
        </w:rPr>
        <w:t xml:space="preserve">Additionally, of import, the Montana Legislature, in response to the Montana Supreme Court’s decision in </w:t>
      </w:r>
      <w:r w:rsidRPr="27F276F4">
        <w:rPr>
          <w:rFonts w:eastAsiaTheme="minorEastAsia"/>
          <w:i/>
          <w:iCs/>
          <w:lang w:bidi="ar-SA"/>
        </w:rPr>
        <w:t>Held</w:t>
      </w:r>
      <w:r w:rsidRPr="27F276F4">
        <w:rPr>
          <w:rFonts w:eastAsiaTheme="minorEastAsia"/>
          <w:lang w:bidi="ar-SA"/>
        </w:rPr>
        <w:t xml:space="preserve">, </w:t>
      </w:r>
      <w:r w:rsidR="5E833681" w:rsidRPr="27F276F4">
        <w:rPr>
          <w:rFonts w:eastAsiaTheme="minorEastAsia"/>
          <w:lang w:bidi="ar-SA"/>
        </w:rPr>
        <w:t xml:space="preserve">passed during the 2025 legislative session several MEPA bills, including Senate Bill 221. This Bill was signed into law on May 1, 2025. SB 221 requires that DEQ and other state agencies conduct a GHG analysis under MEPA for projects defined as “fossil fuel projects” while limiting analysis to impacts to Montana’s environment proximately caused by the action proposed. Additionally, SB 221 gave state agencies ample discretion to consider GHG impacts caused by non-fossil fuel projects, when deemed appropriate. </w:t>
      </w:r>
    </w:p>
    <w:p w14:paraId="36AF6FC0" w14:textId="77777777" w:rsidR="00803F67" w:rsidRDefault="00803F67" w:rsidP="00756D6D">
      <w:pPr>
        <w:pStyle w:val="Heading3"/>
        <w:rPr>
          <w:rFonts w:eastAsiaTheme="minorEastAsia"/>
          <w:b w:val="0"/>
          <w:sz w:val="22"/>
          <w:szCs w:val="22"/>
          <w:lang w:bidi="ar-SA"/>
        </w:rPr>
      </w:pPr>
    </w:p>
    <w:p w14:paraId="5A4AE18A" w14:textId="47062C47" w:rsidR="00803F67" w:rsidRDefault="00803F67" w:rsidP="00803F67">
      <w:pPr>
        <w:rPr>
          <w:rFonts w:eastAsiaTheme="minorEastAsia"/>
          <w:lang w:bidi="ar-SA"/>
        </w:rPr>
      </w:pPr>
      <w:r w:rsidRPr="590349C5">
        <w:rPr>
          <w:rFonts w:eastAsiaTheme="minorEastAsia"/>
          <w:lang w:bidi="ar-SA"/>
        </w:rPr>
        <w:t xml:space="preserve">On October 16, 2025, MEIC </w:t>
      </w:r>
      <w:r w:rsidR="00FE168F" w:rsidRPr="590349C5">
        <w:rPr>
          <w:rFonts w:eastAsiaTheme="minorEastAsia"/>
          <w:lang w:bidi="ar-SA"/>
        </w:rPr>
        <w:t xml:space="preserve">and DEQ filed a joint motion for voluntary remand with Montana’s Fourteenth Judicial District for purposes of permitting DEQ to conduct </w:t>
      </w:r>
      <w:proofErr w:type="gramStart"/>
      <w:r w:rsidR="00FE168F" w:rsidRPr="590349C5">
        <w:rPr>
          <w:rFonts w:eastAsiaTheme="minorEastAsia"/>
          <w:lang w:bidi="ar-SA"/>
        </w:rPr>
        <w:t>a GHG</w:t>
      </w:r>
      <w:proofErr w:type="gramEnd"/>
      <w:r w:rsidR="00FE168F" w:rsidRPr="590349C5">
        <w:rPr>
          <w:rFonts w:eastAsiaTheme="minorEastAsia"/>
          <w:lang w:bidi="ar-SA"/>
        </w:rPr>
        <w:t xml:space="preserve"> and climate analysis in a supplemental environmental review</w:t>
      </w:r>
      <w:r w:rsidR="00480133" w:rsidRPr="590349C5">
        <w:rPr>
          <w:rFonts w:eastAsiaTheme="minorEastAsia"/>
          <w:lang w:bidi="ar-SA"/>
        </w:rPr>
        <w:t xml:space="preserve"> for MAQP #3179-13</w:t>
      </w:r>
      <w:r w:rsidR="00FE168F" w:rsidRPr="590349C5">
        <w:rPr>
          <w:rFonts w:eastAsiaTheme="minorEastAsia"/>
          <w:lang w:bidi="ar-SA"/>
        </w:rPr>
        <w:t>. The Court granted that motion on October 20, 2025.</w:t>
      </w:r>
    </w:p>
    <w:p w14:paraId="4AA65A32" w14:textId="77777777" w:rsidR="00FE168F" w:rsidRPr="00803F67" w:rsidRDefault="00FE168F" w:rsidP="27F276F4">
      <w:pPr>
        <w:rPr>
          <w:rFonts w:eastAsiaTheme="minorEastAsia"/>
          <w:lang w:bidi="ar-SA"/>
        </w:rPr>
      </w:pPr>
    </w:p>
    <w:p w14:paraId="6E6F12E4" w14:textId="51389BD7" w:rsidR="00DD36C3" w:rsidRPr="00561ECA" w:rsidRDefault="00A8D196" w:rsidP="00AE458E">
      <w:pPr>
        <w:rPr>
          <w:rFonts w:eastAsiaTheme="minorEastAsia"/>
          <w:b/>
          <w:bCs/>
          <w:lang w:bidi="ar-SA"/>
        </w:rPr>
      </w:pPr>
      <w:bookmarkStart w:id="8" w:name="_Toc1140833888"/>
      <w:r w:rsidRPr="27F276F4">
        <w:rPr>
          <w:rFonts w:eastAsiaTheme="minorEastAsia"/>
          <w:lang w:bidi="ar-SA"/>
        </w:rPr>
        <w:t>Consistent with the Court’s grant of a voluntary remand</w:t>
      </w:r>
      <w:r w:rsidR="5E833681" w:rsidRPr="27F276F4">
        <w:rPr>
          <w:rFonts w:eastAsiaTheme="minorEastAsia"/>
          <w:lang w:bidi="ar-SA"/>
        </w:rPr>
        <w:t xml:space="preserve">, </w:t>
      </w:r>
      <w:r w:rsidR="5E833681" w:rsidRPr="00753343">
        <w:rPr>
          <w:rFonts w:eastAsiaTheme="minorEastAsia"/>
          <w:lang w:bidi="ar-SA"/>
        </w:rPr>
        <w:t>DEQ’s discretion to consider GHG and climate impacts from non-fossil fuel activities under SB 221</w:t>
      </w:r>
      <w:r w:rsidR="5E833681" w:rsidRPr="27F276F4">
        <w:rPr>
          <w:rFonts w:eastAsiaTheme="minorEastAsia"/>
          <w:lang w:bidi="ar-SA"/>
        </w:rPr>
        <w:t>, and</w:t>
      </w:r>
      <w:r w:rsidRPr="27F276F4">
        <w:rPr>
          <w:rFonts w:eastAsiaTheme="minorEastAsia"/>
          <w:lang w:bidi="ar-SA"/>
        </w:rPr>
        <w:t xml:space="preserve"> commensurate with the Montana Supreme Court’s holding in </w:t>
      </w:r>
      <w:r w:rsidRPr="27F276F4">
        <w:rPr>
          <w:rFonts w:eastAsiaTheme="minorEastAsia"/>
          <w:i/>
          <w:iCs/>
          <w:lang w:bidi="ar-SA"/>
        </w:rPr>
        <w:t>Held</w:t>
      </w:r>
      <w:r w:rsidRPr="27F276F4">
        <w:rPr>
          <w:rFonts w:eastAsiaTheme="minorEastAsia"/>
          <w:lang w:bidi="ar-SA"/>
        </w:rPr>
        <w:t>,</w:t>
      </w:r>
      <w:r w:rsidR="3D50BE25" w:rsidRPr="27F276F4">
        <w:rPr>
          <w:rFonts w:eastAsiaTheme="minorEastAsia"/>
          <w:lang w:bidi="ar-SA"/>
        </w:rPr>
        <w:t xml:space="preserve"> t</w:t>
      </w:r>
      <w:r w:rsidR="142F9C3F" w:rsidRPr="27F276F4">
        <w:rPr>
          <w:rFonts w:eastAsiaTheme="minorEastAsia"/>
          <w:lang w:bidi="ar-SA"/>
        </w:rPr>
        <w:t xml:space="preserve">his </w:t>
      </w:r>
      <w:r w:rsidR="50A4380B" w:rsidRPr="27F276F4">
        <w:rPr>
          <w:rFonts w:eastAsiaTheme="minorEastAsia"/>
          <w:lang w:bidi="ar-SA"/>
        </w:rPr>
        <w:t xml:space="preserve">Supplemental </w:t>
      </w:r>
      <w:r w:rsidR="142F9C3F" w:rsidRPr="27F276F4">
        <w:rPr>
          <w:rFonts w:eastAsiaTheme="minorEastAsia"/>
          <w:lang w:bidi="ar-SA"/>
        </w:rPr>
        <w:t>EA examine</w:t>
      </w:r>
      <w:r w:rsidR="3D50BE25" w:rsidRPr="27F276F4">
        <w:rPr>
          <w:rFonts w:eastAsiaTheme="minorEastAsia"/>
          <w:lang w:bidi="ar-SA"/>
        </w:rPr>
        <w:t>s</w:t>
      </w:r>
      <w:r w:rsidR="142F9C3F" w:rsidRPr="27F276F4">
        <w:rPr>
          <w:rFonts w:eastAsiaTheme="minorEastAsia"/>
          <w:lang w:bidi="ar-SA"/>
        </w:rPr>
        <w:t xml:space="preserve"> the proposed action and alternatives to the proposed action</w:t>
      </w:r>
      <w:r w:rsidR="698C79EB" w:rsidRPr="27F276F4">
        <w:rPr>
          <w:rFonts w:eastAsiaTheme="minorEastAsia"/>
          <w:lang w:bidi="ar-SA"/>
        </w:rPr>
        <w:t>, assesses GHG emissions,</w:t>
      </w:r>
      <w:r w:rsidR="142F9C3F" w:rsidRPr="27F276F4">
        <w:rPr>
          <w:rFonts w:eastAsiaTheme="minorEastAsia"/>
          <w:lang w:bidi="ar-SA"/>
        </w:rPr>
        <w:t xml:space="preserve"> and disclose</w:t>
      </w:r>
      <w:r w:rsidR="3D50BE25" w:rsidRPr="27F276F4">
        <w:rPr>
          <w:rFonts w:eastAsiaTheme="minorEastAsia"/>
          <w:lang w:bidi="ar-SA"/>
        </w:rPr>
        <w:t>s</w:t>
      </w:r>
      <w:r w:rsidR="142F9C3F" w:rsidRPr="27F276F4">
        <w:rPr>
          <w:rFonts w:eastAsiaTheme="minorEastAsia"/>
          <w:lang w:bidi="ar-SA"/>
        </w:rPr>
        <w:t xml:space="preserve"> potential </w:t>
      </w:r>
      <w:r w:rsidR="6CBB592F" w:rsidRPr="27F276F4">
        <w:rPr>
          <w:rFonts w:eastAsiaTheme="minorEastAsia"/>
          <w:lang w:bidi="ar-SA"/>
        </w:rPr>
        <w:t xml:space="preserve">and proximate </w:t>
      </w:r>
      <w:r w:rsidR="3D50BE25" w:rsidRPr="27F276F4">
        <w:rPr>
          <w:rFonts w:eastAsiaTheme="minorEastAsia"/>
          <w:lang w:bidi="ar-SA"/>
        </w:rPr>
        <w:t xml:space="preserve">climate </w:t>
      </w:r>
      <w:r w:rsidR="142F9C3F" w:rsidRPr="27F276F4">
        <w:rPr>
          <w:rFonts w:eastAsiaTheme="minorEastAsia"/>
          <w:lang w:bidi="ar-SA"/>
        </w:rPr>
        <w:t>impacts that may result from the proposed and alternative actions. DEQ will determine the need for additional environmental review based on consideration of the criteria set forth in Administrative Rules of Montana (ARM) 17.4.608.</w:t>
      </w:r>
      <w:bookmarkStart w:id="9" w:name="_Toc196305902"/>
      <w:bookmarkEnd w:id="8"/>
    </w:p>
    <w:p w14:paraId="47EE6291" w14:textId="71B1A87D" w:rsidR="0035483C" w:rsidRPr="0075004C" w:rsidRDefault="0035483C" w:rsidP="27F276F4">
      <w:pPr>
        <w:pStyle w:val="BodyText"/>
        <w:rPr>
          <w:rFonts w:eastAsiaTheme="minorEastAsia"/>
          <w:lang w:bidi="ar-SA"/>
        </w:rPr>
      </w:pPr>
      <w:bookmarkStart w:id="10" w:name="_Toc63946610"/>
      <w:bookmarkEnd w:id="9"/>
    </w:p>
    <w:p w14:paraId="3798427F" w14:textId="77777777" w:rsidR="005148DA" w:rsidRPr="0075004C" w:rsidRDefault="005148DA" w:rsidP="27F276F4">
      <w:pPr>
        <w:pStyle w:val="BodyText"/>
        <w:rPr>
          <w:rFonts w:eastAsiaTheme="minorEastAsia"/>
          <w:lang w:bidi="ar-SA"/>
        </w:rPr>
      </w:pPr>
    </w:p>
    <w:p w14:paraId="552497D5" w14:textId="757B65C0" w:rsidR="00B3415D" w:rsidRPr="00CA41EC" w:rsidRDefault="142F9C3F" w:rsidP="006465B9">
      <w:pPr>
        <w:pStyle w:val="Heading3"/>
      </w:pPr>
      <w:bookmarkStart w:id="11" w:name="_Toc138411184"/>
      <w:bookmarkStart w:id="12" w:name="_Toc138411326"/>
      <w:bookmarkStart w:id="13" w:name="_Toc196305903"/>
      <w:bookmarkStart w:id="14" w:name="_Toc219800151"/>
      <w:r>
        <w:lastRenderedPageBreak/>
        <w:t>P</w:t>
      </w:r>
      <w:r w:rsidR="14CD5ED4">
        <w:t>roposed</w:t>
      </w:r>
      <w:r>
        <w:t xml:space="preserve"> A</w:t>
      </w:r>
      <w:bookmarkEnd w:id="10"/>
      <w:bookmarkEnd w:id="11"/>
      <w:bookmarkEnd w:id="12"/>
      <w:r w:rsidR="14CD5ED4">
        <w:t>ction</w:t>
      </w:r>
      <w:bookmarkEnd w:id="13"/>
      <w:bookmarkEnd w:id="14"/>
    </w:p>
    <w:p w14:paraId="31E57BC1" w14:textId="79402DAF" w:rsidR="00864D99" w:rsidRDefault="7A34E73E" w:rsidP="27F276F4">
      <w:pPr>
        <w:rPr>
          <w:rStyle w:val="BodyTextChar"/>
          <w:rFonts w:eastAsiaTheme="minorEastAsia" w:cstheme="minorBidi"/>
          <w:sz w:val="22"/>
          <w:szCs w:val="22"/>
        </w:rPr>
      </w:pPr>
      <w:r w:rsidRPr="27F276F4">
        <w:rPr>
          <w:rFonts w:eastAsiaTheme="minorEastAsia"/>
        </w:rPr>
        <w:t>Signal Peak Energy, LLC.</w:t>
      </w:r>
      <w:r w:rsidR="142F9C3F" w:rsidRPr="27F276F4">
        <w:rPr>
          <w:rStyle w:val="BodyTextChar"/>
          <w:rFonts w:eastAsiaTheme="minorEastAsia" w:cstheme="minorBidi"/>
          <w:sz w:val="22"/>
          <w:szCs w:val="22"/>
        </w:rPr>
        <w:t xml:space="preserve"> </w:t>
      </w:r>
      <w:r w:rsidR="5EDBC09A" w:rsidRPr="27F276F4">
        <w:rPr>
          <w:rStyle w:val="BodyTextChar"/>
          <w:rFonts w:eastAsiaTheme="minorEastAsia" w:cstheme="minorBidi"/>
          <w:sz w:val="22"/>
          <w:szCs w:val="22"/>
        </w:rPr>
        <w:t xml:space="preserve">(Signal Peak) </w:t>
      </w:r>
      <w:r w:rsidR="142F9C3F" w:rsidRPr="27F276F4">
        <w:rPr>
          <w:rStyle w:val="BodyTextChar"/>
          <w:rFonts w:eastAsiaTheme="minorEastAsia" w:cstheme="minorBidi"/>
          <w:sz w:val="22"/>
          <w:szCs w:val="22"/>
        </w:rPr>
        <w:t xml:space="preserve">applied for </w:t>
      </w:r>
      <w:r w:rsidR="5E833681" w:rsidRPr="27F276F4">
        <w:rPr>
          <w:rStyle w:val="BodyTextChar"/>
          <w:rFonts w:eastAsiaTheme="minorEastAsia" w:cstheme="minorBidi"/>
          <w:sz w:val="22"/>
          <w:szCs w:val="22"/>
        </w:rPr>
        <w:t xml:space="preserve">MAQP </w:t>
      </w:r>
      <w:r w:rsidR="5E833681" w:rsidRPr="27F276F4">
        <w:rPr>
          <w:rFonts w:eastAsiaTheme="minorEastAsia"/>
          <w:lang w:bidi="ar-SA"/>
        </w:rPr>
        <w:t>#3179-13</w:t>
      </w:r>
      <w:r w:rsidR="6F6FED02" w:rsidRPr="27F276F4">
        <w:rPr>
          <w:rStyle w:val="BodyTextChar"/>
          <w:rFonts w:eastAsiaTheme="minorEastAsia" w:cstheme="minorBidi"/>
          <w:sz w:val="22"/>
          <w:szCs w:val="22"/>
        </w:rPr>
        <w:t xml:space="preserve"> </w:t>
      </w:r>
      <w:r w:rsidR="142F9C3F" w:rsidRPr="27F276F4">
        <w:rPr>
          <w:rStyle w:val="BodyTextChar"/>
          <w:rFonts w:eastAsiaTheme="minorEastAsia" w:cstheme="minorBidi"/>
          <w:sz w:val="22"/>
          <w:szCs w:val="22"/>
        </w:rPr>
        <w:t xml:space="preserve">under the </w:t>
      </w:r>
      <w:r w:rsidR="6F6FED02" w:rsidRPr="27F276F4">
        <w:rPr>
          <w:rStyle w:val="BodyTextChar"/>
          <w:rFonts w:eastAsiaTheme="minorEastAsia" w:cstheme="minorBidi"/>
          <w:sz w:val="22"/>
          <w:szCs w:val="22"/>
        </w:rPr>
        <w:t xml:space="preserve">Clean Air </w:t>
      </w:r>
      <w:r w:rsidR="142F9C3F" w:rsidRPr="27F276F4">
        <w:rPr>
          <w:rStyle w:val="BodyTextChar"/>
          <w:rFonts w:eastAsiaTheme="minorEastAsia" w:cstheme="minorBidi"/>
          <w:sz w:val="22"/>
          <w:szCs w:val="22"/>
        </w:rPr>
        <w:t>Act of Montana</w:t>
      </w:r>
      <w:r w:rsidR="6F6FED02" w:rsidRPr="27F276F4">
        <w:rPr>
          <w:rStyle w:val="BodyTextChar"/>
          <w:rFonts w:eastAsiaTheme="minorEastAsia" w:cstheme="minorBidi"/>
          <w:sz w:val="22"/>
          <w:szCs w:val="22"/>
        </w:rPr>
        <w:t>, § 75-2-</w:t>
      </w:r>
      <w:r w:rsidR="53FFFC1D" w:rsidRPr="27F276F4">
        <w:rPr>
          <w:rStyle w:val="BodyTextChar"/>
          <w:rFonts w:eastAsiaTheme="minorEastAsia" w:cstheme="minorBidi"/>
          <w:sz w:val="22"/>
          <w:szCs w:val="22"/>
        </w:rPr>
        <w:t xml:space="preserve">101, et. </w:t>
      </w:r>
      <w:r w:rsidR="53FFFC1D" w:rsidRPr="27F276F4">
        <w:rPr>
          <w:rStyle w:val="BodyTextChar"/>
          <w:rFonts w:eastAsiaTheme="minorEastAsia" w:cstheme="minorBidi"/>
          <w:i/>
          <w:iCs/>
          <w:sz w:val="22"/>
          <w:szCs w:val="22"/>
        </w:rPr>
        <w:t>seq</w:t>
      </w:r>
      <w:r w:rsidR="0F19CB71" w:rsidRPr="27F276F4">
        <w:rPr>
          <w:rStyle w:val="BodyTextChar"/>
          <w:rFonts w:eastAsiaTheme="minorEastAsia" w:cstheme="minorBidi"/>
          <w:sz w:val="22"/>
          <w:szCs w:val="22"/>
        </w:rPr>
        <w:t>,</w:t>
      </w:r>
      <w:r w:rsidR="142F9C3F" w:rsidRPr="27F276F4">
        <w:rPr>
          <w:rStyle w:val="BodyTextChar"/>
          <w:rFonts w:eastAsiaTheme="minorEastAsia" w:cstheme="minorBidi"/>
          <w:sz w:val="22"/>
          <w:szCs w:val="22"/>
        </w:rPr>
        <w:t xml:space="preserve"> </w:t>
      </w:r>
      <w:r w:rsidR="04906058" w:rsidRPr="27F276F4">
        <w:rPr>
          <w:rStyle w:val="BodyTextChar"/>
          <w:rFonts w:eastAsiaTheme="minorEastAsia" w:cstheme="minorBidi"/>
          <w:sz w:val="22"/>
          <w:szCs w:val="22"/>
        </w:rPr>
        <w:t xml:space="preserve">to </w:t>
      </w:r>
      <w:r w:rsidR="5E833681" w:rsidRPr="27F276F4">
        <w:rPr>
          <w:rStyle w:val="BodyTextChar"/>
          <w:rFonts w:eastAsiaTheme="minorEastAsia" w:cstheme="minorBidi"/>
          <w:sz w:val="22"/>
          <w:szCs w:val="22"/>
        </w:rPr>
        <w:t xml:space="preserve">cover the transportation </w:t>
      </w:r>
      <w:r w:rsidR="04906058" w:rsidRPr="27F276F4">
        <w:rPr>
          <w:rStyle w:val="BodyTextChar"/>
          <w:rFonts w:eastAsiaTheme="minorEastAsia" w:cstheme="minorBidi"/>
          <w:sz w:val="22"/>
          <w:szCs w:val="22"/>
        </w:rPr>
        <w:t>increase</w:t>
      </w:r>
      <w:r w:rsidRPr="27F276F4">
        <w:rPr>
          <w:rStyle w:val="BodyTextChar"/>
          <w:rFonts w:eastAsiaTheme="minorEastAsia" w:cstheme="minorBidi"/>
          <w:sz w:val="22"/>
          <w:szCs w:val="22"/>
        </w:rPr>
        <w:t xml:space="preserve"> </w:t>
      </w:r>
      <w:r w:rsidR="5E833681" w:rsidRPr="27F276F4">
        <w:rPr>
          <w:rStyle w:val="BodyTextChar"/>
          <w:rFonts w:eastAsiaTheme="minorEastAsia" w:cstheme="minorBidi"/>
          <w:sz w:val="22"/>
          <w:szCs w:val="22"/>
        </w:rPr>
        <w:t>of</w:t>
      </w:r>
      <w:r w:rsidRPr="27F276F4">
        <w:rPr>
          <w:rStyle w:val="BodyTextChar"/>
          <w:rFonts w:eastAsiaTheme="minorEastAsia" w:cstheme="minorBidi"/>
          <w:sz w:val="22"/>
          <w:szCs w:val="22"/>
        </w:rPr>
        <w:t xml:space="preserve"> allowable tonnage </w:t>
      </w:r>
      <w:r w:rsidR="5E833681" w:rsidRPr="27F276F4">
        <w:rPr>
          <w:rStyle w:val="BodyTextChar"/>
          <w:rFonts w:eastAsiaTheme="minorEastAsia" w:cstheme="minorBidi"/>
          <w:sz w:val="22"/>
          <w:szCs w:val="22"/>
        </w:rPr>
        <w:t xml:space="preserve">of coal shipped per year, </w:t>
      </w:r>
      <w:r w:rsidR="45AFF64D" w:rsidRPr="27F276F4">
        <w:rPr>
          <w:rStyle w:val="BodyTextChar"/>
          <w:rFonts w:eastAsiaTheme="minorEastAsia" w:cstheme="minorBidi"/>
          <w:sz w:val="22"/>
          <w:szCs w:val="22"/>
        </w:rPr>
        <w:t>from 150,000 tons per year (tpy) to 7</w:t>
      </w:r>
      <w:r w:rsidR="00093B76">
        <w:rPr>
          <w:rStyle w:val="BodyTextChar"/>
          <w:rFonts w:eastAsiaTheme="minorEastAsia" w:cstheme="minorBidi"/>
          <w:sz w:val="22"/>
          <w:szCs w:val="22"/>
        </w:rPr>
        <w:t>0</w:t>
      </w:r>
      <w:r w:rsidR="45AFF64D" w:rsidRPr="27F276F4">
        <w:rPr>
          <w:rStyle w:val="BodyTextChar"/>
          <w:rFonts w:eastAsiaTheme="minorEastAsia" w:cstheme="minorBidi"/>
          <w:sz w:val="22"/>
          <w:szCs w:val="22"/>
        </w:rPr>
        <w:t>0,000 tpy</w:t>
      </w:r>
      <w:r w:rsidR="5E833681" w:rsidRPr="27F276F4">
        <w:rPr>
          <w:rStyle w:val="BodyTextChar"/>
          <w:rFonts w:eastAsiaTheme="minorEastAsia" w:cstheme="minorBidi"/>
          <w:sz w:val="22"/>
          <w:szCs w:val="22"/>
        </w:rPr>
        <w:t xml:space="preserve">, </w:t>
      </w:r>
      <w:r w:rsidRPr="27F276F4">
        <w:rPr>
          <w:rStyle w:val="BodyTextChar"/>
          <w:rFonts w:eastAsiaTheme="minorEastAsia" w:cstheme="minorBidi"/>
          <w:sz w:val="22"/>
          <w:szCs w:val="22"/>
        </w:rPr>
        <w:t>from the Bull Mountain Mine site.</w:t>
      </w:r>
      <w:r w:rsidR="142F9C3F" w:rsidRPr="27F276F4">
        <w:rPr>
          <w:rStyle w:val="BodyTextChar"/>
          <w:rFonts w:eastAsiaTheme="minorEastAsia" w:cstheme="minorBidi"/>
          <w:sz w:val="22"/>
          <w:szCs w:val="22"/>
        </w:rPr>
        <w:t xml:space="preserve"> </w:t>
      </w:r>
      <w:r w:rsidR="02616CFC" w:rsidRPr="27F276F4">
        <w:rPr>
          <w:rStyle w:val="BodyTextChar"/>
          <w:rFonts w:eastAsiaTheme="minorEastAsia" w:cstheme="minorBidi"/>
          <w:sz w:val="22"/>
          <w:szCs w:val="22"/>
        </w:rPr>
        <w:t xml:space="preserve">Because the affected MAQP does not authorize any additional coal extraction from the Bull Mountain Mine, but rather, increases the amount of coal that may be transferred via semi-truck, this Supplemental EA only assesses GHG emissions produced from the use of distillate #2 (diesel fuel) in semi-trucks driving from the property boundary to the coal loadout and back, which is approximately 2.1 miles long. The use of a front-end loader to load the coal into the semi-truck trailer is also analyzed. This Supplemental EA provides a GHG Assessment associated with the proposed action, as described above. </w:t>
      </w:r>
    </w:p>
    <w:p w14:paraId="6486A769" w14:textId="77777777" w:rsidR="00864D99" w:rsidRDefault="00864D99" w:rsidP="00864D99">
      <w:pPr>
        <w:rPr>
          <w:rStyle w:val="BodyTextChar"/>
          <w:rFonts w:eastAsiaTheme="minorEastAsia" w:cstheme="minorBidi"/>
          <w:sz w:val="22"/>
          <w:szCs w:val="22"/>
        </w:rPr>
      </w:pPr>
    </w:p>
    <w:p w14:paraId="3031E40F" w14:textId="229A7F30" w:rsidR="00480133" w:rsidRPr="007B2CE6" w:rsidRDefault="02616CFC" w:rsidP="27F276F4">
      <w:pPr>
        <w:pStyle w:val="Caption"/>
        <w:rPr>
          <w:rStyle w:val="BodyTextChar"/>
          <w:b w:val="0"/>
          <w:sz w:val="22"/>
          <w:szCs w:val="22"/>
        </w:rPr>
      </w:pPr>
      <w:r>
        <w:t xml:space="preserve">Figure </w:t>
      </w:r>
      <w:r w:rsidR="00864D99" w:rsidRPr="27F276F4">
        <w:fldChar w:fldCharType="begin"/>
      </w:r>
      <w:r w:rsidR="00864D99">
        <w:instrText xml:space="preserve"> SEQ Figure \* ARABIC </w:instrText>
      </w:r>
      <w:r w:rsidR="00864D99" w:rsidRPr="27F276F4">
        <w:fldChar w:fldCharType="separate"/>
      </w:r>
      <w:r w:rsidR="004A13A5">
        <w:rPr>
          <w:noProof/>
        </w:rPr>
        <w:t>1</w:t>
      </w:r>
      <w:r w:rsidR="00864D99" w:rsidRPr="27F276F4">
        <w:rPr>
          <w:noProof/>
        </w:rPr>
        <w:fldChar w:fldCharType="end"/>
      </w:r>
      <w:r>
        <w:t>. General Location of the Proposed Project</w:t>
      </w:r>
    </w:p>
    <w:p w14:paraId="1E411C22" w14:textId="13E70FDE" w:rsidR="00864D99" w:rsidRDefault="00864D99" w:rsidP="00460F84">
      <w:pPr>
        <w:rPr>
          <w:rStyle w:val="BodyTextChar"/>
          <w:rFonts w:eastAsiaTheme="minorEastAsia" w:cstheme="minorBidi"/>
          <w:sz w:val="22"/>
          <w:szCs w:val="22"/>
        </w:rPr>
      </w:pPr>
      <w:r>
        <w:rPr>
          <w:noProof/>
        </w:rPr>
        <w:drawing>
          <wp:inline distT="0" distB="0" distL="0" distR="0" wp14:anchorId="6EEC754C" wp14:editId="4C569715">
            <wp:extent cx="5943600" cy="4315106"/>
            <wp:effectExtent l="0" t="0" r="0" b="9525"/>
            <wp:docPr id="1767809406" name="Picture 1" descr="Map of proposed si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09406" name="Picture 1" descr="Map of proposed site location."/>
                    <pic:cNvPicPr/>
                  </pic:nvPicPr>
                  <pic:blipFill>
                    <a:blip r:embed="rId8">
                      <a:extLst>
                        <a:ext uri="{28A0092B-C50C-407E-A947-70E740481C1C}">
                          <a14:useLocalDpi xmlns:a14="http://schemas.microsoft.com/office/drawing/2010/main" val="0"/>
                        </a:ext>
                      </a:extLst>
                    </a:blip>
                    <a:stretch>
                      <a:fillRect/>
                    </a:stretch>
                  </pic:blipFill>
                  <pic:spPr>
                    <a:xfrm>
                      <a:off x="0" y="0"/>
                      <a:ext cx="5943600" cy="4315106"/>
                    </a:xfrm>
                    <a:prstGeom prst="rect">
                      <a:avLst/>
                    </a:prstGeom>
                  </pic:spPr>
                </pic:pic>
              </a:graphicData>
            </a:graphic>
          </wp:inline>
        </w:drawing>
      </w:r>
    </w:p>
    <w:p w14:paraId="7ADFB5CB" w14:textId="77777777" w:rsidR="00480133" w:rsidRDefault="00480133" w:rsidP="00460F84">
      <w:pPr>
        <w:rPr>
          <w:rStyle w:val="BodyTextChar"/>
          <w:rFonts w:eastAsiaTheme="minorEastAsia" w:cstheme="minorBidi"/>
          <w:sz w:val="22"/>
          <w:szCs w:val="22"/>
        </w:rPr>
      </w:pPr>
    </w:p>
    <w:p w14:paraId="77E19739" w14:textId="62629AAF" w:rsidR="00B3415D" w:rsidRPr="00561ECA" w:rsidRDefault="142F9C3F" w:rsidP="27F276F4">
      <w:pPr>
        <w:rPr>
          <w:rStyle w:val="BodyTextChar"/>
          <w:rFonts w:eastAsiaTheme="minorEastAsia" w:cstheme="minorBidi"/>
          <w:sz w:val="22"/>
          <w:szCs w:val="22"/>
        </w:rPr>
      </w:pPr>
      <w:r w:rsidRPr="27F276F4">
        <w:rPr>
          <w:rStyle w:val="BodyTextChar"/>
          <w:rFonts w:eastAsiaTheme="minorEastAsia" w:cstheme="minorBidi"/>
          <w:sz w:val="22"/>
          <w:szCs w:val="22"/>
        </w:rPr>
        <w:t xml:space="preserve">The </w:t>
      </w:r>
      <w:r w:rsidR="2F468972" w:rsidRPr="27F276F4">
        <w:rPr>
          <w:rStyle w:val="BodyTextChar"/>
          <w:rFonts w:eastAsiaTheme="minorEastAsia" w:cstheme="minorBidi"/>
          <w:sz w:val="22"/>
          <w:szCs w:val="22"/>
        </w:rPr>
        <w:t xml:space="preserve">proposed action </w:t>
      </w:r>
      <w:r w:rsidR="1258FB5A" w:rsidRPr="27F276F4">
        <w:rPr>
          <w:rStyle w:val="BodyTextChar"/>
          <w:rFonts w:eastAsiaTheme="minorEastAsia" w:cstheme="minorBidi"/>
          <w:sz w:val="22"/>
          <w:szCs w:val="22"/>
        </w:rPr>
        <w:t>is</w:t>
      </w:r>
      <w:r w:rsidRPr="27F276F4">
        <w:rPr>
          <w:rStyle w:val="BodyTextChar"/>
          <w:rFonts w:eastAsiaTheme="minorEastAsia" w:cstheme="minorBidi"/>
          <w:sz w:val="22"/>
          <w:szCs w:val="22"/>
        </w:rPr>
        <w:t xml:space="preserve"> located on private land, </w:t>
      </w:r>
      <w:bookmarkStart w:id="15" w:name="_Hlk77592100"/>
      <w:r w:rsidRPr="27F276F4">
        <w:rPr>
          <w:rStyle w:val="BodyTextChar"/>
          <w:rFonts w:eastAsiaTheme="minorEastAsia" w:cstheme="minorBidi"/>
          <w:sz w:val="22"/>
          <w:szCs w:val="22"/>
        </w:rPr>
        <w:t xml:space="preserve">in </w:t>
      </w:r>
      <w:r w:rsidR="7A34E73E" w:rsidRPr="27F276F4">
        <w:rPr>
          <w:rStyle w:val="BodyTextChar"/>
          <w:rFonts w:eastAsiaTheme="minorEastAsia" w:cstheme="minorBidi"/>
          <w:sz w:val="22"/>
          <w:szCs w:val="22"/>
        </w:rPr>
        <w:t>Musselshell County</w:t>
      </w:r>
      <w:r w:rsidRPr="27F276F4">
        <w:rPr>
          <w:rStyle w:val="BodyTextChar"/>
          <w:rFonts w:eastAsiaTheme="minorEastAsia" w:cstheme="minorBidi"/>
          <w:sz w:val="22"/>
          <w:szCs w:val="22"/>
        </w:rPr>
        <w:t>, Mont</w:t>
      </w:r>
      <w:bookmarkEnd w:id="15"/>
      <w:r w:rsidRPr="27F276F4">
        <w:rPr>
          <w:rStyle w:val="BodyTextChar"/>
          <w:rFonts w:eastAsiaTheme="minorEastAsia" w:cstheme="minorBidi"/>
          <w:sz w:val="22"/>
          <w:szCs w:val="22"/>
        </w:rPr>
        <w:t xml:space="preserve">ana. </w:t>
      </w:r>
      <w:r w:rsidR="02616CFC" w:rsidRPr="27F276F4">
        <w:rPr>
          <w:rStyle w:val="BodyTextChar"/>
          <w:rFonts w:eastAsiaTheme="minorEastAsia" w:cstheme="minorBidi"/>
          <w:sz w:val="22"/>
          <w:szCs w:val="22"/>
        </w:rPr>
        <w:t>I</w:t>
      </w:r>
      <w:r w:rsidRPr="27F276F4">
        <w:rPr>
          <w:rStyle w:val="BodyTextChar"/>
          <w:rFonts w:eastAsiaTheme="minorEastAsia" w:cstheme="minorBidi"/>
          <w:sz w:val="22"/>
          <w:szCs w:val="22"/>
        </w:rPr>
        <w:t xml:space="preserve">nformation included in this </w:t>
      </w:r>
      <w:r w:rsidR="7A34E73E" w:rsidRPr="27F276F4">
        <w:rPr>
          <w:rStyle w:val="BodyTextChar"/>
          <w:rFonts w:eastAsiaTheme="minorEastAsia" w:cstheme="minorBidi"/>
          <w:sz w:val="22"/>
          <w:szCs w:val="22"/>
        </w:rPr>
        <w:t xml:space="preserve">Supplemental </w:t>
      </w:r>
      <w:r w:rsidRPr="27F276F4">
        <w:rPr>
          <w:rStyle w:val="BodyTextChar"/>
          <w:rFonts w:eastAsiaTheme="minorEastAsia" w:cstheme="minorBidi"/>
          <w:sz w:val="22"/>
          <w:szCs w:val="22"/>
        </w:rPr>
        <w:t>EA is derived from the permit application, discussions with the applicant, analysis of aerial photography, topographic maps, and other research tools.</w:t>
      </w:r>
    </w:p>
    <w:p w14:paraId="5CF4F5DD" w14:textId="77777777" w:rsidR="00582F0D" w:rsidRPr="00561ECA" w:rsidRDefault="00582F0D" w:rsidP="00460F84">
      <w:pPr>
        <w:rPr>
          <w:rStyle w:val="BodyTextChar"/>
          <w:rFonts w:eastAsiaTheme="minorEastAsia" w:cstheme="minorBidi"/>
          <w:sz w:val="20"/>
          <w:szCs w:val="20"/>
        </w:rPr>
      </w:pPr>
    </w:p>
    <w:p w14:paraId="4997DBBC" w14:textId="71C84ECE" w:rsidR="590349C5" w:rsidRDefault="590349C5" w:rsidP="590349C5">
      <w:pPr>
        <w:rPr>
          <w:rStyle w:val="BodyTextChar"/>
          <w:rFonts w:eastAsiaTheme="minorEastAsia" w:cstheme="minorBidi"/>
          <w:sz w:val="20"/>
          <w:szCs w:val="20"/>
        </w:rPr>
      </w:pPr>
    </w:p>
    <w:p w14:paraId="09D64FB7" w14:textId="7D25D940" w:rsidR="590349C5" w:rsidRDefault="590349C5" w:rsidP="590349C5">
      <w:pPr>
        <w:rPr>
          <w:rStyle w:val="BodyTextChar"/>
          <w:rFonts w:eastAsiaTheme="minorEastAsia" w:cstheme="minorBidi"/>
          <w:sz w:val="20"/>
          <w:szCs w:val="20"/>
        </w:rPr>
      </w:pPr>
    </w:p>
    <w:p w14:paraId="4F76ED88" w14:textId="3D96CCE0" w:rsidR="00093D2E" w:rsidRDefault="00093D2E">
      <w:pPr>
        <w:widowControl/>
        <w:autoSpaceDE/>
        <w:autoSpaceDN/>
        <w:spacing w:after="160" w:line="259" w:lineRule="auto"/>
        <w:jc w:val="left"/>
        <w:rPr>
          <w:rStyle w:val="BodyTextChar"/>
          <w:rFonts w:eastAsiaTheme="minorEastAsia" w:cstheme="minorBidi"/>
          <w:sz w:val="20"/>
          <w:szCs w:val="20"/>
        </w:rPr>
      </w:pPr>
      <w:r>
        <w:rPr>
          <w:rStyle w:val="BodyTextChar"/>
          <w:rFonts w:eastAsiaTheme="minorEastAsia" w:cstheme="minorBidi"/>
          <w:sz w:val="20"/>
          <w:szCs w:val="20"/>
        </w:rPr>
        <w:br w:type="page"/>
      </w:r>
    </w:p>
    <w:p w14:paraId="5D3E735B" w14:textId="77777777" w:rsidR="000F1937" w:rsidRDefault="000F1937" w:rsidP="27F276F4">
      <w:pPr>
        <w:rPr>
          <w:rStyle w:val="BodyTextChar"/>
          <w:rFonts w:eastAsiaTheme="minorEastAsia" w:cstheme="minorBidi"/>
          <w:sz w:val="20"/>
          <w:szCs w:val="20"/>
        </w:rPr>
      </w:pPr>
    </w:p>
    <w:p w14:paraId="7A0B0E1C" w14:textId="0CFAA57A" w:rsidR="00B3415D" w:rsidRPr="00EB3E4D" w:rsidRDefault="00B3415D" w:rsidP="00670D02">
      <w:pPr>
        <w:pStyle w:val="Caption"/>
        <w:rPr>
          <w:rFonts w:eastAsiaTheme="minorHAnsi"/>
          <w:lang w:bidi="ar-SA"/>
        </w:rPr>
      </w:pPr>
      <w:bookmarkStart w:id="16" w:name="_Toc63946614"/>
      <w:r w:rsidRPr="00CA41EC">
        <w:t xml:space="preserve">Table </w:t>
      </w:r>
      <w:r>
        <w:fldChar w:fldCharType="begin"/>
      </w:r>
      <w:r>
        <w:instrText>SEQ Table \* ARABIC</w:instrText>
      </w:r>
      <w:r>
        <w:fldChar w:fldCharType="separate"/>
      </w:r>
      <w:r w:rsidR="004A13A5">
        <w:rPr>
          <w:noProof/>
        </w:rPr>
        <w:t>1</w:t>
      </w:r>
      <w:r>
        <w:fldChar w:fldCharType="end"/>
      </w:r>
      <w:r w:rsidR="004449F7">
        <w:t>.</w:t>
      </w:r>
      <w:r w:rsidRPr="00CA41EC">
        <w:t xml:space="preserve"> </w:t>
      </w:r>
      <w:bookmarkEnd w:id="16"/>
      <w:r w:rsidRPr="00CA41EC">
        <w:t xml:space="preserve">Summary of Proposed </w:t>
      </w:r>
      <w:r w:rsidR="009C7C08">
        <w:t>Action</w:t>
      </w:r>
      <w:r w:rsidRPr="00CA41EC">
        <w:t xml:space="preserve"> </w:t>
      </w:r>
    </w:p>
    <w:tbl>
      <w:tblPr>
        <w:tblStyle w:val="TableGrid"/>
        <w:tblW w:w="9455" w:type="dxa"/>
        <w:jc w:val="center"/>
        <w:tblLook w:val="04A0" w:firstRow="1" w:lastRow="0" w:firstColumn="1" w:lastColumn="0" w:noHBand="0" w:noVBand="1"/>
      </w:tblPr>
      <w:tblGrid>
        <w:gridCol w:w="2255"/>
        <w:gridCol w:w="7200"/>
      </w:tblGrid>
      <w:tr w:rsidR="00B3415D" w:rsidRPr="00CA41EC" w14:paraId="4BF57130" w14:textId="77777777" w:rsidTr="007612B0">
        <w:trPr>
          <w:trHeight w:val="1440"/>
          <w:jc w:val="center"/>
        </w:trPr>
        <w:tc>
          <w:tcPr>
            <w:tcW w:w="2255" w:type="dxa"/>
            <w:tcBorders>
              <w:top w:val="single" w:sz="4" w:space="0" w:color="auto"/>
              <w:left w:val="single" w:sz="4" w:space="0" w:color="auto"/>
              <w:bottom w:val="single" w:sz="4" w:space="0" w:color="auto"/>
              <w:right w:val="single" w:sz="4" w:space="0" w:color="auto"/>
            </w:tcBorders>
            <w:vAlign w:val="center"/>
          </w:tcPr>
          <w:p w14:paraId="3FA56C39" w14:textId="77777777" w:rsidR="00B3415D" w:rsidRPr="00CA41EC" w:rsidRDefault="142F9C3F" w:rsidP="27F276F4">
            <w:pPr>
              <w:pStyle w:val="BodyText"/>
              <w:ind w:right="104"/>
              <w:rPr>
                <w:rFonts w:cstheme="minorBidi"/>
                <w:b/>
                <w:bCs/>
                <w:sz w:val="22"/>
                <w:szCs w:val="22"/>
              </w:rPr>
            </w:pPr>
            <w:bookmarkStart w:id="17" w:name="_Hlk5284259"/>
            <w:r w:rsidRPr="27F276F4">
              <w:rPr>
                <w:rFonts w:cstheme="minorBidi"/>
                <w:b/>
                <w:bCs/>
                <w:sz w:val="22"/>
                <w:szCs w:val="22"/>
              </w:rPr>
              <w:t>General Overview</w:t>
            </w:r>
          </w:p>
        </w:tc>
        <w:tc>
          <w:tcPr>
            <w:tcW w:w="7200" w:type="dxa"/>
            <w:tcBorders>
              <w:top w:val="single" w:sz="4" w:space="0" w:color="auto"/>
              <w:left w:val="single" w:sz="4" w:space="0" w:color="auto"/>
              <w:bottom w:val="single" w:sz="4" w:space="0" w:color="auto"/>
              <w:right w:val="single" w:sz="4" w:space="0" w:color="auto"/>
            </w:tcBorders>
            <w:vAlign w:val="center"/>
          </w:tcPr>
          <w:p w14:paraId="06944324" w14:textId="3289932F" w:rsidR="002B744C" w:rsidRPr="006033BB" w:rsidRDefault="5B03DDB9" w:rsidP="27F276F4">
            <w:pPr>
              <w:pStyle w:val="BodyText"/>
              <w:ind w:right="104"/>
              <w:rPr>
                <w:rFonts w:eastAsia="Garamond" w:cstheme="minorBidi"/>
                <w:sz w:val="22"/>
                <w:szCs w:val="22"/>
              </w:rPr>
            </w:pPr>
            <w:r w:rsidRPr="27F276F4">
              <w:rPr>
                <w:rFonts w:eastAsia="Garamond" w:cstheme="minorBidi"/>
                <w:sz w:val="22"/>
                <w:szCs w:val="22"/>
              </w:rPr>
              <w:t xml:space="preserve">Signal Peak </w:t>
            </w:r>
            <w:r w:rsidR="50A4380B" w:rsidRPr="27F276F4">
              <w:rPr>
                <w:rFonts w:eastAsia="Garamond" w:cstheme="minorBidi"/>
                <w:sz w:val="22"/>
                <w:szCs w:val="22"/>
              </w:rPr>
              <w:t xml:space="preserve">Energy, LLC. </w:t>
            </w:r>
            <w:proofErr w:type="gramStart"/>
            <w:r w:rsidRPr="27F276F4">
              <w:rPr>
                <w:rFonts w:eastAsia="Garamond" w:cstheme="minorBidi"/>
                <w:sz w:val="22"/>
                <w:szCs w:val="22"/>
              </w:rPr>
              <w:t>submitted an application</w:t>
            </w:r>
            <w:proofErr w:type="gramEnd"/>
            <w:r w:rsidRPr="27F276F4">
              <w:rPr>
                <w:rFonts w:eastAsia="Garamond" w:cstheme="minorBidi"/>
                <w:sz w:val="22"/>
                <w:szCs w:val="22"/>
              </w:rPr>
              <w:t xml:space="preserve"> for modification </w:t>
            </w:r>
            <w:r w:rsidR="698C79EB" w:rsidRPr="27F276F4">
              <w:rPr>
                <w:rFonts w:eastAsia="Garamond" w:cstheme="minorBidi"/>
                <w:sz w:val="22"/>
                <w:szCs w:val="22"/>
              </w:rPr>
              <w:t>o</w:t>
            </w:r>
            <w:r w:rsidR="698C79EB" w:rsidRPr="27F276F4">
              <w:rPr>
                <w:rFonts w:eastAsia="Garamond" w:cstheme="minorBidi"/>
              </w:rPr>
              <w:t>f</w:t>
            </w:r>
            <w:r w:rsidR="698C79EB" w:rsidRPr="27F276F4">
              <w:rPr>
                <w:rFonts w:eastAsia="Garamond" w:cstheme="minorBidi"/>
                <w:sz w:val="22"/>
                <w:szCs w:val="22"/>
              </w:rPr>
              <w:t xml:space="preserve"> </w:t>
            </w:r>
            <w:r w:rsidRPr="27F276F4">
              <w:rPr>
                <w:rFonts w:eastAsia="Garamond" w:cstheme="minorBidi"/>
                <w:sz w:val="22"/>
                <w:szCs w:val="22"/>
              </w:rPr>
              <w:t xml:space="preserve">MAQP #3179-12 to allow for an </w:t>
            </w:r>
            <w:r w:rsidR="56E76EB4" w:rsidRPr="27F276F4">
              <w:rPr>
                <w:rFonts w:eastAsia="Garamond" w:cstheme="minorBidi"/>
                <w:sz w:val="22"/>
                <w:szCs w:val="22"/>
              </w:rPr>
              <w:t>increase of</w:t>
            </w:r>
            <w:r w:rsidR="16C6F3E2" w:rsidRPr="27F276F4">
              <w:rPr>
                <w:rFonts w:eastAsia="Garamond" w:cstheme="minorBidi"/>
                <w:sz w:val="22"/>
                <w:szCs w:val="22"/>
              </w:rPr>
              <w:t xml:space="preserve"> coal to be shipped by </w:t>
            </w:r>
            <w:r w:rsidR="11E97438" w:rsidRPr="27F276F4">
              <w:rPr>
                <w:rFonts w:eastAsia="Garamond" w:cstheme="minorBidi"/>
                <w:sz w:val="22"/>
                <w:szCs w:val="22"/>
              </w:rPr>
              <w:t>s</w:t>
            </w:r>
            <w:r w:rsidR="11E97438" w:rsidRPr="27F276F4">
              <w:rPr>
                <w:rFonts w:eastAsia="Garamond" w:cstheme="minorBidi"/>
              </w:rPr>
              <w:t>emi-</w:t>
            </w:r>
            <w:r w:rsidR="16C6F3E2" w:rsidRPr="27F276F4">
              <w:rPr>
                <w:rFonts w:eastAsia="Garamond" w:cstheme="minorBidi"/>
                <w:sz w:val="22"/>
                <w:szCs w:val="22"/>
              </w:rPr>
              <w:t>truck</w:t>
            </w:r>
            <w:r w:rsidRPr="27F276F4">
              <w:rPr>
                <w:rFonts w:eastAsia="Garamond" w:cstheme="minorBidi"/>
                <w:sz w:val="22"/>
                <w:szCs w:val="22"/>
              </w:rPr>
              <w:t xml:space="preserve">. The modification requested an increase of coal shipped from 150,000 tons per year to </w:t>
            </w:r>
            <w:r w:rsidR="00093B76">
              <w:rPr>
                <w:rFonts w:eastAsia="Garamond" w:cstheme="minorBidi"/>
                <w:sz w:val="22"/>
                <w:szCs w:val="22"/>
              </w:rPr>
              <w:t>700</w:t>
            </w:r>
            <w:r w:rsidRPr="27F276F4">
              <w:rPr>
                <w:rFonts w:eastAsia="Garamond" w:cstheme="minorBidi"/>
                <w:sz w:val="22"/>
                <w:szCs w:val="22"/>
              </w:rPr>
              <w:t>,000 tons per year</w:t>
            </w:r>
            <w:r w:rsidR="1258FB5A" w:rsidRPr="27F276F4">
              <w:rPr>
                <w:rFonts w:eastAsia="Garamond" w:cstheme="minorBidi"/>
                <w:sz w:val="22"/>
                <w:szCs w:val="22"/>
              </w:rPr>
              <w:t xml:space="preserve">. </w:t>
            </w:r>
            <w:r w:rsidR="16C6F3E2" w:rsidRPr="27F276F4">
              <w:rPr>
                <w:rFonts w:eastAsia="Garamond" w:cstheme="minorBidi"/>
                <w:sz w:val="22"/>
                <w:szCs w:val="22"/>
              </w:rPr>
              <w:t>The modification allow</w:t>
            </w:r>
            <w:r w:rsidR="6ECC5895" w:rsidRPr="27F276F4">
              <w:rPr>
                <w:rFonts w:eastAsia="Garamond" w:cstheme="minorBidi"/>
                <w:sz w:val="22"/>
                <w:szCs w:val="22"/>
              </w:rPr>
              <w:t>e</w:t>
            </w:r>
            <w:r w:rsidR="6ECC5895" w:rsidRPr="27F276F4">
              <w:rPr>
                <w:rFonts w:eastAsia="Garamond" w:cstheme="minorBidi"/>
              </w:rPr>
              <w:t>d</w:t>
            </w:r>
            <w:r w:rsidR="16C6F3E2" w:rsidRPr="27F276F4">
              <w:rPr>
                <w:rFonts w:eastAsia="Garamond" w:cstheme="minorBidi"/>
                <w:sz w:val="22"/>
                <w:szCs w:val="22"/>
              </w:rPr>
              <w:t xml:space="preserve"> for the expansion of the on-site load out facility</w:t>
            </w:r>
            <w:r w:rsidR="2DD361A2" w:rsidRPr="27F276F4">
              <w:rPr>
                <w:rFonts w:eastAsia="Garamond" w:cstheme="minorBidi"/>
                <w:sz w:val="22"/>
                <w:szCs w:val="22"/>
              </w:rPr>
              <w:t xml:space="preserve"> </w:t>
            </w:r>
            <w:r w:rsidR="2DD361A2" w:rsidRPr="27F276F4">
              <w:rPr>
                <w:rFonts w:eastAsia="Garamond" w:cstheme="minorBidi"/>
              </w:rPr>
              <w:t>which included</w:t>
            </w:r>
            <w:r w:rsidR="56E76EB4" w:rsidRPr="27F276F4">
              <w:rPr>
                <w:rFonts w:eastAsia="Garamond" w:cstheme="minorBidi"/>
              </w:rPr>
              <w:t xml:space="preserve"> </w:t>
            </w:r>
            <w:r w:rsidR="56E76EB4" w:rsidRPr="27F276F4">
              <w:rPr>
                <w:rFonts w:eastAsia="Garamond" w:cstheme="minorBidi"/>
                <w:sz w:val="22"/>
                <w:szCs w:val="22"/>
              </w:rPr>
              <w:t>coal</w:t>
            </w:r>
            <w:r w:rsidR="4A51D7CC" w:rsidRPr="27F276F4">
              <w:rPr>
                <w:rFonts w:eastAsia="Garamond" w:cstheme="minorBidi"/>
                <w:sz w:val="22"/>
                <w:szCs w:val="22"/>
              </w:rPr>
              <w:t xml:space="preserve"> stockpile</w:t>
            </w:r>
            <w:r w:rsidR="2DD361A2" w:rsidRPr="27F276F4">
              <w:rPr>
                <w:rFonts w:eastAsia="Garamond" w:cstheme="minorBidi"/>
                <w:sz w:val="22"/>
                <w:szCs w:val="22"/>
              </w:rPr>
              <w:t>s</w:t>
            </w:r>
            <w:r w:rsidR="4A51D7CC" w:rsidRPr="27F276F4">
              <w:rPr>
                <w:rFonts w:eastAsia="Garamond" w:cstheme="minorBidi"/>
                <w:sz w:val="22"/>
                <w:szCs w:val="22"/>
              </w:rPr>
              <w:t xml:space="preserve"> and</w:t>
            </w:r>
            <w:r w:rsidR="2DD361A2" w:rsidRPr="27F276F4">
              <w:rPr>
                <w:rFonts w:eastAsia="Garamond" w:cstheme="minorBidi"/>
              </w:rPr>
              <w:t xml:space="preserve"> increase</w:t>
            </w:r>
            <w:r w:rsidR="56E76EB4" w:rsidRPr="27F276F4">
              <w:rPr>
                <w:rFonts w:eastAsia="Garamond" w:cstheme="minorBidi"/>
              </w:rPr>
              <w:t>s</w:t>
            </w:r>
            <w:r w:rsidR="2DD361A2" w:rsidRPr="27F276F4">
              <w:rPr>
                <w:rFonts w:eastAsia="Garamond" w:cstheme="minorBidi"/>
              </w:rPr>
              <w:t xml:space="preserve"> in coal shipping via </w:t>
            </w:r>
            <w:r w:rsidR="4A51D7CC" w:rsidRPr="27F276F4">
              <w:rPr>
                <w:rFonts w:eastAsia="Garamond" w:cstheme="minorBidi"/>
                <w:sz w:val="22"/>
                <w:szCs w:val="22"/>
              </w:rPr>
              <w:t xml:space="preserve">over the road trucks entering and exiting the site. </w:t>
            </w:r>
            <w:r w:rsidR="1258FB5A" w:rsidRPr="27F276F4">
              <w:rPr>
                <w:rFonts w:eastAsia="Garamond" w:cstheme="minorBidi"/>
                <w:sz w:val="22"/>
                <w:szCs w:val="22"/>
              </w:rPr>
              <w:t xml:space="preserve">DEQ approved the </w:t>
            </w:r>
            <w:r w:rsidR="2B472021" w:rsidRPr="27F276F4">
              <w:rPr>
                <w:rStyle w:val="BodyTextChar"/>
                <w:rFonts w:eastAsiaTheme="minorEastAsia" w:cstheme="minorBidi"/>
                <w:sz w:val="22"/>
                <w:szCs w:val="22"/>
              </w:rPr>
              <w:t xml:space="preserve">proposed </w:t>
            </w:r>
            <w:r w:rsidR="00F07BF4" w:rsidRPr="27F276F4">
              <w:rPr>
                <w:rFonts w:eastAsia="Garamond" w:cstheme="minorBidi"/>
                <w:sz w:val="22"/>
                <w:szCs w:val="22"/>
              </w:rPr>
              <w:t>action,</w:t>
            </w:r>
            <w:r w:rsidRPr="27F276F4">
              <w:rPr>
                <w:rFonts w:eastAsia="Garamond" w:cstheme="minorBidi"/>
                <w:sz w:val="22"/>
                <w:szCs w:val="22"/>
              </w:rPr>
              <w:t xml:space="preserve"> and </w:t>
            </w:r>
            <w:r w:rsidR="1258FB5A" w:rsidRPr="27F276F4">
              <w:rPr>
                <w:rFonts w:eastAsia="Garamond" w:cstheme="minorBidi"/>
                <w:sz w:val="22"/>
                <w:szCs w:val="22"/>
              </w:rPr>
              <w:t>the permit was</w:t>
            </w:r>
            <w:r w:rsidRPr="27F276F4">
              <w:rPr>
                <w:rFonts w:eastAsia="Garamond" w:cstheme="minorBidi"/>
                <w:sz w:val="22"/>
                <w:szCs w:val="22"/>
              </w:rPr>
              <w:t xml:space="preserve"> issued final on December 20, </w:t>
            </w:r>
            <w:r w:rsidR="072EE679" w:rsidRPr="27F276F4">
              <w:rPr>
                <w:rFonts w:eastAsia="Garamond" w:cstheme="minorBidi"/>
                <w:sz w:val="22"/>
                <w:szCs w:val="22"/>
              </w:rPr>
              <w:t>2023</w:t>
            </w:r>
            <w:r w:rsidRPr="27F276F4">
              <w:rPr>
                <w:rFonts w:eastAsia="Garamond" w:cstheme="minorBidi"/>
                <w:sz w:val="22"/>
                <w:szCs w:val="22"/>
              </w:rPr>
              <w:t>.</w:t>
            </w:r>
            <w:r w:rsidR="72592B88" w:rsidRPr="27F276F4">
              <w:rPr>
                <w:rFonts w:eastAsia="Garamond" w:cstheme="minorBidi"/>
                <w:sz w:val="22"/>
                <w:szCs w:val="22"/>
              </w:rPr>
              <w:t xml:space="preserve"> Other actions were also covered under the MAQP #3179-13 </w:t>
            </w:r>
            <w:proofErr w:type="gramStart"/>
            <w:r w:rsidR="72592B88" w:rsidRPr="27F276F4">
              <w:rPr>
                <w:rFonts w:eastAsia="Garamond" w:cstheme="minorBidi"/>
                <w:sz w:val="22"/>
                <w:szCs w:val="22"/>
              </w:rPr>
              <w:t>issuance</w:t>
            </w:r>
            <w:proofErr w:type="gramEnd"/>
            <w:r w:rsidR="72592B88" w:rsidRPr="27F276F4">
              <w:rPr>
                <w:rFonts w:eastAsia="Garamond" w:cstheme="minorBidi"/>
                <w:sz w:val="22"/>
                <w:szCs w:val="22"/>
              </w:rPr>
              <w:t xml:space="preserve"> but were administrative or not related to GHG emissions.</w:t>
            </w:r>
            <w:r w:rsidR="697C28AA" w:rsidRPr="27F276F4">
              <w:rPr>
                <w:rFonts w:eastAsia="Garamond" w:cstheme="minorBidi"/>
                <w:sz w:val="22"/>
                <w:szCs w:val="22"/>
              </w:rPr>
              <w:t xml:space="preserve"> </w:t>
            </w:r>
          </w:p>
          <w:p w14:paraId="48359DD9" w14:textId="59307D32" w:rsidR="00B3415D" w:rsidRPr="00CA41EC" w:rsidRDefault="00B3415D" w:rsidP="00E01923">
            <w:pPr>
              <w:pStyle w:val="BodyText"/>
              <w:ind w:right="104"/>
              <w:rPr>
                <w:rFonts w:cstheme="minorHAnsi"/>
                <w:sz w:val="22"/>
                <w:szCs w:val="22"/>
              </w:rPr>
            </w:pPr>
          </w:p>
        </w:tc>
      </w:tr>
      <w:tr w:rsidR="00B3415D" w:rsidRPr="00CA41EC" w14:paraId="15AEFDFC" w14:textId="77777777" w:rsidTr="007612B0">
        <w:trPr>
          <w:trHeight w:val="724"/>
          <w:jc w:val="center"/>
        </w:trPr>
        <w:tc>
          <w:tcPr>
            <w:tcW w:w="2255" w:type="dxa"/>
            <w:tcBorders>
              <w:top w:val="single" w:sz="4" w:space="0" w:color="auto"/>
              <w:left w:val="single" w:sz="4" w:space="0" w:color="auto"/>
              <w:bottom w:val="single" w:sz="12" w:space="0" w:color="auto"/>
              <w:right w:val="single" w:sz="4" w:space="0" w:color="auto"/>
            </w:tcBorders>
            <w:vAlign w:val="center"/>
          </w:tcPr>
          <w:p w14:paraId="220412BC" w14:textId="79E47C22" w:rsidR="00B3415D" w:rsidRPr="00CA41EC" w:rsidRDefault="007B2CE6" w:rsidP="27F276F4">
            <w:pPr>
              <w:pStyle w:val="BodyText"/>
              <w:ind w:right="104"/>
              <w:rPr>
                <w:rFonts w:cstheme="minorBidi"/>
                <w:b/>
                <w:bCs/>
                <w:sz w:val="22"/>
                <w:szCs w:val="22"/>
              </w:rPr>
            </w:pPr>
            <w:r w:rsidRPr="00CA41EC">
              <w:rPr>
                <w:rFonts w:cstheme="minorHAnsi"/>
                <w:b/>
                <w:bCs/>
                <w:sz w:val="22"/>
                <w:szCs w:val="22"/>
              </w:rPr>
              <w:t>Location and Analysis Area</w:t>
            </w:r>
          </w:p>
        </w:tc>
        <w:tc>
          <w:tcPr>
            <w:tcW w:w="7200" w:type="dxa"/>
            <w:tcBorders>
              <w:top w:val="single" w:sz="4" w:space="0" w:color="auto"/>
              <w:left w:val="single" w:sz="4" w:space="0" w:color="auto"/>
              <w:bottom w:val="single" w:sz="12" w:space="0" w:color="auto"/>
              <w:right w:val="single" w:sz="4" w:space="0" w:color="auto"/>
            </w:tcBorders>
            <w:vAlign w:val="center"/>
          </w:tcPr>
          <w:p w14:paraId="4D7B2484" w14:textId="77777777" w:rsidR="007B2CE6" w:rsidRPr="00582F0D" w:rsidRDefault="007B2CE6" w:rsidP="00E01923">
            <w:pPr>
              <w:widowControl/>
              <w:adjustRightInd w:val="0"/>
              <w:rPr>
                <w:rFonts w:cstheme="minorHAnsi"/>
              </w:rPr>
            </w:pPr>
            <w:r w:rsidRPr="00582F0D">
              <w:rPr>
                <w:rFonts w:cstheme="minorHAnsi"/>
                <w:b/>
                <w:i/>
                <w:iCs/>
              </w:rPr>
              <w:t>Location</w:t>
            </w:r>
            <w:r w:rsidRPr="00582F0D">
              <w:rPr>
                <w:rFonts w:cstheme="minorHAnsi"/>
                <w:i/>
                <w:iCs/>
              </w:rPr>
              <w:t xml:space="preserve">: </w:t>
            </w:r>
            <w:r w:rsidRPr="00AF5C30">
              <w:rPr>
                <w:rFonts w:cstheme="minorHAnsi"/>
              </w:rPr>
              <w:t>Section 12, West ½ Section 13, and Section 14, Township 6 North, Range 26 East, in Musselshell County, Montana.</w:t>
            </w:r>
          </w:p>
          <w:p w14:paraId="30966BB6" w14:textId="0834BD70" w:rsidR="00AF5C30" w:rsidRPr="00582F0D" w:rsidRDefault="007B2CE6" w:rsidP="00F6292D">
            <w:pPr>
              <w:pStyle w:val="BodyText"/>
              <w:ind w:right="104"/>
              <w:rPr>
                <w:rFonts w:cstheme="minorHAnsi"/>
                <w:i/>
                <w:iCs/>
                <w:sz w:val="22"/>
                <w:szCs w:val="22"/>
              </w:rPr>
            </w:pPr>
            <w:r w:rsidRPr="00582F0D">
              <w:rPr>
                <w:rFonts w:cstheme="minorHAnsi"/>
                <w:b/>
                <w:bCs/>
                <w:i/>
                <w:iCs/>
                <w:sz w:val="22"/>
                <w:szCs w:val="22"/>
              </w:rPr>
              <w:t>Analysis Area</w:t>
            </w:r>
            <w:r w:rsidRPr="00582F0D">
              <w:rPr>
                <w:rFonts w:cstheme="minorHAnsi"/>
                <w:i/>
                <w:iCs/>
                <w:sz w:val="22"/>
                <w:szCs w:val="22"/>
              </w:rPr>
              <w:t>:</w:t>
            </w:r>
            <w:r w:rsidRPr="00582F0D">
              <w:rPr>
                <w:rFonts w:cstheme="minorHAnsi"/>
                <w:sz w:val="22"/>
                <w:szCs w:val="22"/>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4F537167" w14:textId="77777777" w:rsidR="007B2CE6" w:rsidRDefault="007B2CE6" w:rsidP="002C1890">
      <w:pPr>
        <w:pStyle w:val="Caption"/>
      </w:pPr>
    </w:p>
    <w:p w14:paraId="7F2F9861" w14:textId="148F0F87" w:rsidR="002C1890" w:rsidRDefault="002C1890" w:rsidP="002C1890">
      <w:pPr>
        <w:pStyle w:val="Caption"/>
      </w:pPr>
      <w:r>
        <w:t xml:space="preserve">Table </w:t>
      </w:r>
      <w:r w:rsidR="00B80237">
        <w:t>2</w:t>
      </w:r>
      <w:r>
        <w:t xml:space="preserve">. </w:t>
      </w:r>
      <w:r w:rsidRPr="002C1890">
        <w:t>The applicant is required to comply with all applicable local, county, state, and federal requirements pertaining to the following resource areas.</w:t>
      </w:r>
    </w:p>
    <w:tbl>
      <w:tblPr>
        <w:tblStyle w:val="TableGrid"/>
        <w:tblW w:w="9450" w:type="dxa"/>
        <w:jc w:val="center"/>
        <w:tblLook w:val="04A0" w:firstRow="1" w:lastRow="0" w:firstColumn="1" w:lastColumn="0" w:noHBand="0" w:noVBand="1"/>
      </w:tblPr>
      <w:tblGrid>
        <w:gridCol w:w="2430"/>
        <w:gridCol w:w="7020"/>
      </w:tblGrid>
      <w:tr w:rsidR="00B3415D" w:rsidRPr="00CA41EC" w14:paraId="1D330177" w14:textId="77777777" w:rsidTr="007612B0">
        <w:trPr>
          <w:trHeight w:val="720"/>
          <w:jc w:val="center"/>
        </w:trPr>
        <w:tc>
          <w:tcPr>
            <w:tcW w:w="2430" w:type="dxa"/>
            <w:vAlign w:val="center"/>
          </w:tcPr>
          <w:p w14:paraId="29A1E06E"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Air Quality</w:t>
            </w:r>
          </w:p>
        </w:tc>
        <w:tc>
          <w:tcPr>
            <w:tcW w:w="7020" w:type="dxa"/>
            <w:vAlign w:val="center"/>
          </w:tcPr>
          <w:p w14:paraId="422B9655" w14:textId="51010ADC" w:rsidR="00B3415D" w:rsidRPr="002125AB" w:rsidRDefault="002125AB" w:rsidP="00E01923">
            <w:pPr>
              <w:pStyle w:val="BodyText"/>
              <w:ind w:right="102"/>
              <w:rPr>
                <w:rFonts w:cstheme="minorHAnsi"/>
                <w:sz w:val="22"/>
                <w:szCs w:val="22"/>
              </w:rPr>
            </w:pPr>
            <w:r w:rsidRPr="002125AB">
              <w:rPr>
                <w:rFonts w:cstheme="minorHAnsi"/>
                <w:sz w:val="22"/>
                <w:szCs w:val="22"/>
              </w:rPr>
              <w:t xml:space="preserve">Signal Peak </w:t>
            </w:r>
            <w:proofErr w:type="gramStart"/>
            <w:r w:rsidRPr="002125AB">
              <w:rPr>
                <w:rFonts w:cstheme="minorHAnsi"/>
                <w:sz w:val="22"/>
                <w:szCs w:val="22"/>
              </w:rPr>
              <w:t>submitted an application</w:t>
            </w:r>
            <w:proofErr w:type="gramEnd"/>
            <w:r w:rsidRPr="002125AB">
              <w:rPr>
                <w:rFonts w:cstheme="minorHAnsi"/>
                <w:sz w:val="22"/>
                <w:szCs w:val="22"/>
              </w:rPr>
              <w:t xml:space="preserve"> for modification </w:t>
            </w:r>
            <w:r w:rsidR="000813D5">
              <w:rPr>
                <w:rFonts w:cstheme="minorHAnsi"/>
                <w:sz w:val="22"/>
                <w:szCs w:val="22"/>
              </w:rPr>
              <w:t xml:space="preserve">of </w:t>
            </w:r>
            <w:r w:rsidRPr="002125AB">
              <w:rPr>
                <w:rFonts w:cstheme="minorHAnsi"/>
                <w:sz w:val="22"/>
                <w:szCs w:val="22"/>
              </w:rPr>
              <w:t xml:space="preserve">MAQP #3179-12 to allow for an increase </w:t>
            </w:r>
            <w:r w:rsidR="00456E17" w:rsidRPr="00E96574">
              <w:rPr>
                <w:rFonts w:eastAsia="Garamond" w:cstheme="minorHAnsi"/>
                <w:sz w:val="22"/>
                <w:szCs w:val="22"/>
              </w:rPr>
              <w:t>of coal to be shipped by truck</w:t>
            </w:r>
            <w:r w:rsidRPr="002125AB">
              <w:rPr>
                <w:rFonts w:cstheme="minorHAnsi"/>
                <w:sz w:val="22"/>
                <w:szCs w:val="22"/>
              </w:rPr>
              <w:t xml:space="preserve">. The modification requested an increase of coal shipped from 150,000 tons per year to </w:t>
            </w:r>
            <w:r w:rsidR="00093B76">
              <w:rPr>
                <w:rFonts w:cstheme="minorHAnsi"/>
                <w:sz w:val="22"/>
                <w:szCs w:val="22"/>
              </w:rPr>
              <w:t>700</w:t>
            </w:r>
            <w:r w:rsidRPr="002125AB">
              <w:rPr>
                <w:rFonts w:cstheme="minorHAnsi"/>
                <w:sz w:val="22"/>
                <w:szCs w:val="22"/>
              </w:rPr>
              <w:t xml:space="preserve">,000 tons per year and was issued final on December 20, </w:t>
            </w:r>
            <w:r w:rsidR="002343B8" w:rsidRPr="002125AB">
              <w:rPr>
                <w:rFonts w:cstheme="minorHAnsi"/>
                <w:sz w:val="22"/>
                <w:szCs w:val="22"/>
              </w:rPr>
              <w:t>202</w:t>
            </w:r>
            <w:r w:rsidR="002343B8">
              <w:rPr>
                <w:rFonts w:cstheme="minorHAnsi"/>
                <w:sz w:val="22"/>
                <w:szCs w:val="22"/>
              </w:rPr>
              <w:t>3</w:t>
            </w:r>
            <w:r w:rsidRPr="002125AB">
              <w:rPr>
                <w:rFonts w:cstheme="minorHAnsi"/>
                <w:sz w:val="22"/>
                <w:szCs w:val="22"/>
              </w:rPr>
              <w:t>.</w:t>
            </w:r>
            <w:r w:rsidR="000813D5">
              <w:rPr>
                <w:rFonts w:cstheme="minorHAnsi"/>
                <w:sz w:val="22"/>
                <w:szCs w:val="22"/>
              </w:rPr>
              <w:t xml:space="preserve"> </w:t>
            </w:r>
            <w:r w:rsidR="00CB44E2">
              <w:rPr>
                <w:rFonts w:cstheme="minorHAnsi"/>
                <w:sz w:val="22"/>
                <w:szCs w:val="22"/>
              </w:rPr>
              <w:t xml:space="preserve">Approximately </w:t>
            </w:r>
            <w:r w:rsidR="00B67EE5" w:rsidRPr="00B67EE5">
              <w:rPr>
                <w:rStyle w:val="normaltextrun"/>
                <w:rFonts w:ascii="Calibri" w:hAnsi="Calibri" w:cs="Calibri"/>
                <w:sz w:val="22"/>
                <w:szCs w:val="22"/>
                <w:lang w:bidi="ar-SA"/>
              </w:rPr>
              <w:t>337 metric tons of CO</w:t>
            </w:r>
            <w:r w:rsidR="00B67EE5" w:rsidRPr="00B67EE5">
              <w:rPr>
                <w:rStyle w:val="normaltextrun"/>
                <w:rFonts w:ascii="Calibri" w:hAnsi="Calibri" w:cs="Calibri"/>
                <w:sz w:val="22"/>
                <w:szCs w:val="22"/>
                <w:vertAlign w:val="subscript"/>
                <w:lang w:bidi="ar-SA"/>
              </w:rPr>
              <w:t>2</w:t>
            </w:r>
            <w:r w:rsidR="00B67EE5" w:rsidRPr="00B67EE5">
              <w:rPr>
                <w:rStyle w:val="normaltextrun"/>
                <w:rFonts w:ascii="Calibri" w:hAnsi="Calibri" w:cs="Calibri"/>
                <w:sz w:val="22"/>
                <w:szCs w:val="22"/>
                <w:lang w:bidi="ar-SA"/>
              </w:rPr>
              <w:t xml:space="preserve"> equivalent </w:t>
            </w:r>
            <w:r w:rsidR="000813D5" w:rsidRPr="00B67EE5">
              <w:rPr>
                <w:rFonts w:cstheme="minorHAnsi"/>
                <w:sz w:val="22"/>
                <w:szCs w:val="22"/>
              </w:rPr>
              <w:t>emissions would be emitted from the on-site (mine) transfer of coal to and from the semi-truck load-out facility</w:t>
            </w:r>
            <w:r w:rsidR="000813D5">
              <w:rPr>
                <w:rFonts w:cstheme="minorHAnsi"/>
                <w:sz w:val="22"/>
                <w:szCs w:val="22"/>
              </w:rPr>
              <w:t>.</w:t>
            </w:r>
          </w:p>
        </w:tc>
      </w:tr>
      <w:tr w:rsidR="00B3415D" w:rsidRPr="00CA41EC" w14:paraId="3467DF15" w14:textId="77777777" w:rsidTr="007612B0">
        <w:trPr>
          <w:trHeight w:val="720"/>
          <w:jc w:val="center"/>
        </w:trPr>
        <w:tc>
          <w:tcPr>
            <w:tcW w:w="2430" w:type="dxa"/>
            <w:vAlign w:val="center"/>
          </w:tcPr>
          <w:p w14:paraId="48CBE9C1"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Water Quality</w:t>
            </w:r>
          </w:p>
        </w:tc>
        <w:tc>
          <w:tcPr>
            <w:tcW w:w="7020" w:type="dxa"/>
            <w:vAlign w:val="center"/>
          </w:tcPr>
          <w:p w14:paraId="51D35B71" w14:textId="4626BC6A" w:rsidR="00B3415D" w:rsidRPr="002125AB" w:rsidRDefault="6D10CE11" w:rsidP="27F276F4">
            <w:pPr>
              <w:rPr>
                <w:rFonts w:cstheme="minorBidi"/>
              </w:rPr>
            </w:pPr>
            <w:r w:rsidRPr="27F276F4">
              <w:rPr>
                <w:rFonts w:cstheme="minorBidi"/>
              </w:rPr>
              <w:t xml:space="preserve">Impacts </w:t>
            </w:r>
            <w:proofErr w:type="gramStart"/>
            <w:r w:rsidRPr="27F276F4">
              <w:rPr>
                <w:rFonts w:cstheme="minorBidi"/>
              </w:rPr>
              <w:t>to</w:t>
            </w:r>
            <w:proofErr w:type="gramEnd"/>
            <w:r w:rsidRPr="27F276F4">
              <w:rPr>
                <w:rFonts w:cstheme="minorBidi"/>
              </w:rPr>
              <w:t xml:space="preserve"> Water Quality were addressed in </w:t>
            </w:r>
            <w:r w:rsidR="56E76EB4" w:rsidRPr="27F276F4">
              <w:rPr>
                <w:rFonts w:cstheme="minorBidi"/>
              </w:rPr>
              <w:t xml:space="preserve">the </w:t>
            </w:r>
            <w:r w:rsidR="56E76EB4" w:rsidRPr="27F276F4">
              <w:rPr>
                <w:rStyle w:val="BodyTextChar"/>
                <w:rFonts w:eastAsiaTheme="minorEastAsia" w:cstheme="minorBidi"/>
                <w:sz w:val="22"/>
                <w:szCs w:val="22"/>
              </w:rPr>
              <w:t>Final</w:t>
            </w:r>
            <w:r w:rsidR="2DD361A2" w:rsidRPr="27F276F4">
              <w:rPr>
                <w:rStyle w:val="BodyTextChar"/>
                <w:rFonts w:eastAsiaTheme="minorEastAsia" w:cstheme="minorBidi"/>
                <w:sz w:val="22"/>
                <w:szCs w:val="22"/>
              </w:rPr>
              <w:t xml:space="preserve"> E</w:t>
            </w:r>
            <w:r w:rsidR="069D09C9" w:rsidRPr="27F276F4">
              <w:rPr>
                <w:rStyle w:val="BodyTextChar"/>
                <w:rFonts w:eastAsiaTheme="minorEastAsia" w:cstheme="minorBidi"/>
                <w:sz w:val="22"/>
                <w:szCs w:val="22"/>
              </w:rPr>
              <w:t>A</w:t>
            </w:r>
            <w:r w:rsidR="2DD361A2" w:rsidRPr="27F276F4">
              <w:rPr>
                <w:rStyle w:val="BodyTextChar"/>
                <w:rFonts w:eastAsiaTheme="minorEastAsia" w:cstheme="minorBidi"/>
                <w:sz w:val="22"/>
                <w:szCs w:val="22"/>
              </w:rPr>
              <w:t xml:space="preserve"> dated December 4, 2023</w:t>
            </w:r>
            <w:r w:rsidR="04A50047" w:rsidRPr="27F276F4">
              <w:rPr>
                <w:rStyle w:val="BodyTextChar"/>
                <w:rFonts w:eastAsiaTheme="minorEastAsia" w:cstheme="minorBidi"/>
                <w:sz w:val="22"/>
                <w:szCs w:val="22"/>
              </w:rPr>
              <w:t xml:space="preserve">, </w:t>
            </w:r>
            <w:r w:rsidRPr="27F276F4">
              <w:rPr>
                <w:rFonts w:cstheme="minorBidi"/>
              </w:rPr>
              <w:t>and remain unchanged.</w:t>
            </w:r>
          </w:p>
        </w:tc>
      </w:tr>
      <w:tr w:rsidR="00B3415D" w:rsidRPr="00CA41EC" w14:paraId="5A68A684" w14:textId="77777777" w:rsidTr="007612B0">
        <w:trPr>
          <w:trHeight w:val="720"/>
          <w:jc w:val="center"/>
        </w:trPr>
        <w:tc>
          <w:tcPr>
            <w:tcW w:w="2430" w:type="dxa"/>
            <w:vAlign w:val="center"/>
          </w:tcPr>
          <w:p w14:paraId="0FE60B17"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Erosion Control and Sediment Transport</w:t>
            </w:r>
          </w:p>
        </w:tc>
        <w:tc>
          <w:tcPr>
            <w:tcW w:w="7020" w:type="dxa"/>
            <w:vAlign w:val="center"/>
          </w:tcPr>
          <w:p w14:paraId="07441866" w14:textId="15A073E0" w:rsidR="00B3415D" w:rsidRPr="002125AB" w:rsidRDefault="004D40DA" w:rsidP="00E01923">
            <w:pPr>
              <w:widowControl/>
              <w:adjustRightInd w:val="0"/>
              <w:rPr>
                <w:rFonts w:cstheme="minorHAnsi"/>
              </w:rPr>
            </w:pPr>
            <w:r w:rsidRPr="002125AB">
              <w:rPr>
                <w:rFonts w:cstheme="minorHAnsi"/>
              </w:rPr>
              <w:t xml:space="preserve">Impacts to Erosion Control and Sediment Transport were addressed in the </w:t>
            </w:r>
            <w:r w:rsidR="00F6292D">
              <w:rPr>
                <w:rStyle w:val="BodyTextChar"/>
                <w:rFonts w:eastAsiaTheme="minorEastAsia" w:cstheme="minorBidi"/>
                <w:sz w:val="22"/>
                <w:szCs w:val="22"/>
              </w:rPr>
              <w:t>Final E</w:t>
            </w:r>
            <w:r w:rsidR="00AF5C30">
              <w:rPr>
                <w:rStyle w:val="BodyTextChar"/>
                <w:rFonts w:eastAsiaTheme="minorEastAsia" w:cstheme="minorBidi"/>
                <w:sz w:val="22"/>
                <w:szCs w:val="22"/>
              </w:rPr>
              <w:t>A</w:t>
            </w:r>
            <w:r w:rsidR="00F6292D">
              <w:rPr>
                <w:rStyle w:val="BodyTextChar"/>
                <w:rFonts w:eastAsiaTheme="minorEastAsia" w:cstheme="minorBidi"/>
                <w:sz w:val="22"/>
                <w:szCs w:val="22"/>
              </w:rPr>
              <w:t xml:space="preserve"> dated December 4, </w:t>
            </w:r>
            <w:r w:rsidR="00DD36C3">
              <w:rPr>
                <w:rStyle w:val="BodyTextChar"/>
                <w:rFonts w:eastAsiaTheme="minorEastAsia" w:cstheme="minorBidi"/>
                <w:sz w:val="22"/>
                <w:szCs w:val="22"/>
              </w:rPr>
              <w:t>2023,</w:t>
            </w:r>
            <w:r w:rsidR="00F6292D">
              <w:rPr>
                <w:rStyle w:val="BodyTextChar"/>
                <w:rFonts w:eastAsiaTheme="minorEastAsia" w:cstheme="minorBidi"/>
                <w:sz w:val="22"/>
                <w:szCs w:val="22"/>
              </w:rPr>
              <w:t xml:space="preserve"> </w:t>
            </w:r>
            <w:r w:rsidRPr="002125AB">
              <w:rPr>
                <w:rFonts w:cstheme="minorHAnsi"/>
              </w:rPr>
              <w:t>and remain unchanged.</w:t>
            </w:r>
          </w:p>
        </w:tc>
      </w:tr>
      <w:tr w:rsidR="00B3415D" w:rsidRPr="00CA41EC" w14:paraId="2A9C6C7E" w14:textId="77777777" w:rsidTr="007612B0">
        <w:trPr>
          <w:trHeight w:val="720"/>
          <w:jc w:val="center"/>
        </w:trPr>
        <w:tc>
          <w:tcPr>
            <w:tcW w:w="2430" w:type="dxa"/>
            <w:vAlign w:val="center"/>
          </w:tcPr>
          <w:p w14:paraId="7BC90F42"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Solid Waste</w:t>
            </w:r>
          </w:p>
        </w:tc>
        <w:tc>
          <w:tcPr>
            <w:tcW w:w="7020" w:type="dxa"/>
            <w:vAlign w:val="center"/>
          </w:tcPr>
          <w:p w14:paraId="6B5B5A19" w14:textId="1A104672" w:rsidR="00B3415D" w:rsidRPr="002125AB" w:rsidRDefault="6D10CE11" w:rsidP="27F276F4">
            <w:pPr>
              <w:widowControl/>
              <w:adjustRightInd w:val="0"/>
              <w:rPr>
                <w:rFonts w:cstheme="minorBidi"/>
              </w:rPr>
            </w:pPr>
            <w:r w:rsidRPr="27F276F4">
              <w:rPr>
                <w:rFonts w:cstheme="minorBidi"/>
              </w:rPr>
              <w:t xml:space="preserve">Impacts to </w:t>
            </w:r>
            <w:r w:rsidR="5B03DDB9" w:rsidRPr="27F276F4">
              <w:rPr>
                <w:rFonts w:cstheme="minorBidi"/>
              </w:rPr>
              <w:t xml:space="preserve">Solid Waste </w:t>
            </w:r>
            <w:r w:rsidRPr="27F276F4">
              <w:rPr>
                <w:rFonts w:cstheme="minorBidi"/>
              </w:rPr>
              <w:t xml:space="preserve">were addressed in </w:t>
            </w:r>
            <w:r w:rsidR="56E76EB4" w:rsidRPr="27F276F4">
              <w:rPr>
                <w:rFonts w:cstheme="minorBidi"/>
              </w:rPr>
              <w:t>the Final</w:t>
            </w:r>
            <w:r w:rsidR="2DD361A2" w:rsidRPr="27F276F4">
              <w:rPr>
                <w:rStyle w:val="BodyTextChar"/>
                <w:rFonts w:eastAsiaTheme="minorEastAsia" w:cstheme="minorBidi"/>
                <w:sz w:val="22"/>
                <w:szCs w:val="22"/>
              </w:rPr>
              <w:t xml:space="preserve"> E</w:t>
            </w:r>
            <w:r w:rsidR="069D09C9" w:rsidRPr="27F276F4">
              <w:rPr>
                <w:rStyle w:val="BodyTextChar"/>
                <w:rFonts w:eastAsiaTheme="minorEastAsia" w:cstheme="minorBidi"/>
                <w:sz w:val="22"/>
                <w:szCs w:val="22"/>
              </w:rPr>
              <w:t>A</w:t>
            </w:r>
            <w:r w:rsidR="2DD361A2" w:rsidRPr="27F276F4">
              <w:rPr>
                <w:rStyle w:val="BodyTextChar"/>
                <w:rFonts w:eastAsiaTheme="minorEastAsia" w:cstheme="minorBidi"/>
                <w:sz w:val="22"/>
                <w:szCs w:val="22"/>
              </w:rPr>
              <w:t xml:space="preserve"> dated December 4, 2023</w:t>
            </w:r>
            <w:r w:rsidR="04A50047" w:rsidRPr="27F276F4">
              <w:rPr>
                <w:rStyle w:val="BodyTextChar"/>
                <w:rFonts w:eastAsiaTheme="minorEastAsia" w:cstheme="minorBidi"/>
                <w:sz w:val="22"/>
                <w:szCs w:val="22"/>
              </w:rPr>
              <w:t xml:space="preserve">, </w:t>
            </w:r>
            <w:r w:rsidRPr="27F276F4">
              <w:rPr>
                <w:rFonts w:cstheme="minorBidi"/>
              </w:rPr>
              <w:t>and remain unchanged.</w:t>
            </w:r>
          </w:p>
        </w:tc>
      </w:tr>
      <w:tr w:rsidR="00B3415D" w:rsidRPr="00CA41EC" w14:paraId="4A19D6F0" w14:textId="77777777" w:rsidTr="007612B0">
        <w:trPr>
          <w:trHeight w:val="720"/>
          <w:jc w:val="center"/>
        </w:trPr>
        <w:tc>
          <w:tcPr>
            <w:tcW w:w="2430" w:type="dxa"/>
            <w:vAlign w:val="center"/>
          </w:tcPr>
          <w:p w14:paraId="4DFAD78B"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Cultural Resources</w:t>
            </w:r>
          </w:p>
        </w:tc>
        <w:tc>
          <w:tcPr>
            <w:tcW w:w="7020" w:type="dxa"/>
            <w:vAlign w:val="center"/>
          </w:tcPr>
          <w:p w14:paraId="2B2BCB0F" w14:textId="5120397F" w:rsidR="00B3415D" w:rsidRPr="002125AB" w:rsidRDefault="004D40DA" w:rsidP="00E01923">
            <w:pPr>
              <w:widowControl/>
              <w:adjustRightInd w:val="0"/>
              <w:rPr>
                <w:rFonts w:cstheme="minorHAnsi"/>
              </w:rPr>
            </w:pPr>
            <w:r w:rsidRPr="002125AB">
              <w:rPr>
                <w:rFonts w:cstheme="minorHAnsi"/>
              </w:rPr>
              <w:t xml:space="preserve">Impacts to </w:t>
            </w:r>
            <w:r w:rsidR="002125AB" w:rsidRPr="002125AB">
              <w:rPr>
                <w:rFonts w:cstheme="minorHAnsi"/>
              </w:rPr>
              <w:t xml:space="preserve">Cultural Resources </w:t>
            </w:r>
            <w:r w:rsidRPr="002125AB">
              <w:rPr>
                <w:rFonts w:cstheme="minorHAnsi"/>
              </w:rPr>
              <w:t xml:space="preserve">were addressed in the </w:t>
            </w:r>
            <w:r w:rsidR="000813D5">
              <w:rPr>
                <w:rFonts w:cstheme="minorHAnsi"/>
              </w:rPr>
              <w:t>Final</w:t>
            </w:r>
            <w:r w:rsidR="000813D5">
              <w:rPr>
                <w:rStyle w:val="BodyTextChar"/>
                <w:rFonts w:eastAsiaTheme="minorEastAsia" w:cstheme="minorBidi"/>
                <w:sz w:val="22"/>
                <w:szCs w:val="22"/>
              </w:rPr>
              <w:t xml:space="preserve"> EA dated December 4, 2023,</w:t>
            </w:r>
            <w:r w:rsidR="000813D5">
              <w:rPr>
                <w:rFonts w:cstheme="minorHAnsi"/>
              </w:rPr>
              <w:t xml:space="preserve"> </w:t>
            </w:r>
            <w:r w:rsidRPr="002125AB">
              <w:rPr>
                <w:rFonts w:cstheme="minorHAnsi"/>
              </w:rPr>
              <w:t>and remain unchanged.</w:t>
            </w:r>
          </w:p>
        </w:tc>
      </w:tr>
      <w:tr w:rsidR="00B3415D" w:rsidRPr="00CA41EC" w14:paraId="7B48A164" w14:textId="77777777" w:rsidTr="007612B0">
        <w:trPr>
          <w:trHeight w:val="720"/>
          <w:jc w:val="center"/>
        </w:trPr>
        <w:tc>
          <w:tcPr>
            <w:tcW w:w="2430" w:type="dxa"/>
            <w:vAlign w:val="center"/>
          </w:tcPr>
          <w:p w14:paraId="5C57A2E2"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Hazardous Substances</w:t>
            </w:r>
          </w:p>
        </w:tc>
        <w:tc>
          <w:tcPr>
            <w:tcW w:w="7020" w:type="dxa"/>
            <w:vAlign w:val="center"/>
          </w:tcPr>
          <w:p w14:paraId="29108EF2" w14:textId="1C71C1D0" w:rsidR="00B3415D" w:rsidRPr="002125AB" w:rsidRDefault="004D40DA" w:rsidP="00E01923">
            <w:pPr>
              <w:widowControl/>
              <w:adjustRightInd w:val="0"/>
              <w:rPr>
                <w:rFonts w:cstheme="minorHAnsi"/>
              </w:rPr>
            </w:pPr>
            <w:r w:rsidRPr="002125AB">
              <w:rPr>
                <w:rFonts w:cstheme="minorHAnsi"/>
              </w:rPr>
              <w:t xml:space="preserve">Impacts to </w:t>
            </w:r>
            <w:r w:rsidR="002125AB" w:rsidRPr="002125AB">
              <w:rPr>
                <w:rFonts w:cstheme="minorHAnsi"/>
              </w:rPr>
              <w:t xml:space="preserve">Hazardous Substances </w:t>
            </w:r>
            <w:r w:rsidRPr="002125AB">
              <w:rPr>
                <w:rFonts w:cstheme="minorHAnsi"/>
              </w:rPr>
              <w:t xml:space="preserve">were addressed in the </w:t>
            </w:r>
            <w:r w:rsidR="00AF5C30">
              <w:rPr>
                <w:rStyle w:val="BodyTextChar"/>
                <w:rFonts w:eastAsiaTheme="minorEastAsia" w:cstheme="minorBidi"/>
                <w:sz w:val="22"/>
                <w:szCs w:val="22"/>
              </w:rPr>
              <w:t>Final EA dated December 4, 2023</w:t>
            </w:r>
            <w:r w:rsidR="000813D5">
              <w:rPr>
                <w:rStyle w:val="BodyTextChar"/>
                <w:rFonts w:eastAsiaTheme="minorEastAsia" w:cstheme="minorBidi"/>
                <w:sz w:val="22"/>
                <w:szCs w:val="22"/>
              </w:rPr>
              <w:t>,</w:t>
            </w:r>
            <w:r w:rsidR="000813D5">
              <w:rPr>
                <w:rStyle w:val="BodyTextChar"/>
                <w:rFonts w:eastAsiaTheme="minorEastAsia" w:cstheme="minorBidi"/>
              </w:rPr>
              <w:t xml:space="preserve"> </w:t>
            </w:r>
            <w:r w:rsidRPr="002125AB">
              <w:rPr>
                <w:rFonts w:cstheme="minorHAnsi"/>
              </w:rPr>
              <w:t>and remain unchanged.</w:t>
            </w:r>
          </w:p>
        </w:tc>
      </w:tr>
      <w:tr w:rsidR="00B3415D" w:rsidRPr="00CA41EC" w14:paraId="1714A491" w14:textId="77777777" w:rsidTr="007612B0">
        <w:trPr>
          <w:trHeight w:val="720"/>
          <w:jc w:val="center"/>
        </w:trPr>
        <w:tc>
          <w:tcPr>
            <w:tcW w:w="2430" w:type="dxa"/>
            <w:vAlign w:val="center"/>
          </w:tcPr>
          <w:p w14:paraId="2C648479"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Reclamation</w:t>
            </w:r>
          </w:p>
        </w:tc>
        <w:tc>
          <w:tcPr>
            <w:tcW w:w="7020" w:type="dxa"/>
            <w:vAlign w:val="center"/>
          </w:tcPr>
          <w:p w14:paraId="273AD546" w14:textId="0C29EE5D" w:rsidR="00B3415D" w:rsidRPr="002125AB" w:rsidRDefault="004D40DA" w:rsidP="00E01923">
            <w:pPr>
              <w:widowControl/>
              <w:adjustRightInd w:val="0"/>
              <w:rPr>
                <w:rFonts w:cstheme="minorHAnsi"/>
              </w:rPr>
            </w:pPr>
            <w:r w:rsidRPr="002125AB">
              <w:rPr>
                <w:rFonts w:cstheme="minorHAnsi"/>
              </w:rPr>
              <w:t xml:space="preserve">Impacts to </w:t>
            </w:r>
            <w:r w:rsidR="002125AB" w:rsidRPr="002125AB">
              <w:rPr>
                <w:rFonts w:cstheme="minorHAnsi"/>
              </w:rPr>
              <w:t xml:space="preserve">Reclamation </w:t>
            </w:r>
            <w:r w:rsidRPr="002125AB">
              <w:rPr>
                <w:rFonts w:cstheme="minorHAnsi"/>
              </w:rPr>
              <w:t xml:space="preserve">were addressed in the </w:t>
            </w:r>
            <w:r w:rsidR="00AF5C30">
              <w:rPr>
                <w:rStyle w:val="BodyTextChar"/>
                <w:rFonts w:eastAsiaTheme="minorEastAsia" w:cstheme="minorBidi"/>
                <w:sz w:val="22"/>
                <w:szCs w:val="22"/>
              </w:rPr>
              <w:t>Final EA dated December 4, 2023</w:t>
            </w:r>
            <w:r w:rsidR="00DD36C3">
              <w:rPr>
                <w:rFonts w:cstheme="minorHAnsi"/>
              </w:rPr>
              <w:t>,</w:t>
            </w:r>
            <w:r w:rsidRPr="002125AB">
              <w:rPr>
                <w:rFonts w:cstheme="minorHAnsi"/>
              </w:rPr>
              <w:t xml:space="preserve"> and remain unchanged.</w:t>
            </w:r>
          </w:p>
        </w:tc>
      </w:tr>
      <w:bookmarkEnd w:id="17"/>
    </w:tbl>
    <w:p w14:paraId="0DFA02C1" w14:textId="77777777" w:rsidR="00B3415D" w:rsidRDefault="00B3415D" w:rsidP="00670D02">
      <w:pPr>
        <w:pStyle w:val="Caption"/>
      </w:pPr>
    </w:p>
    <w:p w14:paraId="295059E0" w14:textId="77777777" w:rsidR="007B2CE6" w:rsidRPr="007B2CE6" w:rsidRDefault="007B2CE6" w:rsidP="007B2CE6"/>
    <w:p w14:paraId="5705A4C6" w14:textId="6F6698F8" w:rsidR="00670D02" w:rsidRPr="00670D02" w:rsidRDefault="00670D02" w:rsidP="00670D02">
      <w:pPr>
        <w:pStyle w:val="Caption"/>
      </w:pPr>
      <w:r>
        <w:t>Table 3. Cumulative Impacts</w:t>
      </w:r>
    </w:p>
    <w:tbl>
      <w:tblPr>
        <w:tblStyle w:val="TableGrid"/>
        <w:tblW w:w="9375" w:type="dxa"/>
        <w:jc w:val="center"/>
        <w:tblLook w:val="04A0" w:firstRow="1" w:lastRow="0" w:firstColumn="1" w:lastColumn="0" w:noHBand="0" w:noVBand="1"/>
      </w:tblPr>
      <w:tblGrid>
        <w:gridCol w:w="2167"/>
        <w:gridCol w:w="7208"/>
      </w:tblGrid>
      <w:tr w:rsidR="00B3415D" w:rsidRPr="00CA41EC" w14:paraId="0818AE5E" w14:textId="77777777" w:rsidTr="007612B0">
        <w:trPr>
          <w:trHeight w:val="866"/>
          <w:jc w:val="center"/>
        </w:trPr>
        <w:tc>
          <w:tcPr>
            <w:tcW w:w="2167" w:type="dxa"/>
            <w:tcBorders>
              <w:top w:val="single" w:sz="4" w:space="0" w:color="auto"/>
              <w:left w:val="single" w:sz="4" w:space="0" w:color="auto"/>
              <w:bottom w:val="single" w:sz="4" w:space="0" w:color="auto"/>
              <w:right w:val="single" w:sz="4" w:space="0" w:color="auto"/>
            </w:tcBorders>
            <w:vAlign w:val="center"/>
          </w:tcPr>
          <w:p w14:paraId="22453FFC"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Past Actions</w:t>
            </w:r>
          </w:p>
        </w:tc>
        <w:tc>
          <w:tcPr>
            <w:tcW w:w="7208" w:type="dxa"/>
            <w:tcBorders>
              <w:top w:val="single" w:sz="4" w:space="0" w:color="auto"/>
              <w:left w:val="single" w:sz="4" w:space="0" w:color="auto"/>
              <w:bottom w:val="single" w:sz="4" w:space="0" w:color="auto"/>
              <w:right w:val="single" w:sz="4" w:space="0" w:color="auto"/>
            </w:tcBorders>
            <w:vAlign w:val="center"/>
          </w:tcPr>
          <w:p w14:paraId="55B47C7D" w14:textId="1F9148C7" w:rsidR="00B3415D" w:rsidRPr="00CA41EC" w:rsidRDefault="004D40DA" w:rsidP="00E01923">
            <w:pPr>
              <w:pStyle w:val="BodyText"/>
              <w:ind w:right="104"/>
              <w:rPr>
                <w:rFonts w:cstheme="minorHAnsi"/>
                <w:sz w:val="22"/>
                <w:szCs w:val="22"/>
              </w:rPr>
            </w:pPr>
            <w:r>
              <w:rPr>
                <w:rFonts w:cstheme="minorHAnsi"/>
                <w:sz w:val="22"/>
                <w:szCs w:val="22"/>
              </w:rPr>
              <w:t xml:space="preserve">Signal </w:t>
            </w:r>
            <w:r w:rsidR="002125AB">
              <w:rPr>
                <w:rFonts w:cstheme="minorHAnsi"/>
                <w:sz w:val="22"/>
                <w:szCs w:val="22"/>
              </w:rPr>
              <w:t>Peak</w:t>
            </w:r>
            <w:r>
              <w:rPr>
                <w:rFonts w:cstheme="minorHAnsi"/>
                <w:sz w:val="22"/>
                <w:szCs w:val="22"/>
              </w:rPr>
              <w:t xml:space="preserve"> </w:t>
            </w:r>
            <w:proofErr w:type="gramStart"/>
            <w:r>
              <w:rPr>
                <w:rFonts w:cstheme="minorHAnsi"/>
                <w:sz w:val="22"/>
                <w:szCs w:val="22"/>
              </w:rPr>
              <w:t>submitted a</w:t>
            </w:r>
            <w:r w:rsidR="002125AB">
              <w:rPr>
                <w:rFonts w:cstheme="minorHAnsi"/>
                <w:sz w:val="22"/>
                <w:szCs w:val="22"/>
              </w:rPr>
              <w:t>n</w:t>
            </w:r>
            <w:r>
              <w:rPr>
                <w:rFonts w:cstheme="minorHAnsi"/>
                <w:sz w:val="22"/>
                <w:szCs w:val="22"/>
              </w:rPr>
              <w:t xml:space="preserve"> application</w:t>
            </w:r>
            <w:proofErr w:type="gramEnd"/>
            <w:r>
              <w:rPr>
                <w:rFonts w:cstheme="minorHAnsi"/>
                <w:sz w:val="22"/>
                <w:szCs w:val="22"/>
              </w:rPr>
              <w:t xml:space="preserve"> for modification </w:t>
            </w:r>
            <w:r w:rsidR="000813D5">
              <w:rPr>
                <w:rFonts w:cstheme="minorHAnsi"/>
                <w:sz w:val="22"/>
                <w:szCs w:val="22"/>
              </w:rPr>
              <w:t xml:space="preserve">of </w:t>
            </w:r>
            <w:r>
              <w:rPr>
                <w:rFonts w:cstheme="minorHAnsi"/>
                <w:sz w:val="22"/>
                <w:szCs w:val="22"/>
              </w:rPr>
              <w:t xml:space="preserve">MAQP #3179-12 to allow for an increase </w:t>
            </w:r>
            <w:r w:rsidR="00BC0EC2" w:rsidRPr="00E96574">
              <w:rPr>
                <w:rFonts w:eastAsia="Garamond" w:cstheme="minorHAnsi"/>
                <w:sz w:val="22"/>
                <w:szCs w:val="22"/>
              </w:rPr>
              <w:t>of coal to be shipped by truck</w:t>
            </w:r>
            <w:r>
              <w:rPr>
                <w:rFonts w:cstheme="minorHAnsi"/>
                <w:sz w:val="22"/>
                <w:szCs w:val="22"/>
              </w:rPr>
              <w:t xml:space="preserve">. The modification requested an increase of coal shipped </w:t>
            </w:r>
            <w:r w:rsidR="000813D5">
              <w:rPr>
                <w:rFonts w:cstheme="minorHAnsi"/>
                <w:sz w:val="22"/>
                <w:szCs w:val="22"/>
              </w:rPr>
              <w:t xml:space="preserve">over-road by semi-truck </w:t>
            </w:r>
            <w:r>
              <w:rPr>
                <w:rFonts w:cstheme="minorHAnsi"/>
                <w:sz w:val="22"/>
                <w:szCs w:val="22"/>
              </w:rPr>
              <w:t xml:space="preserve">from 150,000 tons per year to </w:t>
            </w:r>
            <w:r w:rsidR="00093B76">
              <w:rPr>
                <w:rFonts w:cstheme="minorHAnsi"/>
                <w:sz w:val="22"/>
                <w:szCs w:val="22"/>
              </w:rPr>
              <w:t>700</w:t>
            </w:r>
            <w:r>
              <w:rPr>
                <w:rFonts w:cstheme="minorHAnsi"/>
                <w:sz w:val="22"/>
                <w:szCs w:val="22"/>
              </w:rPr>
              <w:t>,000 tons per year</w:t>
            </w:r>
            <w:r w:rsidR="002125AB">
              <w:rPr>
                <w:rFonts w:cstheme="minorHAnsi"/>
                <w:sz w:val="22"/>
                <w:szCs w:val="22"/>
              </w:rPr>
              <w:t xml:space="preserve"> and was issued as final on December 20, </w:t>
            </w:r>
            <w:r w:rsidR="00A63457">
              <w:rPr>
                <w:rFonts w:cstheme="minorHAnsi"/>
                <w:sz w:val="22"/>
                <w:szCs w:val="22"/>
              </w:rPr>
              <w:t>2023</w:t>
            </w:r>
            <w:r>
              <w:rPr>
                <w:rFonts w:cstheme="minorHAnsi"/>
                <w:sz w:val="22"/>
                <w:szCs w:val="22"/>
              </w:rPr>
              <w:t xml:space="preserve">. </w:t>
            </w:r>
          </w:p>
        </w:tc>
      </w:tr>
      <w:tr w:rsidR="00B3415D" w:rsidRPr="00CA41EC" w14:paraId="658D3555" w14:textId="77777777" w:rsidTr="007612B0">
        <w:trPr>
          <w:trHeight w:val="866"/>
          <w:jc w:val="center"/>
        </w:trPr>
        <w:tc>
          <w:tcPr>
            <w:tcW w:w="2167" w:type="dxa"/>
            <w:tcBorders>
              <w:top w:val="single" w:sz="4" w:space="0" w:color="auto"/>
              <w:left w:val="single" w:sz="4" w:space="0" w:color="auto"/>
              <w:bottom w:val="single" w:sz="4" w:space="0" w:color="auto"/>
              <w:right w:val="single" w:sz="4" w:space="0" w:color="auto"/>
            </w:tcBorders>
            <w:vAlign w:val="center"/>
          </w:tcPr>
          <w:p w14:paraId="35E5EF4A"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Present Actions</w:t>
            </w:r>
          </w:p>
        </w:tc>
        <w:tc>
          <w:tcPr>
            <w:tcW w:w="7208" w:type="dxa"/>
            <w:tcBorders>
              <w:top w:val="single" w:sz="4" w:space="0" w:color="auto"/>
              <w:left w:val="single" w:sz="4" w:space="0" w:color="auto"/>
              <w:bottom w:val="single" w:sz="4" w:space="0" w:color="auto"/>
              <w:right w:val="single" w:sz="4" w:space="0" w:color="auto"/>
            </w:tcBorders>
            <w:vAlign w:val="center"/>
          </w:tcPr>
          <w:p w14:paraId="5119CAFD" w14:textId="60F2C655" w:rsidR="00B3415D" w:rsidRPr="00806860" w:rsidRDefault="00431F2E" w:rsidP="00E01923">
            <w:pPr>
              <w:pStyle w:val="BodyText"/>
              <w:ind w:right="104"/>
              <w:rPr>
                <w:rFonts w:cstheme="minorHAnsi"/>
                <w:sz w:val="22"/>
                <w:szCs w:val="22"/>
              </w:rPr>
            </w:pPr>
            <w:r w:rsidRPr="00806860">
              <w:rPr>
                <w:sz w:val="22"/>
                <w:szCs w:val="22"/>
              </w:rPr>
              <w:t xml:space="preserve">DEQ is not aware of any </w:t>
            </w:r>
            <w:r w:rsidR="00871F9A" w:rsidRPr="00806860">
              <w:rPr>
                <w:sz w:val="22"/>
                <w:szCs w:val="22"/>
              </w:rPr>
              <w:t xml:space="preserve">present </w:t>
            </w:r>
            <w:r w:rsidRPr="00806860">
              <w:rPr>
                <w:sz w:val="22"/>
                <w:szCs w:val="22"/>
              </w:rPr>
              <w:t>related actions under concurrent consideration by any state agency through preimpact statement studies, separate impact statement evaluation, or permit processing procedures.</w:t>
            </w:r>
          </w:p>
        </w:tc>
      </w:tr>
      <w:tr w:rsidR="00B3415D" w:rsidRPr="00CA41EC" w14:paraId="62AE2299" w14:textId="77777777" w:rsidTr="007612B0">
        <w:trPr>
          <w:trHeight w:val="866"/>
          <w:jc w:val="center"/>
        </w:trPr>
        <w:tc>
          <w:tcPr>
            <w:tcW w:w="2167" w:type="dxa"/>
            <w:tcBorders>
              <w:top w:val="single" w:sz="4" w:space="0" w:color="auto"/>
              <w:left w:val="single" w:sz="4" w:space="0" w:color="auto"/>
              <w:bottom w:val="single" w:sz="4" w:space="0" w:color="auto"/>
              <w:right w:val="single" w:sz="4" w:space="0" w:color="auto"/>
            </w:tcBorders>
            <w:vAlign w:val="center"/>
          </w:tcPr>
          <w:p w14:paraId="7543ED85" w14:textId="77777777" w:rsidR="00B3415D" w:rsidRPr="00CA41EC" w:rsidRDefault="00B3415D" w:rsidP="00E01923">
            <w:pPr>
              <w:pStyle w:val="BodyText"/>
              <w:ind w:right="104"/>
              <w:rPr>
                <w:rFonts w:cstheme="minorHAnsi"/>
                <w:b/>
                <w:bCs/>
                <w:sz w:val="22"/>
                <w:szCs w:val="22"/>
              </w:rPr>
            </w:pPr>
            <w:r w:rsidRPr="00CA41EC">
              <w:rPr>
                <w:rFonts w:cstheme="minorHAnsi"/>
                <w:b/>
                <w:bCs/>
                <w:sz w:val="22"/>
                <w:szCs w:val="22"/>
              </w:rPr>
              <w:t>Related Future Actions</w:t>
            </w:r>
          </w:p>
        </w:tc>
        <w:tc>
          <w:tcPr>
            <w:tcW w:w="7208" w:type="dxa"/>
            <w:tcBorders>
              <w:top w:val="single" w:sz="4" w:space="0" w:color="auto"/>
              <w:left w:val="single" w:sz="4" w:space="0" w:color="auto"/>
              <w:bottom w:val="single" w:sz="4" w:space="0" w:color="auto"/>
              <w:right w:val="single" w:sz="4" w:space="0" w:color="auto"/>
            </w:tcBorders>
            <w:vAlign w:val="center"/>
          </w:tcPr>
          <w:p w14:paraId="49FBF9E2" w14:textId="761DB6A1" w:rsidR="00B3415D" w:rsidRPr="00806860" w:rsidRDefault="00893409" w:rsidP="27F276F4">
            <w:pPr>
              <w:pStyle w:val="BodyText"/>
              <w:ind w:right="104"/>
              <w:rPr>
                <w:rFonts w:cstheme="minorBidi"/>
                <w:sz w:val="22"/>
                <w:szCs w:val="22"/>
              </w:rPr>
            </w:pPr>
            <w:r w:rsidRPr="00806860">
              <w:rPr>
                <w:sz w:val="22"/>
                <w:szCs w:val="22"/>
              </w:rPr>
              <w:t xml:space="preserve">DEQ is not aware of any </w:t>
            </w:r>
            <w:r w:rsidR="00871F9A" w:rsidRPr="00806860">
              <w:rPr>
                <w:sz w:val="22"/>
                <w:szCs w:val="22"/>
              </w:rPr>
              <w:t xml:space="preserve">future </w:t>
            </w:r>
            <w:r w:rsidR="00431F2E" w:rsidRPr="00806860">
              <w:rPr>
                <w:sz w:val="22"/>
                <w:szCs w:val="22"/>
              </w:rPr>
              <w:t xml:space="preserve">related </w:t>
            </w:r>
            <w:r w:rsidRPr="00806860">
              <w:rPr>
                <w:sz w:val="22"/>
                <w:szCs w:val="22"/>
              </w:rPr>
              <w:t>actions under concurrent consideration by any state agency through preimpact statement studies, separate impact statement evaluation, or permit processing procedures.</w:t>
            </w:r>
          </w:p>
        </w:tc>
      </w:tr>
    </w:tbl>
    <w:p w14:paraId="034FCF67" w14:textId="103A1731" w:rsidR="00B3415D" w:rsidRPr="00CA41EC" w:rsidRDefault="00B3415D" w:rsidP="27F276F4">
      <w:bookmarkStart w:id="18" w:name="_Toc63946616"/>
    </w:p>
    <w:p w14:paraId="27D4622F" w14:textId="6C6A7144" w:rsidR="00B3415D" w:rsidRPr="00CA41EC" w:rsidRDefault="142F9C3F" w:rsidP="00756D6D">
      <w:pPr>
        <w:pStyle w:val="Heading3"/>
      </w:pPr>
      <w:bookmarkStart w:id="19" w:name="_Hlk138410551"/>
      <w:bookmarkStart w:id="20" w:name="_Toc138411189"/>
      <w:bookmarkStart w:id="21" w:name="_Toc138411331"/>
      <w:bookmarkStart w:id="22" w:name="_Toc196305905"/>
      <w:bookmarkStart w:id="23" w:name="_Toc219800152"/>
      <w:r>
        <w:t>O</w:t>
      </w:r>
      <w:r w:rsidR="14CD5ED4">
        <w:t>ther</w:t>
      </w:r>
      <w:r>
        <w:t xml:space="preserve"> G</w:t>
      </w:r>
      <w:r w:rsidR="14CD5ED4">
        <w:t>overnmental</w:t>
      </w:r>
      <w:r>
        <w:t xml:space="preserve"> A</w:t>
      </w:r>
      <w:r w:rsidR="14CD5ED4">
        <w:t>gencies</w:t>
      </w:r>
      <w:r>
        <w:t xml:space="preserve"> </w:t>
      </w:r>
      <w:r w:rsidR="14CD5ED4">
        <w:t>and</w:t>
      </w:r>
      <w:r>
        <w:t xml:space="preserve"> </w:t>
      </w:r>
      <w:r w:rsidR="14CD5ED4">
        <w:t>Programs with</w:t>
      </w:r>
      <w:r>
        <w:t xml:space="preserve"> J</w:t>
      </w:r>
      <w:bookmarkEnd w:id="19"/>
      <w:r w:rsidR="14CD5ED4">
        <w:t>urisdiction</w:t>
      </w:r>
      <w:bookmarkEnd w:id="20"/>
      <w:bookmarkEnd w:id="21"/>
      <w:bookmarkEnd w:id="22"/>
      <w:bookmarkEnd w:id="23"/>
    </w:p>
    <w:p w14:paraId="19C76EA9" w14:textId="1195B405" w:rsidR="00B3415D" w:rsidRDefault="00B3415D" w:rsidP="00EB3E4D">
      <w:r w:rsidRPr="00CA41EC">
        <w:t xml:space="preserve">The proposed </w:t>
      </w:r>
      <w:r w:rsidR="009C7C08">
        <w:t>action</w:t>
      </w:r>
      <w:r w:rsidRPr="00CA41EC">
        <w:t xml:space="preserve"> would be located on </w:t>
      </w:r>
      <w:r w:rsidR="004D40DA">
        <w:t xml:space="preserve">private land. </w:t>
      </w:r>
      <w:r w:rsidRPr="00CA41EC">
        <w:t xml:space="preserve">All applicable local, state, and federal rules must be adhered to, which may include other local, state, federal, or tribal agency jurisdiction. Other governmental agencies which may have overlapped, or additional jurisdiction include but may not be </w:t>
      </w:r>
      <w:r w:rsidRPr="004D40DA">
        <w:t xml:space="preserve">limited to: </w:t>
      </w:r>
      <w:r w:rsidR="004D40DA" w:rsidRPr="004D40DA">
        <w:t>Musselshell Weed Control Board, Occupational Safety and Health Administration (worker safety), DEQ AQB (air quality) and Water Protection Bureau (groundwater and surface water discharge; stormwater), and Montana Department of Transportation and Musselshell County (road access).</w:t>
      </w:r>
    </w:p>
    <w:p w14:paraId="7A0B34BE" w14:textId="77777777" w:rsidR="00B16BB1" w:rsidRDefault="00B16BB1" w:rsidP="00EB3E4D"/>
    <w:p w14:paraId="06E47975" w14:textId="77777777" w:rsidR="00B16BB1" w:rsidRDefault="00B16BB1" w:rsidP="00EB3E4D"/>
    <w:p w14:paraId="4F2C446A" w14:textId="77777777" w:rsidR="00B16BB1" w:rsidRDefault="00B16BB1" w:rsidP="00EB3E4D"/>
    <w:p w14:paraId="4FE5CFC8" w14:textId="77777777" w:rsidR="00B16BB1" w:rsidRPr="00CA41EC" w:rsidRDefault="00B16BB1" w:rsidP="00EB3E4D"/>
    <w:p w14:paraId="3E611BD3" w14:textId="77777777" w:rsidR="00B16BB1" w:rsidRPr="004D40DA" w:rsidRDefault="00B16BB1" w:rsidP="00B3415D">
      <w:pPr>
        <w:rPr>
          <w:rFonts w:cstheme="minorHAnsi"/>
        </w:rPr>
        <w:sectPr w:rsidR="00B16BB1" w:rsidRPr="004D40DA" w:rsidSect="00E01923">
          <w:footerReference w:type="default" r:id="rId9"/>
          <w:footerReference w:type="first" r:id="rId10"/>
          <w:pgSz w:w="12240" w:h="15840" w:code="1"/>
          <w:pgMar w:top="1354" w:right="1440" w:bottom="1440" w:left="1440" w:header="720" w:footer="720" w:gutter="0"/>
          <w:cols w:space="720"/>
          <w:titlePg/>
          <w:docGrid w:linePitch="299"/>
        </w:sectPr>
      </w:pPr>
    </w:p>
    <w:p w14:paraId="51B7EA19" w14:textId="20FD52F3" w:rsidR="000C0B25" w:rsidRDefault="7E9AB976" w:rsidP="27F276F4">
      <w:pPr>
        <w:pStyle w:val="Heading2"/>
        <w:jc w:val="center"/>
      </w:pPr>
      <w:bookmarkStart w:id="24" w:name="_Toc219800153"/>
      <w:bookmarkStart w:id="25" w:name="_Toc138411190"/>
      <w:bookmarkStart w:id="26" w:name="_Toc138411332"/>
      <w:bookmarkStart w:id="27" w:name="_Toc196305906"/>
      <w:r>
        <w:lastRenderedPageBreak/>
        <w:t>Scope of Potential</w:t>
      </w:r>
      <w:r w:rsidR="0D384C4A">
        <w:t xml:space="preserve"> GHG</w:t>
      </w:r>
      <w:r>
        <w:t xml:space="preserve"> Impacts</w:t>
      </w:r>
      <w:bookmarkEnd w:id="24"/>
    </w:p>
    <w:p w14:paraId="63CA7748" w14:textId="4E14B844" w:rsidR="008C6FD3" w:rsidRDefault="00CE67AE" w:rsidP="000C0B25">
      <w:r w:rsidRPr="00CE67AE">
        <w:rPr>
          <w:b/>
          <w:bCs/>
          <w:i/>
          <w:iCs/>
        </w:rPr>
        <w:t xml:space="preserve">GHG Emission Impacts on Climate Systems and Intergovernmental Panel on Climate Change (IPCC) Climate Context </w:t>
      </w:r>
      <w:r w:rsidR="7E9AB976">
        <w:t xml:space="preserve">This Supplemental EA is limited to a GHG assessment and will assess how additional GHGs from </w:t>
      </w:r>
      <w:r w:rsidR="187D45E1">
        <w:t>approval of the permit would</w:t>
      </w:r>
      <w:r w:rsidR="7E9AB976">
        <w:t xml:space="preserve"> contribute to changes in </w:t>
      </w:r>
      <w:r w:rsidR="00864527">
        <w:t xml:space="preserve">GHG emissions and associated </w:t>
      </w:r>
      <w:r w:rsidR="00583CEB">
        <w:t xml:space="preserve">changes to </w:t>
      </w:r>
      <w:r w:rsidR="7E9AB976">
        <w:t xml:space="preserve">climate systems. </w:t>
      </w:r>
    </w:p>
    <w:p w14:paraId="7614E7DB" w14:textId="77777777" w:rsidR="008C6FD3" w:rsidRDefault="008C6FD3" w:rsidP="000C0B25"/>
    <w:p w14:paraId="7BF38FFE" w14:textId="627D2582" w:rsidR="000C0B25" w:rsidRDefault="7E9AB976" w:rsidP="000C0B25">
      <w:r>
        <w:t xml:space="preserve">Climate is defined as the long-term weather patterns (typically over a period of 30 years or longer) of a region, and climate change is an identifiable (i.e., statistically significant) and persistent change in long-term </w:t>
      </w:r>
      <w:r w:rsidR="187D45E1">
        <w:t xml:space="preserve">climate (IPCC, 2021). </w:t>
      </w:r>
    </w:p>
    <w:p w14:paraId="3D2C6C94" w14:textId="77777777" w:rsidR="008C6FD3" w:rsidRDefault="008C6FD3" w:rsidP="000C0B25"/>
    <w:p w14:paraId="0B1DBD2E" w14:textId="2F6FBBB3" w:rsidR="008C6FD3" w:rsidRDefault="187D45E1" w:rsidP="000C0B25">
      <w:r>
        <w:t xml:space="preserve">GHGs are a specific set of gases, including carbon dioxide (CO2). The trapping of GHGs in the earth’s atmosphere causes radiation to be reflected </w:t>
      </w:r>
      <w:proofErr w:type="gramStart"/>
      <w:r>
        <w:t>to</w:t>
      </w:r>
      <w:proofErr w:type="gramEnd"/>
      <w:r>
        <w:t xml:space="preserve"> Earth’s surface. The increase of GHGs in the atmosphere causes this </w:t>
      </w:r>
      <w:r w:rsidR="28ABF90D">
        <w:t xml:space="preserve">radiation </w:t>
      </w:r>
      <w:r>
        <w:t>effect to increase; higher concentrations of GHGs mean more infrared radiation gets absorbed, leading to increased warming and higher global surface temperatures. As such, GHGs are the primary drivers of anthropogenic climate change, and emissions of GHGs present an indicator of potential climate change impacts. The Intergovernmental Panel on Climate Change reports that human activity led to atmospheric warming of 1.07 +/- 0.23 degrees Celsius between 1850 and 2019 (IPCC, 2021). Impacts of climate change throughout the Northern Great Plain</w:t>
      </w:r>
      <w:r w:rsidR="00E24A53">
        <w:t>s</w:t>
      </w:r>
      <w:r>
        <w:t xml:space="preserve"> region, including Montana, include increased flooding and drought, rising temperatures, and the spread of invasive species (Bureau of Land Management (BLM) 2024). </w:t>
      </w:r>
    </w:p>
    <w:p w14:paraId="4853A1BD" w14:textId="77777777" w:rsidR="00CE67AE" w:rsidRDefault="00CE67AE" w:rsidP="000C0B25"/>
    <w:p w14:paraId="2B42875E" w14:textId="77777777" w:rsidR="00B70CE8" w:rsidRDefault="00B70CE8" w:rsidP="00B70CE8">
      <w:r>
        <w:t>The IPCC’s Sixth Assessment Report (Working Group I) finds that human influence on the climate system is “unequivocal” and that observed warming of about 1.1 °C above 1850–1900 is already driving widespread changes in the climate system, including more frequent and intense heat extremes, heavy precipitation, and some types of drought in many regions (IPCC, 2021). The IPCC 2021 Report also explains that human activity led to atmospheric warming of 1.07 ± 0.23 °C from 1850 to 2019 (IPCC, 2021).</w:t>
      </w:r>
    </w:p>
    <w:p w14:paraId="324FF0B9" w14:textId="77777777" w:rsidR="00B70CE8" w:rsidRDefault="00B70CE8" w:rsidP="00B70CE8"/>
    <w:p w14:paraId="542733E2" w14:textId="778A144B" w:rsidR="00B70CE8" w:rsidRDefault="00B70CE8" w:rsidP="00B70CE8">
      <w:r>
        <w:t xml:space="preserve">The IPCC Working Group II report on impacts, adaptation and vulnerability concludes that climate change has already caused “substantial damages and increasingly irreversible losses” in terrestrial, freshwater, and marine ecosystems, and that risks increase rapidly as warming exceeds 1.5 °C (IPCC, 2022). The report further finds that limits to adaptation are being reached in some ecosystems and human systems, meaning that additional warming can lead to losses that cannot be fully avoided even with adaptation measures (IPCC, 2022). </w:t>
      </w:r>
      <w:r w:rsidR="007A7BFC">
        <w:t>I</w:t>
      </w:r>
      <w:r>
        <w:t>t also finds that climate impacts are distributed unevenly, with people and communities that are more exposed and vulnerable—including Indigenous peoples, rural communities, and those with limited resources—experiencing disproportionate risks (IPCC, 2022). Regional analyses, including Climate Change and Human Health in Montana (Adams, 2021) and the Montana Climate Assessment (Whitlock, 2017) conclude that increasing extreme heat, degraded air quality from more frequent and severe wildfires, and changes in runoff and water availability can contribute to premature mortality, hospitalizations, and long</w:t>
      </w:r>
      <w:r>
        <w:rPr>
          <w:rFonts w:ascii="Cambria Math" w:hAnsi="Cambria Math" w:cs="Cambria Math"/>
        </w:rPr>
        <w:t>‑</w:t>
      </w:r>
      <w:r>
        <w:t>term cardiopulmonary and mental</w:t>
      </w:r>
      <w:r>
        <w:rPr>
          <w:rFonts w:ascii="Cambria Math" w:hAnsi="Cambria Math" w:cs="Cambria Math"/>
        </w:rPr>
        <w:t>‑</w:t>
      </w:r>
      <w:r>
        <w:t xml:space="preserve">health outcomes.  </w:t>
      </w:r>
    </w:p>
    <w:p w14:paraId="2ABBB07A" w14:textId="77777777" w:rsidR="00596ACC" w:rsidRDefault="00596ACC" w:rsidP="00B70CE8"/>
    <w:p w14:paraId="798EB425" w14:textId="41EE701E" w:rsidR="00596ACC" w:rsidRDefault="00596ACC" w:rsidP="00596ACC">
      <w:r>
        <w:t xml:space="preserve">The impacts of climate change throughout the Northern Great Plains include changes in flooding and drought, rising temperatures, and the spread of invasive species (Bureau of Land Management (BLM), 2024). Regional assessments for the Northern Great Plains, including eastern Montana, project continued warming, increased evaporative demand, shifts in snowpack and runoff timing, and changes in the frequency and severity of drought, with consequences for surface water and groundwater availability, water quality, agriculture, rangelands, and ecosystems. (Derner, 2015) (Knapp, 2023) (Whitlock, 2017). </w:t>
      </w:r>
    </w:p>
    <w:p w14:paraId="72A1D9B0" w14:textId="77777777" w:rsidR="00596ACC" w:rsidRDefault="00596ACC" w:rsidP="00596ACC"/>
    <w:p w14:paraId="489AA6FC" w14:textId="1FDE2240" w:rsidR="00596ACC" w:rsidRDefault="00596ACC" w:rsidP="00596ACC">
      <w:r>
        <w:lastRenderedPageBreak/>
        <w:t>GHGs are the primary drivers of anthropogenic climate change, and emissions of GHGs are used as an indicator of potential climate change impacts. Climate change can be attributed to both natural and anthropogenic causes but has been largely driven by the significant increase in global GHG emissions from anthropogenic fossil fuel combustion since pre-industrial times (Department of Environmental Quality, 2026</w:t>
      </w:r>
      <w:r w:rsidR="008436B5">
        <w:t>e</w:t>
      </w:r>
      <w:r>
        <w:t>).</w:t>
      </w:r>
    </w:p>
    <w:p w14:paraId="0D956879" w14:textId="77777777" w:rsidR="000C0B25" w:rsidRDefault="000C0B25" w:rsidP="000C0B25"/>
    <w:p w14:paraId="6451B7BF" w14:textId="75BD3D41" w:rsidR="000C0B25" w:rsidRDefault="7422183F" w:rsidP="000C0B25">
      <w:r w:rsidRPr="27F276F4">
        <w:rPr>
          <w:b/>
          <w:bCs/>
          <w:i/>
          <w:iCs/>
        </w:rPr>
        <w:t xml:space="preserve">Summary of </w:t>
      </w:r>
      <w:r w:rsidR="7E9AB976" w:rsidRPr="27F276F4">
        <w:rPr>
          <w:b/>
          <w:bCs/>
          <w:i/>
          <w:iCs/>
        </w:rPr>
        <w:t>Direct, Secondary, and Cumulative Impacts</w:t>
      </w:r>
    </w:p>
    <w:p w14:paraId="3570A918" w14:textId="7DC9483B" w:rsidR="000C0B25" w:rsidRDefault="7E9AB976" w:rsidP="000C0B25">
      <w:r>
        <w:t>The impact analysis will identify and estimate whether the impacts are direct or secondary impacts. Direct impacts occur at the same time and place as the action that causes the impact. Secondary impacts are a further impact to Montana’s environment that may be stimulated, or induced by, or otherwise result from a direct impact of the action (ARM 17.4.603(18)). MEPA excludes upstream, downstream, or other indirect actions that occur independently or are caused in part or exclusively by the proposed action per 75-1-220(10)(b)(</w:t>
      </w:r>
      <w:proofErr w:type="spellStart"/>
      <w:r>
        <w:t>i</w:t>
      </w:r>
      <w:proofErr w:type="spellEnd"/>
      <w:r>
        <w:t xml:space="preserve">), MCA. Where impacts would occur, the impacts </w:t>
      </w:r>
      <w:r w:rsidR="00461A44">
        <w:t>are</w:t>
      </w:r>
      <w:r>
        <w:t xml:space="preserve"> described.</w:t>
      </w:r>
    </w:p>
    <w:p w14:paraId="13B13B19" w14:textId="77777777" w:rsidR="000C0B25" w:rsidRDefault="000C0B25" w:rsidP="000C0B25"/>
    <w:p w14:paraId="00FECEC6" w14:textId="3CCAA7FF" w:rsidR="000C0B25" w:rsidRDefault="7E9AB976" w:rsidP="000C0B25">
      <w:r>
        <w:t xml:space="preserve">Cumulative impacts are the collective impacts on Montana’s environment of the Proposed Action when considered in conjunction with other past and present actions related to the Proposed Action by location </w:t>
      </w:r>
      <w:r w:rsidR="00224B66">
        <w:t>or</w:t>
      </w:r>
      <w:r>
        <w:t xml:space="preserve"> generic type. Related future actions must also be considered when these actions are under concurrent consideration by any state agency through pre-impact statement studies, separate impact statement evaluation, or permit processing procedures.</w:t>
      </w:r>
    </w:p>
    <w:p w14:paraId="50A04073" w14:textId="77777777" w:rsidR="000F5431" w:rsidRDefault="000F5431" w:rsidP="000C0B25"/>
    <w:p w14:paraId="2E54E460" w14:textId="413F40C2" w:rsidR="000F5431" w:rsidRPr="000F5431" w:rsidRDefault="7422183F" w:rsidP="27F276F4">
      <w:pPr>
        <w:rPr>
          <w:rFonts w:ascii="Calibri" w:hAnsi="Calibri" w:cs="Calibri"/>
          <w:i/>
          <w:iCs/>
        </w:rPr>
      </w:pPr>
      <w:r w:rsidRPr="27F276F4">
        <w:rPr>
          <w:rFonts w:ascii="Calibri" w:hAnsi="Calibri" w:cs="Calibri"/>
          <w:b/>
          <w:bCs/>
          <w:i/>
          <w:iCs/>
        </w:rPr>
        <w:t xml:space="preserve">Summary of </w:t>
      </w:r>
      <w:r w:rsidR="16DD0318" w:rsidRPr="27F276F4">
        <w:rPr>
          <w:rFonts w:ascii="Calibri" w:hAnsi="Calibri" w:cs="Calibri"/>
          <w:b/>
          <w:bCs/>
          <w:i/>
          <w:iCs/>
        </w:rPr>
        <w:t>Scope of Analysis</w:t>
      </w:r>
    </w:p>
    <w:p w14:paraId="785B4192" w14:textId="0D718649" w:rsidR="007B2CE6" w:rsidRDefault="16DD0318" w:rsidP="590349C5">
      <w:pPr>
        <w:pStyle w:val="paragraph"/>
        <w:spacing w:before="0" w:beforeAutospacing="0" w:after="0" w:afterAutospacing="0"/>
        <w:textAlignment w:val="baseline"/>
        <w:rPr>
          <w:rStyle w:val="normaltextrun"/>
          <w:rFonts w:ascii="Calibri" w:eastAsiaTheme="majorEastAsia" w:hAnsi="Calibri" w:cs="Calibri"/>
          <w:color w:val="000000" w:themeColor="text1"/>
          <w:sz w:val="22"/>
          <w:szCs w:val="22"/>
        </w:rPr>
      </w:pPr>
      <w:r w:rsidRPr="27F276F4">
        <w:rPr>
          <w:rStyle w:val="normaltextrun"/>
          <w:rFonts w:ascii="Calibri" w:hAnsi="Calibri" w:cs="Calibri"/>
          <w:sz w:val="22"/>
          <w:szCs w:val="22"/>
        </w:rPr>
        <w:t>DEQ has determined EPA’s Scope 1 GHG impacts, as defined in the Inventory Guidance for Greenhouse Gas Emissions, are appropriate under MEPA for this Proposed Action. Scope 1 emissions are defined as direct GHG emissions that occur from sources that are controlled or owned by the organization (EPA Center for Corporate Climate Leadership). DEQ’s review of Scope 1 emissions is consistent with the agency</w:t>
      </w:r>
      <w:r w:rsidR="0F478812" w:rsidRPr="27F276F4">
        <w:rPr>
          <w:rStyle w:val="normaltextrun"/>
          <w:rFonts w:ascii="Calibri" w:hAnsi="Calibri" w:cs="Calibri"/>
          <w:sz w:val="22"/>
          <w:szCs w:val="22"/>
        </w:rPr>
        <w:t>’s approach of</w:t>
      </w:r>
      <w:r w:rsidRPr="27F276F4">
        <w:rPr>
          <w:rStyle w:val="normaltextrun"/>
          <w:rFonts w:ascii="Calibri" w:hAnsi="Calibri" w:cs="Calibri"/>
          <w:sz w:val="22"/>
          <w:szCs w:val="22"/>
        </w:rPr>
        <w:t xml:space="preserve"> evaluating </w:t>
      </w:r>
      <w:r w:rsidR="634E31F0" w:rsidRPr="27F276F4">
        <w:rPr>
          <w:rStyle w:val="normaltextrun"/>
          <w:rFonts w:ascii="Calibri" w:hAnsi="Calibri" w:cs="Calibri"/>
          <w:sz w:val="22"/>
          <w:szCs w:val="22"/>
        </w:rPr>
        <w:t xml:space="preserve">proximate impacts </w:t>
      </w:r>
      <w:r w:rsidR="224910D6" w:rsidRPr="18E6CEEF">
        <w:rPr>
          <w:rStyle w:val="normaltextrun"/>
          <w:rFonts w:ascii="Calibri" w:hAnsi="Calibri" w:cs="Calibri"/>
          <w:sz w:val="22"/>
          <w:szCs w:val="22"/>
        </w:rPr>
        <w:t xml:space="preserve">caused by the </w:t>
      </w:r>
      <w:r w:rsidR="224910D6" w:rsidRPr="5457DFA4">
        <w:rPr>
          <w:rStyle w:val="normaltextrun"/>
          <w:rFonts w:ascii="Calibri" w:hAnsi="Calibri" w:cs="Calibri"/>
          <w:sz w:val="22"/>
          <w:szCs w:val="22"/>
        </w:rPr>
        <w:t>permitted action</w:t>
      </w:r>
      <w:r w:rsidR="634E31F0" w:rsidRPr="18E6CEEF">
        <w:rPr>
          <w:rStyle w:val="normaltextrun"/>
          <w:rFonts w:ascii="Calibri" w:hAnsi="Calibri" w:cs="Calibri"/>
          <w:sz w:val="22"/>
          <w:szCs w:val="22"/>
        </w:rPr>
        <w:t xml:space="preserve"> </w:t>
      </w:r>
      <w:r w:rsidR="634E31F0" w:rsidRPr="27F276F4">
        <w:rPr>
          <w:rStyle w:val="normaltextrun"/>
          <w:rFonts w:ascii="Calibri" w:hAnsi="Calibri" w:cs="Calibri"/>
          <w:sz w:val="22"/>
          <w:szCs w:val="22"/>
        </w:rPr>
        <w:t xml:space="preserve">rather than remote, </w:t>
      </w:r>
      <w:r w:rsidRPr="27F276F4">
        <w:rPr>
          <w:rStyle w:val="normaltextrun"/>
          <w:rFonts w:ascii="Calibri" w:hAnsi="Calibri" w:cs="Calibri"/>
          <w:sz w:val="22"/>
          <w:szCs w:val="22"/>
        </w:rPr>
        <w:t>downstream</w:t>
      </w:r>
      <w:r w:rsidR="22E418DA" w:rsidRPr="27F276F4">
        <w:rPr>
          <w:rStyle w:val="normaltextrun"/>
          <w:rFonts w:ascii="Calibri" w:hAnsi="Calibri" w:cs="Calibri"/>
          <w:sz w:val="22"/>
          <w:szCs w:val="22"/>
        </w:rPr>
        <w:t xml:space="preserve"> impacts</w:t>
      </w:r>
      <w:r w:rsidR="34349FFB" w:rsidRPr="618C9286">
        <w:rPr>
          <w:rStyle w:val="normaltextrun"/>
          <w:rFonts w:ascii="Calibri" w:hAnsi="Calibri" w:cs="Calibri"/>
          <w:sz w:val="22"/>
          <w:szCs w:val="22"/>
        </w:rPr>
        <w:t xml:space="preserve"> that may be </w:t>
      </w:r>
      <w:r w:rsidR="34349FFB" w:rsidRPr="17CB7AFA">
        <w:rPr>
          <w:rStyle w:val="normaltextrun"/>
          <w:rFonts w:ascii="Calibri" w:hAnsi="Calibri" w:cs="Calibri"/>
          <w:sz w:val="22"/>
          <w:szCs w:val="22"/>
        </w:rPr>
        <w:t>caused by a</w:t>
      </w:r>
      <w:r w:rsidR="34349FFB" w:rsidRPr="77CDFAFE">
        <w:rPr>
          <w:rStyle w:val="normaltextrun"/>
          <w:rFonts w:ascii="Calibri" w:hAnsi="Calibri" w:cs="Calibri"/>
          <w:sz w:val="22"/>
          <w:szCs w:val="22"/>
        </w:rPr>
        <w:t xml:space="preserve"> subsequent permitted action outside the authority </w:t>
      </w:r>
      <w:r w:rsidR="34349FFB" w:rsidRPr="3816D4D8">
        <w:rPr>
          <w:rStyle w:val="normaltextrun"/>
          <w:rFonts w:ascii="Calibri" w:hAnsi="Calibri" w:cs="Calibri"/>
          <w:sz w:val="22"/>
          <w:szCs w:val="22"/>
        </w:rPr>
        <w:t>of DEQ</w:t>
      </w:r>
      <w:r w:rsidR="000F5431" w:rsidRPr="3816D4D8">
        <w:rPr>
          <w:rStyle w:val="normaltextrun"/>
          <w:rFonts w:ascii="Calibri" w:hAnsi="Calibri" w:cs="Calibri"/>
          <w:sz w:val="22"/>
          <w:szCs w:val="22"/>
        </w:rPr>
        <w:t>.</w:t>
      </w:r>
      <w:r w:rsidRPr="27F276F4">
        <w:rPr>
          <w:rStyle w:val="normaltextrun"/>
          <w:rFonts w:ascii="Calibri" w:hAnsi="Calibri" w:cs="Calibri"/>
          <w:sz w:val="22"/>
          <w:szCs w:val="22"/>
        </w:rPr>
        <w:t xml:space="preserve"> Accordingly, </w:t>
      </w:r>
      <w:r w:rsidRPr="27F276F4">
        <w:rPr>
          <w:rStyle w:val="normaltextrun"/>
          <w:rFonts w:ascii="Calibri" w:eastAsiaTheme="majorEastAsia" w:hAnsi="Calibri" w:cs="Calibri"/>
          <w:color w:val="000000" w:themeColor="text1"/>
          <w:sz w:val="22"/>
          <w:szCs w:val="22"/>
        </w:rPr>
        <w:t xml:space="preserve">the analysis area for this resource is limited to the activities regulated by the issuance of MAQP #3179-13, as described above, which would allow for an increase of coal to be shipped by semi-truck. The increase in allowable shipping of coal </w:t>
      </w:r>
      <w:r w:rsidR="00177C02">
        <w:rPr>
          <w:rStyle w:val="normaltextrun"/>
          <w:rFonts w:ascii="Calibri" w:eastAsiaTheme="majorEastAsia" w:hAnsi="Calibri" w:cs="Calibri"/>
          <w:color w:val="000000" w:themeColor="text1"/>
          <w:sz w:val="22"/>
          <w:szCs w:val="22"/>
        </w:rPr>
        <w:t>overland</w:t>
      </w:r>
      <w:r w:rsidR="003A744A">
        <w:rPr>
          <w:rStyle w:val="normaltextrun"/>
          <w:rFonts w:ascii="Calibri" w:eastAsiaTheme="majorEastAsia" w:hAnsi="Calibri" w:cs="Calibri"/>
          <w:color w:val="000000" w:themeColor="text1"/>
          <w:sz w:val="22"/>
          <w:szCs w:val="22"/>
        </w:rPr>
        <w:t>,</w:t>
      </w:r>
      <w:r w:rsidR="00177C02">
        <w:rPr>
          <w:rStyle w:val="normaltextrun"/>
          <w:rFonts w:ascii="Calibri" w:eastAsiaTheme="majorEastAsia" w:hAnsi="Calibri" w:cs="Calibri"/>
          <w:color w:val="000000" w:themeColor="text1"/>
          <w:sz w:val="22"/>
          <w:szCs w:val="22"/>
        </w:rPr>
        <w:t xml:space="preserve"> </w:t>
      </w:r>
      <w:r w:rsidR="006E4052">
        <w:rPr>
          <w:rStyle w:val="normaltextrun"/>
          <w:rFonts w:ascii="Calibri" w:eastAsiaTheme="majorEastAsia" w:hAnsi="Calibri" w:cs="Calibri"/>
          <w:color w:val="000000" w:themeColor="text1"/>
          <w:sz w:val="22"/>
          <w:szCs w:val="22"/>
        </w:rPr>
        <w:t xml:space="preserve">via </w:t>
      </w:r>
      <w:r w:rsidR="00D73347">
        <w:rPr>
          <w:rStyle w:val="normaltextrun"/>
          <w:rFonts w:ascii="Calibri" w:eastAsiaTheme="majorEastAsia" w:hAnsi="Calibri" w:cs="Calibri"/>
          <w:color w:val="000000" w:themeColor="text1"/>
          <w:sz w:val="22"/>
          <w:szCs w:val="22"/>
        </w:rPr>
        <w:t>semi-</w:t>
      </w:r>
      <w:r w:rsidR="00177C02">
        <w:rPr>
          <w:rStyle w:val="normaltextrun"/>
          <w:rFonts w:ascii="Calibri" w:eastAsiaTheme="majorEastAsia" w:hAnsi="Calibri" w:cs="Calibri"/>
          <w:color w:val="000000" w:themeColor="text1"/>
          <w:sz w:val="22"/>
          <w:szCs w:val="22"/>
        </w:rPr>
        <w:t xml:space="preserve">truck </w:t>
      </w:r>
      <w:r w:rsidRPr="27F276F4">
        <w:rPr>
          <w:rStyle w:val="normaltextrun"/>
          <w:rFonts w:ascii="Calibri" w:eastAsiaTheme="majorEastAsia" w:hAnsi="Calibri" w:cs="Calibri"/>
          <w:color w:val="000000" w:themeColor="text1"/>
          <w:sz w:val="22"/>
          <w:szCs w:val="22"/>
        </w:rPr>
        <w:t xml:space="preserve">from 150,000 tons per year to </w:t>
      </w:r>
      <w:r w:rsidR="00093B76">
        <w:rPr>
          <w:rStyle w:val="normaltextrun"/>
          <w:rFonts w:ascii="Calibri" w:eastAsiaTheme="majorEastAsia" w:hAnsi="Calibri" w:cs="Calibri"/>
          <w:color w:val="000000" w:themeColor="text1"/>
          <w:sz w:val="22"/>
          <w:szCs w:val="22"/>
        </w:rPr>
        <w:t>700</w:t>
      </w:r>
      <w:r w:rsidRPr="27F276F4">
        <w:rPr>
          <w:rStyle w:val="normaltextrun"/>
          <w:rFonts w:ascii="Calibri" w:eastAsiaTheme="majorEastAsia" w:hAnsi="Calibri" w:cs="Calibri"/>
          <w:color w:val="000000" w:themeColor="text1"/>
          <w:sz w:val="22"/>
          <w:szCs w:val="22"/>
        </w:rPr>
        <w:t xml:space="preserve">,000 tons per year would increase the facilities use of petroleum distillate #2 (diesel fuel) </w:t>
      </w:r>
      <w:r w:rsidR="00170DCB">
        <w:rPr>
          <w:rStyle w:val="normaltextrun"/>
          <w:rFonts w:ascii="Calibri" w:eastAsiaTheme="majorEastAsia" w:hAnsi="Calibri" w:cs="Calibri"/>
          <w:color w:val="000000" w:themeColor="text1"/>
          <w:sz w:val="22"/>
          <w:szCs w:val="22"/>
        </w:rPr>
        <w:t>a</w:t>
      </w:r>
      <w:r w:rsidR="00423C69">
        <w:rPr>
          <w:rStyle w:val="normaltextrun"/>
          <w:rFonts w:ascii="Calibri" w:eastAsiaTheme="majorEastAsia" w:hAnsi="Calibri" w:cs="Calibri"/>
          <w:color w:val="000000" w:themeColor="text1"/>
          <w:sz w:val="22"/>
          <w:szCs w:val="22"/>
        </w:rPr>
        <w:t>nd the</w:t>
      </w:r>
      <w:r w:rsidR="00F10252">
        <w:rPr>
          <w:rStyle w:val="normaltextrun"/>
          <w:rFonts w:ascii="Calibri" w:eastAsiaTheme="majorEastAsia" w:hAnsi="Calibri" w:cs="Calibri"/>
          <w:color w:val="000000" w:themeColor="text1"/>
          <w:sz w:val="22"/>
          <w:szCs w:val="22"/>
        </w:rPr>
        <w:t xml:space="preserve"> increased</w:t>
      </w:r>
      <w:r w:rsidR="00423C69">
        <w:rPr>
          <w:rStyle w:val="normaltextrun"/>
          <w:rFonts w:ascii="Calibri" w:eastAsiaTheme="majorEastAsia" w:hAnsi="Calibri" w:cs="Calibri"/>
          <w:color w:val="000000" w:themeColor="text1"/>
          <w:sz w:val="22"/>
          <w:szCs w:val="22"/>
        </w:rPr>
        <w:t xml:space="preserve"> combustion of </w:t>
      </w:r>
      <w:r w:rsidR="00170DCB">
        <w:rPr>
          <w:rStyle w:val="normaltextrun"/>
          <w:rFonts w:ascii="Calibri" w:eastAsiaTheme="majorEastAsia" w:hAnsi="Calibri" w:cs="Calibri"/>
          <w:color w:val="000000" w:themeColor="text1"/>
          <w:sz w:val="22"/>
          <w:szCs w:val="22"/>
        </w:rPr>
        <w:t xml:space="preserve">diesel fuel </w:t>
      </w:r>
      <w:r w:rsidR="000363D0">
        <w:rPr>
          <w:rStyle w:val="normaltextrun"/>
          <w:rFonts w:ascii="Calibri" w:eastAsiaTheme="majorEastAsia" w:hAnsi="Calibri" w:cs="Calibri"/>
          <w:color w:val="000000" w:themeColor="text1"/>
          <w:sz w:val="22"/>
          <w:szCs w:val="22"/>
        </w:rPr>
        <w:t xml:space="preserve">would </w:t>
      </w:r>
      <w:r w:rsidR="00DA22DC">
        <w:rPr>
          <w:rStyle w:val="normaltextrun"/>
          <w:rFonts w:ascii="Calibri" w:eastAsiaTheme="majorEastAsia" w:hAnsi="Calibri" w:cs="Calibri"/>
          <w:color w:val="000000" w:themeColor="text1"/>
          <w:sz w:val="22"/>
          <w:szCs w:val="22"/>
        </w:rPr>
        <w:t>generate GHGs.</w:t>
      </w:r>
      <w:r w:rsidRPr="27F276F4">
        <w:rPr>
          <w:rStyle w:val="normaltextrun"/>
          <w:rFonts w:ascii="Calibri" w:eastAsiaTheme="majorEastAsia" w:hAnsi="Calibri" w:cs="Calibri"/>
          <w:color w:val="000000" w:themeColor="text1"/>
          <w:sz w:val="22"/>
          <w:szCs w:val="22"/>
        </w:rPr>
        <w:t xml:space="preserve"> </w:t>
      </w:r>
    </w:p>
    <w:p w14:paraId="066CFB72" w14:textId="77777777" w:rsidR="007B2CE6" w:rsidRDefault="007B2CE6" w:rsidP="590349C5">
      <w:pPr>
        <w:pStyle w:val="paragraph"/>
        <w:spacing w:before="0" w:beforeAutospacing="0" w:after="0" w:afterAutospacing="0"/>
        <w:textAlignment w:val="baseline"/>
        <w:rPr>
          <w:rStyle w:val="normaltextrun"/>
          <w:rFonts w:ascii="Calibri" w:eastAsiaTheme="majorEastAsia" w:hAnsi="Calibri" w:cs="Calibri"/>
          <w:color w:val="000000" w:themeColor="text1"/>
          <w:sz w:val="22"/>
          <w:szCs w:val="22"/>
        </w:rPr>
      </w:pPr>
    </w:p>
    <w:p w14:paraId="09CA0481" w14:textId="2B17DCB9" w:rsidR="000F5431" w:rsidRPr="00FB733D" w:rsidRDefault="16DD0318" w:rsidP="27F276F4">
      <w:pPr>
        <w:pStyle w:val="paragraph"/>
        <w:spacing w:before="0" w:beforeAutospacing="0" w:after="0" w:afterAutospacing="0"/>
        <w:textAlignment w:val="baseline"/>
        <w:rPr>
          <w:rStyle w:val="normaltextrun"/>
          <w:rFonts w:ascii="Calibri" w:eastAsiaTheme="majorEastAsia" w:hAnsi="Calibri" w:cs="Calibri"/>
          <w:b/>
          <w:bCs/>
          <w:smallCaps/>
          <w:color w:val="000000"/>
          <w:sz w:val="22"/>
          <w:szCs w:val="22"/>
          <w:shd w:val="clear" w:color="auto" w:fill="FFFFFF"/>
          <w:lang w:bidi="en-US"/>
        </w:rPr>
      </w:pPr>
      <w:r w:rsidRPr="27F276F4">
        <w:rPr>
          <w:rStyle w:val="normaltextrun"/>
          <w:rFonts w:ascii="Calibri" w:eastAsiaTheme="majorEastAsia" w:hAnsi="Calibri" w:cs="Calibri"/>
          <w:color w:val="000000" w:themeColor="text1"/>
          <w:sz w:val="22"/>
          <w:szCs w:val="22"/>
        </w:rPr>
        <w:t xml:space="preserve">The amount of petroleum distillate #2 fuel </w:t>
      </w:r>
      <w:r w:rsidR="006B0EF0">
        <w:rPr>
          <w:rStyle w:val="normaltextrun"/>
          <w:rFonts w:ascii="Calibri" w:eastAsiaTheme="majorEastAsia" w:hAnsi="Calibri" w:cs="Calibri"/>
          <w:color w:val="000000" w:themeColor="text1"/>
          <w:sz w:val="22"/>
          <w:szCs w:val="22"/>
        </w:rPr>
        <w:t>necessary</w:t>
      </w:r>
      <w:r w:rsidRPr="27F276F4">
        <w:rPr>
          <w:rStyle w:val="normaltextrun"/>
          <w:rFonts w:ascii="Calibri" w:eastAsiaTheme="majorEastAsia" w:hAnsi="Calibri" w:cs="Calibri"/>
          <w:color w:val="000000" w:themeColor="text1"/>
          <w:sz w:val="22"/>
          <w:szCs w:val="22"/>
        </w:rPr>
        <w:t xml:space="preserve"> </w:t>
      </w:r>
      <w:r w:rsidR="006B0EF0">
        <w:rPr>
          <w:rStyle w:val="normaltextrun"/>
          <w:rFonts w:ascii="Calibri" w:eastAsiaTheme="majorEastAsia" w:hAnsi="Calibri" w:cs="Calibri"/>
          <w:color w:val="000000" w:themeColor="text1"/>
          <w:sz w:val="22"/>
          <w:szCs w:val="22"/>
        </w:rPr>
        <w:t xml:space="preserve">to accommodate the proposed action </w:t>
      </w:r>
      <w:r w:rsidRPr="27F276F4">
        <w:rPr>
          <w:rStyle w:val="normaltextrun"/>
          <w:rFonts w:ascii="Calibri" w:eastAsiaTheme="majorEastAsia" w:hAnsi="Calibri" w:cs="Calibri"/>
          <w:color w:val="000000" w:themeColor="text1"/>
          <w:sz w:val="22"/>
          <w:szCs w:val="22"/>
        </w:rPr>
        <w:t xml:space="preserve">was calculated based on the amount of coal that could </w:t>
      </w:r>
      <w:r w:rsidR="00216A7D">
        <w:rPr>
          <w:rStyle w:val="normaltextrun"/>
          <w:rFonts w:ascii="Calibri" w:eastAsiaTheme="majorEastAsia" w:hAnsi="Calibri" w:cs="Calibri"/>
          <w:color w:val="000000" w:themeColor="text1"/>
          <w:sz w:val="22"/>
          <w:szCs w:val="22"/>
        </w:rPr>
        <w:t xml:space="preserve">theoretically </w:t>
      </w:r>
      <w:r w:rsidRPr="27F276F4">
        <w:rPr>
          <w:rStyle w:val="normaltextrun"/>
          <w:rFonts w:ascii="Calibri" w:eastAsiaTheme="majorEastAsia" w:hAnsi="Calibri" w:cs="Calibri"/>
          <w:color w:val="000000" w:themeColor="text1"/>
          <w:sz w:val="22"/>
          <w:szCs w:val="22"/>
        </w:rPr>
        <w:t xml:space="preserve">be loaded into a semi-truck and trailer based in the fuel usage per loading cycle of the front end </w:t>
      </w:r>
      <w:r w:rsidR="00216A7D" w:rsidRPr="27F276F4">
        <w:rPr>
          <w:rStyle w:val="normaltextrun"/>
          <w:rFonts w:ascii="Calibri" w:eastAsiaTheme="majorEastAsia" w:hAnsi="Calibri" w:cs="Calibri"/>
          <w:color w:val="000000" w:themeColor="text1"/>
          <w:sz w:val="22"/>
          <w:szCs w:val="22"/>
        </w:rPr>
        <w:t>loade</w:t>
      </w:r>
      <w:r w:rsidR="00216A7D">
        <w:rPr>
          <w:rStyle w:val="normaltextrun"/>
          <w:rFonts w:ascii="Calibri" w:eastAsiaTheme="majorEastAsia" w:hAnsi="Calibri" w:cs="Calibri"/>
          <w:color w:val="000000" w:themeColor="text1"/>
          <w:sz w:val="22"/>
          <w:szCs w:val="22"/>
        </w:rPr>
        <w:t>r</w:t>
      </w:r>
      <w:r w:rsidR="00216A7D" w:rsidRPr="27F276F4">
        <w:rPr>
          <w:rStyle w:val="normaltextrun"/>
          <w:rFonts w:ascii="Calibri" w:eastAsiaTheme="majorEastAsia" w:hAnsi="Calibri" w:cs="Calibri"/>
          <w:color w:val="000000" w:themeColor="text1"/>
          <w:sz w:val="22"/>
          <w:szCs w:val="22"/>
        </w:rPr>
        <w:t xml:space="preserve"> </w:t>
      </w:r>
      <w:r w:rsidRPr="27F276F4">
        <w:rPr>
          <w:rStyle w:val="normaltextrun"/>
          <w:rFonts w:ascii="Calibri" w:eastAsiaTheme="majorEastAsia" w:hAnsi="Calibri" w:cs="Calibri"/>
          <w:color w:val="000000" w:themeColor="text1"/>
          <w:sz w:val="22"/>
          <w:szCs w:val="22"/>
        </w:rPr>
        <w:t>as well as the gallons per mile fuel usage of the semi-truck</w:t>
      </w:r>
      <w:r w:rsidR="00643F84">
        <w:rPr>
          <w:rStyle w:val="normaltextrun"/>
          <w:rFonts w:ascii="Calibri" w:eastAsiaTheme="majorEastAsia" w:hAnsi="Calibri" w:cs="Calibri"/>
          <w:color w:val="000000" w:themeColor="text1"/>
          <w:sz w:val="22"/>
          <w:szCs w:val="22"/>
        </w:rPr>
        <w:t>s used for transport</w:t>
      </w:r>
      <w:r w:rsidRPr="27F276F4">
        <w:rPr>
          <w:rStyle w:val="normaltextrun"/>
          <w:rFonts w:ascii="Calibri" w:eastAsiaTheme="majorEastAsia" w:hAnsi="Calibri" w:cs="Calibri"/>
          <w:color w:val="000000" w:themeColor="text1"/>
          <w:sz w:val="22"/>
          <w:szCs w:val="22"/>
        </w:rPr>
        <w:t xml:space="preserve"> while driving from the property boundary, to the loadout site, and then from the loadout site back to the property boundary. </w:t>
      </w:r>
    </w:p>
    <w:p w14:paraId="261B833C" w14:textId="77777777" w:rsidR="000F5431" w:rsidRDefault="000F5431" w:rsidP="27F276F4">
      <w:pPr>
        <w:pStyle w:val="paragraph"/>
        <w:spacing w:before="0" w:beforeAutospacing="0" w:after="0" w:afterAutospacing="0"/>
        <w:ind w:left="360"/>
        <w:textAlignment w:val="baseline"/>
        <w:rPr>
          <w:rStyle w:val="normaltextrun"/>
          <w:rFonts w:ascii="Calibri" w:eastAsiaTheme="majorEastAsia" w:hAnsi="Calibri" w:cs="Calibri"/>
          <w:color w:val="000000"/>
          <w:shd w:val="clear" w:color="auto" w:fill="FFFFFF"/>
        </w:rPr>
      </w:pPr>
    </w:p>
    <w:p w14:paraId="08865B62" w14:textId="77777777" w:rsidR="000F5431" w:rsidRPr="004D3650" w:rsidRDefault="16DD0318" w:rsidP="27F276F4">
      <w:pPr>
        <w:pStyle w:val="paragraph"/>
        <w:spacing w:before="0" w:beforeAutospacing="0" w:after="0" w:afterAutospacing="0"/>
        <w:textAlignment w:val="baseline"/>
        <w:rPr>
          <w:rFonts w:ascii="Segoe UI" w:hAnsi="Segoe UI" w:cs="Segoe UI"/>
          <w:sz w:val="18"/>
          <w:szCs w:val="18"/>
        </w:rPr>
      </w:pPr>
      <w:r w:rsidRPr="27F276F4">
        <w:rPr>
          <w:rStyle w:val="normaltextrun"/>
          <w:rFonts w:ascii="Calibri" w:hAnsi="Calibri" w:cs="Calibri"/>
          <w:sz w:val="22"/>
          <w:szCs w:val="22"/>
        </w:rPr>
        <w:t>For the purpose of this analysis, DEQ defined greenhouse gas emissions as the following gas species: carbon dioxide (CO</w:t>
      </w:r>
      <w:r w:rsidRPr="27F276F4">
        <w:rPr>
          <w:rStyle w:val="normaltextrun"/>
          <w:rFonts w:ascii="Calibri" w:hAnsi="Calibri" w:cs="Calibri"/>
          <w:sz w:val="17"/>
          <w:szCs w:val="17"/>
          <w:vertAlign w:val="subscript"/>
        </w:rPr>
        <w:t>2</w:t>
      </w:r>
      <w:r w:rsidRPr="27F276F4">
        <w:rPr>
          <w:rStyle w:val="normaltextrun"/>
          <w:rFonts w:ascii="Calibri" w:hAnsi="Calibri" w:cs="Calibri"/>
          <w:sz w:val="22"/>
          <w:szCs w:val="22"/>
        </w:rPr>
        <w:t>), methane (CH</w:t>
      </w:r>
      <w:r w:rsidRPr="27F276F4">
        <w:rPr>
          <w:rStyle w:val="normaltextrun"/>
          <w:rFonts w:ascii="Calibri" w:hAnsi="Calibri" w:cs="Calibri"/>
          <w:sz w:val="17"/>
          <w:szCs w:val="17"/>
          <w:vertAlign w:val="subscript"/>
        </w:rPr>
        <w:t>4</w:t>
      </w:r>
      <w:r w:rsidRPr="27F276F4">
        <w:rPr>
          <w:rStyle w:val="normaltextrun"/>
          <w:rFonts w:ascii="Calibri" w:hAnsi="Calibri" w:cs="Calibri"/>
          <w:sz w:val="22"/>
          <w:szCs w:val="22"/>
        </w:rPr>
        <w:t>), nitrous oxide (N</w:t>
      </w:r>
      <w:r w:rsidRPr="27F276F4">
        <w:rPr>
          <w:rStyle w:val="normaltextrun"/>
          <w:rFonts w:ascii="Calibri" w:hAnsi="Calibri" w:cs="Calibri"/>
          <w:sz w:val="17"/>
          <w:szCs w:val="17"/>
          <w:vertAlign w:val="subscript"/>
        </w:rPr>
        <w:t>2</w:t>
      </w:r>
      <w:r w:rsidRPr="27F276F4">
        <w:rPr>
          <w:rStyle w:val="normaltextrun"/>
          <w:rFonts w:ascii="Calibri" w:hAnsi="Calibri" w:cs="Calibri"/>
          <w:sz w:val="22"/>
          <w:szCs w:val="22"/>
        </w:rPr>
        <w:t>O), and many species of fluorinated compounds. The range of fluorinated compounds includes numerous chemicals which are used in many household and industrial products. Other pollutants can have some properties that also are similar to those mentioned above, but the EPA has clearly identified the species above as the primary GHGs.  Water vapor is also technically a greenhouse gas, but its properties are controlled by the temperature and pressure within the atmosphere, and it is not considered an anthropogenic species.</w:t>
      </w:r>
      <w:r w:rsidRPr="27F276F4">
        <w:rPr>
          <w:rStyle w:val="eop"/>
          <w:rFonts w:ascii="Calibri" w:hAnsi="Calibri" w:cs="Calibri"/>
          <w:sz w:val="22"/>
          <w:szCs w:val="22"/>
        </w:rPr>
        <w:t> </w:t>
      </w:r>
    </w:p>
    <w:p w14:paraId="256C7620" w14:textId="77777777" w:rsidR="000F5431" w:rsidRPr="004D3650" w:rsidRDefault="16DD0318" w:rsidP="27F276F4">
      <w:pPr>
        <w:pStyle w:val="paragraph"/>
        <w:spacing w:before="0" w:beforeAutospacing="0" w:after="0" w:afterAutospacing="0"/>
        <w:ind w:left="360"/>
        <w:textAlignment w:val="baseline"/>
        <w:rPr>
          <w:rFonts w:ascii="Segoe UI" w:hAnsi="Segoe UI" w:cs="Segoe UI"/>
          <w:sz w:val="18"/>
          <w:szCs w:val="18"/>
        </w:rPr>
      </w:pPr>
      <w:r w:rsidRPr="27F276F4">
        <w:rPr>
          <w:rStyle w:val="eop"/>
          <w:rFonts w:ascii="Calibri" w:hAnsi="Calibri" w:cs="Calibri"/>
          <w:sz w:val="22"/>
          <w:szCs w:val="22"/>
        </w:rPr>
        <w:t> </w:t>
      </w:r>
    </w:p>
    <w:p w14:paraId="4CFC73F4" w14:textId="77777777" w:rsidR="000F5431" w:rsidRPr="004D3650" w:rsidRDefault="16DD0318" w:rsidP="27F276F4">
      <w:pPr>
        <w:pStyle w:val="paragraph"/>
        <w:spacing w:before="0" w:beforeAutospacing="0" w:after="0" w:afterAutospacing="0"/>
        <w:textAlignment w:val="baseline"/>
        <w:rPr>
          <w:rFonts w:ascii="Segoe UI" w:hAnsi="Segoe UI" w:cs="Segoe UI"/>
          <w:sz w:val="18"/>
          <w:szCs w:val="18"/>
        </w:rPr>
      </w:pPr>
      <w:r w:rsidRPr="27F276F4">
        <w:rPr>
          <w:rStyle w:val="normaltextrun"/>
          <w:rFonts w:ascii="Calibri" w:hAnsi="Calibri" w:cs="Calibri"/>
          <w:sz w:val="22"/>
          <w:szCs w:val="22"/>
        </w:rPr>
        <w:lastRenderedPageBreak/>
        <w:t>The combustion of diesel fuel at the site would release GHGs primarily being carbon dioxide (CO</w:t>
      </w:r>
      <w:r w:rsidRPr="27F276F4">
        <w:rPr>
          <w:rStyle w:val="normaltextrun"/>
          <w:rFonts w:ascii="Calibri" w:hAnsi="Calibri" w:cs="Calibri"/>
          <w:sz w:val="22"/>
          <w:szCs w:val="22"/>
          <w:vertAlign w:val="subscript"/>
        </w:rPr>
        <w:t>2</w:t>
      </w:r>
      <w:r w:rsidRPr="27F276F4">
        <w:rPr>
          <w:rStyle w:val="normaltextrun"/>
          <w:rFonts w:ascii="Calibri" w:hAnsi="Calibri" w:cs="Calibri"/>
          <w:sz w:val="22"/>
          <w:szCs w:val="22"/>
        </w:rPr>
        <w:t>), nitrous oxide (N</w:t>
      </w:r>
      <w:r w:rsidRPr="27F276F4">
        <w:rPr>
          <w:rStyle w:val="normaltextrun"/>
          <w:rFonts w:ascii="Calibri" w:hAnsi="Calibri" w:cs="Calibri"/>
          <w:sz w:val="22"/>
          <w:szCs w:val="22"/>
          <w:vertAlign w:val="subscript"/>
        </w:rPr>
        <w:t>2</w:t>
      </w:r>
      <w:r w:rsidRPr="27F276F4">
        <w:rPr>
          <w:rStyle w:val="normaltextrun"/>
          <w:rFonts w:ascii="Calibri" w:hAnsi="Calibri" w:cs="Calibri"/>
          <w:sz w:val="22"/>
          <w:szCs w:val="22"/>
        </w:rPr>
        <w:t>O) and much smaller concentrations of un-combusted fuel components including methane (CH</w:t>
      </w:r>
      <w:r w:rsidRPr="27F276F4">
        <w:rPr>
          <w:rStyle w:val="normaltextrun"/>
          <w:rFonts w:ascii="Calibri" w:hAnsi="Calibri" w:cs="Calibri"/>
          <w:sz w:val="22"/>
          <w:szCs w:val="22"/>
          <w:vertAlign w:val="subscript"/>
        </w:rPr>
        <w:t>4</w:t>
      </w:r>
      <w:r w:rsidRPr="27F276F4">
        <w:rPr>
          <w:rStyle w:val="normaltextrun"/>
          <w:rFonts w:ascii="Calibri" w:hAnsi="Calibri" w:cs="Calibri"/>
          <w:sz w:val="22"/>
          <w:szCs w:val="22"/>
        </w:rPr>
        <w:t>) and other volatile organic compounds (VOCs).</w:t>
      </w:r>
      <w:r w:rsidRPr="27F276F4">
        <w:rPr>
          <w:rStyle w:val="eop"/>
          <w:rFonts w:ascii="Calibri" w:hAnsi="Calibri" w:cs="Calibri"/>
          <w:sz w:val="22"/>
          <w:szCs w:val="22"/>
        </w:rPr>
        <w:t> </w:t>
      </w:r>
    </w:p>
    <w:p w14:paraId="0BF938AD" w14:textId="77777777" w:rsidR="000F5431" w:rsidRPr="004D3650" w:rsidRDefault="16DD0318" w:rsidP="27F276F4">
      <w:pPr>
        <w:pStyle w:val="paragraph"/>
        <w:spacing w:before="0" w:beforeAutospacing="0" w:after="0" w:afterAutospacing="0"/>
        <w:ind w:left="360"/>
        <w:textAlignment w:val="baseline"/>
        <w:rPr>
          <w:rFonts w:ascii="Segoe UI" w:hAnsi="Segoe UI" w:cs="Segoe UI"/>
          <w:sz w:val="18"/>
          <w:szCs w:val="18"/>
        </w:rPr>
      </w:pPr>
      <w:r w:rsidRPr="27F276F4">
        <w:rPr>
          <w:rStyle w:val="eop"/>
          <w:rFonts w:ascii="Calibri" w:hAnsi="Calibri" w:cs="Calibri"/>
          <w:sz w:val="22"/>
          <w:szCs w:val="22"/>
        </w:rPr>
        <w:t> </w:t>
      </w:r>
    </w:p>
    <w:p w14:paraId="730000F0" w14:textId="5F6305C9" w:rsidR="000F5431" w:rsidRDefault="16DD0318" w:rsidP="27F276F4">
      <w:pPr>
        <w:pStyle w:val="paragraph"/>
        <w:spacing w:before="0" w:beforeAutospacing="0" w:after="0" w:afterAutospacing="0"/>
        <w:textAlignment w:val="baseline"/>
        <w:rPr>
          <w:rStyle w:val="normaltextrun"/>
          <w:rFonts w:ascii="Calibri" w:hAnsi="Calibri" w:cs="Calibri"/>
          <w:sz w:val="22"/>
          <w:szCs w:val="22"/>
        </w:rPr>
      </w:pPr>
      <w:r w:rsidRPr="004D3650">
        <w:rPr>
          <w:rStyle w:val="normaltextrun"/>
          <w:rFonts w:ascii="Calibri" w:hAnsi="Calibri" w:cs="Calibri"/>
          <w:sz w:val="22"/>
          <w:szCs w:val="22"/>
        </w:rPr>
        <w:t xml:space="preserve">DEQ has calculated GHG emissions using the EPA Simplified GHG Calculator </w:t>
      </w:r>
      <w:r>
        <w:rPr>
          <w:rStyle w:val="normaltextrun"/>
          <w:rFonts w:ascii="Calibri" w:hAnsi="Calibri" w:cs="Calibri"/>
          <w:sz w:val="22"/>
          <w:szCs w:val="22"/>
        </w:rPr>
        <w:t xml:space="preserve">(September 2024 </w:t>
      </w:r>
      <w:r w:rsidRPr="004D3650">
        <w:rPr>
          <w:rStyle w:val="normaltextrun"/>
          <w:rFonts w:ascii="Calibri" w:hAnsi="Calibri" w:cs="Calibri"/>
          <w:sz w:val="22"/>
          <w:szCs w:val="22"/>
        </w:rPr>
        <w:t>version</w:t>
      </w:r>
      <w:r>
        <w:rPr>
          <w:rStyle w:val="normaltextrun"/>
          <w:rFonts w:ascii="Calibri" w:hAnsi="Calibri" w:cs="Calibri"/>
          <w:sz w:val="22"/>
          <w:szCs w:val="22"/>
        </w:rPr>
        <w:t>)</w:t>
      </w:r>
      <w:r w:rsidRPr="004D3650">
        <w:rPr>
          <w:rStyle w:val="normaltextrun"/>
          <w:rFonts w:ascii="Calibri" w:hAnsi="Calibri" w:cs="Calibri"/>
          <w:sz w:val="22"/>
          <w:szCs w:val="22"/>
        </w:rPr>
        <w:t>, for the purpose of totaling GHG emissions</w:t>
      </w:r>
      <w:r>
        <w:rPr>
          <w:rStyle w:val="normaltextrun"/>
          <w:rFonts w:ascii="Calibri" w:hAnsi="Calibri" w:cs="Calibri"/>
          <w:sz w:val="22"/>
          <w:szCs w:val="22"/>
        </w:rPr>
        <w:t xml:space="preserve"> using the mobile source tab</w:t>
      </w:r>
      <w:r w:rsidRPr="004D3650">
        <w:rPr>
          <w:rStyle w:val="normaltextrun"/>
          <w:rFonts w:ascii="Calibri" w:hAnsi="Calibri" w:cs="Calibri"/>
          <w:sz w:val="22"/>
          <w:szCs w:val="22"/>
        </w:rPr>
        <w:t>. This tool totals CO</w:t>
      </w:r>
      <w:r w:rsidRPr="004D3650">
        <w:rPr>
          <w:rStyle w:val="normaltextrun"/>
          <w:rFonts w:ascii="Calibri" w:hAnsi="Calibri" w:cs="Calibri"/>
          <w:sz w:val="17"/>
          <w:szCs w:val="17"/>
          <w:vertAlign w:val="subscript"/>
        </w:rPr>
        <w:t>2</w:t>
      </w:r>
      <w:r w:rsidRPr="004D3650">
        <w:rPr>
          <w:rStyle w:val="normaltextrun"/>
          <w:rFonts w:ascii="Calibri" w:hAnsi="Calibri" w:cs="Calibri"/>
          <w:sz w:val="22"/>
          <w:szCs w:val="22"/>
        </w:rPr>
        <w:t>, N</w:t>
      </w:r>
      <w:r w:rsidRPr="004D3650">
        <w:rPr>
          <w:rStyle w:val="normaltextrun"/>
          <w:rFonts w:ascii="Calibri" w:hAnsi="Calibri" w:cs="Calibri"/>
          <w:sz w:val="17"/>
          <w:szCs w:val="17"/>
          <w:vertAlign w:val="subscript"/>
        </w:rPr>
        <w:t>2</w:t>
      </w:r>
      <w:r w:rsidRPr="004D3650">
        <w:rPr>
          <w:rStyle w:val="normaltextrun"/>
          <w:rFonts w:ascii="Calibri" w:hAnsi="Calibri" w:cs="Calibri"/>
          <w:sz w:val="22"/>
          <w:szCs w:val="22"/>
        </w:rPr>
        <w:t>O, and CH</w:t>
      </w:r>
      <w:r w:rsidRPr="004D3650">
        <w:rPr>
          <w:rStyle w:val="normaltextrun"/>
          <w:rFonts w:ascii="Calibri" w:hAnsi="Calibri" w:cs="Calibri"/>
          <w:sz w:val="17"/>
          <w:szCs w:val="17"/>
          <w:vertAlign w:val="subscript"/>
        </w:rPr>
        <w:t>4</w:t>
      </w:r>
      <w:r w:rsidRPr="004D3650">
        <w:rPr>
          <w:rStyle w:val="normaltextrun"/>
          <w:rFonts w:ascii="Calibri" w:hAnsi="Calibri" w:cs="Calibri"/>
          <w:sz w:val="22"/>
          <w:szCs w:val="22"/>
        </w:rPr>
        <w:t>and reports the total as CO</w:t>
      </w:r>
      <w:r w:rsidRPr="004D3650">
        <w:rPr>
          <w:rStyle w:val="normaltextrun"/>
          <w:rFonts w:ascii="Calibri" w:hAnsi="Calibri" w:cs="Calibri"/>
          <w:sz w:val="17"/>
          <w:szCs w:val="17"/>
          <w:vertAlign w:val="subscript"/>
        </w:rPr>
        <w:t>2</w:t>
      </w:r>
      <w:r w:rsidRPr="004D3650">
        <w:rPr>
          <w:rStyle w:val="normaltextrun"/>
          <w:rFonts w:ascii="Calibri" w:hAnsi="Calibri" w:cs="Calibri"/>
          <w:sz w:val="22"/>
          <w:szCs w:val="22"/>
        </w:rPr>
        <w:t xml:space="preserve"> equivalent (CO</w:t>
      </w:r>
      <w:r w:rsidRPr="004D3650">
        <w:rPr>
          <w:rStyle w:val="normaltextrun"/>
          <w:rFonts w:ascii="Calibri" w:hAnsi="Calibri" w:cs="Calibri"/>
          <w:sz w:val="17"/>
          <w:szCs w:val="17"/>
          <w:vertAlign w:val="subscript"/>
        </w:rPr>
        <w:t>2</w:t>
      </w:r>
      <w:r w:rsidRPr="004D3650">
        <w:rPr>
          <w:rStyle w:val="normaltextrun"/>
          <w:rFonts w:ascii="Calibri" w:hAnsi="Calibri" w:cs="Calibri"/>
          <w:sz w:val="22"/>
          <w:szCs w:val="22"/>
        </w:rPr>
        <w:t>e) in metric tons CO</w:t>
      </w:r>
      <w:r w:rsidRPr="004D3650">
        <w:rPr>
          <w:rStyle w:val="normaltextrun"/>
          <w:rFonts w:ascii="Calibri" w:hAnsi="Calibri" w:cs="Calibri"/>
          <w:sz w:val="17"/>
          <w:szCs w:val="17"/>
          <w:vertAlign w:val="subscript"/>
        </w:rPr>
        <w:t>2</w:t>
      </w:r>
      <w:r w:rsidRPr="004D3650">
        <w:rPr>
          <w:rStyle w:val="normaltextrun"/>
          <w:rFonts w:ascii="Calibri" w:hAnsi="Calibri" w:cs="Calibri"/>
          <w:sz w:val="22"/>
          <w:szCs w:val="22"/>
        </w:rPr>
        <w:t xml:space="preserve">e. </w:t>
      </w:r>
      <w:r w:rsidRPr="27F276F4">
        <w:rPr>
          <w:rStyle w:val="cf01"/>
          <w:rFonts w:asciiTheme="minorHAnsi" w:hAnsiTheme="minorHAnsi" w:cstheme="minorBidi"/>
          <w:sz w:val="22"/>
          <w:szCs w:val="22"/>
        </w:rPr>
        <w:t xml:space="preserve">The GHG values generated by EPA’s </w:t>
      </w:r>
      <w:r w:rsidRPr="27F276F4">
        <w:rPr>
          <w:rStyle w:val="cf11"/>
          <w:rFonts w:asciiTheme="minorHAnsi" w:hAnsiTheme="minorHAnsi" w:cstheme="minorBidi"/>
          <w:sz w:val="22"/>
          <w:szCs w:val="22"/>
        </w:rPr>
        <w:t>Simplified GHG Calculator</w:t>
      </w:r>
      <w:r w:rsidRPr="00B67EE5" w:rsidDel="00B67EE5">
        <w:rPr>
          <w:rStyle w:val="normaltextrun"/>
          <w:rFonts w:ascii="Calibri" w:hAnsi="Calibri" w:cs="Calibri"/>
          <w:sz w:val="22"/>
          <w:szCs w:val="22"/>
        </w:rPr>
        <w:t xml:space="preserve"> </w:t>
      </w:r>
      <w:r w:rsidRPr="27F276F4">
        <w:rPr>
          <w:rStyle w:val="normaltextrun"/>
          <w:rFonts w:ascii="Calibri" w:hAnsi="Calibri" w:cs="Calibri"/>
          <w:sz w:val="22"/>
          <w:szCs w:val="22"/>
        </w:rPr>
        <w:t>are widely accepted to represent</w:t>
      </w:r>
      <w:r w:rsidRPr="004D3650">
        <w:rPr>
          <w:rStyle w:val="normaltextrun"/>
          <w:rFonts w:ascii="Calibri" w:hAnsi="Calibri" w:cs="Calibri"/>
          <w:sz w:val="22"/>
          <w:szCs w:val="22"/>
        </w:rPr>
        <w:t xml:space="preserve"> </w:t>
      </w:r>
      <w:r>
        <w:rPr>
          <w:rStyle w:val="normaltextrun"/>
          <w:rFonts w:ascii="Calibri" w:hAnsi="Calibri" w:cs="Calibri"/>
          <w:sz w:val="22"/>
          <w:szCs w:val="22"/>
        </w:rPr>
        <w:t xml:space="preserve">a </w:t>
      </w:r>
      <w:r w:rsidRPr="004D3650">
        <w:rPr>
          <w:rStyle w:val="normaltextrun"/>
          <w:rFonts w:ascii="Calibri" w:hAnsi="Calibri" w:cs="Calibri"/>
          <w:sz w:val="22"/>
          <w:szCs w:val="22"/>
        </w:rPr>
        <w:t>reliable calculation approach for developing a GHG inventory.</w:t>
      </w:r>
      <w:r w:rsidRPr="27F276F4">
        <w:rPr>
          <w:rFonts w:ascii="Garamond" w:eastAsiaTheme="minorEastAsia" w:hAnsi="Garamond" w:cstheme="minorBidi"/>
          <w:kern w:val="2"/>
          <w14:ligatures w14:val="standardContextual"/>
        </w:rPr>
        <w:t xml:space="preserve"> </w:t>
      </w:r>
    </w:p>
    <w:p w14:paraId="6230EAF3" w14:textId="77777777" w:rsidR="000F5431" w:rsidRDefault="000F5431" w:rsidP="27F276F4">
      <w:pPr>
        <w:pStyle w:val="paragraph"/>
        <w:spacing w:before="0" w:beforeAutospacing="0" w:after="0" w:afterAutospacing="0"/>
        <w:ind w:left="360"/>
        <w:textAlignment w:val="baseline"/>
        <w:rPr>
          <w:rStyle w:val="normaltextrun"/>
          <w:rFonts w:ascii="Calibri" w:hAnsi="Calibri" w:cs="Calibri"/>
          <w:sz w:val="22"/>
          <w:szCs w:val="22"/>
        </w:rPr>
      </w:pPr>
    </w:p>
    <w:p w14:paraId="09B25E8C" w14:textId="386D2428" w:rsidR="000F5431" w:rsidRDefault="16DD0318" w:rsidP="27F276F4">
      <w:pPr>
        <w:pStyle w:val="paragraph"/>
        <w:spacing w:before="0" w:beforeAutospacing="0" w:after="0" w:afterAutospacing="0"/>
        <w:textAlignment w:val="baseline"/>
        <w:rPr>
          <w:rFonts w:ascii="Calibri" w:hAnsi="Calibri" w:cs="Calibri"/>
          <w:sz w:val="22"/>
          <w:szCs w:val="22"/>
          <w:lang w:bidi="en-US"/>
        </w:rPr>
      </w:pPr>
      <w:r w:rsidRPr="27F276F4">
        <w:rPr>
          <w:rStyle w:val="normaltextrun"/>
          <w:rFonts w:ascii="Calibri" w:hAnsi="Calibri" w:cs="Calibri"/>
          <w:sz w:val="22"/>
          <w:szCs w:val="22"/>
        </w:rPr>
        <w:t xml:space="preserve">This review does not include an assessment of GHG impacts in quantitative economic terms. </w:t>
      </w:r>
      <w:r w:rsidRPr="27F276F4">
        <w:rPr>
          <w:rFonts w:ascii="Calibri" w:hAnsi="Calibri" w:cs="Calibri"/>
          <w:sz w:val="22"/>
          <w:szCs w:val="22"/>
          <w:lang w:bidi="en-US"/>
        </w:rPr>
        <w:t>DEQ</w:t>
      </w:r>
      <w:r w:rsidR="28E3797D" w:rsidRPr="27F276F4">
        <w:rPr>
          <w:rFonts w:ascii="Calibri" w:hAnsi="Calibri" w:cs="Calibri"/>
          <w:sz w:val="22"/>
          <w:szCs w:val="22"/>
          <w:lang w:bidi="en-US"/>
        </w:rPr>
        <w:t>,</w:t>
      </w:r>
      <w:r w:rsidRPr="27F276F4">
        <w:rPr>
          <w:rFonts w:ascii="Calibri" w:hAnsi="Calibri" w:cs="Calibri"/>
          <w:sz w:val="22"/>
          <w:szCs w:val="22"/>
          <w:lang w:bidi="en-US"/>
        </w:rPr>
        <w:t xml:space="preserve"> instead</w:t>
      </w:r>
      <w:r w:rsidR="00335705">
        <w:rPr>
          <w:rFonts w:ascii="Calibri" w:hAnsi="Calibri" w:cs="Calibri"/>
          <w:sz w:val="22"/>
          <w:szCs w:val="22"/>
          <w:lang w:bidi="en-US"/>
        </w:rPr>
        <w:t>,</w:t>
      </w:r>
      <w:r w:rsidRPr="27F276F4">
        <w:rPr>
          <w:rFonts w:ascii="Calibri" w:hAnsi="Calibri" w:cs="Calibri"/>
          <w:sz w:val="22"/>
          <w:szCs w:val="22"/>
          <w:lang w:bidi="en-US"/>
        </w:rPr>
        <w:t xml:space="preserve"> </w:t>
      </w:r>
      <w:r w:rsidR="28E3797D" w:rsidRPr="27F276F4">
        <w:rPr>
          <w:rFonts w:ascii="Calibri" w:hAnsi="Calibri" w:cs="Calibri"/>
          <w:sz w:val="22"/>
          <w:szCs w:val="22"/>
          <w:lang w:bidi="en-US"/>
        </w:rPr>
        <w:t xml:space="preserve">has calculated </w:t>
      </w:r>
      <w:r w:rsidRPr="27F276F4">
        <w:rPr>
          <w:rFonts w:ascii="Calibri" w:hAnsi="Calibri" w:cs="Calibri"/>
          <w:sz w:val="22"/>
          <w:szCs w:val="22"/>
          <w:lang w:bidi="en-US"/>
        </w:rPr>
        <w:t xml:space="preserve">potential GHG emissions and provides a narrative description of </w:t>
      </w:r>
      <w:r w:rsidR="28E3797D" w:rsidRPr="27F276F4">
        <w:rPr>
          <w:rFonts w:ascii="Calibri" w:hAnsi="Calibri" w:cs="Calibri"/>
          <w:sz w:val="22"/>
          <w:szCs w:val="22"/>
          <w:lang w:bidi="en-US"/>
        </w:rPr>
        <w:t xml:space="preserve">anticipated </w:t>
      </w:r>
      <w:r w:rsidRPr="27F276F4">
        <w:rPr>
          <w:rFonts w:ascii="Calibri" w:hAnsi="Calibri" w:cs="Calibri"/>
          <w:sz w:val="22"/>
          <w:szCs w:val="22"/>
          <w:lang w:bidi="en-US"/>
        </w:rPr>
        <w:t xml:space="preserve">GHG impacts. </w:t>
      </w:r>
      <w:r w:rsidR="00FD110E" w:rsidRPr="00FD110E">
        <w:rPr>
          <w:rFonts w:ascii="Calibri" w:hAnsi="Calibri" w:cs="Calibri"/>
          <w:sz w:val="22"/>
          <w:szCs w:val="22"/>
          <w:lang w:bidi="en-US"/>
        </w:rPr>
        <w:t>For further detail on the considerations informing this approach, see DEQ’s 2026</w:t>
      </w:r>
      <w:r w:rsidR="00FD110E" w:rsidRPr="00FD110E">
        <w:t xml:space="preserve"> </w:t>
      </w:r>
      <w:r w:rsidR="00FD110E" w:rsidRPr="009F0848">
        <w:rPr>
          <w:rFonts w:ascii="Calibri" w:hAnsi="Calibri" w:cs="Calibri"/>
          <w:i/>
          <w:iCs/>
          <w:sz w:val="22"/>
          <w:szCs w:val="22"/>
          <w:lang w:bidi="en-US"/>
        </w:rPr>
        <w:t>Guidance for Greenhouse Gas Impact Assessments Under the Montana Environmental Policy Act: Appendix 3 Methods and Means of Quantifying Costs Related to Greenhouse Gas Emissions</w:t>
      </w:r>
      <w:r w:rsidR="00FD110E" w:rsidRPr="00FD110E">
        <w:rPr>
          <w:rFonts w:ascii="Calibri" w:hAnsi="Calibri" w:cs="Calibri"/>
          <w:sz w:val="22"/>
          <w:szCs w:val="22"/>
          <w:lang w:bidi="en-US"/>
        </w:rPr>
        <w:t>, which is incorporated here by reference.</w:t>
      </w:r>
    </w:p>
    <w:p w14:paraId="08957E36" w14:textId="77777777" w:rsidR="000C0B25" w:rsidRPr="000C0B25" w:rsidRDefault="000C0B25" w:rsidP="27F276F4"/>
    <w:p w14:paraId="3206A359" w14:textId="6AB5B165" w:rsidR="009B5593" w:rsidRDefault="28E3797D" w:rsidP="009B5593">
      <w:r>
        <w:t>In furtherance of this narrative description, when determining whether the preparation of an environmental impact statement is needed, DEQ is required to consider the seven significance criteria set forth in ARM 17.4.608, which are as follows:</w:t>
      </w:r>
    </w:p>
    <w:p w14:paraId="43B56E70" w14:textId="77777777" w:rsidR="009B5593" w:rsidRPr="0075004C" w:rsidRDefault="009B5593" w:rsidP="009B5593"/>
    <w:p w14:paraId="225AA81D" w14:textId="77777777" w:rsidR="009B5593" w:rsidRPr="00246FAF" w:rsidRDefault="28E3797D" w:rsidP="009B5593">
      <w:pPr>
        <w:pStyle w:val="ListParagraph"/>
        <w:numPr>
          <w:ilvl w:val="0"/>
          <w:numId w:val="14"/>
        </w:numPr>
      </w:pPr>
      <w:r w:rsidRPr="00246FAF">
        <w:t>The severity, duration, geographic extent, and frequency of the occurrence of the</w:t>
      </w:r>
      <w:r w:rsidRPr="00246FAF">
        <w:rPr>
          <w:spacing w:val="-14"/>
        </w:rPr>
        <w:t xml:space="preserve"> </w:t>
      </w:r>
      <w:proofErr w:type="gramStart"/>
      <w:r w:rsidRPr="00246FAF">
        <w:t>impact;</w:t>
      </w:r>
      <w:proofErr w:type="gramEnd"/>
    </w:p>
    <w:p w14:paraId="0AF029D2" w14:textId="77777777" w:rsidR="009B5593" w:rsidRPr="00246FAF" w:rsidRDefault="28E3797D" w:rsidP="009B5593">
      <w:pPr>
        <w:pStyle w:val="ListParagraph"/>
        <w:numPr>
          <w:ilvl w:val="0"/>
          <w:numId w:val="14"/>
        </w:numPr>
      </w:pPr>
      <w:r w:rsidRPr="00246FAF">
        <w:t>The probability that the impact will occur if the proposed action occurs; or conversely, reasonable assurance in keeping with the potential severity of an impact that the impact will not</w:t>
      </w:r>
      <w:r w:rsidRPr="00246FAF">
        <w:rPr>
          <w:spacing w:val="-1"/>
        </w:rPr>
        <w:t xml:space="preserve"> </w:t>
      </w:r>
      <w:proofErr w:type="gramStart"/>
      <w:r w:rsidRPr="00246FAF">
        <w:t>occur;</w:t>
      </w:r>
      <w:proofErr w:type="gramEnd"/>
    </w:p>
    <w:p w14:paraId="3A810321" w14:textId="77777777" w:rsidR="009B5593" w:rsidRPr="00246FAF" w:rsidRDefault="28E3797D" w:rsidP="009B5593">
      <w:pPr>
        <w:pStyle w:val="ListParagraph"/>
        <w:numPr>
          <w:ilvl w:val="0"/>
          <w:numId w:val="14"/>
        </w:numPr>
      </w:pPr>
      <w:r w:rsidRPr="00246FAF">
        <w:t>Growth-inducing or growth-inhibiting aspects of the impact, including the relationship or contribution of the impact to cumulative</w:t>
      </w:r>
      <w:r w:rsidRPr="00246FAF">
        <w:rPr>
          <w:spacing w:val="-4"/>
        </w:rPr>
        <w:t xml:space="preserve"> </w:t>
      </w:r>
      <w:r>
        <w:t>impacts – identify</w:t>
      </w:r>
      <w:r w:rsidRPr="00246FAF">
        <w:t xml:space="preserve"> the parameters of the proposed </w:t>
      </w:r>
      <w:proofErr w:type="gramStart"/>
      <w:r w:rsidRPr="00246FAF">
        <w:t>action;</w:t>
      </w:r>
      <w:proofErr w:type="gramEnd"/>
    </w:p>
    <w:p w14:paraId="0261D86B" w14:textId="77777777" w:rsidR="009B5593" w:rsidRPr="00246FAF" w:rsidRDefault="28E3797D" w:rsidP="009B5593">
      <w:pPr>
        <w:pStyle w:val="ListParagraph"/>
        <w:numPr>
          <w:ilvl w:val="0"/>
          <w:numId w:val="14"/>
        </w:numPr>
      </w:pPr>
      <w:r w:rsidRPr="00246FAF">
        <w:t>The quantity and quality of each environmental resource or value that would be affected, including the uniqueness and fragility of those resources and</w:t>
      </w:r>
      <w:r w:rsidRPr="00246FAF">
        <w:rPr>
          <w:spacing w:val="-12"/>
        </w:rPr>
        <w:t xml:space="preserve"> </w:t>
      </w:r>
      <w:proofErr w:type="gramStart"/>
      <w:r w:rsidRPr="00246FAF">
        <w:t>values;</w:t>
      </w:r>
      <w:proofErr w:type="gramEnd"/>
    </w:p>
    <w:p w14:paraId="7EB822A9" w14:textId="77777777" w:rsidR="009B5593" w:rsidRPr="00246FAF" w:rsidRDefault="28E3797D" w:rsidP="009B5593">
      <w:pPr>
        <w:pStyle w:val="ListParagraph"/>
        <w:numPr>
          <w:ilvl w:val="0"/>
          <w:numId w:val="14"/>
        </w:numPr>
      </w:pPr>
      <w:r w:rsidRPr="00246FAF">
        <w:t>The importance to the state and to society of each environmental resource or value that would be</w:t>
      </w:r>
      <w:r w:rsidRPr="00246FAF">
        <w:rPr>
          <w:spacing w:val="-2"/>
        </w:rPr>
        <w:t xml:space="preserve"> </w:t>
      </w:r>
      <w:proofErr w:type="gramStart"/>
      <w:r w:rsidRPr="00246FAF">
        <w:t>affected;</w:t>
      </w:r>
      <w:proofErr w:type="gramEnd"/>
    </w:p>
    <w:p w14:paraId="7916AA86" w14:textId="77777777" w:rsidR="009B5593" w:rsidRPr="00246FAF" w:rsidRDefault="28E3797D" w:rsidP="009B5593">
      <w:pPr>
        <w:pStyle w:val="ListParagraph"/>
        <w:numPr>
          <w:ilvl w:val="0"/>
          <w:numId w:val="14"/>
        </w:numPr>
      </w:pPr>
      <w:r>
        <w:t xml:space="preserve">Any precedent that would be set </w:t>
      </w:r>
      <w:proofErr w:type="gramStart"/>
      <w:r>
        <w:t>as a result of</w:t>
      </w:r>
      <w:proofErr w:type="gramEnd"/>
      <w:r>
        <w:t xml:space="preserve"> </w:t>
      </w:r>
      <w:proofErr w:type="gramStart"/>
      <w:r>
        <w:t>an</w:t>
      </w:r>
      <w:proofErr w:type="gramEnd"/>
      <w:r>
        <w:t xml:space="preserve"> impact of the proposed action that would commit the department to future actions with significant impacts or a decision in principle about such future actions; and</w:t>
      </w:r>
    </w:p>
    <w:p w14:paraId="4F0514AF" w14:textId="36F12EBA" w:rsidR="0069383F" w:rsidRDefault="28E3797D" w:rsidP="000E14BF">
      <w:pPr>
        <w:pStyle w:val="ListParagraph"/>
        <w:numPr>
          <w:ilvl w:val="0"/>
          <w:numId w:val="14"/>
        </w:numPr>
      </w:pPr>
      <w:r w:rsidRPr="00246FAF">
        <w:t>Potential conflict with local, state, or federal laws, requirements, or formal</w:t>
      </w:r>
      <w:r w:rsidRPr="00246FAF">
        <w:rPr>
          <w:spacing w:val="-4"/>
        </w:rPr>
        <w:t xml:space="preserve"> </w:t>
      </w:r>
      <w:r w:rsidRPr="00246FAF">
        <w:t>plans.</w:t>
      </w:r>
      <w:bookmarkEnd w:id="18"/>
      <w:bookmarkEnd w:id="25"/>
      <w:bookmarkEnd w:id="26"/>
      <w:bookmarkEnd w:id="27"/>
    </w:p>
    <w:p w14:paraId="73F1415C" w14:textId="77777777" w:rsidR="000E14BF" w:rsidRPr="000E14BF" w:rsidRDefault="000E14BF" w:rsidP="000E14BF">
      <w:pPr>
        <w:pStyle w:val="ListParagraph"/>
        <w:ind w:left="720" w:firstLine="0"/>
      </w:pPr>
    </w:p>
    <w:p w14:paraId="4800C5C7" w14:textId="62A80E98" w:rsidR="00EB3E4D" w:rsidRPr="00B3043F" w:rsidRDefault="28E3797D" w:rsidP="003E3AB7">
      <w:pPr>
        <w:spacing w:after="240"/>
        <w:rPr>
          <w:rFonts w:cstheme="minorBidi"/>
        </w:rPr>
      </w:pPr>
      <w:r w:rsidRPr="27F276F4">
        <w:rPr>
          <w:rFonts w:cstheme="minorBidi"/>
        </w:rPr>
        <w:t xml:space="preserve">To better ascribe a significance value to anticipated impacts, and in line with ARM 17.4.608, </w:t>
      </w:r>
      <w:r w:rsidR="00B7702A">
        <w:rPr>
          <w:rFonts w:cstheme="minorBidi"/>
        </w:rPr>
        <w:t>D</w:t>
      </w:r>
      <w:r w:rsidRPr="27F276F4">
        <w:rPr>
          <w:rFonts w:cstheme="minorBidi"/>
        </w:rPr>
        <w:t xml:space="preserve">EQ has offered a qualitative analysis of the anticipated severity </w:t>
      </w:r>
      <w:r w:rsidR="28ABF90D" w:rsidRPr="27F276F4">
        <w:rPr>
          <w:rFonts w:cstheme="minorBidi"/>
        </w:rPr>
        <w:t xml:space="preserve">of impacts using the following terms: </w:t>
      </w:r>
      <w:bookmarkStart w:id="28" w:name="_Hlk26532472"/>
      <w:bookmarkStart w:id="29" w:name="_Hlk185236972"/>
    </w:p>
    <w:p w14:paraId="3872235C" w14:textId="77777777" w:rsidR="00B3415D" w:rsidRDefault="142F9C3F" w:rsidP="27F276F4">
      <w:pPr>
        <w:pStyle w:val="ListParagraph"/>
        <w:numPr>
          <w:ilvl w:val="0"/>
          <w:numId w:val="5"/>
        </w:numPr>
        <w:spacing w:line="240" w:lineRule="auto"/>
      </w:pPr>
      <w:r w:rsidRPr="27F276F4">
        <w:rPr>
          <w:b/>
          <w:bCs/>
        </w:rPr>
        <w:t>No impact</w:t>
      </w:r>
      <w:r>
        <w:t>: There would be no change from current conditions.</w:t>
      </w:r>
    </w:p>
    <w:p w14:paraId="742390B5" w14:textId="77777777" w:rsidR="00EB3E4D" w:rsidRPr="00B3043F" w:rsidRDefault="00EB3E4D" w:rsidP="27F276F4">
      <w:pPr>
        <w:pStyle w:val="ListParagraph"/>
        <w:spacing w:line="240" w:lineRule="auto"/>
        <w:ind w:left="720" w:firstLine="0"/>
      </w:pPr>
    </w:p>
    <w:p w14:paraId="0DC35C23" w14:textId="77777777" w:rsidR="00B3415D" w:rsidRDefault="142F9C3F" w:rsidP="27F276F4">
      <w:pPr>
        <w:pStyle w:val="ListParagraph"/>
        <w:numPr>
          <w:ilvl w:val="0"/>
          <w:numId w:val="5"/>
        </w:numPr>
        <w:spacing w:line="240" w:lineRule="auto"/>
      </w:pPr>
      <w:r w:rsidRPr="27F276F4">
        <w:rPr>
          <w:b/>
          <w:bCs/>
        </w:rPr>
        <w:t>Negligible</w:t>
      </w:r>
      <w:r>
        <w:t>: An adverse or beneficial effect would occur but would be at the lowest levels of detection.</w:t>
      </w:r>
    </w:p>
    <w:p w14:paraId="4EDCF8DA" w14:textId="77777777" w:rsidR="00EB3E4D" w:rsidRPr="00B3043F" w:rsidRDefault="00EB3E4D" w:rsidP="009B5593"/>
    <w:p w14:paraId="1AB26AC8" w14:textId="77777777" w:rsidR="00B3415D" w:rsidRDefault="142F9C3F" w:rsidP="27F276F4">
      <w:pPr>
        <w:pStyle w:val="ListParagraph"/>
        <w:numPr>
          <w:ilvl w:val="0"/>
          <w:numId w:val="5"/>
        </w:numPr>
        <w:spacing w:line="240" w:lineRule="auto"/>
      </w:pPr>
      <w:r w:rsidRPr="27F276F4">
        <w:rPr>
          <w:b/>
          <w:bCs/>
        </w:rPr>
        <w:t>Minor</w:t>
      </w:r>
      <w:r>
        <w:t>: The effect would be noticeable but would be relatively small and would not affect the function or integrity of the resource.</w:t>
      </w:r>
    </w:p>
    <w:p w14:paraId="22997ED6" w14:textId="77777777" w:rsidR="00EB3E4D" w:rsidRPr="00B3043F" w:rsidRDefault="00EB3E4D" w:rsidP="009B5593"/>
    <w:p w14:paraId="49B739BF" w14:textId="77777777" w:rsidR="00B3415D" w:rsidRDefault="142F9C3F" w:rsidP="27F276F4">
      <w:pPr>
        <w:pStyle w:val="ListParagraph"/>
        <w:numPr>
          <w:ilvl w:val="0"/>
          <w:numId w:val="5"/>
        </w:numPr>
        <w:spacing w:line="240" w:lineRule="auto"/>
      </w:pPr>
      <w:r w:rsidRPr="27F276F4">
        <w:rPr>
          <w:b/>
          <w:bCs/>
        </w:rPr>
        <w:t>Moderate</w:t>
      </w:r>
      <w:r>
        <w:t>: The effect would be easily identifiable and would change the function or integrity of the resource.</w:t>
      </w:r>
    </w:p>
    <w:p w14:paraId="6314C763" w14:textId="77777777" w:rsidR="00EB3E4D" w:rsidRPr="00B3043F" w:rsidRDefault="00EB3E4D" w:rsidP="009B5593"/>
    <w:p w14:paraId="07118F43" w14:textId="762114F7" w:rsidR="006465B9" w:rsidRPr="00B3043F" w:rsidRDefault="142F9C3F" w:rsidP="27F276F4">
      <w:pPr>
        <w:pStyle w:val="ListParagraph"/>
        <w:numPr>
          <w:ilvl w:val="0"/>
          <w:numId w:val="5"/>
        </w:numPr>
        <w:spacing w:line="240" w:lineRule="auto"/>
      </w:pPr>
      <w:r w:rsidRPr="27F276F4">
        <w:rPr>
          <w:b/>
          <w:bCs/>
        </w:rPr>
        <w:t>Major</w:t>
      </w:r>
      <w:r>
        <w:t>: The effect would alter the resource.</w:t>
      </w:r>
      <w:bookmarkEnd w:id="28"/>
    </w:p>
    <w:p w14:paraId="7851E986" w14:textId="77777777" w:rsidR="00902EE1" w:rsidRPr="006465B9" w:rsidRDefault="00902EE1" w:rsidP="27F276F4">
      <w:pPr>
        <w:pStyle w:val="ListParagraph"/>
        <w:spacing w:line="240" w:lineRule="auto"/>
        <w:ind w:left="720" w:firstLine="0"/>
        <w:rPr>
          <w:rFonts w:cstheme="minorBidi"/>
        </w:rPr>
      </w:pPr>
    </w:p>
    <w:p w14:paraId="779383CE" w14:textId="2E6B70CE" w:rsidR="00AF5C30" w:rsidRPr="00FE32D0" w:rsidRDefault="28E3797D" w:rsidP="00FE32D0">
      <w:pPr>
        <w:pStyle w:val="Heading3"/>
      </w:pPr>
      <w:bookmarkStart w:id="30" w:name="_Toc219800154"/>
      <w:bookmarkEnd w:id="29"/>
      <w:r w:rsidRPr="00FE32D0">
        <w:t>Analysis</w:t>
      </w:r>
      <w:bookmarkEnd w:id="30"/>
    </w:p>
    <w:p w14:paraId="55F7712A" w14:textId="77777777" w:rsidR="00AF5C30" w:rsidRPr="00CD4389" w:rsidRDefault="00AF5C30" w:rsidP="00CD4389">
      <w:pPr>
        <w:pStyle w:val="paragraph"/>
        <w:spacing w:before="0" w:beforeAutospacing="0" w:after="0" w:afterAutospacing="0"/>
        <w:ind w:left="360"/>
        <w:textAlignment w:val="baseline"/>
        <w:rPr>
          <w:rStyle w:val="normaltextrun"/>
          <w:rFonts w:ascii="Calibri" w:hAnsi="Calibri" w:cs="Calibri"/>
          <w:sz w:val="22"/>
          <w:szCs w:val="22"/>
        </w:rPr>
      </w:pPr>
    </w:p>
    <w:p w14:paraId="49858197" w14:textId="7636E231" w:rsidR="00B3415D" w:rsidRPr="00AD17B0" w:rsidRDefault="0034071A" w:rsidP="00DD36C3">
      <w:pPr>
        <w:rPr>
          <w:b/>
          <w:bCs/>
          <w:i/>
          <w:iCs/>
        </w:rPr>
      </w:pPr>
      <w:r w:rsidRPr="00AD17B0">
        <w:rPr>
          <w:b/>
          <w:bCs/>
          <w:i/>
          <w:iCs/>
        </w:rPr>
        <w:t>Direct Impacts</w:t>
      </w:r>
    </w:p>
    <w:p w14:paraId="0E0D9A5D" w14:textId="5D503B04" w:rsidR="00CD4389" w:rsidDel="00DA1BB3" w:rsidRDefault="6150D5AB" w:rsidP="006465B9">
      <w:pPr>
        <w:rPr>
          <w:rStyle w:val="normaltextrun"/>
          <w:rFonts w:ascii="Calibri" w:hAnsi="Calibri" w:cs="Calibri"/>
          <w:color w:val="000000"/>
          <w:shd w:val="clear" w:color="auto" w:fill="FFFFFF"/>
        </w:rPr>
      </w:pPr>
      <w:r w:rsidRPr="27F276F4">
        <w:rPr>
          <w:rStyle w:val="normaltextrun"/>
          <w:rFonts w:ascii="Calibri" w:eastAsiaTheme="majorEastAsia" w:hAnsi="Calibri" w:cs="Calibri"/>
          <w:color w:val="000000" w:themeColor="text1"/>
        </w:rPr>
        <w:t xml:space="preserve">The proposed action authorizes the use of equipment for loading and transportation of coal for </w:t>
      </w:r>
      <w:r w:rsidR="63610172" w:rsidRPr="37EB9C29">
        <w:rPr>
          <w:rStyle w:val="normaltextrun"/>
          <w:rFonts w:ascii="Calibri" w:eastAsiaTheme="majorEastAsia" w:hAnsi="Calibri" w:cs="Calibri"/>
          <w:color w:val="000000" w:themeColor="text1"/>
        </w:rPr>
        <w:t xml:space="preserve">the life of </w:t>
      </w:r>
      <w:proofErr w:type="gramStart"/>
      <w:r w:rsidR="63610172" w:rsidRPr="37EB9C29">
        <w:rPr>
          <w:rStyle w:val="normaltextrun"/>
          <w:rFonts w:ascii="Calibri" w:eastAsiaTheme="majorEastAsia" w:hAnsi="Calibri" w:cs="Calibri"/>
          <w:color w:val="000000" w:themeColor="text1"/>
        </w:rPr>
        <w:t>the mine</w:t>
      </w:r>
      <w:proofErr w:type="gramEnd"/>
      <w:r w:rsidRPr="37EB9C29">
        <w:rPr>
          <w:rStyle w:val="normaltextrun"/>
          <w:rFonts w:ascii="Calibri" w:eastAsiaTheme="majorEastAsia" w:hAnsi="Calibri" w:cs="Calibri"/>
          <w:color w:val="000000" w:themeColor="text1"/>
        </w:rPr>
        <w:t>.</w:t>
      </w:r>
      <w:r w:rsidRPr="27F276F4">
        <w:rPr>
          <w:rStyle w:val="normaltextrun"/>
          <w:rFonts w:ascii="Calibri" w:eastAsiaTheme="majorEastAsia" w:hAnsi="Calibri" w:cs="Calibri"/>
          <w:color w:val="000000" w:themeColor="text1"/>
        </w:rPr>
        <w:t xml:space="preserve"> </w:t>
      </w:r>
      <w:r w:rsidR="23FFD6B3" w:rsidRPr="37EB9C29">
        <w:rPr>
          <w:rStyle w:val="normaltextrun"/>
          <w:rFonts w:ascii="Calibri" w:eastAsiaTheme="majorEastAsia" w:hAnsi="Calibri" w:cs="Calibri"/>
          <w:color w:val="000000" w:themeColor="text1"/>
        </w:rPr>
        <w:t xml:space="preserve">Combustion </w:t>
      </w:r>
      <w:r w:rsidR="029B0299" w:rsidRPr="37EB9C29">
        <w:rPr>
          <w:rStyle w:val="normaltextrun"/>
          <w:rFonts w:ascii="Calibri" w:eastAsiaTheme="majorEastAsia" w:hAnsi="Calibri" w:cs="Calibri"/>
          <w:color w:val="000000" w:themeColor="text1"/>
        </w:rPr>
        <w:t xml:space="preserve">of </w:t>
      </w:r>
      <w:r w:rsidR="490A2598" w:rsidRPr="37EB9C29">
        <w:rPr>
          <w:rStyle w:val="normaltextrun"/>
          <w:rFonts w:ascii="Calibri" w:eastAsiaTheme="majorEastAsia" w:hAnsi="Calibri" w:cs="Calibri"/>
          <w:color w:val="000000" w:themeColor="text1"/>
        </w:rPr>
        <w:t>distillate fuel #2</w:t>
      </w:r>
      <w:r w:rsidR="029B0299" w:rsidRPr="37EB9C29">
        <w:rPr>
          <w:rStyle w:val="normaltextrun"/>
          <w:rFonts w:ascii="Calibri" w:eastAsiaTheme="majorEastAsia" w:hAnsi="Calibri" w:cs="Calibri"/>
          <w:color w:val="000000" w:themeColor="text1"/>
        </w:rPr>
        <w:t>-fuel</w:t>
      </w:r>
      <w:r w:rsidR="13734118" w:rsidRPr="37EB9C29">
        <w:rPr>
          <w:rStyle w:val="normaltextrun"/>
          <w:rFonts w:ascii="Calibri" w:eastAsiaTheme="majorEastAsia" w:hAnsi="Calibri" w:cs="Calibri"/>
          <w:color w:val="000000" w:themeColor="text1"/>
        </w:rPr>
        <w:t xml:space="preserve"> </w:t>
      </w:r>
      <w:r w:rsidR="007B2CE6">
        <w:rPr>
          <w:rStyle w:val="normaltextrun"/>
          <w:rFonts w:ascii="Calibri" w:eastAsiaTheme="majorEastAsia" w:hAnsi="Calibri" w:cs="Calibri"/>
          <w:color w:val="000000" w:themeColor="text1"/>
        </w:rPr>
        <w:t>(diesel fuel)</w:t>
      </w:r>
      <w:r w:rsidR="13734118" w:rsidRPr="37EB9C29">
        <w:rPr>
          <w:rStyle w:val="normaltextrun"/>
          <w:rFonts w:ascii="Calibri" w:eastAsiaTheme="majorEastAsia" w:hAnsi="Calibri" w:cs="Calibri"/>
          <w:color w:val="000000" w:themeColor="text1"/>
        </w:rPr>
        <w:t xml:space="preserve"> in </w:t>
      </w:r>
      <w:r w:rsidR="029B0299" w:rsidRPr="27F276F4">
        <w:rPr>
          <w:rStyle w:val="normaltextrun"/>
          <w:rFonts w:ascii="Calibri" w:eastAsiaTheme="majorEastAsia" w:hAnsi="Calibri" w:cs="Calibri"/>
          <w:color w:val="000000"/>
          <w:shd w:val="clear" w:color="auto" w:fill="FFFFFF"/>
        </w:rPr>
        <w:t>vehicles throughout the life of the proposed project would produce exhaust fumes containing GHGs.</w:t>
      </w:r>
      <w:r w:rsidRPr="2F563B5D">
        <w:rPr>
          <w:rStyle w:val="normaltextrun"/>
          <w:rFonts w:ascii="Calibri" w:hAnsi="Calibri" w:cs="Calibri"/>
          <w:color w:val="000000" w:themeColor="text1"/>
        </w:rPr>
        <w:t xml:space="preserve"> </w:t>
      </w:r>
    </w:p>
    <w:p w14:paraId="68742C51" w14:textId="77777777" w:rsidR="00DA1BB3" w:rsidRDefault="00DA1BB3" w:rsidP="27F276F4">
      <w:pPr>
        <w:rPr>
          <w:rStyle w:val="normaltextrun"/>
          <w:rFonts w:ascii="Calibri" w:eastAsiaTheme="majorEastAsia" w:hAnsi="Calibri" w:cs="Calibri"/>
          <w:color w:val="000000"/>
          <w:shd w:val="clear" w:color="auto" w:fill="FFFFFF"/>
        </w:rPr>
      </w:pPr>
    </w:p>
    <w:p w14:paraId="035155BC" w14:textId="4B6AA80F" w:rsidR="00465DDA" w:rsidRDefault="5CF1670B" w:rsidP="00274E9A">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Signal Peak</w:t>
      </w:r>
      <w:r w:rsidR="029B0299">
        <w:rPr>
          <w:rStyle w:val="normaltextrun"/>
          <w:rFonts w:ascii="Calibri" w:hAnsi="Calibri" w:cs="Calibri"/>
          <w:color w:val="000000"/>
          <w:shd w:val="clear" w:color="auto" w:fill="FFFFFF"/>
        </w:rPr>
        <w:t xml:space="preserve"> estimates that approximately </w:t>
      </w:r>
      <w:r w:rsidR="490A2598">
        <w:rPr>
          <w:rStyle w:val="normaltextrun"/>
          <w:rFonts w:ascii="Calibri" w:hAnsi="Calibri" w:cs="Calibri"/>
          <w:color w:val="000000"/>
          <w:shd w:val="clear" w:color="auto" w:fill="FFFFFF"/>
        </w:rPr>
        <w:t>33,000</w:t>
      </w:r>
      <w:r w:rsidR="029B0299">
        <w:rPr>
          <w:rStyle w:val="normaltextrun"/>
          <w:rFonts w:ascii="Calibri" w:hAnsi="Calibri" w:cs="Calibri"/>
          <w:color w:val="000000"/>
          <w:shd w:val="clear" w:color="auto" w:fill="FFFFFF"/>
        </w:rPr>
        <w:t xml:space="preserve"> gallons of fuel would be utilized per </w:t>
      </w:r>
      <w:r w:rsidR="490A2598">
        <w:rPr>
          <w:rStyle w:val="normaltextrun"/>
          <w:rFonts w:ascii="Calibri" w:hAnsi="Calibri" w:cs="Calibri"/>
          <w:color w:val="000000"/>
          <w:shd w:val="clear" w:color="auto" w:fill="FFFFFF"/>
        </w:rPr>
        <w:t xml:space="preserve">year to load </w:t>
      </w:r>
      <w:r w:rsidR="79C6EB33">
        <w:rPr>
          <w:rStyle w:val="normaltextrun"/>
          <w:rFonts w:ascii="Calibri" w:hAnsi="Calibri" w:cs="Calibri"/>
          <w:color w:val="000000"/>
          <w:shd w:val="clear" w:color="auto" w:fill="FFFFFF"/>
        </w:rPr>
        <w:t>5</w:t>
      </w:r>
      <w:r w:rsidR="00093B76">
        <w:rPr>
          <w:rStyle w:val="normaltextrun"/>
          <w:rFonts w:ascii="Calibri" w:hAnsi="Calibri" w:cs="Calibri"/>
          <w:color w:val="000000"/>
          <w:shd w:val="clear" w:color="auto" w:fill="FFFFFF"/>
        </w:rPr>
        <w:t>5</w:t>
      </w:r>
      <w:r w:rsidR="79C6EB33">
        <w:rPr>
          <w:rStyle w:val="normaltextrun"/>
          <w:rFonts w:ascii="Calibri" w:hAnsi="Calibri" w:cs="Calibri"/>
          <w:color w:val="000000"/>
          <w:shd w:val="clear" w:color="auto" w:fill="FFFFFF"/>
        </w:rPr>
        <w:t>0</w:t>
      </w:r>
      <w:r w:rsidR="490A2598">
        <w:rPr>
          <w:rStyle w:val="normaltextrun"/>
          <w:rFonts w:ascii="Calibri" w:hAnsi="Calibri" w:cs="Calibri"/>
          <w:color w:val="000000"/>
          <w:shd w:val="clear" w:color="auto" w:fill="FFFFFF"/>
        </w:rPr>
        <w:t xml:space="preserve">,000 tons of </w:t>
      </w:r>
      <w:r w:rsidR="79C6EB33">
        <w:rPr>
          <w:rStyle w:val="normaltextrun"/>
          <w:rFonts w:ascii="Calibri" w:hAnsi="Calibri" w:cs="Calibri"/>
          <w:color w:val="000000"/>
          <w:shd w:val="clear" w:color="auto" w:fill="FFFFFF"/>
        </w:rPr>
        <w:t xml:space="preserve">additional </w:t>
      </w:r>
      <w:r w:rsidR="490A2598">
        <w:rPr>
          <w:rStyle w:val="normaltextrun"/>
          <w:rFonts w:ascii="Calibri" w:hAnsi="Calibri" w:cs="Calibri"/>
          <w:color w:val="000000"/>
          <w:shd w:val="clear" w:color="auto" w:fill="FFFFFF"/>
        </w:rPr>
        <w:t>coal into semi-trucks; 6,785 gallons for over-the-road semi-trucks</w:t>
      </w:r>
      <w:r w:rsidR="6150D5AB">
        <w:rPr>
          <w:rStyle w:val="normaltextrun"/>
          <w:rFonts w:ascii="Calibri" w:hAnsi="Calibri" w:cs="Calibri"/>
          <w:color w:val="000000"/>
          <w:shd w:val="clear" w:color="auto" w:fill="FFFFFF"/>
        </w:rPr>
        <w:t>;</w:t>
      </w:r>
      <w:r w:rsidR="490A2598">
        <w:rPr>
          <w:rStyle w:val="normaltextrun"/>
          <w:rFonts w:ascii="Calibri" w:hAnsi="Calibri" w:cs="Calibri"/>
          <w:color w:val="000000"/>
          <w:shd w:val="clear" w:color="auto" w:fill="FFFFFF"/>
        </w:rPr>
        <w:t xml:space="preserve"> and 26,125 gallons for operation of the </w:t>
      </w:r>
      <w:r w:rsidR="577BA423">
        <w:rPr>
          <w:rStyle w:val="normaltextrun"/>
          <w:rFonts w:ascii="Calibri" w:hAnsi="Calibri" w:cs="Calibri"/>
          <w:color w:val="000000"/>
          <w:shd w:val="clear" w:color="auto" w:fill="FFFFFF"/>
        </w:rPr>
        <w:t>front-end</w:t>
      </w:r>
      <w:r w:rsidR="490A2598">
        <w:rPr>
          <w:rStyle w:val="normaltextrun"/>
          <w:rFonts w:ascii="Calibri" w:hAnsi="Calibri" w:cs="Calibri"/>
          <w:color w:val="000000"/>
          <w:shd w:val="clear" w:color="auto" w:fill="FFFFFF"/>
        </w:rPr>
        <w:t xml:space="preserve"> loader</w:t>
      </w:r>
      <w:r w:rsidR="029B0299">
        <w:rPr>
          <w:rStyle w:val="normaltextrun"/>
          <w:rFonts w:ascii="Calibri" w:hAnsi="Calibri" w:cs="Calibri"/>
          <w:color w:val="000000"/>
          <w:shd w:val="clear" w:color="auto" w:fill="FFFFFF"/>
        </w:rPr>
        <w:t xml:space="preserve">. </w:t>
      </w:r>
    </w:p>
    <w:p w14:paraId="1A995745" w14:textId="77777777" w:rsidR="003D5C51" w:rsidRDefault="003D5C51" w:rsidP="006465B9">
      <w:pPr>
        <w:ind w:left="360"/>
        <w:rPr>
          <w:rStyle w:val="normaltextrun"/>
          <w:rFonts w:ascii="Calibri" w:hAnsi="Calibri" w:cs="Calibri"/>
          <w:color w:val="000000"/>
          <w:shd w:val="clear" w:color="auto" w:fill="FFFFFF"/>
        </w:rPr>
      </w:pPr>
    </w:p>
    <w:p w14:paraId="6A409CE7" w14:textId="3E7F16B0" w:rsidR="00CD4389" w:rsidRDefault="6150D5AB" w:rsidP="006465B9">
      <w:pPr>
        <w:rPr>
          <w:rStyle w:val="normaltextrun"/>
          <w:rFonts w:ascii="Calibri" w:hAnsi="Calibri" w:cs="Calibri"/>
          <w:lang w:bidi="ar-SA"/>
        </w:rPr>
      </w:pPr>
      <w:r w:rsidRPr="27F276F4">
        <w:rPr>
          <w:rStyle w:val="normaltextrun"/>
          <w:rFonts w:ascii="Calibri" w:hAnsi="Calibri" w:cs="Calibri"/>
          <w:lang w:bidi="ar-SA"/>
        </w:rPr>
        <w:t>To quantify GHG emissions, DEQ has elected to use the EPA Simplified GHG Calculator September 2024 version (Environmental Protection Agency, 2025). This tool totals CO</w:t>
      </w:r>
      <w:r w:rsidRPr="004800E8">
        <w:rPr>
          <w:rStyle w:val="normaltextrun"/>
          <w:rFonts w:ascii="Calibri" w:hAnsi="Calibri" w:cs="Calibri"/>
          <w:vertAlign w:val="subscript"/>
          <w:lang w:bidi="ar-SA"/>
        </w:rPr>
        <w:t>2</w:t>
      </w:r>
      <w:r w:rsidRPr="27F276F4">
        <w:rPr>
          <w:rStyle w:val="normaltextrun"/>
          <w:rFonts w:ascii="Calibri" w:hAnsi="Calibri" w:cs="Calibri"/>
          <w:lang w:bidi="ar-SA"/>
        </w:rPr>
        <w:t>, nitrous oxide (N20), and methane (CH4) and reports the total as CO</w:t>
      </w:r>
      <w:r w:rsidRPr="004800E8">
        <w:rPr>
          <w:rStyle w:val="normaltextrun"/>
          <w:rFonts w:ascii="Calibri" w:hAnsi="Calibri" w:cs="Calibri"/>
          <w:vertAlign w:val="subscript"/>
          <w:lang w:bidi="ar-SA"/>
        </w:rPr>
        <w:t>2</w:t>
      </w:r>
      <w:r w:rsidRPr="27F276F4">
        <w:rPr>
          <w:rStyle w:val="normaltextrun"/>
          <w:rFonts w:ascii="Calibri" w:hAnsi="Calibri" w:cs="Calibri"/>
          <w:lang w:bidi="ar-SA"/>
        </w:rPr>
        <w:t xml:space="preserve"> equivalent (CO</w:t>
      </w:r>
      <w:r w:rsidRPr="004800E8">
        <w:rPr>
          <w:rStyle w:val="normaltextrun"/>
          <w:rFonts w:ascii="Calibri" w:hAnsi="Calibri" w:cs="Calibri"/>
          <w:vertAlign w:val="subscript"/>
          <w:lang w:bidi="ar-SA"/>
        </w:rPr>
        <w:t>2</w:t>
      </w:r>
      <w:r w:rsidRPr="27F276F4">
        <w:rPr>
          <w:rStyle w:val="normaltextrun"/>
          <w:rFonts w:ascii="Calibri" w:hAnsi="Calibri" w:cs="Calibri"/>
          <w:lang w:bidi="ar-SA"/>
        </w:rPr>
        <w:t xml:space="preserve">e) in metric tons. </w:t>
      </w:r>
      <w:r w:rsidR="029B0299" w:rsidRPr="27F276F4">
        <w:rPr>
          <w:rStyle w:val="normaltextrun"/>
          <w:rFonts w:ascii="Calibri" w:hAnsi="Calibri" w:cs="Calibri"/>
          <w:lang w:bidi="ar-SA"/>
        </w:rPr>
        <w:t>Using EPA</w:t>
      </w:r>
      <w:r w:rsidR="01C73292" w:rsidRPr="27F276F4">
        <w:rPr>
          <w:rStyle w:val="normaltextrun"/>
          <w:rFonts w:ascii="Calibri" w:hAnsi="Calibri" w:cs="Calibri"/>
          <w:lang w:bidi="ar-SA"/>
        </w:rPr>
        <w:t xml:space="preserve">‘s </w:t>
      </w:r>
      <w:r w:rsidR="029B0299" w:rsidRPr="27F276F4">
        <w:rPr>
          <w:rStyle w:val="normaltextrun"/>
          <w:rFonts w:ascii="Calibri" w:hAnsi="Calibri" w:cs="Calibri"/>
          <w:lang w:bidi="ar-SA"/>
        </w:rPr>
        <w:t xml:space="preserve">simplified GHG Emissions Calculator for mobile sources, </w:t>
      </w:r>
      <w:r w:rsidR="577BA423" w:rsidRPr="27F276F4">
        <w:rPr>
          <w:rStyle w:val="normaltextrun"/>
          <w:rFonts w:ascii="Calibri" w:hAnsi="Calibri" w:cs="Calibri"/>
          <w:lang w:bidi="ar-SA"/>
        </w:rPr>
        <w:t>33</w:t>
      </w:r>
      <w:r w:rsidR="79C6EB33" w:rsidRPr="27F276F4">
        <w:rPr>
          <w:rStyle w:val="normaltextrun"/>
          <w:rFonts w:ascii="Calibri" w:hAnsi="Calibri" w:cs="Calibri"/>
          <w:lang w:bidi="ar-SA"/>
        </w:rPr>
        <w:t>7</w:t>
      </w:r>
      <w:r w:rsidR="029B0299" w:rsidRPr="27F276F4">
        <w:rPr>
          <w:rStyle w:val="normaltextrun"/>
          <w:rFonts w:ascii="Calibri" w:hAnsi="Calibri" w:cs="Calibri"/>
          <w:lang w:bidi="ar-SA"/>
        </w:rPr>
        <w:t xml:space="preserve"> </w:t>
      </w:r>
      <w:r w:rsidR="79C6EB33" w:rsidRPr="27F276F4">
        <w:rPr>
          <w:rStyle w:val="normaltextrun"/>
          <w:rFonts w:ascii="Calibri" w:hAnsi="Calibri" w:cs="Calibri"/>
          <w:lang w:bidi="ar-SA"/>
        </w:rPr>
        <w:t>metric tons of</w:t>
      </w:r>
      <w:r w:rsidR="029B0299" w:rsidRPr="27F276F4">
        <w:rPr>
          <w:rStyle w:val="normaltextrun"/>
          <w:rFonts w:ascii="Calibri" w:hAnsi="Calibri" w:cs="Calibri"/>
          <w:lang w:bidi="ar-SA"/>
        </w:rPr>
        <w:t xml:space="preserve"> CO</w:t>
      </w:r>
      <w:r w:rsidR="029B0299" w:rsidRPr="004800E8">
        <w:rPr>
          <w:rStyle w:val="normaltextrun"/>
          <w:rFonts w:ascii="Calibri" w:hAnsi="Calibri" w:cs="Calibri"/>
          <w:vertAlign w:val="subscript"/>
          <w:lang w:bidi="ar-SA"/>
        </w:rPr>
        <w:t>2</w:t>
      </w:r>
      <w:r w:rsidR="029B0299" w:rsidRPr="27F276F4">
        <w:rPr>
          <w:rStyle w:val="normaltextrun"/>
          <w:rFonts w:ascii="Calibri" w:hAnsi="Calibri" w:cs="Calibri"/>
          <w:lang w:bidi="ar-SA"/>
        </w:rPr>
        <w:t xml:space="preserve">e would be produced per </w:t>
      </w:r>
      <w:r w:rsidR="490A2598" w:rsidRPr="27F276F4">
        <w:rPr>
          <w:rStyle w:val="normaltextrun"/>
          <w:rFonts w:ascii="Calibri" w:hAnsi="Calibri" w:cs="Calibri"/>
          <w:lang w:bidi="ar-SA"/>
        </w:rPr>
        <w:t>year</w:t>
      </w:r>
      <w:r w:rsidR="00712F4E">
        <w:rPr>
          <w:rStyle w:val="normaltextrun"/>
          <w:rFonts w:ascii="Calibri" w:hAnsi="Calibri" w:cs="Calibri"/>
          <w:lang w:bidi="ar-SA"/>
        </w:rPr>
        <w:t xml:space="preserve"> if the proposed action is approved</w:t>
      </w:r>
      <w:r w:rsidR="6B8B5689" w:rsidRPr="3616B6D2">
        <w:rPr>
          <w:rStyle w:val="normaltextrun"/>
          <w:rFonts w:ascii="Calibri" w:hAnsi="Calibri" w:cs="Calibri"/>
          <w:lang w:bidi="ar-SA"/>
        </w:rPr>
        <w:t>.</w:t>
      </w:r>
      <w:r w:rsidRPr="27F276F4">
        <w:rPr>
          <w:rStyle w:val="normaltextrun"/>
          <w:rFonts w:ascii="Calibri" w:hAnsi="Calibri" w:cs="Calibri"/>
          <w:lang w:bidi="ar-SA"/>
        </w:rPr>
        <w:t xml:space="preserve"> </w:t>
      </w:r>
    </w:p>
    <w:p w14:paraId="68C9000C" w14:textId="77777777" w:rsidR="00DA1BB3" w:rsidRDefault="00DA1BB3" w:rsidP="006465B9">
      <w:pPr>
        <w:rPr>
          <w:rStyle w:val="normaltextrun"/>
          <w:rFonts w:ascii="Calibri" w:hAnsi="Calibri" w:cs="Calibri"/>
          <w:lang w:bidi="ar-SA"/>
        </w:rPr>
      </w:pPr>
    </w:p>
    <w:p w14:paraId="225DDD7A" w14:textId="5CB3DBB9" w:rsidR="009D1C41" w:rsidRDefault="6150D5AB" w:rsidP="006465B9">
      <w:pPr>
        <w:rPr>
          <w:rStyle w:val="normaltextrun"/>
          <w:rFonts w:ascii="Calibri" w:hAnsi="Calibri" w:cs="Calibri"/>
          <w:lang w:bidi="ar-SA"/>
        </w:rPr>
      </w:pPr>
      <w:r w:rsidRPr="27F276F4">
        <w:rPr>
          <w:rStyle w:val="normaltextrun"/>
          <w:rFonts w:ascii="Calibri" w:hAnsi="Calibri" w:cs="Calibri"/>
          <w:lang w:bidi="ar-SA"/>
        </w:rPr>
        <w:t>Although the GHG emissions</w:t>
      </w:r>
      <w:r w:rsidR="3E91C378" w:rsidRPr="27F276F4">
        <w:rPr>
          <w:rStyle w:val="normaltextrun"/>
          <w:rFonts w:ascii="Calibri" w:hAnsi="Calibri" w:cs="Calibri"/>
          <w:lang w:bidi="ar-SA"/>
        </w:rPr>
        <w:t xml:space="preserve"> would</w:t>
      </w:r>
      <w:r w:rsidRPr="27F276F4">
        <w:rPr>
          <w:rStyle w:val="normaltextrun"/>
          <w:rFonts w:ascii="Calibri" w:hAnsi="Calibri" w:cs="Calibri"/>
          <w:lang w:bidi="ar-SA"/>
        </w:rPr>
        <w:t xml:space="preserve"> continue annually for the life of the permit, no direct impacts</w:t>
      </w:r>
      <w:r w:rsidR="31FDBC58" w:rsidRPr="27F276F4">
        <w:rPr>
          <w:rStyle w:val="normaltextrun"/>
          <w:rFonts w:ascii="Calibri" w:hAnsi="Calibri" w:cs="Calibri"/>
          <w:lang w:bidi="ar-SA"/>
        </w:rPr>
        <w:t xml:space="preserve">—that </w:t>
      </w:r>
      <w:proofErr w:type="gramStart"/>
      <w:r w:rsidR="31FDBC58" w:rsidRPr="27F276F4">
        <w:rPr>
          <w:rStyle w:val="normaltextrun"/>
          <w:rFonts w:ascii="Calibri" w:hAnsi="Calibri" w:cs="Calibri"/>
          <w:lang w:bidi="ar-SA"/>
        </w:rPr>
        <w:t>is</w:t>
      </w:r>
      <w:proofErr w:type="gramEnd"/>
      <w:r w:rsidR="31FDBC58" w:rsidRPr="27F276F4">
        <w:rPr>
          <w:rStyle w:val="normaltextrun"/>
          <w:rFonts w:ascii="Calibri" w:hAnsi="Calibri" w:cs="Calibri"/>
          <w:lang w:bidi="ar-SA"/>
        </w:rPr>
        <w:t xml:space="preserve"> the environmental effects felt </w:t>
      </w:r>
      <w:r w:rsidR="4644FE48" w:rsidRPr="51C162CD">
        <w:rPr>
          <w:rStyle w:val="normaltextrun"/>
          <w:rFonts w:ascii="Calibri" w:hAnsi="Calibri" w:cs="Calibri"/>
          <w:lang w:bidi="ar-SA"/>
        </w:rPr>
        <w:t xml:space="preserve">at the same time and place </w:t>
      </w:r>
      <w:proofErr w:type="gramStart"/>
      <w:r w:rsidR="31FDBC58" w:rsidRPr="51C162CD">
        <w:rPr>
          <w:rStyle w:val="normaltextrun"/>
          <w:rFonts w:ascii="Calibri" w:hAnsi="Calibri" w:cs="Calibri"/>
          <w:lang w:bidi="ar-SA"/>
        </w:rPr>
        <w:t>as</w:t>
      </w:r>
      <w:r w:rsidR="31FDBC58" w:rsidRPr="27F276F4">
        <w:rPr>
          <w:rStyle w:val="normaltextrun"/>
          <w:rFonts w:ascii="Calibri" w:hAnsi="Calibri" w:cs="Calibri"/>
          <w:lang w:bidi="ar-SA"/>
        </w:rPr>
        <w:t xml:space="preserve"> a result of</w:t>
      </w:r>
      <w:proofErr w:type="gramEnd"/>
      <w:r w:rsidR="31FDBC58" w:rsidRPr="27F276F4">
        <w:rPr>
          <w:rStyle w:val="normaltextrun"/>
          <w:rFonts w:ascii="Calibri" w:hAnsi="Calibri" w:cs="Calibri"/>
          <w:lang w:bidi="ar-SA"/>
        </w:rPr>
        <w:t xml:space="preserve"> the project—</w:t>
      </w:r>
      <w:r w:rsidRPr="27F276F4">
        <w:rPr>
          <w:rStyle w:val="normaltextrun"/>
          <w:rFonts w:ascii="Calibri" w:hAnsi="Calibri" w:cs="Calibri"/>
          <w:lang w:bidi="ar-SA"/>
        </w:rPr>
        <w:t>other than CO</w:t>
      </w:r>
      <w:r w:rsidRPr="004800E8">
        <w:rPr>
          <w:rStyle w:val="normaltextrun"/>
          <w:rFonts w:ascii="Calibri" w:hAnsi="Calibri" w:cs="Calibri"/>
          <w:vertAlign w:val="subscript"/>
          <w:lang w:bidi="ar-SA"/>
        </w:rPr>
        <w:t>2</w:t>
      </w:r>
      <w:r w:rsidRPr="27F276F4">
        <w:rPr>
          <w:rStyle w:val="normaltextrun"/>
          <w:rFonts w:ascii="Calibri" w:hAnsi="Calibri" w:cs="Calibri"/>
          <w:lang w:bidi="ar-SA"/>
        </w:rPr>
        <w:t xml:space="preserve">e emissions are expected. The impacts of GHG emissions, including warming temperatures and accompanying environmental consequences, are necessarily felt later in time. Additionally, an increase in GHG emissions from a particular source are not necessarily representative of environmental consequences in the same corresponding location because of the inherently global nature of climate change and trends. </w:t>
      </w:r>
    </w:p>
    <w:p w14:paraId="7FB49EC9" w14:textId="085A4AEC" w:rsidR="1B69EF75" w:rsidRDefault="1B69EF75" w:rsidP="1B69EF75">
      <w:pPr>
        <w:rPr>
          <w:rStyle w:val="normaltextrun"/>
          <w:rFonts w:ascii="Calibri" w:hAnsi="Calibri" w:cs="Calibri"/>
          <w:lang w:bidi="ar-SA"/>
        </w:rPr>
      </w:pPr>
    </w:p>
    <w:p w14:paraId="7E37A9BC" w14:textId="1CE2184B" w:rsidR="00DA1BB3" w:rsidRPr="00164ADC" w:rsidRDefault="31FDBC58" w:rsidP="27F276F4">
      <w:pPr>
        <w:rPr>
          <w:rStyle w:val="normaltextrun"/>
          <w:rFonts w:ascii="Calibri" w:hAnsi="Calibri" w:cs="Calibri"/>
          <w:lang w:bidi="ar-SA"/>
        </w:rPr>
      </w:pPr>
      <w:r w:rsidRPr="27F276F4">
        <w:rPr>
          <w:rStyle w:val="normaltextrun"/>
          <w:rFonts w:ascii="Calibri" w:hAnsi="Calibri" w:cs="Calibri"/>
          <w:lang w:bidi="ar-SA"/>
        </w:rPr>
        <w:t>Ultimately, g</w:t>
      </w:r>
      <w:r w:rsidR="6150D5AB" w:rsidRPr="27F276F4">
        <w:rPr>
          <w:rStyle w:val="normaltextrun"/>
          <w:rFonts w:ascii="Calibri" w:hAnsi="Calibri" w:cs="Calibri"/>
          <w:lang w:bidi="ar-SA"/>
        </w:rPr>
        <w:t xml:space="preserve">iven this inherent delay between the approved action—increased emissions—and corresponding effects, no direct impacts are anticipated from the proposed project. </w:t>
      </w:r>
    </w:p>
    <w:p w14:paraId="512A71E5" w14:textId="77777777" w:rsidR="00816D63" w:rsidRDefault="00816D63" w:rsidP="00CD4389">
      <w:pPr>
        <w:rPr>
          <w:rStyle w:val="normaltextrun"/>
          <w:rFonts w:ascii="Calibri" w:hAnsi="Calibri" w:cs="Calibri"/>
          <w:lang w:bidi="ar-SA"/>
        </w:rPr>
      </w:pPr>
    </w:p>
    <w:p w14:paraId="0DD87A0B" w14:textId="77777777" w:rsidR="00CD4389" w:rsidRPr="000F1937" w:rsidRDefault="00CD4389" w:rsidP="00CD4389">
      <w:pPr>
        <w:rPr>
          <w:b/>
          <w:bCs/>
          <w:i/>
          <w:iCs/>
        </w:rPr>
      </w:pPr>
      <w:r w:rsidRPr="000F1937">
        <w:rPr>
          <w:b/>
          <w:bCs/>
          <w:i/>
          <w:iCs/>
        </w:rPr>
        <w:t>Secondary Impacts</w:t>
      </w:r>
    </w:p>
    <w:p w14:paraId="7D03B73F" w14:textId="64441092" w:rsidR="00246FAF" w:rsidRDefault="31FDBC58" w:rsidP="27F276F4">
      <w:pPr>
        <w:rPr>
          <w:rStyle w:val="normaltextrun"/>
          <w:rFonts w:ascii="Calibri" w:eastAsiaTheme="majorEastAsia" w:hAnsi="Calibri" w:cs="Calibri"/>
          <w:color w:val="000000"/>
          <w:shd w:val="clear" w:color="auto" w:fill="FFFFFF"/>
        </w:rPr>
      </w:pPr>
      <w:r w:rsidRPr="27F276F4">
        <w:rPr>
          <w:rStyle w:val="normaltextrun"/>
          <w:rFonts w:ascii="Calibri" w:eastAsiaTheme="majorEastAsia" w:hAnsi="Calibri" w:cs="Calibri"/>
          <w:color w:val="000000" w:themeColor="text1"/>
        </w:rPr>
        <w:t>As stated</w:t>
      </w:r>
      <w:r w:rsidRPr="27F276F4">
        <w:rPr>
          <w:rStyle w:val="normaltextrun"/>
          <w:rFonts w:ascii="Calibri" w:eastAsiaTheme="majorEastAsia" w:hAnsi="Calibri" w:cs="Calibri"/>
          <w:color w:val="000000"/>
          <w:shd w:val="clear" w:color="auto" w:fill="FFFFFF"/>
        </w:rPr>
        <w:t xml:space="preserve"> above, </w:t>
      </w:r>
      <w:r w:rsidR="5CF1670B" w:rsidRPr="27F276F4">
        <w:rPr>
          <w:rStyle w:val="normaltextrun"/>
          <w:rFonts w:ascii="Calibri" w:eastAsiaTheme="majorEastAsia" w:hAnsi="Calibri" w:cs="Calibri"/>
          <w:color w:val="000000"/>
          <w:shd w:val="clear" w:color="auto" w:fill="FFFFFF"/>
        </w:rPr>
        <w:t xml:space="preserve">GHG emissions contribute to changes in atmospheric radiative forcing, resulting in climate change impacts. GHGs act to contain solar energy loss by trapping longer wave radiation emitted from the Earth’s surface and act as a positive radiative forcing component (BLM 2021). </w:t>
      </w:r>
    </w:p>
    <w:p w14:paraId="2FEE96E5" w14:textId="77777777" w:rsidR="00246FAF" w:rsidRDefault="00246FAF" w:rsidP="27F276F4">
      <w:pPr>
        <w:rPr>
          <w:rStyle w:val="normaltextrun"/>
          <w:rFonts w:ascii="Calibri" w:eastAsiaTheme="majorEastAsia" w:hAnsi="Calibri" w:cs="Calibri"/>
          <w:color w:val="000000"/>
          <w:shd w:val="clear" w:color="auto" w:fill="FFFFFF"/>
        </w:rPr>
      </w:pPr>
    </w:p>
    <w:p w14:paraId="337D3C73" w14:textId="34B90EDC" w:rsidR="00246FAF" w:rsidRDefault="31FDBC58" w:rsidP="27F276F4">
      <w:r>
        <w:t>Despite well-established literature regarding the environmental consequences of GHG emissions, it is difficult to ascribe particular impacts based on GHG emissions in general because gases that constitute GHGs have their own atmospheric contributing timelines. For example, p</w:t>
      </w:r>
      <w:r w:rsidR="5CF1670B">
        <w:t xml:space="preserve">er EPA’s website “Climate Change Indicators”, the lifetime of </w:t>
      </w:r>
      <w:r w:rsidR="21F0142F">
        <w:t>CO</w:t>
      </w:r>
      <w:r w:rsidR="21F0142F" w:rsidRPr="27F276F4">
        <w:rPr>
          <w:vertAlign w:val="subscript"/>
        </w:rPr>
        <w:t xml:space="preserve">2 </w:t>
      </w:r>
      <w:r w:rsidR="5CF1670B">
        <w:t xml:space="preserve">cannot be represented with a single value because the gas is not destroyed over time. The gas instead moves between air, ocean, and land mediums with atmospheric </w:t>
      </w:r>
      <w:r w:rsidR="21F0142F">
        <w:t>CO</w:t>
      </w:r>
      <w:r w:rsidR="21F0142F" w:rsidRPr="27F276F4">
        <w:rPr>
          <w:vertAlign w:val="subscript"/>
        </w:rPr>
        <w:t>2</w:t>
      </w:r>
      <w:r w:rsidR="5CF1670B">
        <w:t xml:space="preserve"> remaining in the atmosphere for thousands of years, due in part to the slow process by which carbon is transferred to ocean sediments. Methane</w:t>
      </w:r>
      <w:r>
        <w:t>, by contrast,</w:t>
      </w:r>
      <w:r w:rsidR="5CF1670B">
        <w:t xml:space="preserve"> remains in the atmosphere for approximately 12 years. Nitrous oxide has the potential to remain in the atmosphere for about 109 years (EPA, Climate Change Indictors). </w:t>
      </w:r>
    </w:p>
    <w:p w14:paraId="5C346B62" w14:textId="77777777" w:rsidR="0084050C" w:rsidRDefault="0084050C" w:rsidP="27F276F4"/>
    <w:p w14:paraId="59AC7F7B" w14:textId="0014DEDB" w:rsidR="00920A1F" w:rsidRPr="001C77E1" w:rsidRDefault="31FDBC58" w:rsidP="27F276F4">
      <w:pPr>
        <w:rPr>
          <w:rStyle w:val="normaltextrun"/>
          <w:rFonts w:eastAsiaTheme="majorEastAsia" w:cstheme="minorBidi"/>
          <w:color w:val="000000"/>
          <w:shd w:val="clear" w:color="auto" w:fill="FFFFFF"/>
        </w:rPr>
      </w:pPr>
      <w:r w:rsidRPr="0B804797">
        <w:rPr>
          <w:rStyle w:val="normaltextrun"/>
          <w:rFonts w:eastAsiaTheme="majorEastAsia" w:cstheme="minorBidi"/>
          <w:color w:val="000000" w:themeColor="text1"/>
        </w:rPr>
        <w:t>Nevertheless, to capture the cause</w:t>
      </w:r>
      <w:r w:rsidR="5038DBF2" w:rsidRPr="0B804797">
        <w:rPr>
          <w:rStyle w:val="normaltextrun"/>
          <w:rFonts w:eastAsiaTheme="majorEastAsia" w:cstheme="minorBidi"/>
          <w:color w:val="000000" w:themeColor="text1"/>
        </w:rPr>
        <w:t>-</w:t>
      </w:r>
      <w:r w:rsidRPr="0B804797">
        <w:rPr>
          <w:rStyle w:val="normaltextrun"/>
          <w:rFonts w:eastAsiaTheme="majorEastAsia" w:cstheme="minorBidi"/>
          <w:color w:val="000000" w:themeColor="text1"/>
        </w:rPr>
        <w:t>and</w:t>
      </w:r>
      <w:r w:rsidR="5038DBF2" w:rsidRPr="0B804797">
        <w:rPr>
          <w:rStyle w:val="normaltextrun"/>
          <w:rFonts w:eastAsiaTheme="majorEastAsia" w:cstheme="minorBidi"/>
          <w:color w:val="000000" w:themeColor="text1"/>
        </w:rPr>
        <w:t>-</w:t>
      </w:r>
      <w:r w:rsidRPr="0B804797">
        <w:rPr>
          <w:rStyle w:val="normaltextrun"/>
          <w:rFonts w:eastAsiaTheme="majorEastAsia" w:cstheme="minorBidi"/>
          <w:color w:val="000000" w:themeColor="text1"/>
        </w:rPr>
        <w:t>effect relationship between GHG emissions and impacts</w:t>
      </w:r>
      <w:r w:rsidRPr="0B804797">
        <w:rPr>
          <w:rStyle w:val="normaltextrun"/>
          <w:rFonts w:eastAsiaTheme="majorEastAsia" w:cstheme="minorBidi"/>
          <w:color w:val="000000"/>
          <w:shd w:val="clear" w:color="auto" w:fill="FFFFFF"/>
        </w:rPr>
        <w:t xml:space="preserve"> to the Montana environment, </w:t>
      </w:r>
      <w:r w:rsidR="7A1E2AEB" w:rsidRPr="0B804797">
        <w:rPr>
          <w:rStyle w:val="normaltextrun"/>
          <w:rFonts w:eastAsiaTheme="majorEastAsia" w:cstheme="minorBidi"/>
          <w:color w:val="000000"/>
          <w:shd w:val="clear" w:color="auto" w:fill="FFFFFF"/>
        </w:rPr>
        <w:t xml:space="preserve">DEQ </w:t>
      </w:r>
      <w:r w:rsidR="5CF1670B" w:rsidRPr="0B804797">
        <w:rPr>
          <w:rStyle w:val="normaltextrun"/>
          <w:rFonts w:eastAsiaTheme="majorEastAsia" w:cstheme="minorBidi"/>
          <w:color w:val="000000"/>
          <w:shd w:val="clear" w:color="auto" w:fill="FFFFFF"/>
        </w:rPr>
        <w:t>utilized</w:t>
      </w:r>
      <w:r w:rsidR="7A1E2AEB" w:rsidRPr="0B804797">
        <w:rPr>
          <w:rStyle w:val="normaltextrun"/>
          <w:rFonts w:eastAsiaTheme="majorEastAsia" w:cstheme="minorBidi"/>
          <w:color w:val="000000"/>
          <w:shd w:val="clear" w:color="auto" w:fill="FFFFFF"/>
        </w:rPr>
        <w:t xml:space="preserve"> the Methods for Attributing Climate Impacts of GHG Emissions </w:t>
      </w:r>
      <w:r w:rsidR="7A1E2AEB" w:rsidRPr="0B804797">
        <w:rPr>
          <w:rStyle w:val="normaltextrun"/>
          <w:rFonts w:eastAsiaTheme="majorEastAsia" w:cstheme="minorBidi"/>
          <w:color w:val="000000"/>
          <w:shd w:val="clear" w:color="auto" w:fill="FFFFFF"/>
        </w:rPr>
        <w:lastRenderedPageBreak/>
        <w:t>(MAGICC) model to calculate the secondary impacts of GHG</w:t>
      </w:r>
      <w:r w:rsidR="009972DA" w:rsidRPr="0B804797">
        <w:rPr>
          <w:rStyle w:val="normaltextrun"/>
          <w:rFonts w:eastAsiaTheme="majorEastAsia" w:cstheme="minorBidi"/>
          <w:color w:val="000000"/>
          <w:shd w:val="clear" w:color="auto" w:fill="FFFFFF"/>
        </w:rPr>
        <w:t xml:space="preserve"> emissions</w:t>
      </w:r>
      <w:r w:rsidR="7A1E2AEB" w:rsidRPr="0B804797">
        <w:rPr>
          <w:rStyle w:val="normaltextrun"/>
          <w:rFonts w:eastAsiaTheme="majorEastAsia" w:cstheme="minorBidi"/>
          <w:color w:val="000000"/>
          <w:shd w:val="clear" w:color="auto" w:fill="FFFFFF"/>
        </w:rPr>
        <w:t>. The MAGICC model is a p</w:t>
      </w:r>
      <w:r w:rsidR="53D960AD" w:rsidRPr="0B804797">
        <w:rPr>
          <w:rStyle w:val="normaltextrun"/>
          <w:rFonts w:eastAsiaTheme="majorEastAsia" w:cstheme="minorBidi"/>
          <w:color w:val="000000"/>
          <w:shd w:val="clear" w:color="auto" w:fill="FFFFFF"/>
        </w:rPr>
        <w:t>e</w:t>
      </w:r>
      <w:r w:rsidR="7A1E2AEB" w:rsidRPr="0B804797">
        <w:rPr>
          <w:rStyle w:val="normaltextrun"/>
          <w:rFonts w:eastAsiaTheme="majorEastAsia" w:cstheme="minorBidi"/>
          <w:color w:val="000000"/>
          <w:shd w:val="clear" w:color="auto" w:fill="FFFFFF"/>
        </w:rPr>
        <w:t>er-revie</w:t>
      </w:r>
      <w:r w:rsidR="00B8202C" w:rsidRPr="0B804797">
        <w:rPr>
          <w:rStyle w:val="normaltextrun"/>
          <w:rFonts w:eastAsiaTheme="majorEastAsia" w:cstheme="minorBidi"/>
          <w:color w:val="000000"/>
          <w:shd w:val="clear" w:color="auto" w:fill="FFFFFF"/>
        </w:rPr>
        <w:t>we</w:t>
      </w:r>
      <w:r w:rsidR="7A1E2AEB" w:rsidRPr="0B804797">
        <w:rPr>
          <w:rStyle w:val="normaltextrun"/>
          <w:rFonts w:eastAsiaTheme="majorEastAsia" w:cstheme="minorBidi"/>
          <w:color w:val="000000"/>
          <w:shd w:val="clear" w:color="auto" w:fill="FFFFFF"/>
        </w:rPr>
        <w:t>d</w:t>
      </w:r>
      <w:r w:rsidR="00B8202C" w:rsidRPr="0B804797">
        <w:rPr>
          <w:rStyle w:val="normaltextrun"/>
          <w:rFonts w:eastAsiaTheme="majorEastAsia" w:cstheme="minorBidi"/>
          <w:color w:val="000000"/>
          <w:shd w:val="clear" w:color="auto" w:fill="FFFFFF"/>
        </w:rPr>
        <w:t>,</w:t>
      </w:r>
      <w:r w:rsidR="7A1E2AEB" w:rsidRPr="0B804797">
        <w:rPr>
          <w:rStyle w:val="normaltextrun"/>
          <w:rFonts w:eastAsiaTheme="majorEastAsia" w:cstheme="minorBidi"/>
          <w:color w:val="000000"/>
          <w:shd w:val="clear" w:color="auto" w:fill="FFFFFF"/>
        </w:rPr>
        <w:t xml:space="preserve"> reduced-complexity model created to integrate various climate system interactions, including the carbon cycle, climate feedback loops, and radiative forcing to simulate the effects of changing GHG emissions on atmospheric composition, radiative forcing, and global mean temperature change. </w:t>
      </w:r>
      <w:r w:rsidR="000C1D16" w:rsidRPr="0B804797">
        <w:rPr>
          <w:rStyle w:val="normaltextrun"/>
          <w:rFonts w:eastAsiaTheme="majorEastAsia" w:cstheme="minorBidi"/>
          <w:color w:val="000000"/>
          <w:shd w:val="clear" w:color="auto" w:fill="FFFFFF"/>
        </w:rPr>
        <w:t>However</w:t>
      </w:r>
      <w:r w:rsidR="007D0C4C" w:rsidRPr="0B804797">
        <w:rPr>
          <w:rStyle w:val="normaltextrun"/>
          <w:rFonts w:eastAsiaTheme="majorEastAsia" w:cstheme="minorBidi"/>
          <w:color w:val="000000"/>
          <w:shd w:val="clear" w:color="auto" w:fill="FFFFFF"/>
        </w:rPr>
        <w:t>, it is important to note th</w:t>
      </w:r>
      <w:r w:rsidR="00931428" w:rsidRPr="0B804797">
        <w:rPr>
          <w:rStyle w:val="normaltextrun"/>
          <w:rFonts w:eastAsiaTheme="majorEastAsia" w:cstheme="minorBidi"/>
          <w:color w:val="000000"/>
          <w:shd w:val="clear" w:color="auto" w:fill="FFFFFF"/>
        </w:rPr>
        <w:t xml:space="preserve">e inherent limits of MAGICC as it relates to </w:t>
      </w:r>
      <w:r w:rsidR="0049454B" w:rsidRPr="0B804797">
        <w:rPr>
          <w:rStyle w:val="normaltextrun"/>
          <w:rFonts w:eastAsiaTheme="majorEastAsia" w:cstheme="minorBidi"/>
          <w:color w:val="000000"/>
          <w:shd w:val="clear" w:color="auto" w:fill="FFFFFF"/>
        </w:rPr>
        <w:t xml:space="preserve">the analysis of </w:t>
      </w:r>
      <w:r w:rsidR="00931428" w:rsidRPr="0B804797">
        <w:rPr>
          <w:rStyle w:val="normaltextrun"/>
          <w:rFonts w:eastAsiaTheme="majorEastAsia" w:cstheme="minorBidi"/>
          <w:color w:val="000000"/>
          <w:shd w:val="clear" w:color="auto" w:fill="FFFFFF"/>
        </w:rPr>
        <w:t>project level emissions</w:t>
      </w:r>
      <w:r w:rsidR="00256155" w:rsidRPr="0B804797">
        <w:rPr>
          <w:rStyle w:val="normaltextrun"/>
          <w:rFonts w:eastAsiaTheme="majorEastAsia" w:cstheme="minorBidi"/>
          <w:color w:val="000000"/>
          <w:shd w:val="clear" w:color="auto" w:fill="FFFFFF"/>
        </w:rPr>
        <w:t xml:space="preserve">. </w:t>
      </w:r>
      <w:r w:rsidR="0078187F" w:rsidRPr="0078187F">
        <w:rPr>
          <w:rStyle w:val="normaltextrun"/>
          <w:rFonts w:eastAsiaTheme="majorEastAsia" w:cstheme="minorBidi"/>
          <w:color w:val="000000"/>
          <w:shd w:val="clear" w:color="auto" w:fill="FFFFFF"/>
        </w:rPr>
        <w:t>DEQ uses the MAGICC model in this Supplemental EA for a limited, contextual purpose: to illustrate, at an order-of-magnitude level, how Montana’s total statewide emissions relate to global temperature trajectories over time. The modeled temperature increment is best interpreted as an order-of-magnitude estimate to help contextualize emissions within broader global warming trends, not as a precise measure of the project’s physical climate impact or as the determinative basis for assessing significance under MEPA.</w:t>
      </w:r>
    </w:p>
    <w:p w14:paraId="69D2CAA0" w14:textId="77777777" w:rsidR="00920A1F" w:rsidRPr="001C77E1" w:rsidRDefault="00920A1F" w:rsidP="27F276F4">
      <w:pPr>
        <w:rPr>
          <w:rStyle w:val="normaltextrun"/>
          <w:rFonts w:eastAsiaTheme="majorEastAsia" w:cstheme="minorBidi"/>
          <w:color w:val="000000"/>
          <w:shd w:val="clear" w:color="auto" w:fill="FFFFFF"/>
        </w:rPr>
      </w:pPr>
    </w:p>
    <w:p w14:paraId="240B7233" w14:textId="3731C86C" w:rsidR="00A959C0" w:rsidRPr="001C77E1" w:rsidRDefault="006A1E87" w:rsidP="27F276F4">
      <w:pPr>
        <w:rPr>
          <w:rFonts w:eastAsiaTheme="majorEastAsia" w:cstheme="minorBidi"/>
          <w:color w:val="000000"/>
          <w:shd w:val="clear" w:color="auto" w:fill="FFFFFF"/>
        </w:rPr>
      </w:pPr>
      <w:r w:rsidRPr="0B804797">
        <w:rPr>
          <w:rStyle w:val="normaltextrun"/>
          <w:rFonts w:eastAsiaTheme="majorEastAsia" w:cstheme="minorBidi"/>
          <w:color w:val="000000"/>
          <w:shd w:val="clear" w:color="auto" w:fill="FFFFFF"/>
        </w:rPr>
        <w:t>MAGICC</w:t>
      </w:r>
      <w:r w:rsidR="006B3158" w:rsidRPr="0B804797">
        <w:rPr>
          <w:rStyle w:val="normaltextrun"/>
          <w:rFonts w:eastAsiaTheme="majorEastAsia" w:cstheme="minorBidi"/>
          <w:color w:val="000000"/>
          <w:shd w:val="clear" w:color="auto" w:fill="FFFFFF"/>
        </w:rPr>
        <w:t xml:space="preserve"> </w:t>
      </w:r>
      <w:r w:rsidR="00FA471D" w:rsidRPr="0B804797">
        <w:rPr>
          <w:rStyle w:val="normaltextrun"/>
          <w:rFonts w:eastAsiaTheme="majorEastAsia" w:cstheme="minorBidi"/>
          <w:color w:val="000000"/>
          <w:shd w:val="clear" w:color="auto" w:fill="FFFFFF"/>
        </w:rPr>
        <w:t xml:space="preserve">accounts for </w:t>
      </w:r>
      <w:r w:rsidR="006E02D7" w:rsidRPr="0B804797">
        <w:rPr>
          <w:rStyle w:val="normaltextrun"/>
          <w:rFonts w:eastAsiaTheme="majorEastAsia" w:cstheme="minorBidi"/>
          <w:color w:val="000000"/>
          <w:shd w:val="clear" w:color="auto" w:fill="FFFFFF"/>
        </w:rPr>
        <w:t>the global GHG budget</w:t>
      </w:r>
      <w:r w:rsidR="00450B06" w:rsidRPr="0B804797">
        <w:rPr>
          <w:rStyle w:val="normaltextrun"/>
          <w:rFonts w:eastAsiaTheme="majorEastAsia" w:cstheme="minorBidi"/>
          <w:color w:val="000000"/>
          <w:shd w:val="clear" w:color="auto" w:fill="FFFFFF"/>
        </w:rPr>
        <w:t xml:space="preserve">, and therefore it performs well </w:t>
      </w:r>
      <w:r w:rsidR="001A2D1B" w:rsidRPr="0B804797">
        <w:rPr>
          <w:rStyle w:val="normaltextrun"/>
          <w:rFonts w:eastAsiaTheme="majorEastAsia" w:cstheme="minorBidi"/>
          <w:color w:val="000000"/>
          <w:shd w:val="clear" w:color="auto" w:fill="FFFFFF"/>
        </w:rPr>
        <w:t xml:space="preserve">when </w:t>
      </w:r>
      <w:r w:rsidR="003C7C4D" w:rsidRPr="0B804797">
        <w:rPr>
          <w:rStyle w:val="normaltextrun"/>
          <w:rFonts w:eastAsiaTheme="majorEastAsia" w:cstheme="minorBidi"/>
          <w:color w:val="000000"/>
          <w:shd w:val="clear" w:color="auto" w:fill="FFFFFF"/>
        </w:rPr>
        <w:t xml:space="preserve">evaluating </w:t>
      </w:r>
      <w:r w:rsidR="00B86C57" w:rsidRPr="0B804797">
        <w:rPr>
          <w:rStyle w:val="normaltextrun"/>
          <w:rFonts w:eastAsiaTheme="majorEastAsia" w:cstheme="minorBidi"/>
          <w:color w:val="000000"/>
          <w:shd w:val="clear" w:color="auto" w:fill="FFFFFF"/>
        </w:rPr>
        <w:t xml:space="preserve">the impacts of large sums of </w:t>
      </w:r>
      <w:r w:rsidR="00AC4350" w:rsidRPr="0B804797">
        <w:rPr>
          <w:rStyle w:val="normaltextrun"/>
          <w:rFonts w:eastAsiaTheme="majorEastAsia" w:cstheme="minorBidi"/>
          <w:color w:val="000000"/>
          <w:shd w:val="clear" w:color="auto" w:fill="FFFFFF"/>
        </w:rPr>
        <w:t>emissions resulting from cumulative act</w:t>
      </w:r>
      <w:r w:rsidR="00927197" w:rsidRPr="0B804797">
        <w:rPr>
          <w:rStyle w:val="normaltextrun"/>
          <w:rFonts w:eastAsiaTheme="majorEastAsia" w:cstheme="minorBidi"/>
          <w:color w:val="000000"/>
          <w:shd w:val="clear" w:color="auto" w:fill="FFFFFF"/>
        </w:rPr>
        <w:t xml:space="preserve">ivity. </w:t>
      </w:r>
      <w:r w:rsidR="003A4F97" w:rsidRPr="0B804797">
        <w:rPr>
          <w:rStyle w:val="normaltextrun"/>
          <w:rFonts w:eastAsiaTheme="majorEastAsia" w:cstheme="minorBidi"/>
          <w:color w:val="000000"/>
          <w:shd w:val="clear" w:color="auto" w:fill="FFFFFF"/>
        </w:rPr>
        <w:t xml:space="preserve">For example, </w:t>
      </w:r>
      <w:r w:rsidR="00CC29D4" w:rsidRPr="0B804797">
        <w:rPr>
          <w:rStyle w:val="normaltextrun"/>
          <w:rFonts w:eastAsiaTheme="majorEastAsia" w:cstheme="minorBidi"/>
          <w:color w:val="000000"/>
          <w:shd w:val="clear" w:color="auto" w:fill="FFFFFF"/>
        </w:rPr>
        <w:t>emissions on the magnitude of 10</w:t>
      </w:r>
      <w:r w:rsidR="00DF0335" w:rsidRPr="0B804797">
        <w:rPr>
          <w:rStyle w:val="normaltextrun"/>
          <w:rFonts w:eastAsiaTheme="majorEastAsia" w:cstheme="minorBidi"/>
          <w:color w:val="000000"/>
          <w:shd w:val="clear" w:color="auto" w:fill="FFFFFF"/>
        </w:rPr>
        <w:t xml:space="preserve"> gigatons (</w:t>
      </w:r>
      <w:r w:rsidR="00D54958" w:rsidRPr="0B804797">
        <w:rPr>
          <w:rStyle w:val="normaltextrun"/>
          <w:rFonts w:eastAsiaTheme="majorEastAsia" w:cstheme="minorBidi"/>
          <w:color w:val="000000"/>
          <w:shd w:val="clear" w:color="auto" w:fill="FFFFFF"/>
        </w:rPr>
        <w:t>1x10</w:t>
      </w:r>
      <w:r w:rsidR="00DF466D" w:rsidRPr="0B804797">
        <w:rPr>
          <w:rStyle w:val="normaltextrun"/>
          <w:rFonts w:eastAsiaTheme="majorEastAsia" w:cstheme="minorBidi"/>
          <w:color w:val="000000"/>
          <w:shd w:val="clear" w:color="auto" w:fill="FFFFFF"/>
          <w:vertAlign w:val="superscript"/>
        </w:rPr>
        <w:t>10</w:t>
      </w:r>
      <w:r w:rsidR="00DF466D" w:rsidRPr="0B804797">
        <w:rPr>
          <w:rStyle w:val="normaltextrun"/>
          <w:rFonts w:eastAsiaTheme="majorEastAsia" w:cstheme="minorBidi"/>
          <w:color w:val="000000"/>
          <w:shd w:val="clear" w:color="auto" w:fill="FFFFFF"/>
        </w:rPr>
        <w:t>) CO2e</w:t>
      </w:r>
      <w:r w:rsidR="0028556B" w:rsidRPr="0B804797">
        <w:rPr>
          <w:rStyle w:val="normaltextrun"/>
          <w:rFonts w:eastAsiaTheme="majorEastAsia" w:cstheme="minorBidi"/>
          <w:color w:val="000000"/>
          <w:shd w:val="clear" w:color="auto" w:fill="FFFFFF"/>
        </w:rPr>
        <w:t xml:space="preserve"> per year</w:t>
      </w:r>
      <w:r w:rsidR="00CD3CC1" w:rsidRPr="0B804797">
        <w:rPr>
          <w:rStyle w:val="normaltextrun"/>
          <w:rFonts w:eastAsiaTheme="majorEastAsia" w:cstheme="minorBidi"/>
          <w:color w:val="000000"/>
          <w:shd w:val="clear" w:color="auto" w:fill="FFFFFF"/>
        </w:rPr>
        <w:t xml:space="preserve"> may resul</w:t>
      </w:r>
      <w:r w:rsidR="007318B3" w:rsidRPr="0B804797">
        <w:rPr>
          <w:rStyle w:val="normaltextrun"/>
          <w:rFonts w:eastAsiaTheme="majorEastAsia" w:cstheme="minorBidi"/>
          <w:color w:val="000000"/>
          <w:shd w:val="clear" w:color="auto" w:fill="FFFFFF"/>
        </w:rPr>
        <w:t xml:space="preserve">t </w:t>
      </w:r>
      <w:r w:rsidR="00E73660" w:rsidRPr="0B804797">
        <w:rPr>
          <w:rStyle w:val="normaltextrun"/>
          <w:rFonts w:eastAsiaTheme="majorEastAsia" w:cstheme="minorBidi"/>
          <w:color w:val="000000"/>
          <w:shd w:val="clear" w:color="auto" w:fill="FFFFFF"/>
        </w:rPr>
        <w:t>in</w:t>
      </w:r>
      <w:r w:rsidR="000173DA" w:rsidRPr="0B804797">
        <w:rPr>
          <w:rStyle w:val="normaltextrun"/>
          <w:rFonts w:eastAsiaTheme="majorEastAsia" w:cstheme="minorBidi"/>
          <w:color w:val="000000"/>
          <w:shd w:val="clear" w:color="auto" w:fill="FFFFFF"/>
        </w:rPr>
        <w:t xml:space="preserve"> </w:t>
      </w:r>
      <w:r w:rsidR="00152594" w:rsidRPr="0B804797">
        <w:rPr>
          <w:rStyle w:val="normaltextrun"/>
          <w:rFonts w:eastAsiaTheme="majorEastAsia" w:cstheme="minorBidi"/>
          <w:color w:val="000000"/>
          <w:shd w:val="clear" w:color="auto" w:fill="FFFFFF"/>
        </w:rPr>
        <w:t>end-</w:t>
      </w:r>
      <w:r w:rsidR="001C09B9" w:rsidRPr="0B804797">
        <w:rPr>
          <w:rStyle w:val="normaltextrun"/>
          <w:rFonts w:eastAsiaTheme="majorEastAsia" w:cstheme="minorBidi"/>
          <w:color w:val="000000"/>
          <w:shd w:val="clear" w:color="auto" w:fill="FFFFFF"/>
        </w:rPr>
        <w:t xml:space="preserve">of-century </w:t>
      </w:r>
      <w:r w:rsidR="003A5634" w:rsidRPr="0B804797">
        <w:rPr>
          <w:rStyle w:val="normaltextrun"/>
          <w:rFonts w:eastAsiaTheme="majorEastAsia" w:cstheme="minorBidi"/>
          <w:color w:val="000000"/>
          <w:shd w:val="clear" w:color="auto" w:fill="FFFFFF"/>
        </w:rPr>
        <w:t>temperature change</w:t>
      </w:r>
      <w:r w:rsidR="00153C53" w:rsidRPr="0B804797">
        <w:rPr>
          <w:rStyle w:val="normaltextrun"/>
          <w:rFonts w:eastAsiaTheme="majorEastAsia" w:cstheme="minorBidi"/>
          <w:color w:val="000000"/>
          <w:shd w:val="clear" w:color="auto" w:fill="FFFFFF"/>
        </w:rPr>
        <w:t xml:space="preserve"> of </w:t>
      </w:r>
      <w:r w:rsidR="00F87E2C" w:rsidRPr="0B804797">
        <w:rPr>
          <w:rStyle w:val="normaltextrun"/>
          <w:rFonts w:eastAsiaTheme="majorEastAsia" w:cstheme="minorBidi"/>
          <w:color w:val="000000"/>
          <w:shd w:val="clear" w:color="auto" w:fill="FFFFFF"/>
        </w:rPr>
        <w:t xml:space="preserve">approximately 0.3 </w:t>
      </w:r>
      <w:r w:rsidR="00F87E2C" w:rsidRPr="0B804797">
        <w:rPr>
          <w:rFonts w:eastAsiaTheme="majorEastAsia" w:cstheme="minorBidi"/>
          <w:color w:val="000000"/>
          <w:shd w:val="clear" w:color="auto" w:fill="FFFFFF"/>
        </w:rPr>
        <w:t>°C</w:t>
      </w:r>
      <w:r w:rsidR="00D95DC5" w:rsidRPr="0B804797">
        <w:rPr>
          <w:rFonts w:eastAsiaTheme="majorEastAsia" w:cstheme="minorBidi"/>
          <w:color w:val="000000"/>
          <w:shd w:val="clear" w:color="auto" w:fill="FFFFFF"/>
        </w:rPr>
        <w:t>. H</w:t>
      </w:r>
      <w:r w:rsidR="00F6754E" w:rsidRPr="0B804797">
        <w:rPr>
          <w:rFonts w:eastAsiaTheme="majorEastAsia" w:cstheme="minorBidi"/>
          <w:color w:val="000000"/>
          <w:shd w:val="clear" w:color="auto" w:fill="FFFFFF"/>
        </w:rPr>
        <w:t>owever, MAGICC</w:t>
      </w:r>
      <w:r w:rsidR="006F38E7" w:rsidRPr="0B804797">
        <w:rPr>
          <w:rFonts w:eastAsiaTheme="majorEastAsia" w:cstheme="minorBidi"/>
          <w:color w:val="000000"/>
          <w:shd w:val="clear" w:color="auto" w:fill="FFFFFF"/>
        </w:rPr>
        <w:t xml:space="preserve"> and </w:t>
      </w:r>
      <w:r w:rsidR="00390798" w:rsidRPr="0B804797">
        <w:rPr>
          <w:rFonts w:eastAsiaTheme="majorEastAsia" w:cstheme="minorBidi"/>
          <w:color w:val="000000"/>
          <w:shd w:val="clear" w:color="auto" w:fill="FFFFFF"/>
        </w:rPr>
        <w:t>programmatic tools</w:t>
      </w:r>
      <w:r w:rsidR="00E25FFC" w:rsidRPr="0B804797">
        <w:rPr>
          <w:rFonts w:eastAsiaTheme="majorEastAsia" w:cstheme="minorBidi"/>
          <w:color w:val="000000"/>
          <w:shd w:val="clear" w:color="auto" w:fill="FFFFFF"/>
        </w:rPr>
        <w:t xml:space="preserve"> for evaluating model results</w:t>
      </w:r>
      <w:r w:rsidR="00F6754E" w:rsidRPr="0B804797">
        <w:rPr>
          <w:rFonts w:eastAsiaTheme="majorEastAsia" w:cstheme="minorBidi"/>
          <w:color w:val="000000"/>
          <w:shd w:val="clear" w:color="auto" w:fill="FFFFFF"/>
        </w:rPr>
        <w:t xml:space="preserve"> </w:t>
      </w:r>
      <w:r w:rsidR="00E25FFC" w:rsidRPr="0B804797">
        <w:rPr>
          <w:rFonts w:eastAsiaTheme="majorEastAsia" w:cstheme="minorBidi"/>
          <w:color w:val="000000"/>
          <w:shd w:val="clear" w:color="auto" w:fill="FFFFFF"/>
        </w:rPr>
        <w:t>are</w:t>
      </w:r>
      <w:r w:rsidR="00F6754E" w:rsidRPr="0B804797">
        <w:rPr>
          <w:rFonts w:eastAsiaTheme="majorEastAsia" w:cstheme="minorBidi"/>
          <w:color w:val="000000"/>
          <w:shd w:val="clear" w:color="auto" w:fill="FFFFFF"/>
        </w:rPr>
        <w:t xml:space="preserve"> not </w:t>
      </w:r>
      <w:r w:rsidR="00CF1DDF" w:rsidRPr="0B804797">
        <w:rPr>
          <w:rFonts w:eastAsiaTheme="majorEastAsia" w:cstheme="minorBidi"/>
          <w:color w:val="000000"/>
          <w:shd w:val="clear" w:color="auto" w:fill="FFFFFF"/>
        </w:rPr>
        <w:t>infinitely precise</w:t>
      </w:r>
      <w:r w:rsidR="008F2B81" w:rsidRPr="0B804797">
        <w:rPr>
          <w:rFonts w:eastAsiaTheme="majorEastAsia" w:cstheme="minorBidi"/>
          <w:color w:val="000000"/>
          <w:shd w:val="clear" w:color="auto" w:fill="FFFFFF"/>
        </w:rPr>
        <w:t xml:space="preserve">, particularly </w:t>
      </w:r>
      <w:r w:rsidR="007D35E0" w:rsidRPr="0B804797">
        <w:rPr>
          <w:rFonts w:eastAsiaTheme="majorEastAsia" w:cstheme="minorBidi"/>
          <w:color w:val="000000"/>
          <w:shd w:val="clear" w:color="auto" w:fill="FFFFFF"/>
        </w:rPr>
        <w:t xml:space="preserve">as it relates to relatively </w:t>
      </w:r>
      <w:r w:rsidR="00B44CD3" w:rsidRPr="0B804797">
        <w:rPr>
          <w:rFonts w:eastAsiaTheme="majorEastAsia" w:cstheme="minorBidi"/>
          <w:color w:val="000000"/>
          <w:shd w:val="clear" w:color="auto" w:fill="FFFFFF"/>
        </w:rPr>
        <w:t>low-level</w:t>
      </w:r>
      <w:r w:rsidR="007D35E0" w:rsidRPr="0B804797">
        <w:rPr>
          <w:rFonts w:eastAsiaTheme="majorEastAsia" w:cstheme="minorBidi"/>
          <w:color w:val="000000"/>
          <w:shd w:val="clear" w:color="auto" w:fill="FFFFFF"/>
        </w:rPr>
        <w:t xml:space="preserve"> emissions</w:t>
      </w:r>
      <w:r w:rsidR="00DD5B58" w:rsidRPr="0B804797">
        <w:rPr>
          <w:rFonts w:eastAsiaTheme="majorEastAsia" w:cstheme="minorBidi"/>
          <w:color w:val="000000"/>
          <w:shd w:val="clear" w:color="auto" w:fill="FFFFFF"/>
        </w:rPr>
        <w:t>.</w:t>
      </w:r>
      <w:r w:rsidR="000937EC" w:rsidRPr="0B804797">
        <w:rPr>
          <w:rFonts w:eastAsiaTheme="majorEastAsia" w:cstheme="minorBidi"/>
          <w:color w:val="000000"/>
          <w:shd w:val="clear" w:color="auto" w:fill="FFFFFF"/>
        </w:rPr>
        <w:t xml:space="preserve"> </w:t>
      </w:r>
      <w:r w:rsidR="003A32D5" w:rsidRPr="0B804797">
        <w:rPr>
          <w:rFonts w:eastAsiaTheme="majorEastAsia" w:cstheme="minorBidi"/>
          <w:color w:val="000000"/>
          <w:shd w:val="clear" w:color="auto" w:fill="FFFFFF"/>
        </w:rPr>
        <w:t xml:space="preserve">The temperature impacts </w:t>
      </w:r>
      <w:r w:rsidR="005A3DFA" w:rsidRPr="0B804797">
        <w:rPr>
          <w:rFonts w:eastAsiaTheme="majorEastAsia" w:cstheme="minorBidi"/>
          <w:color w:val="000000"/>
          <w:shd w:val="clear" w:color="auto" w:fill="FFFFFF"/>
        </w:rPr>
        <w:t xml:space="preserve">of 100,000 metric </w:t>
      </w:r>
      <w:r w:rsidR="00AA6C00" w:rsidRPr="0B804797">
        <w:rPr>
          <w:rFonts w:eastAsiaTheme="majorEastAsia" w:cstheme="minorBidi"/>
          <w:color w:val="000000"/>
          <w:shd w:val="clear" w:color="auto" w:fill="FFFFFF"/>
        </w:rPr>
        <w:t>tons</w:t>
      </w:r>
      <w:r w:rsidR="00293258" w:rsidRPr="0B804797">
        <w:rPr>
          <w:rFonts w:eastAsiaTheme="majorEastAsia" w:cstheme="minorBidi"/>
          <w:color w:val="000000"/>
          <w:shd w:val="clear" w:color="auto" w:fill="FFFFFF"/>
        </w:rPr>
        <w:t xml:space="preserve"> CO2e per year</w:t>
      </w:r>
      <w:r w:rsidR="00AA6C00" w:rsidRPr="0B804797">
        <w:rPr>
          <w:rFonts w:eastAsiaTheme="majorEastAsia" w:cstheme="minorBidi"/>
          <w:color w:val="000000"/>
          <w:shd w:val="clear" w:color="auto" w:fill="FFFFFF"/>
        </w:rPr>
        <w:t xml:space="preserve">, for example, </w:t>
      </w:r>
      <w:r w:rsidR="0079274B" w:rsidRPr="0B804797">
        <w:rPr>
          <w:rFonts w:eastAsiaTheme="majorEastAsia" w:cstheme="minorBidi"/>
          <w:color w:val="000000"/>
          <w:shd w:val="clear" w:color="auto" w:fill="FFFFFF"/>
        </w:rPr>
        <w:t>demonstrate that th</w:t>
      </w:r>
      <w:r w:rsidR="00895AFB" w:rsidRPr="0B804797">
        <w:rPr>
          <w:rFonts w:eastAsiaTheme="majorEastAsia" w:cstheme="minorBidi"/>
          <w:color w:val="000000"/>
          <w:shd w:val="clear" w:color="auto" w:fill="FFFFFF"/>
        </w:rPr>
        <w:t xml:space="preserve">e </w:t>
      </w:r>
      <w:r w:rsidR="00D85DBF">
        <w:rPr>
          <w:rFonts w:eastAsiaTheme="majorEastAsia" w:cstheme="minorBidi"/>
          <w:color w:val="000000"/>
          <w:shd w:val="clear" w:color="auto" w:fill="FFFFFF"/>
        </w:rPr>
        <w:t>smallest</w:t>
      </w:r>
      <w:r w:rsidR="00895AFB" w:rsidRPr="0B804797">
        <w:rPr>
          <w:rFonts w:eastAsiaTheme="majorEastAsia" w:cstheme="minorBidi"/>
          <w:color w:val="000000"/>
          <w:shd w:val="clear" w:color="auto" w:fill="FFFFFF"/>
        </w:rPr>
        <w:t xml:space="preserve"> </w:t>
      </w:r>
      <w:r w:rsidR="007A737C" w:rsidRPr="0B804797">
        <w:rPr>
          <w:rFonts w:eastAsiaTheme="majorEastAsia" w:cstheme="minorBidi"/>
          <w:color w:val="000000"/>
          <w:shd w:val="clear" w:color="auto" w:fill="FFFFFF"/>
        </w:rPr>
        <w:t xml:space="preserve">attributable </w:t>
      </w:r>
      <w:r w:rsidR="00894383" w:rsidRPr="0B804797">
        <w:rPr>
          <w:rFonts w:eastAsiaTheme="majorEastAsia" w:cstheme="minorBidi"/>
          <w:color w:val="000000"/>
          <w:shd w:val="clear" w:color="auto" w:fill="FFFFFF"/>
        </w:rPr>
        <w:t xml:space="preserve">non-zero </w:t>
      </w:r>
      <w:r w:rsidR="007A737C" w:rsidRPr="0B804797">
        <w:rPr>
          <w:rFonts w:eastAsiaTheme="majorEastAsia" w:cstheme="minorBidi"/>
          <w:color w:val="000000"/>
          <w:shd w:val="clear" w:color="auto" w:fill="FFFFFF"/>
        </w:rPr>
        <w:t>temperature</w:t>
      </w:r>
      <w:r w:rsidR="00013C33" w:rsidRPr="0B804797">
        <w:rPr>
          <w:rFonts w:eastAsiaTheme="majorEastAsia" w:cstheme="minorBidi"/>
          <w:color w:val="000000"/>
          <w:shd w:val="clear" w:color="auto" w:fill="FFFFFF"/>
        </w:rPr>
        <w:t xml:space="preserve"> impact is </w:t>
      </w:r>
      <w:r w:rsidR="001B788B" w:rsidRPr="0B804797">
        <w:rPr>
          <w:rFonts w:eastAsiaTheme="majorEastAsia" w:cstheme="minorBidi"/>
          <w:color w:val="000000"/>
          <w:shd w:val="clear" w:color="auto" w:fill="FFFFFF"/>
        </w:rPr>
        <w:t>5.0x10</w:t>
      </w:r>
      <w:r w:rsidR="001B788B" w:rsidRPr="0B804797">
        <w:rPr>
          <w:rFonts w:eastAsiaTheme="majorEastAsia" w:cstheme="minorBidi"/>
          <w:color w:val="000000"/>
          <w:shd w:val="clear" w:color="auto" w:fill="FFFFFF"/>
          <w:vertAlign w:val="superscript"/>
        </w:rPr>
        <w:t>-6</w:t>
      </w:r>
      <w:r w:rsidR="0071397A" w:rsidRPr="0B804797">
        <w:rPr>
          <w:rFonts w:eastAsiaTheme="majorEastAsia" w:cstheme="minorBidi"/>
          <w:color w:val="000000"/>
          <w:shd w:val="clear" w:color="auto" w:fill="FFFFFF"/>
        </w:rPr>
        <w:t>. Yet at</w:t>
      </w:r>
      <w:r w:rsidR="009F48AF" w:rsidRPr="0B804797">
        <w:rPr>
          <w:rFonts w:eastAsiaTheme="majorEastAsia" w:cstheme="minorBidi"/>
          <w:color w:val="000000"/>
          <w:shd w:val="clear" w:color="auto" w:fill="FFFFFF"/>
        </w:rPr>
        <w:t xml:space="preserve"> </w:t>
      </w:r>
      <w:r w:rsidR="00823E12" w:rsidRPr="0B804797">
        <w:rPr>
          <w:rFonts w:eastAsiaTheme="majorEastAsia" w:cstheme="minorBidi"/>
          <w:color w:val="000000"/>
          <w:shd w:val="clear" w:color="auto" w:fill="FFFFFF"/>
        </w:rPr>
        <w:t>that scale</w:t>
      </w:r>
      <w:r w:rsidR="00805EF4" w:rsidRPr="0B804797">
        <w:rPr>
          <w:rFonts w:eastAsiaTheme="majorEastAsia" w:cstheme="minorBidi"/>
          <w:color w:val="000000"/>
          <w:shd w:val="clear" w:color="auto" w:fill="FFFFFF"/>
        </w:rPr>
        <w:t xml:space="preserve"> of emissions, the temperature impacts plotted over time</w:t>
      </w:r>
      <w:r w:rsidR="00275513" w:rsidRPr="0B804797">
        <w:rPr>
          <w:rFonts w:eastAsiaTheme="majorEastAsia" w:cstheme="minorBidi"/>
          <w:color w:val="000000"/>
          <w:shd w:val="clear" w:color="auto" w:fill="FFFFFF"/>
        </w:rPr>
        <w:t xml:space="preserve"> illustrate </w:t>
      </w:r>
      <w:r w:rsidR="00A53893" w:rsidRPr="0B804797">
        <w:rPr>
          <w:rFonts w:eastAsiaTheme="majorEastAsia" w:cstheme="minorBidi"/>
          <w:color w:val="000000"/>
          <w:shd w:val="clear" w:color="auto" w:fill="FFFFFF"/>
        </w:rPr>
        <w:t>that</w:t>
      </w:r>
      <w:r w:rsidR="008F113F" w:rsidRPr="0B804797">
        <w:rPr>
          <w:rFonts w:eastAsiaTheme="majorEastAsia" w:cstheme="minorBidi"/>
          <w:color w:val="000000"/>
          <w:shd w:val="clear" w:color="auto" w:fill="FFFFFF"/>
        </w:rPr>
        <w:t xml:space="preserve"> </w:t>
      </w:r>
      <w:r w:rsidR="00736990">
        <w:rPr>
          <w:rFonts w:eastAsiaTheme="majorEastAsia" w:cstheme="minorBidi"/>
          <w:color w:val="000000"/>
          <w:shd w:val="clear" w:color="auto" w:fill="FFFFFF"/>
        </w:rPr>
        <w:t xml:space="preserve">this </w:t>
      </w:r>
      <w:r w:rsidR="00061162">
        <w:rPr>
          <w:rFonts w:eastAsiaTheme="majorEastAsia" w:cstheme="minorBidi"/>
          <w:color w:val="000000"/>
          <w:shd w:val="clear" w:color="auto" w:fill="FFFFFF"/>
        </w:rPr>
        <w:t>value repeats and</w:t>
      </w:r>
      <w:r w:rsidR="00C84814" w:rsidRPr="0B804797">
        <w:rPr>
          <w:rFonts w:eastAsiaTheme="majorEastAsia" w:cstheme="minorBidi"/>
          <w:color w:val="000000"/>
          <w:shd w:val="clear" w:color="auto" w:fill="FFFFFF"/>
        </w:rPr>
        <w:t xml:space="preserve"> accounts </w:t>
      </w:r>
      <w:r w:rsidR="007205F0" w:rsidRPr="0B804797">
        <w:rPr>
          <w:rFonts w:eastAsiaTheme="majorEastAsia" w:cstheme="minorBidi"/>
          <w:color w:val="000000"/>
          <w:shd w:val="clear" w:color="auto" w:fill="FFFFFF"/>
        </w:rPr>
        <w:t xml:space="preserve">for 50-100% </w:t>
      </w:r>
      <w:r w:rsidR="00E37B6E" w:rsidRPr="0B804797">
        <w:rPr>
          <w:rFonts w:eastAsiaTheme="majorEastAsia" w:cstheme="minorBidi"/>
          <w:color w:val="000000"/>
          <w:shd w:val="clear" w:color="auto" w:fill="FFFFFF"/>
        </w:rPr>
        <w:t xml:space="preserve">of </w:t>
      </w:r>
      <w:r w:rsidR="00844B47" w:rsidRPr="0B804797">
        <w:rPr>
          <w:rFonts w:eastAsiaTheme="majorEastAsia" w:cstheme="minorBidi"/>
          <w:color w:val="000000"/>
          <w:shd w:val="clear" w:color="auto" w:fill="FFFFFF"/>
        </w:rPr>
        <w:t>all</w:t>
      </w:r>
      <w:r w:rsidR="00E37B6E" w:rsidRPr="0B804797">
        <w:rPr>
          <w:rFonts w:eastAsiaTheme="majorEastAsia" w:cstheme="minorBidi"/>
          <w:color w:val="000000"/>
          <w:shd w:val="clear" w:color="auto" w:fill="FFFFFF"/>
        </w:rPr>
        <w:t xml:space="preserve"> predicted impacts</w:t>
      </w:r>
      <w:r w:rsidR="009B5E83" w:rsidRPr="0B804797">
        <w:rPr>
          <w:rFonts w:eastAsiaTheme="majorEastAsia" w:cstheme="minorBidi"/>
          <w:color w:val="000000"/>
          <w:shd w:val="clear" w:color="auto" w:fill="FFFFFF"/>
        </w:rPr>
        <w:t xml:space="preserve">. </w:t>
      </w:r>
      <w:r w:rsidR="00E37B6E" w:rsidRPr="0B804797">
        <w:rPr>
          <w:rFonts w:eastAsiaTheme="majorEastAsia" w:cstheme="minorBidi"/>
          <w:color w:val="000000"/>
          <w:shd w:val="clear" w:color="auto" w:fill="FFFFFF"/>
        </w:rPr>
        <w:t xml:space="preserve">In other words, the results are effectively </w:t>
      </w:r>
      <w:r w:rsidR="00160194" w:rsidRPr="0B804797">
        <w:rPr>
          <w:rFonts w:eastAsiaTheme="majorEastAsia" w:cstheme="minorBidi"/>
          <w:color w:val="000000"/>
          <w:shd w:val="clear" w:color="auto" w:fill="FFFFFF"/>
        </w:rPr>
        <w:t xml:space="preserve">statistically </w:t>
      </w:r>
      <w:r w:rsidR="00DB05A5" w:rsidRPr="0B804797">
        <w:rPr>
          <w:rFonts w:eastAsiaTheme="majorEastAsia" w:cstheme="minorBidi"/>
          <w:color w:val="000000"/>
          <w:shd w:val="clear" w:color="auto" w:fill="FFFFFF"/>
        </w:rPr>
        <w:t xml:space="preserve">insignificant. </w:t>
      </w:r>
    </w:p>
    <w:p w14:paraId="05E04AED" w14:textId="77777777" w:rsidR="00A959C0" w:rsidRPr="001C77E1" w:rsidRDefault="00A959C0" w:rsidP="27F276F4">
      <w:pPr>
        <w:rPr>
          <w:rFonts w:eastAsiaTheme="majorEastAsia" w:cstheme="minorBidi"/>
          <w:color w:val="000000"/>
          <w:shd w:val="clear" w:color="auto" w:fill="FFFFFF"/>
        </w:rPr>
      </w:pPr>
    </w:p>
    <w:p w14:paraId="793B6934" w14:textId="760C2EDC" w:rsidR="001C0797" w:rsidRDefault="009B5E83" w:rsidP="27F276F4">
      <w:pPr>
        <w:rPr>
          <w:rFonts w:eastAsiaTheme="majorEastAsia" w:cstheme="minorBidi"/>
          <w:color w:val="000000"/>
          <w:shd w:val="clear" w:color="auto" w:fill="FFFFFF"/>
        </w:rPr>
      </w:pPr>
      <w:r w:rsidRPr="50FCC1FA">
        <w:rPr>
          <w:rFonts w:eastAsiaTheme="majorEastAsia" w:cstheme="minorBidi"/>
          <w:color w:val="000000"/>
          <w:shd w:val="clear" w:color="auto" w:fill="FFFFFF"/>
        </w:rPr>
        <w:t>Further, the</w:t>
      </w:r>
      <w:r w:rsidR="00037895" w:rsidRPr="50FCC1FA">
        <w:rPr>
          <w:rFonts w:eastAsiaTheme="majorEastAsia" w:cstheme="minorBidi"/>
          <w:color w:val="000000"/>
          <w:shd w:val="clear" w:color="auto" w:fill="FFFFFF"/>
        </w:rPr>
        <w:t xml:space="preserve">se very small temperature values </w:t>
      </w:r>
      <w:r w:rsidR="00FA1548" w:rsidRPr="50FCC1FA">
        <w:rPr>
          <w:rFonts w:eastAsiaTheme="majorEastAsia" w:cstheme="minorBidi"/>
          <w:color w:val="000000"/>
          <w:shd w:val="clear" w:color="auto" w:fill="FFFFFF"/>
        </w:rPr>
        <w:t xml:space="preserve">appear to </w:t>
      </w:r>
      <w:r w:rsidR="002411F2" w:rsidRPr="50FCC1FA">
        <w:rPr>
          <w:rFonts w:eastAsiaTheme="majorEastAsia" w:cstheme="minorBidi"/>
          <w:color w:val="000000"/>
          <w:shd w:val="clear" w:color="auto" w:fill="FFFFFF"/>
        </w:rPr>
        <w:t xml:space="preserve">occur </w:t>
      </w:r>
      <w:r w:rsidR="00D65674" w:rsidRPr="50FCC1FA">
        <w:rPr>
          <w:rFonts w:eastAsiaTheme="majorEastAsia" w:cstheme="minorBidi"/>
          <w:color w:val="000000"/>
          <w:shd w:val="clear" w:color="auto" w:fill="FFFFFF"/>
        </w:rPr>
        <w:t xml:space="preserve">in one </w:t>
      </w:r>
      <w:r w:rsidR="00C5372F" w:rsidRPr="50FCC1FA">
        <w:rPr>
          <w:rFonts w:eastAsiaTheme="majorEastAsia" w:cstheme="minorBidi"/>
          <w:color w:val="000000"/>
          <w:shd w:val="clear" w:color="auto" w:fill="FFFFFF"/>
        </w:rPr>
        <w:t xml:space="preserve">future </w:t>
      </w:r>
      <w:r w:rsidR="00D65674" w:rsidRPr="50FCC1FA">
        <w:rPr>
          <w:rFonts w:eastAsiaTheme="majorEastAsia" w:cstheme="minorBidi"/>
          <w:color w:val="000000"/>
          <w:shd w:val="clear" w:color="auto" w:fill="FFFFFF"/>
        </w:rPr>
        <w:t xml:space="preserve">year and then </w:t>
      </w:r>
      <w:r w:rsidR="009C34C5" w:rsidRPr="50FCC1FA">
        <w:rPr>
          <w:rFonts w:eastAsiaTheme="majorEastAsia" w:cstheme="minorBidi"/>
          <w:color w:val="000000"/>
          <w:shd w:val="clear" w:color="auto" w:fill="FFFFFF"/>
        </w:rPr>
        <w:t xml:space="preserve">return to zero </w:t>
      </w:r>
      <w:r w:rsidR="005D11C7" w:rsidRPr="50FCC1FA">
        <w:rPr>
          <w:rFonts w:eastAsiaTheme="majorEastAsia" w:cstheme="minorBidi"/>
          <w:color w:val="000000"/>
          <w:shd w:val="clear" w:color="auto" w:fill="FFFFFF"/>
        </w:rPr>
        <w:t xml:space="preserve">in the next year, as </w:t>
      </w:r>
      <w:r w:rsidR="00DD4126" w:rsidRPr="50FCC1FA">
        <w:rPr>
          <w:rFonts w:eastAsiaTheme="majorEastAsia" w:cstheme="minorBidi"/>
          <w:color w:val="000000"/>
          <w:shd w:val="clear" w:color="auto" w:fill="FFFFFF"/>
        </w:rPr>
        <w:t xml:space="preserve">if </w:t>
      </w:r>
      <w:r w:rsidR="005D11C7" w:rsidRPr="50FCC1FA">
        <w:rPr>
          <w:rFonts w:eastAsiaTheme="majorEastAsia" w:cstheme="minorBidi"/>
          <w:color w:val="000000"/>
          <w:shd w:val="clear" w:color="auto" w:fill="FFFFFF"/>
        </w:rPr>
        <w:t xml:space="preserve">the </w:t>
      </w:r>
      <w:r w:rsidR="00215133" w:rsidRPr="50FCC1FA">
        <w:rPr>
          <w:rFonts w:eastAsiaTheme="majorEastAsia" w:cstheme="minorBidi"/>
          <w:color w:val="000000"/>
          <w:shd w:val="clear" w:color="auto" w:fill="FFFFFF"/>
        </w:rPr>
        <w:t>impact</w:t>
      </w:r>
      <w:r w:rsidR="009C34C5" w:rsidRPr="50FCC1FA">
        <w:rPr>
          <w:rFonts w:eastAsiaTheme="majorEastAsia" w:cstheme="minorBidi"/>
          <w:color w:val="000000"/>
          <w:shd w:val="clear" w:color="auto" w:fill="FFFFFF"/>
        </w:rPr>
        <w:t xml:space="preserve">s </w:t>
      </w:r>
      <w:r w:rsidR="005D11C7" w:rsidRPr="50FCC1FA">
        <w:rPr>
          <w:rFonts w:eastAsiaTheme="majorEastAsia" w:cstheme="minorBidi"/>
          <w:color w:val="000000"/>
          <w:shd w:val="clear" w:color="auto" w:fill="FFFFFF"/>
        </w:rPr>
        <w:t>are</w:t>
      </w:r>
      <w:r w:rsidR="00EA17B5" w:rsidRPr="50FCC1FA">
        <w:rPr>
          <w:rFonts w:eastAsiaTheme="majorEastAsia" w:cstheme="minorBidi"/>
          <w:color w:val="000000"/>
          <w:shd w:val="clear" w:color="auto" w:fill="FFFFFF"/>
        </w:rPr>
        <w:t xml:space="preserve"> </w:t>
      </w:r>
      <w:r w:rsidR="00EB7592" w:rsidRPr="50FCC1FA">
        <w:rPr>
          <w:rFonts w:eastAsiaTheme="majorEastAsia" w:cstheme="minorBidi"/>
          <w:color w:val="000000"/>
          <w:shd w:val="clear" w:color="auto" w:fill="FFFFFF"/>
        </w:rPr>
        <w:t>switching on and off</w:t>
      </w:r>
      <w:r w:rsidR="00EA17B5" w:rsidRPr="50FCC1FA">
        <w:rPr>
          <w:rFonts w:eastAsiaTheme="majorEastAsia" w:cstheme="minorBidi"/>
          <w:color w:val="000000"/>
          <w:shd w:val="clear" w:color="auto" w:fill="FFFFFF"/>
        </w:rPr>
        <w:t xml:space="preserve">. </w:t>
      </w:r>
      <w:r w:rsidR="001E2C56" w:rsidRPr="50FCC1FA">
        <w:rPr>
          <w:rFonts w:eastAsiaTheme="majorEastAsia" w:cstheme="minorBidi"/>
          <w:color w:val="000000"/>
          <w:shd w:val="clear" w:color="auto" w:fill="FFFFFF"/>
        </w:rPr>
        <w:t xml:space="preserve">This </w:t>
      </w:r>
      <w:r w:rsidR="004D4CB5" w:rsidRPr="50FCC1FA">
        <w:rPr>
          <w:rFonts w:eastAsiaTheme="majorEastAsia" w:cstheme="minorBidi"/>
          <w:color w:val="000000"/>
          <w:shd w:val="clear" w:color="auto" w:fill="FFFFFF"/>
        </w:rPr>
        <w:t xml:space="preserve">behavior is </w:t>
      </w:r>
      <w:r w:rsidR="003426E0" w:rsidRPr="50FCC1FA">
        <w:rPr>
          <w:rFonts w:eastAsiaTheme="majorEastAsia" w:cstheme="minorBidi"/>
          <w:color w:val="000000"/>
          <w:shd w:val="clear" w:color="auto" w:fill="FFFFFF"/>
        </w:rPr>
        <w:t xml:space="preserve">likely </w:t>
      </w:r>
      <w:r w:rsidR="004D4CB5" w:rsidRPr="50FCC1FA">
        <w:rPr>
          <w:rFonts w:eastAsiaTheme="majorEastAsia" w:cstheme="minorBidi"/>
          <w:color w:val="000000"/>
          <w:shd w:val="clear" w:color="auto" w:fill="FFFFFF"/>
        </w:rPr>
        <w:t xml:space="preserve">an artifact of </w:t>
      </w:r>
      <w:r w:rsidR="00366BEF" w:rsidRPr="50FCC1FA">
        <w:rPr>
          <w:rFonts w:eastAsiaTheme="majorEastAsia" w:cstheme="minorBidi"/>
          <w:color w:val="000000"/>
          <w:shd w:val="clear" w:color="auto" w:fill="FFFFFF"/>
        </w:rPr>
        <w:t xml:space="preserve">MAGICC’s probabilistic mode, </w:t>
      </w:r>
      <w:r w:rsidR="0094098E" w:rsidRPr="50FCC1FA">
        <w:rPr>
          <w:rFonts w:eastAsiaTheme="majorEastAsia" w:cstheme="minorBidi"/>
          <w:color w:val="000000"/>
          <w:shd w:val="clear" w:color="auto" w:fill="FFFFFF"/>
        </w:rPr>
        <w:t>which iterates the model run more than 100 time</w:t>
      </w:r>
      <w:r w:rsidR="003D5302" w:rsidRPr="50FCC1FA">
        <w:rPr>
          <w:rFonts w:eastAsiaTheme="majorEastAsia" w:cstheme="minorBidi"/>
          <w:color w:val="000000"/>
          <w:shd w:val="clear" w:color="auto" w:fill="FFFFFF"/>
        </w:rPr>
        <w:t>s</w:t>
      </w:r>
      <w:r w:rsidR="0094098E" w:rsidRPr="50FCC1FA">
        <w:rPr>
          <w:rFonts w:eastAsiaTheme="majorEastAsia" w:cstheme="minorBidi"/>
          <w:color w:val="000000"/>
          <w:shd w:val="clear" w:color="auto" w:fill="FFFFFF"/>
        </w:rPr>
        <w:t xml:space="preserve"> with slightly varying internal parameters. The </w:t>
      </w:r>
      <w:r w:rsidR="002006FA" w:rsidRPr="50FCC1FA">
        <w:rPr>
          <w:rFonts w:eastAsiaTheme="majorEastAsia" w:cstheme="minorBidi"/>
          <w:color w:val="000000"/>
          <w:shd w:val="clear" w:color="auto" w:fill="FFFFFF"/>
        </w:rPr>
        <w:t xml:space="preserve">default model output </w:t>
      </w:r>
      <w:r w:rsidR="0053634F" w:rsidRPr="50FCC1FA">
        <w:rPr>
          <w:rFonts w:eastAsiaTheme="majorEastAsia" w:cstheme="minorBidi"/>
          <w:color w:val="000000"/>
          <w:shd w:val="clear" w:color="auto" w:fill="FFFFFF"/>
        </w:rPr>
        <w:t xml:space="preserve">is the median of the </w:t>
      </w:r>
      <w:r w:rsidR="001C1FC1" w:rsidRPr="50FCC1FA">
        <w:rPr>
          <w:rFonts w:eastAsiaTheme="majorEastAsia" w:cstheme="minorBidi"/>
          <w:color w:val="000000"/>
          <w:shd w:val="clear" w:color="auto" w:fill="FFFFFF"/>
        </w:rPr>
        <w:t>results probability distribution</w:t>
      </w:r>
      <w:r w:rsidR="00D23C86" w:rsidRPr="50FCC1FA">
        <w:rPr>
          <w:rFonts w:eastAsiaTheme="majorEastAsia" w:cstheme="minorBidi"/>
          <w:color w:val="000000"/>
          <w:shd w:val="clear" w:color="auto" w:fill="FFFFFF"/>
        </w:rPr>
        <w:t xml:space="preserve">, so </w:t>
      </w:r>
      <w:r w:rsidR="005159D9" w:rsidRPr="50FCC1FA">
        <w:rPr>
          <w:rFonts w:eastAsiaTheme="majorEastAsia" w:cstheme="minorBidi"/>
          <w:color w:val="000000"/>
          <w:shd w:val="clear" w:color="auto" w:fill="FFFFFF"/>
        </w:rPr>
        <w:t xml:space="preserve">when </w:t>
      </w:r>
      <w:r w:rsidR="00CD0EF3" w:rsidRPr="50FCC1FA">
        <w:rPr>
          <w:rFonts w:eastAsiaTheme="majorEastAsia" w:cstheme="minorBidi"/>
          <w:color w:val="000000"/>
          <w:shd w:val="clear" w:color="auto" w:fill="FFFFFF"/>
        </w:rPr>
        <w:t xml:space="preserve">the temperature impacts of </w:t>
      </w:r>
      <w:r w:rsidR="00D05723" w:rsidRPr="50FCC1FA">
        <w:rPr>
          <w:rFonts w:eastAsiaTheme="majorEastAsia" w:cstheme="minorBidi"/>
          <w:color w:val="000000"/>
          <w:shd w:val="clear" w:color="auto" w:fill="FFFFFF"/>
        </w:rPr>
        <w:t xml:space="preserve">relatively </w:t>
      </w:r>
      <w:r w:rsidR="00BA4B22" w:rsidRPr="50FCC1FA">
        <w:rPr>
          <w:rFonts w:eastAsiaTheme="majorEastAsia" w:cstheme="minorBidi"/>
          <w:color w:val="000000"/>
          <w:shd w:val="clear" w:color="auto" w:fill="FFFFFF"/>
        </w:rPr>
        <w:t xml:space="preserve">small emission sums (e.g., </w:t>
      </w:r>
      <w:r w:rsidR="00772B07" w:rsidRPr="50FCC1FA">
        <w:rPr>
          <w:rFonts w:eastAsiaTheme="majorEastAsia" w:cstheme="minorBidi"/>
          <w:color w:val="000000"/>
          <w:shd w:val="clear" w:color="auto" w:fill="FFFFFF"/>
        </w:rPr>
        <w:t xml:space="preserve">hundreds of </w:t>
      </w:r>
      <w:r w:rsidR="00F80E13" w:rsidRPr="50FCC1FA">
        <w:rPr>
          <w:rFonts w:eastAsiaTheme="majorEastAsia" w:cstheme="minorBidi"/>
          <w:color w:val="000000"/>
          <w:shd w:val="clear" w:color="auto" w:fill="FFFFFF"/>
        </w:rPr>
        <w:t>thousands of</w:t>
      </w:r>
      <w:r w:rsidR="00772B07" w:rsidRPr="50FCC1FA">
        <w:rPr>
          <w:rFonts w:eastAsiaTheme="majorEastAsia" w:cstheme="minorBidi"/>
          <w:color w:val="000000"/>
          <w:shd w:val="clear" w:color="auto" w:fill="FFFFFF"/>
        </w:rPr>
        <w:t xml:space="preserve"> </w:t>
      </w:r>
      <w:r w:rsidR="00DF3315" w:rsidRPr="50FCC1FA">
        <w:rPr>
          <w:rFonts w:eastAsiaTheme="majorEastAsia" w:cstheme="minorBidi"/>
          <w:color w:val="000000"/>
          <w:shd w:val="clear" w:color="auto" w:fill="FFFFFF"/>
        </w:rPr>
        <w:t>tons</w:t>
      </w:r>
      <w:r w:rsidR="0093196D" w:rsidRPr="50FCC1FA">
        <w:rPr>
          <w:rFonts w:eastAsiaTheme="majorEastAsia" w:cstheme="minorBidi"/>
          <w:color w:val="000000"/>
          <w:shd w:val="clear" w:color="auto" w:fill="FFFFFF"/>
        </w:rPr>
        <w:t xml:space="preserve"> CO2e</w:t>
      </w:r>
      <w:r w:rsidR="00DF3315" w:rsidRPr="50FCC1FA">
        <w:rPr>
          <w:rFonts w:eastAsiaTheme="majorEastAsia" w:cstheme="minorBidi"/>
          <w:color w:val="000000"/>
          <w:shd w:val="clear" w:color="auto" w:fill="FFFFFF"/>
        </w:rPr>
        <w:t xml:space="preserve"> per year</w:t>
      </w:r>
      <w:r w:rsidR="00CE4E24" w:rsidRPr="50FCC1FA">
        <w:rPr>
          <w:rFonts w:eastAsiaTheme="majorEastAsia" w:cstheme="minorBidi"/>
          <w:color w:val="000000"/>
          <w:shd w:val="clear" w:color="auto" w:fill="FFFFFF"/>
        </w:rPr>
        <w:t>)</w:t>
      </w:r>
      <w:r w:rsidR="00500695" w:rsidRPr="50FCC1FA">
        <w:rPr>
          <w:rFonts w:eastAsiaTheme="majorEastAsia" w:cstheme="minorBidi"/>
          <w:color w:val="000000"/>
          <w:shd w:val="clear" w:color="auto" w:fill="FFFFFF"/>
        </w:rPr>
        <w:t xml:space="preserve"> are </w:t>
      </w:r>
      <w:r w:rsidR="00CD0EF3" w:rsidRPr="50FCC1FA">
        <w:rPr>
          <w:rFonts w:eastAsiaTheme="majorEastAsia" w:cstheme="minorBidi"/>
          <w:color w:val="000000"/>
          <w:shd w:val="clear" w:color="auto" w:fill="FFFFFF"/>
        </w:rPr>
        <w:t>evaluated with MA</w:t>
      </w:r>
      <w:r w:rsidR="00F22586" w:rsidRPr="50FCC1FA">
        <w:rPr>
          <w:rFonts w:eastAsiaTheme="majorEastAsia" w:cstheme="minorBidi"/>
          <w:color w:val="000000"/>
          <w:shd w:val="clear" w:color="auto" w:fill="FFFFFF"/>
        </w:rPr>
        <w:t>GICC, the dif</w:t>
      </w:r>
      <w:r w:rsidR="0081459B" w:rsidRPr="50FCC1FA">
        <w:rPr>
          <w:rFonts w:eastAsiaTheme="majorEastAsia" w:cstheme="minorBidi"/>
          <w:color w:val="000000"/>
          <w:shd w:val="clear" w:color="auto" w:fill="FFFFFF"/>
        </w:rPr>
        <w:t xml:space="preserve">ference in the median </w:t>
      </w:r>
      <w:r w:rsidR="00FE3B93" w:rsidRPr="50FCC1FA">
        <w:rPr>
          <w:rFonts w:eastAsiaTheme="majorEastAsia" w:cstheme="minorBidi"/>
          <w:color w:val="000000"/>
          <w:shd w:val="clear" w:color="auto" w:fill="FFFFFF"/>
        </w:rPr>
        <w:t xml:space="preserve">value of the probability distribution between the </w:t>
      </w:r>
      <w:r w:rsidR="00777BD0" w:rsidRPr="0B804797">
        <w:rPr>
          <w:rFonts w:eastAsiaTheme="majorEastAsia" w:cstheme="minorBidi"/>
          <w:color w:val="000000" w:themeColor="text1"/>
        </w:rPr>
        <w:t>scenario</w:t>
      </w:r>
      <w:r w:rsidR="00777BD0" w:rsidRPr="63A05E38">
        <w:rPr>
          <w:rFonts w:eastAsiaTheme="majorEastAsia" w:cstheme="minorBidi"/>
          <w:color w:val="000000" w:themeColor="text1"/>
        </w:rPr>
        <w:t xml:space="preserve"> with and </w:t>
      </w:r>
      <w:r w:rsidR="00C415A1" w:rsidRPr="63A05E38">
        <w:rPr>
          <w:rFonts w:eastAsiaTheme="majorEastAsia" w:cstheme="minorBidi"/>
          <w:color w:val="000000" w:themeColor="text1"/>
        </w:rPr>
        <w:t xml:space="preserve">the scenario </w:t>
      </w:r>
      <w:r w:rsidR="00777BD0" w:rsidRPr="63A05E38">
        <w:rPr>
          <w:rFonts w:eastAsiaTheme="majorEastAsia" w:cstheme="minorBidi"/>
          <w:color w:val="000000" w:themeColor="text1"/>
        </w:rPr>
        <w:t>without the emissions being evaluated</w:t>
      </w:r>
      <w:r w:rsidR="00425321" w:rsidRPr="50FCC1FA">
        <w:rPr>
          <w:rFonts w:eastAsiaTheme="majorEastAsia" w:cstheme="minorBidi"/>
          <w:color w:val="000000"/>
          <w:shd w:val="clear" w:color="auto" w:fill="FFFFFF"/>
        </w:rPr>
        <w:t xml:space="preserve"> may effectively be the exact same </w:t>
      </w:r>
      <w:r w:rsidR="00EF6B68" w:rsidRPr="50FCC1FA">
        <w:rPr>
          <w:rFonts w:eastAsiaTheme="majorEastAsia" w:cstheme="minorBidi"/>
          <w:color w:val="000000"/>
          <w:shd w:val="clear" w:color="auto" w:fill="FFFFFF"/>
        </w:rPr>
        <w:t>valu</w:t>
      </w:r>
      <w:r w:rsidR="00524C4B" w:rsidRPr="50FCC1FA">
        <w:rPr>
          <w:rFonts w:eastAsiaTheme="majorEastAsia" w:cstheme="minorBidi"/>
          <w:color w:val="000000"/>
          <w:shd w:val="clear" w:color="auto" w:fill="FFFFFF"/>
        </w:rPr>
        <w:t>e</w:t>
      </w:r>
      <w:r w:rsidR="00635C53" w:rsidRPr="50FCC1FA">
        <w:rPr>
          <w:rFonts w:eastAsiaTheme="majorEastAsia" w:cstheme="minorBidi"/>
          <w:color w:val="000000"/>
          <w:shd w:val="clear" w:color="auto" w:fill="FFFFFF"/>
        </w:rPr>
        <w:t xml:space="preserve">. </w:t>
      </w:r>
    </w:p>
    <w:p w14:paraId="27F8FE91" w14:textId="7755F781" w:rsidR="001C0797" w:rsidRDefault="001C0797" w:rsidP="27F276F4">
      <w:pPr>
        <w:rPr>
          <w:rFonts w:eastAsiaTheme="majorEastAsia" w:cstheme="minorBidi"/>
          <w:color w:val="000000"/>
          <w:shd w:val="clear" w:color="auto" w:fill="FFFFFF"/>
        </w:rPr>
      </w:pPr>
    </w:p>
    <w:p w14:paraId="659D4525" w14:textId="77777777" w:rsidR="00BE4337" w:rsidRDefault="002C1C20" w:rsidP="00BE4337">
      <w:pPr>
        <w:rPr>
          <w:rStyle w:val="normaltextrun"/>
          <w:rFonts w:eastAsiaTheme="majorEastAsia" w:cstheme="minorBidi"/>
          <w:color w:val="000000" w:themeColor="text1"/>
        </w:rPr>
      </w:pPr>
      <w:r w:rsidRPr="50FCC1FA">
        <w:rPr>
          <w:rFonts w:eastAsiaTheme="majorEastAsia" w:cstheme="minorBidi"/>
          <w:color w:val="000000"/>
          <w:shd w:val="clear" w:color="auto" w:fill="FFFFFF"/>
        </w:rPr>
        <w:t xml:space="preserve">Even </w:t>
      </w:r>
      <w:r w:rsidR="00022261" w:rsidRPr="50FCC1FA">
        <w:rPr>
          <w:rFonts w:eastAsiaTheme="majorEastAsia" w:cstheme="minorBidi"/>
          <w:color w:val="000000"/>
          <w:shd w:val="clear" w:color="auto" w:fill="FFFFFF"/>
        </w:rPr>
        <w:t xml:space="preserve">when evaluating emissions as large as 500,000 metric tons per year of CO2e, </w:t>
      </w:r>
      <w:r w:rsidR="005B4D72" w:rsidRPr="50FCC1FA">
        <w:rPr>
          <w:rFonts w:eastAsiaTheme="majorEastAsia" w:cstheme="minorBidi"/>
          <w:color w:val="000000"/>
          <w:shd w:val="clear" w:color="auto" w:fill="FFFFFF"/>
        </w:rPr>
        <w:t xml:space="preserve">temperature impacts return to zero </w:t>
      </w:r>
      <w:r w:rsidR="00C64C63" w:rsidRPr="50FCC1FA">
        <w:rPr>
          <w:rFonts w:eastAsiaTheme="majorEastAsia" w:cstheme="minorBidi"/>
          <w:color w:val="000000"/>
          <w:shd w:val="clear" w:color="auto" w:fill="FFFFFF"/>
        </w:rPr>
        <w:t xml:space="preserve">after </w:t>
      </w:r>
      <w:r w:rsidR="005A1E7D" w:rsidRPr="0B804797">
        <w:rPr>
          <w:rFonts w:eastAsiaTheme="majorEastAsia" w:cstheme="minorBidi"/>
          <w:color w:val="000000" w:themeColor="text1"/>
        </w:rPr>
        <w:t>more</w:t>
      </w:r>
      <w:r w:rsidR="005A1E7D" w:rsidRPr="63A05E38">
        <w:rPr>
          <w:rFonts w:eastAsiaTheme="majorEastAsia" w:cstheme="minorBidi"/>
          <w:color w:val="000000" w:themeColor="text1"/>
        </w:rPr>
        <w:t xml:space="preserve"> than 50 years</w:t>
      </w:r>
      <w:r w:rsidR="00C64C63" w:rsidRPr="50FCC1FA">
        <w:rPr>
          <w:rFonts w:eastAsiaTheme="majorEastAsia" w:cstheme="minorBidi"/>
          <w:color w:val="000000"/>
          <w:shd w:val="clear" w:color="auto" w:fill="FFFFFF"/>
        </w:rPr>
        <w:t xml:space="preserve"> of continuous </w:t>
      </w:r>
      <w:r w:rsidR="00E66D4A" w:rsidRPr="50FCC1FA">
        <w:rPr>
          <w:rFonts w:eastAsiaTheme="majorEastAsia" w:cstheme="minorBidi"/>
          <w:color w:val="000000"/>
          <w:shd w:val="clear" w:color="auto" w:fill="FFFFFF"/>
        </w:rPr>
        <w:t xml:space="preserve">emission releases, and this is not consistent with </w:t>
      </w:r>
      <w:r w:rsidR="00F24574" w:rsidRPr="50FCC1FA">
        <w:rPr>
          <w:rFonts w:eastAsiaTheme="majorEastAsia" w:cstheme="minorBidi"/>
          <w:color w:val="000000"/>
          <w:shd w:val="clear" w:color="auto" w:fill="FFFFFF"/>
        </w:rPr>
        <w:t xml:space="preserve">what </w:t>
      </w:r>
      <w:r w:rsidR="00E66D4A" w:rsidRPr="50FCC1FA">
        <w:rPr>
          <w:rFonts w:eastAsiaTheme="majorEastAsia" w:cstheme="minorBidi"/>
          <w:color w:val="000000"/>
          <w:shd w:val="clear" w:color="auto" w:fill="FFFFFF"/>
        </w:rPr>
        <w:t xml:space="preserve">the science </w:t>
      </w:r>
      <w:r w:rsidR="00CA7E7D" w:rsidRPr="0B804797">
        <w:rPr>
          <w:rFonts w:eastAsiaTheme="majorEastAsia" w:cstheme="minorBidi"/>
          <w:color w:val="000000" w:themeColor="text1"/>
        </w:rPr>
        <w:t>indicates</w:t>
      </w:r>
      <w:r w:rsidR="00E66D4A" w:rsidRPr="0B804797">
        <w:rPr>
          <w:rFonts w:eastAsiaTheme="majorEastAsia" w:cstheme="minorBidi"/>
          <w:color w:val="000000"/>
          <w:shd w:val="clear" w:color="auto" w:fill="FFFFFF"/>
        </w:rPr>
        <w:t>.</w:t>
      </w:r>
      <w:r w:rsidR="00E66D4A" w:rsidRPr="50FCC1FA">
        <w:rPr>
          <w:rFonts w:eastAsiaTheme="majorEastAsia" w:cstheme="minorBidi"/>
          <w:color w:val="000000"/>
          <w:shd w:val="clear" w:color="auto" w:fill="FFFFFF"/>
        </w:rPr>
        <w:t xml:space="preserve"> </w:t>
      </w:r>
      <w:r w:rsidR="00BE4337" w:rsidRPr="63A05E38">
        <w:rPr>
          <w:rStyle w:val="normaltextrun"/>
          <w:rFonts w:eastAsiaTheme="majorEastAsia" w:cstheme="minorBidi"/>
          <w:color w:val="000000" w:themeColor="text1"/>
        </w:rPr>
        <w:t>See a visual representation of the inherent problem with analyzing and predicting impacts from low-level emissions (&lt; 10 million metric tons CO2e/year) in the figure below, and further discussion related to application of this strategy within the Cumulative Impacts section of this Supplemental EA.</w:t>
      </w:r>
    </w:p>
    <w:p w14:paraId="7CE3CC80" w14:textId="77777777" w:rsidR="00500BBF" w:rsidRDefault="00500BBF" w:rsidP="00BE4337">
      <w:pPr>
        <w:rPr>
          <w:rStyle w:val="normaltextrun"/>
          <w:rFonts w:eastAsiaTheme="majorEastAsia" w:cstheme="minorBidi"/>
          <w:color w:val="000000"/>
          <w:shd w:val="clear" w:color="auto" w:fill="FFFFFF"/>
        </w:rPr>
      </w:pPr>
    </w:p>
    <w:p w14:paraId="75D23BAC" w14:textId="1BA2682D" w:rsidR="00F163D0" w:rsidRDefault="00315F21" w:rsidP="27F276F4">
      <w:pPr>
        <w:rPr>
          <w:rStyle w:val="normaltextrun"/>
          <w:rFonts w:eastAsiaTheme="majorEastAsia" w:cstheme="minorBidi"/>
          <w:color w:val="000000"/>
          <w:shd w:val="clear" w:color="auto" w:fill="FFFFFF"/>
        </w:rPr>
      </w:pPr>
      <w:r w:rsidRPr="0B804797">
        <w:rPr>
          <w:rFonts w:eastAsiaTheme="majorEastAsia" w:cstheme="minorBidi"/>
          <w:color w:val="000000"/>
          <w:shd w:val="clear" w:color="auto" w:fill="FFFFFF"/>
        </w:rPr>
        <w:t>However,</w:t>
      </w:r>
      <w:r w:rsidR="00FB4DCA" w:rsidRPr="0B804797">
        <w:rPr>
          <w:rFonts w:eastAsiaTheme="majorEastAsia" w:cstheme="minorBidi"/>
          <w:color w:val="000000"/>
          <w:shd w:val="clear" w:color="auto" w:fill="FFFFFF"/>
        </w:rPr>
        <w:t xml:space="preserve"> the impacts of </w:t>
      </w:r>
      <w:r w:rsidR="00A300A0" w:rsidRPr="0B804797">
        <w:rPr>
          <w:rFonts w:eastAsiaTheme="majorEastAsia" w:cstheme="minorBidi"/>
          <w:color w:val="000000"/>
          <w:shd w:val="clear" w:color="auto" w:fill="FFFFFF"/>
        </w:rPr>
        <w:t xml:space="preserve">many million metric tons of CO2e per year </w:t>
      </w:r>
      <w:r w:rsidR="0000398B" w:rsidRPr="0B804797">
        <w:rPr>
          <w:rFonts w:eastAsiaTheme="majorEastAsia" w:cstheme="minorBidi"/>
          <w:color w:val="000000"/>
          <w:shd w:val="clear" w:color="auto" w:fill="FFFFFF"/>
        </w:rPr>
        <w:t xml:space="preserve">far exceeds </w:t>
      </w:r>
      <w:r w:rsidR="001C0797" w:rsidRPr="0B804797">
        <w:rPr>
          <w:rFonts w:eastAsiaTheme="majorEastAsia" w:cstheme="minorBidi"/>
          <w:color w:val="000000"/>
          <w:shd w:val="clear" w:color="auto" w:fill="FFFFFF"/>
        </w:rPr>
        <w:t xml:space="preserve">the limit of </w:t>
      </w:r>
      <w:r w:rsidR="006F70CE" w:rsidRPr="0B804797">
        <w:rPr>
          <w:rFonts w:eastAsiaTheme="majorEastAsia" w:cstheme="minorBidi"/>
          <w:color w:val="000000"/>
          <w:shd w:val="clear" w:color="auto" w:fill="FFFFFF"/>
        </w:rPr>
        <w:t>numerical precision</w:t>
      </w:r>
      <w:r w:rsidR="00A240BD" w:rsidRPr="0B804797">
        <w:rPr>
          <w:rFonts w:eastAsiaTheme="majorEastAsia" w:cstheme="minorBidi"/>
          <w:color w:val="000000"/>
          <w:shd w:val="clear" w:color="auto" w:fill="FFFFFF"/>
        </w:rPr>
        <w:t>,</w:t>
      </w:r>
      <w:r w:rsidR="006F70CE" w:rsidRPr="0B804797">
        <w:rPr>
          <w:rFonts w:eastAsiaTheme="majorEastAsia" w:cstheme="minorBidi"/>
          <w:color w:val="000000"/>
          <w:shd w:val="clear" w:color="auto" w:fill="FFFFFF"/>
        </w:rPr>
        <w:t xml:space="preserve"> and </w:t>
      </w:r>
      <w:r w:rsidR="00681398" w:rsidRPr="0B804797">
        <w:rPr>
          <w:rFonts w:eastAsiaTheme="majorEastAsia" w:cstheme="minorBidi"/>
          <w:color w:val="000000"/>
          <w:shd w:val="clear" w:color="auto" w:fill="FFFFFF"/>
        </w:rPr>
        <w:t xml:space="preserve">therefore </w:t>
      </w:r>
      <w:r w:rsidR="00A240BD" w:rsidRPr="0B804797">
        <w:rPr>
          <w:rFonts w:eastAsiaTheme="majorEastAsia" w:cstheme="minorBidi"/>
          <w:color w:val="000000"/>
          <w:shd w:val="clear" w:color="auto" w:fill="FFFFFF"/>
        </w:rPr>
        <w:t xml:space="preserve">large emission releases </w:t>
      </w:r>
      <w:r w:rsidR="00681398" w:rsidRPr="0B804797">
        <w:rPr>
          <w:rFonts w:eastAsiaTheme="majorEastAsia" w:cstheme="minorBidi"/>
          <w:color w:val="000000"/>
          <w:shd w:val="clear" w:color="auto" w:fill="FFFFFF"/>
        </w:rPr>
        <w:t xml:space="preserve">provide a more reliable estimation of </w:t>
      </w:r>
      <w:r w:rsidR="00273CC8" w:rsidRPr="0B804797">
        <w:rPr>
          <w:rFonts w:eastAsiaTheme="majorEastAsia" w:cstheme="minorBidi"/>
          <w:color w:val="000000"/>
          <w:shd w:val="clear" w:color="auto" w:fill="FFFFFF"/>
        </w:rPr>
        <w:t xml:space="preserve">future </w:t>
      </w:r>
      <w:r w:rsidR="00D8049F" w:rsidRPr="0B804797">
        <w:rPr>
          <w:rFonts w:eastAsiaTheme="majorEastAsia" w:cstheme="minorBidi"/>
          <w:color w:val="000000"/>
          <w:shd w:val="clear" w:color="auto" w:fill="FFFFFF"/>
        </w:rPr>
        <w:t>temperature impacts. For the reason</w:t>
      </w:r>
      <w:r w:rsidR="00020286" w:rsidRPr="0B804797">
        <w:rPr>
          <w:rFonts w:eastAsiaTheme="majorEastAsia" w:cstheme="minorBidi"/>
          <w:color w:val="000000"/>
          <w:shd w:val="clear" w:color="auto" w:fill="FFFFFF"/>
        </w:rPr>
        <w:t>s</w:t>
      </w:r>
      <w:r w:rsidR="00894A14" w:rsidRPr="0B804797">
        <w:rPr>
          <w:rFonts w:eastAsiaTheme="majorEastAsia" w:cstheme="minorBidi"/>
          <w:color w:val="000000"/>
          <w:shd w:val="clear" w:color="auto" w:fill="FFFFFF"/>
        </w:rPr>
        <w:t xml:space="preserve"> discussed</w:t>
      </w:r>
      <w:r w:rsidR="00D8049F" w:rsidRPr="0B804797">
        <w:rPr>
          <w:rFonts w:eastAsiaTheme="majorEastAsia" w:cstheme="minorBidi"/>
          <w:color w:val="000000"/>
          <w:shd w:val="clear" w:color="auto" w:fill="FFFFFF"/>
        </w:rPr>
        <w:t xml:space="preserve">, DEQ has </w:t>
      </w:r>
      <w:r w:rsidR="00C967C0" w:rsidRPr="0B804797">
        <w:rPr>
          <w:rFonts w:eastAsiaTheme="majorEastAsia" w:cstheme="minorBidi"/>
          <w:color w:val="000000"/>
          <w:shd w:val="clear" w:color="auto" w:fill="FFFFFF"/>
        </w:rPr>
        <w:t xml:space="preserve">decided to </w:t>
      </w:r>
      <w:r w:rsidR="0020470D" w:rsidRPr="0B804797">
        <w:rPr>
          <w:rFonts w:eastAsiaTheme="majorEastAsia" w:cstheme="minorBidi"/>
          <w:color w:val="000000"/>
          <w:shd w:val="clear" w:color="auto" w:fill="FFFFFF"/>
        </w:rPr>
        <w:t xml:space="preserve">assess the impacts of </w:t>
      </w:r>
      <w:r w:rsidR="00C160F6" w:rsidRPr="0B804797">
        <w:rPr>
          <w:rFonts w:eastAsiaTheme="majorEastAsia" w:cstheme="minorBidi"/>
          <w:color w:val="000000"/>
          <w:shd w:val="clear" w:color="auto" w:fill="FFFFFF"/>
        </w:rPr>
        <w:t>the sum of Montana’s CO2e</w:t>
      </w:r>
      <w:r w:rsidR="003D5EB9" w:rsidRPr="0B804797">
        <w:rPr>
          <w:rFonts w:eastAsiaTheme="majorEastAsia" w:cstheme="minorBidi"/>
          <w:color w:val="000000"/>
          <w:shd w:val="clear" w:color="auto" w:fill="FFFFFF"/>
        </w:rPr>
        <w:t xml:space="preserve"> emissions</w:t>
      </w:r>
      <w:r w:rsidR="002E0BA6" w:rsidRPr="0B804797">
        <w:rPr>
          <w:rFonts w:eastAsiaTheme="majorEastAsia" w:cstheme="minorBidi"/>
          <w:color w:val="000000"/>
          <w:shd w:val="clear" w:color="auto" w:fill="FFFFFF"/>
        </w:rPr>
        <w:t xml:space="preserve"> using the MAGICC model</w:t>
      </w:r>
      <w:r w:rsidR="006245AE" w:rsidRPr="0B804797">
        <w:rPr>
          <w:rFonts w:eastAsiaTheme="majorEastAsia" w:cstheme="minorBidi"/>
          <w:color w:val="000000"/>
          <w:shd w:val="clear" w:color="auto" w:fill="FFFFFF"/>
        </w:rPr>
        <w:t>.</w:t>
      </w:r>
      <w:r w:rsidR="000946E4" w:rsidRPr="0B804797">
        <w:rPr>
          <w:rFonts w:eastAsiaTheme="majorEastAsia" w:cstheme="minorBidi"/>
          <w:color w:val="000000"/>
          <w:shd w:val="clear" w:color="auto" w:fill="FFFFFF"/>
        </w:rPr>
        <w:t xml:space="preserve"> MAGICC is still well-suited to </w:t>
      </w:r>
      <w:r w:rsidR="003D2322" w:rsidRPr="0B804797">
        <w:rPr>
          <w:rFonts w:eastAsiaTheme="majorEastAsia" w:cstheme="minorBidi"/>
          <w:color w:val="000000"/>
          <w:shd w:val="clear" w:color="auto" w:fill="FFFFFF"/>
        </w:rPr>
        <w:t xml:space="preserve">evaluate </w:t>
      </w:r>
      <w:r w:rsidR="008F3F82" w:rsidRPr="0B804797">
        <w:rPr>
          <w:rFonts w:eastAsiaTheme="majorEastAsia" w:cstheme="minorBidi"/>
          <w:color w:val="000000"/>
          <w:shd w:val="clear" w:color="auto" w:fill="FFFFFF"/>
        </w:rPr>
        <w:t xml:space="preserve">large sums of emissions, </w:t>
      </w:r>
      <w:r w:rsidR="00256857" w:rsidRPr="0B804797">
        <w:rPr>
          <w:rFonts w:eastAsiaTheme="majorEastAsia" w:cstheme="minorBidi"/>
          <w:color w:val="000000"/>
          <w:shd w:val="clear" w:color="auto" w:fill="FFFFFF"/>
        </w:rPr>
        <w:t xml:space="preserve">and </w:t>
      </w:r>
      <w:r w:rsidR="00C03E19" w:rsidRPr="0B804797">
        <w:rPr>
          <w:rFonts w:eastAsiaTheme="majorEastAsia" w:cstheme="minorBidi"/>
          <w:color w:val="000000" w:themeColor="text1"/>
        </w:rPr>
        <w:t xml:space="preserve">it emulates complex, nonlinear climate </w:t>
      </w:r>
      <w:proofErr w:type="gramStart"/>
      <w:r w:rsidR="00C03E19" w:rsidRPr="0B804797">
        <w:rPr>
          <w:rFonts w:eastAsiaTheme="majorEastAsia" w:cstheme="minorBidi"/>
          <w:color w:val="000000"/>
          <w:shd w:val="clear" w:color="auto" w:fill="FFFFFF"/>
        </w:rPr>
        <w:t>feedbacks</w:t>
      </w:r>
      <w:proofErr w:type="gramEnd"/>
      <w:r w:rsidR="001640B1" w:rsidRPr="0B804797">
        <w:rPr>
          <w:rFonts w:eastAsiaTheme="majorEastAsia" w:cstheme="minorBidi"/>
          <w:color w:val="000000"/>
          <w:shd w:val="clear" w:color="auto" w:fill="FFFFFF"/>
        </w:rPr>
        <w:t xml:space="preserve"> with litt</w:t>
      </w:r>
      <w:r w:rsidR="00BA7AEA" w:rsidRPr="0B804797">
        <w:rPr>
          <w:rFonts w:eastAsiaTheme="majorEastAsia" w:cstheme="minorBidi"/>
          <w:color w:val="000000"/>
          <w:shd w:val="clear" w:color="auto" w:fill="FFFFFF"/>
        </w:rPr>
        <w:t>le computa</w:t>
      </w:r>
      <w:r w:rsidR="003D74B4" w:rsidRPr="0B804797">
        <w:rPr>
          <w:rFonts w:eastAsiaTheme="majorEastAsia" w:cstheme="minorBidi"/>
          <w:color w:val="000000"/>
          <w:shd w:val="clear" w:color="auto" w:fill="FFFFFF"/>
        </w:rPr>
        <w:t>tional cost.</w:t>
      </w:r>
      <w:r w:rsidR="0081017B" w:rsidRPr="0B804797">
        <w:rPr>
          <w:rStyle w:val="normaltextrun"/>
          <w:rFonts w:eastAsiaTheme="majorEastAsia" w:cstheme="minorBidi"/>
          <w:color w:val="000000"/>
          <w:shd w:val="clear" w:color="auto" w:fill="FFFFFF"/>
        </w:rPr>
        <w:t xml:space="preserve"> </w:t>
      </w:r>
    </w:p>
    <w:p w14:paraId="45EF02EA" w14:textId="3E9FBB4C" w:rsidR="00F163D0" w:rsidRDefault="00F163D0" w:rsidP="27F276F4">
      <w:pPr>
        <w:rPr>
          <w:rFonts w:eastAsiaTheme="majorEastAsia"/>
        </w:rPr>
      </w:pPr>
    </w:p>
    <w:p w14:paraId="4FAA2BA6" w14:textId="4AAFB036" w:rsidR="00FA6F7B" w:rsidRDefault="00FA6F7B" w:rsidP="27F276F4">
      <w:pPr>
        <w:rPr>
          <w:rStyle w:val="normaltextrun"/>
          <w:rFonts w:eastAsiaTheme="majorEastAsia" w:cstheme="minorBidi"/>
          <w:color w:val="000000"/>
          <w:shd w:val="clear" w:color="auto" w:fill="FFFFFF"/>
        </w:rPr>
      </w:pPr>
      <w:r>
        <w:rPr>
          <w:noProof/>
        </w:rPr>
        <w:lastRenderedPageBreak/>
        <w:drawing>
          <wp:inline distT="0" distB="0" distL="0" distR="0" wp14:anchorId="3BEEEF8F" wp14:editId="1B7DA3C8">
            <wp:extent cx="5943600" cy="3761410"/>
            <wp:effectExtent l="0" t="0" r="0" b="0"/>
            <wp:docPr id="1564527192" name="Picture 1" descr="Graph showing temperature changes vs. CO2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27192" name="Picture 1" descr="Graph showing temperature changes vs. CO2e emission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3761410"/>
                    </a:xfrm>
                    <a:prstGeom prst="rect">
                      <a:avLst/>
                    </a:prstGeom>
                    <a:noFill/>
                    <a:ln>
                      <a:noFill/>
                    </a:ln>
                  </pic:spPr>
                </pic:pic>
              </a:graphicData>
            </a:graphic>
          </wp:inline>
        </w:drawing>
      </w:r>
    </w:p>
    <w:p w14:paraId="2A51C5FE" w14:textId="0526A419" w:rsidR="00745502" w:rsidRPr="00562BDA" w:rsidRDefault="00745502" w:rsidP="27F276F4">
      <w:pPr>
        <w:rPr>
          <w:rStyle w:val="normaltextrun"/>
          <w:rFonts w:eastAsiaTheme="majorEastAsia" w:cstheme="minorBidi"/>
          <w:color w:val="000000"/>
          <w:shd w:val="clear" w:color="auto" w:fill="FFFFFF"/>
        </w:rPr>
      </w:pPr>
      <w:r w:rsidRPr="0B804797">
        <w:rPr>
          <w:rStyle w:val="normaltextrun"/>
          <w:rFonts w:eastAsiaTheme="majorEastAsia" w:cstheme="minorBidi"/>
          <w:b/>
          <w:color w:val="000000"/>
          <w:shd w:val="clear" w:color="auto" w:fill="FFFFFF"/>
        </w:rPr>
        <w:t xml:space="preserve">Figure </w:t>
      </w:r>
      <w:r w:rsidR="002537A2" w:rsidRPr="0B804797">
        <w:rPr>
          <w:rStyle w:val="normaltextrun"/>
          <w:rFonts w:eastAsiaTheme="majorEastAsia" w:cstheme="minorBidi"/>
          <w:b/>
          <w:bCs/>
          <w:color w:val="000000"/>
          <w:shd w:val="clear" w:color="auto" w:fill="FFFFFF"/>
        </w:rPr>
        <w:t>2</w:t>
      </w:r>
      <w:r w:rsidRPr="0B804797">
        <w:rPr>
          <w:rStyle w:val="normaltextrun"/>
          <w:rFonts w:eastAsiaTheme="majorEastAsia" w:cstheme="minorBidi"/>
          <w:color w:val="000000"/>
          <w:shd w:val="clear" w:color="auto" w:fill="FFFFFF"/>
        </w:rPr>
        <w:t>.</w:t>
      </w:r>
      <w:r w:rsidR="001E2974" w:rsidRPr="0B804797">
        <w:rPr>
          <w:rStyle w:val="normaltextrun"/>
          <w:rFonts w:eastAsiaTheme="majorEastAsia" w:cstheme="minorBidi"/>
          <w:color w:val="000000"/>
          <w:shd w:val="clear" w:color="auto" w:fill="FFFFFF"/>
        </w:rPr>
        <w:t xml:space="preserve"> </w:t>
      </w:r>
      <w:r w:rsidR="00E0688D" w:rsidRPr="0B804797">
        <w:rPr>
          <w:rStyle w:val="normaltextrun"/>
          <w:rFonts w:eastAsiaTheme="majorEastAsia" w:cstheme="minorBidi"/>
          <w:color w:val="000000"/>
          <w:shd w:val="clear" w:color="auto" w:fill="FFFFFF"/>
        </w:rPr>
        <w:t>Iterative model runs were performed with</w:t>
      </w:r>
      <w:r w:rsidR="00496AAC" w:rsidRPr="0B804797">
        <w:rPr>
          <w:rStyle w:val="normaltextrun"/>
          <w:rFonts w:eastAsiaTheme="majorEastAsia" w:cstheme="minorBidi"/>
          <w:color w:val="000000"/>
          <w:shd w:val="clear" w:color="auto" w:fill="FFFFFF"/>
        </w:rPr>
        <w:t xml:space="preserve"> </w:t>
      </w:r>
      <w:r w:rsidR="005F670E" w:rsidRPr="0B804797">
        <w:rPr>
          <w:rStyle w:val="normaltextrun"/>
          <w:rFonts w:eastAsiaTheme="majorEastAsia" w:cstheme="minorBidi"/>
          <w:color w:val="000000"/>
          <w:shd w:val="clear" w:color="auto" w:fill="FFFFFF"/>
        </w:rPr>
        <w:t xml:space="preserve">varying </w:t>
      </w:r>
      <w:r w:rsidR="00E96796" w:rsidRPr="0B804797">
        <w:rPr>
          <w:rStyle w:val="normaltextrun"/>
          <w:rFonts w:eastAsiaTheme="majorEastAsia" w:cstheme="minorBidi"/>
          <w:color w:val="000000"/>
          <w:shd w:val="clear" w:color="auto" w:fill="FFFFFF"/>
        </w:rPr>
        <w:t xml:space="preserve">magnitudes of </w:t>
      </w:r>
      <w:r w:rsidR="001E7871" w:rsidRPr="0B804797">
        <w:rPr>
          <w:rStyle w:val="normaltextrun"/>
          <w:rFonts w:eastAsiaTheme="majorEastAsia" w:cstheme="minorBidi"/>
          <w:color w:val="000000"/>
          <w:shd w:val="clear" w:color="auto" w:fill="FFFFFF"/>
        </w:rPr>
        <w:t>CO2e emissions</w:t>
      </w:r>
      <w:r w:rsidR="009149AA" w:rsidRPr="0B804797">
        <w:rPr>
          <w:rStyle w:val="normaltextrun"/>
          <w:rFonts w:eastAsiaTheme="majorEastAsia" w:cstheme="minorBidi"/>
          <w:color w:val="000000"/>
          <w:shd w:val="clear" w:color="auto" w:fill="FFFFFF"/>
        </w:rPr>
        <w:t xml:space="preserve"> in millions of tons (e.g., 0.1 = 100,000 tons/year)</w:t>
      </w:r>
      <w:r w:rsidR="001E7871" w:rsidRPr="0B804797">
        <w:rPr>
          <w:rStyle w:val="normaltextrun"/>
          <w:rFonts w:eastAsiaTheme="majorEastAsia" w:cstheme="minorBidi"/>
          <w:color w:val="000000"/>
          <w:shd w:val="clear" w:color="auto" w:fill="FFFFFF"/>
        </w:rPr>
        <w:t xml:space="preserve">, and their attributable </w:t>
      </w:r>
      <w:r w:rsidR="004E18F5" w:rsidRPr="0B804797">
        <w:rPr>
          <w:rStyle w:val="normaltextrun"/>
          <w:rFonts w:eastAsiaTheme="majorEastAsia" w:cstheme="minorBidi"/>
          <w:color w:val="000000"/>
          <w:shd w:val="clear" w:color="auto" w:fill="FFFFFF"/>
        </w:rPr>
        <w:t xml:space="preserve">temperature change in </w:t>
      </w:r>
      <w:r w:rsidR="00E62693" w:rsidRPr="0B804797">
        <w:rPr>
          <w:rFonts w:eastAsiaTheme="majorEastAsia" w:cstheme="minorBidi"/>
          <w:color w:val="000000"/>
          <w:shd w:val="clear" w:color="auto" w:fill="FFFFFF"/>
        </w:rPr>
        <w:t>°</w:t>
      </w:r>
      <w:r w:rsidR="004E18F5" w:rsidRPr="0B804797">
        <w:rPr>
          <w:rFonts w:eastAsiaTheme="majorEastAsia" w:cstheme="minorBidi"/>
          <w:color w:val="000000"/>
          <w:shd w:val="clear" w:color="auto" w:fill="FFFFFF"/>
        </w:rPr>
        <w:t>C</w:t>
      </w:r>
      <w:r w:rsidR="004E18F5" w:rsidRPr="0B804797">
        <w:rPr>
          <w:rStyle w:val="normaltextrun"/>
          <w:rFonts w:eastAsiaTheme="majorEastAsia" w:cstheme="minorBidi"/>
          <w:color w:val="000000"/>
          <w:shd w:val="clear" w:color="auto" w:fill="FFFFFF"/>
        </w:rPr>
        <w:t xml:space="preserve"> were plotted for </w:t>
      </w:r>
      <w:r w:rsidR="00B230F1" w:rsidRPr="0B804797">
        <w:rPr>
          <w:rStyle w:val="normaltextrun"/>
          <w:rFonts w:eastAsiaTheme="majorEastAsia" w:cstheme="minorBidi"/>
          <w:color w:val="000000"/>
          <w:shd w:val="clear" w:color="auto" w:fill="FFFFFF"/>
        </w:rPr>
        <w:t xml:space="preserve">years 2000-2100. </w:t>
      </w:r>
      <w:r w:rsidR="00282994" w:rsidRPr="0B804797">
        <w:rPr>
          <w:rStyle w:val="normaltextrun"/>
          <w:rFonts w:eastAsiaTheme="majorEastAsia" w:cstheme="minorBidi"/>
          <w:color w:val="000000"/>
          <w:shd w:val="clear" w:color="auto" w:fill="FFFFFF"/>
        </w:rPr>
        <w:t>For this analysis,</w:t>
      </w:r>
      <w:r w:rsidR="001175F2" w:rsidRPr="0B804797">
        <w:rPr>
          <w:rStyle w:val="normaltextrun"/>
          <w:rFonts w:eastAsiaTheme="majorEastAsia" w:cstheme="minorBidi"/>
          <w:color w:val="000000"/>
          <w:shd w:val="clear" w:color="auto" w:fill="FFFFFF"/>
        </w:rPr>
        <w:t xml:space="preserve"> </w:t>
      </w:r>
      <w:r w:rsidR="00E0113A" w:rsidRPr="0B804797">
        <w:rPr>
          <w:rStyle w:val="normaltextrun"/>
          <w:rFonts w:eastAsiaTheme="majorEastAsia" w:cstheme="minorBidi"/>
          <w:color w:val="000000"/>
          <w:shd w:val="clear" w:color="auto" w:fill="FFFFFF"/>
        </w:rPr>
        <w:t>US short tons were used</w:t>
      </w:r>
      <w:r w:rsidR="008D5210" w:rsidRPr="0B804797">
        <w:rPr>
          <w:rStyle w:val="normaltextrun"/>
          <w:rFonts w:eastAsiaTheme="majorEastAsia" w:cstheme="minorBidi"/>
          <w:color w:val="000000"/>
          <w:shd w:val="clear" w:color="auto" w:fill="FFFFFF"/>
        </w:rPr>
        <w:t xml:space="preserve">, and it </w:t>
      </w:r>
      <w:r w:rsidR="00B36087" w:rsidRPr="0B804797">
        <w:rPr>
          <w:rStyle w:val="normaltextrun"/>
          <w:rFonts w:eastAsiaTheme="majorEastAsia" w:cstheme="minorBidi"/>
          <w:color w:val="000000"/>
          <w:shd w:val="clear" w:color="auto" w:fill="FFFFFF"/>
        </w:rPr>
        <w:t xml:space="preserve">was assumed that </w:t>
      </w:r>
      <w:r w:rsidR="00CE3AD2" w:rsidRPr="0B804797">
        <w:rPr>
          <w:rStyle w:val="normaltextrun"/>
          <w:rFonts w:eastAsiaTheme="majorEastAsia" w:cstheme="minorBidi"/>
          <w:color w:val="000000"/>
          <w:shd w:val="clear" w:color="auto" w:fill="FFFFFF"/>
        </w:rPr>
        <w:t>emissions</w:t>
      </w:r>
      <w:r w:rsidR="00C95355" w:rsidRPr="0B804797">
        <w:rPr>
          <w:rStyle w:val="normaltextrun"/>
          <w:rFonts w:eastAsiaTheme="majorEastAsia" w:cstheme="minorBidi"/>
          <w:color w:val="000000"/>
          <w:shd w:val="clear" w:color="auto" w:fill="FFFFFF"/>
        </w:rPr>
        <w:t xml:space="preserve"> were released </w:t>
      </w:r>
      <w:r w:rsidR="005C176C" w:rsidRPr="0B804797">
        <w:rPr>
          <w:rStyle w:val="normaltextrun"/>
          <w:rFonts w:eastAsiaTheme="majorEastAsia" w:cstheme="minorBidi"/>
          <w:color w:val="000000"/>
          <w:shd w:val="clear" w:color="auto" w:fill="FFFFFF"/>
        </w:rPr>
        <w:t xml:space="preserve">every year beginning </w:t>
      </w:r>
      <w:r w:rsidR="00AA5C0F" w:rsidRPr="0B804797">
        <w:rPr>
          <w:rStyle w:val="normaltextrun"/>
          <w:rFonts w:eastAsiaTheme="majorEastAsia" w:cstheme="minorBidi"/>
          <w:color w:val="000000"/>
          <w:shd w:val="clear" w:color="auto" w:fill="FFFFFF"/>
        </w:rPr>
        <w:t>with 2020.</w:t>
      </w:r>
    </w:p>
    <w:p w14:paraId="1860DADD" w14:textId="77777777" w:rsidR="00CB44E2" w:rsidRDefault="00CB44E2" w:rsidP="27F276F4">
      <w:pPr>
        <w:rPr>
          <w:rStyle w:val="normaltextrun"/>
          <w:rFonts w:ascii="Calibri" w:eastAsiaTheme="majorEastAsia" w:hAnsi="Calibri" w:cs="Calibri"/>
          <w:color w:val="000000"/>
          <w:shd w:val="clear" w:color="auto" w:fill="FFFFFF"/>
        </w:rPr>
      </w:pPr>
    </w:p>
    <w:p w14:paraId="20B0165A" w14:textId="52484501" w:rsidR="00CB44E2" w:rsidRDefault="5414EBC9" w:rsidP="27F276F4">
      <w:r>
        <w:t>The MAGICC model is available online with editable tabular input files that represent the baseline emission scenarios introduced in the Intergovernmental Panel on Climate Change’s (IPCC) 2014 Fifth Assessment Report (AR5) and 2021 Sixth Assessment Report (AR6). These representative concentration pathways (RCPs) emulate future scenarios with varying degrees of GHG emission mitigation that result in predicted future changes in radiative forcing (W/m</w:t>
      </w:r>
      <w:r w:rsidRPr="27F276F4">
        <w:rPr>
          <w:vertAlign w:val="superscript"/>
        </w:rPr>
        <w:t>2</w:t>
      </w:r>
      <w:r>
        <w:t>). For example, the RCP2.6 scenario results in a global radiative forcing increase of 2.6 W/m</w:t>
      </w:r>
      <w:r w:rsidRPr="27F276F4">
        <w:rPr>
          <w:vertAlign w:val="superscript"/>
        </w:rPr>
        <w:t>2</w:t>
      </w:r>
      <w:r>
        <w:t xml:space="preserve"> between </w:t>
      </w:r>
      <w:r w:rsidR="551B648C">
        <w:t xml:space="preserve">the years </w:t>
      </w:r>
      <w:r>
        <w:t>1750 and 2100. For this analysis, DEQ chose to evaluate secondary impacts within the RCP2.6 and RCP8.5 pathways because these scenarios cover a range from high to low GHG emission mitigation</w:t>
      </w:r>
      <w:r w:rsidR="7898D1BF">
        <w:t>, respectively</w:t>
      </w:r>
      <w:r>
        <w:t>.  </w:t>
      </w:r>
    </w:p>
    <w:p w14:paraId="1E5638AA" w14:textId="77777777" w:rsidR="00CB44E2" w:rsidRDefault="00CB44E2" w:rsidP="27F276F4"/>
    <w:p w14:paraId="73EA753F" w14:textId="77777777" w:rsidR="0069383F" w:rsidRDefault="00444F99" w:rsidP="27F276F4">
      <w:r w:rsidRPr="00444F99">
        <w:rPr>
          <w:bCs/>
        </w:rPr>
        <w:t>To contextualize the magnitude of future temperature impacts resulting from the Proposed Action’s emissions</w:t>
      </w:r>
      <w:r w:rsidR="5414EBC9">
        <w:t xml:space="preserve">, the </w:t>
      </w:r>
      <w:r w:rsidR="00DB4F56">
        <w:t xml:space="preserve">statewide </w:t>
      </w:r>
      <w:r w:rsidR="5414EBC9">
        <w:t xml:space="preserve">emissions in </w:t>
      </w:r>
      <w:r w:rsidR="5414EBC9" w:rsidRPr="27F276F4">
        <w:rPr>
          <w:b/>
          <w:bCs/>
        </w:rPr>
        <w:t>Table 2</w:t>
      </w:r>
      <w:r w:rsidR="5414EBC9">
        <w:t xml:space="preserve"> were subtracted from the </w:t>
      </w:r>
      <w:r w:rsidR="0063429B">
        <w:t xml:space="preserve">high </w:t>
      </w:r>
      <w:r w:rsidR="00E60ECF">
        <w:t xml:space="preserve">(RCP8.5) and low (RCP2.6) </w:t>
      </w:r>
      <w:r w:rsidR="000A388C">
        <w:t xml:space="preserve">GHG </w:t>
      </w:r>
      <w:r w:rsidR="00E60ECF">
        <w:t>emiss</w:t>
      </w:r>
      <w:r w:rsidR="002212ED">
        <w:t>ion pathway scenario</w:t>
      </w:r>
      <w:r w:rsidR="00712BB6">
        <w:t xml:space="preserve"> input files</w:t>
      </w:r>
      <w:r w:rsidR="00466129">
        <w:t>, and it was assumed that these annual CO2e emissions correspond to a 20-year release</w:t>
      </w:r>
      <w:r w:rsidR="009F7462">
        <w:t>, i</w:t>
      </w:r>
      <w:r w:rsidR="009F7462" w:rsidRPr="006902B1">
        <w:t xml:space="preserve">.e., </w:t>
      </w:r>
      <w:r w:rsidR="000C4785" w:rsidRPr="006902B1">
        <w:t xml:space="preserve">an approximate </w:t>
      </w:r>
      <w:r w:rsidR="009F7462" w:rsidRPr="006902B1">
        <w:t>life of</w:t>
      </w:r>
      <w:r w:rsidR="009F7462">
        <w:t xml:space="preserve"> the </w:t>
      </w:r>
      <w:r w:rsidR="00B4410B">
        <w:t>project</w:t>
      </w:r>
      <w:r w:rsidR="004037C8">
        <w:t>/mine</w:t>
      </w:r>
      <w:r w:rsidR="0063748C">
        <w:t xml:space="preserve">. </w:t>
      </w:r>
    </w:p>
    <w:p w14:paraId="2A8BAF86" w14:textId="77777777" w:rsidR="0069383F" w:rsidRDefault="0069383F" w:rsidP="27F276F4"/>
    <w:p w14:paraId="6CC88D8C" w14:textId="4BD97A40" w:rsidR="00CB44E2" w:rsidRDefault="0063748C" w:rsidP="27F276F4">
      <w:r>
        <w:t>The input files for the online version of MAGICC contain global GHG emissions by GHG species for every decade rather than every year between 2020 and 2100, so the CO2e emissions in Table 2 were subtracted from the 2030, 2040, and 2050 anchor points</w:t>
      </w:r>
      <w:r w:rsidR="5414EBC9">
        <w:t>.  </w:t>
      </w:r>
    </w:p>
    <w:p w14:paraId="0461EB69" w14:textId="77777777" w:rsidR="00ED734B" w:rsidRDefault="00ED734B" w:rsidP="27F276F4"/>
    <w:p w14:paraId="31A922FC" w14:textId="2AFC6348" w:rsidR="00AF6494" w:rsidRDefault="00ED734B" w:rsidP="27F276F4">
      <w:r>
        <w:t>After the example GHG emissions were subtracted from the base scenarios, the model was run using probabilistic mode with the now-modified RCP2.6 and RCP8.5 emission input files.</w:t>
      </w:r>
      <w:r w:rsidR="000F37E1">
        <w:t xml:space="preserve"> The default model output provides the predicted surface temperature increase above the 1850 to 1900 baseline period</w:t>
      </w:r>
      <w:r w:rsidR="002E10CC">
        <w:t xml:space="preserve"> for </w:t>
      </w:r>
      <w:r w:rsidR="002E10CC">
        <w:lastRenderedPageBreak/>
        <w:t>every year between 1995 and 2100.</w:t>
      </w:r>
      <w:r w:rsidR="00AF6494">
        <w:t xml:space="preserve"> The base RCP2.6 and RCP8.5 (i.e., no emission subtracted) were also run using probabilistic mode. For each RCP scenario, the surface temperature results by year in the modified emission scenario were subsequently subtracted from the base emission scenario results, resulting in the increase above baseline future temperature change </w:t>
      </w:r>
      <w:r w:rsidR="00506605" w:rsidRPr="00506605">
        <w:t>(ΔT) in degrees Celsius (°C)</w:t>
      </w:r>
      <w:r w:rsidR="002A7387">
        <w:t xml:space="preserve"> that can be attributed to Montana’s </w:t>
      </w:r>
      <w:r w:rsidR="00773E5C">
        <w:t xml:space="preserve">statewide </w:t>
      </w:r>
      <w:r w:rsidR="000B3879">
        <w:t>CO2e emissions.</w:t>
      </w:r>
    </w:p>
    <w:p w14:paraId="75595439" w14:textId="34D54A4C" w:rsidR="003D5C51" w:rsidRDefault="003D5C51" w:rsidP="27F276F4">
      <w:pPr>
        <w:rPr>
          <w:rStyle w:val="normaltextrun"/>
          <w:rFonts w:ascii="Calibri" w:eastAsiaTheme="majorEastAsia" w:hAnsi="Calibri" w:cs="Calibri"/>
          <w:color w:val="000000"/>
          <w:shd w:val="clear" w:color="auto" w:fill="FFFFFF"/>
        </w:rPr>
      </w:pPr>
    </w:p>
    <w:p w14:paraId="1BBEDF54" w14:textId="490CDA7E" w:rsidR="00E80D10" w:rsidRPr="00274E9A" w:rsidRDefault="21D3E97A" w:rsidP="27F276F4">
      <w:pPr>
        <w:rPr>
          <w:rFonts w:eastAsiaTheme="majorEastAsia"/>
        </w:rPr>
      </w:pPr>
      <w:r w:rsidRPr="00274E9A">
        <w:rPr>
          <w:rFonts w:eastAsiaTheme="majorEastAsia"/>
        </w:rPr>
        <w:t>Table 2</w:t>
      </w:r>
      <w:r w:rsidR="5C6F51FF">
        <w:t>.</w:t>
      </w:r>
      <w:r w:rsidRPr="00274E9A">
        <w:rPr>
          <w:rFonts w:eastAsiaTheme="majorEastAsia"/>
        </w:rPr>
        <w:t xml:space="preserve"> lists the </w:t>
      </w:r>
      <w:r w:rsidR="21F0142F" w:rsidRPr="00274E9A">
        <w:rPr>
          <w:rFonts w:eastAsiaTheme="majorEastAsia"/>
        </w:rPr>
        <w:t xml:space="preserve">MAGICC </w:t>
      </w:r>
      <w:r w:rsidRPr="00274E9A">
        <w:rPr>
          <w:rFonts w:eastAsiaTheme="majorEastAsia"/>
        </w:rPr>
        <w:t xml:space="preserve">model results for the impacts of </w:t>
      </w:r>
      <w:r w:rsidR="21F0142F" w:rsidRPr="00274E9A">
        <w:rPr>
          <w:rFonts w:eastAsiaTheme="majorEastAsia"/>
        </w:rPr>
        <w:t xml:space="preserve">total </w:t>
      </w:r>
      <w:r w:rsidRPr="00274E9A">
        <w:rPr>
          <w:rFonts w:eastAsiaTheme="majorEastAsia"/>
        </w:rPr>
        <w:t xml:space="preserve">CO2e </w:t>
      </w:r>
      <w:r w:rsidR="21F0142F" w:rsidRPr="00274E9A">
        <w:rPr>
          <w:rFonts w:eastAsiaTheme="majorEastAsia"/>
        </w:rPr>
        <w:t xml:space="preserve">generated across all sectors throughout </w:t>
      </w:r>
      <w:r w:rsidRPr="00274E9A">
        <w:rPr>
          <w:rFonts w:eastAsiaTheme="majorEastAsia"/>
        </w:rPr>
        <w:t xml:space="preserve">Montana. The results yield a </w:t>
      </w:r>
      <w:r w:rsidR="0001217D">
        <w:rPr>
          <w:rFonts w:eastAsiaTheme="majorEastAsia"/>
        </w:rPr>
        <w:t>predicted</w:t>
      </w:r>
      <w:r w:rsidRPr="00274E9A">
        <w:rPr>
          <w:rFonts w:eastAsiaTheme="majorEastAsia"/>
        </w:rPr>
        <w:t xml:space="preserve"> </w:t>
      </w:r>
      <w:r>
        <w:t xml:space="preserve">ΔT of </w:t>
      </w:r>
      <w:r w:rsidR="00D90715">
        <w:t xml:space="preserve">0.00049 </w:t>
      </w:r>
      <w:r w:rsidR="5CF1670B">
        <w:t xml:space="preserve">degrees °C </w:t>
      </w:r>
      <w:r>
        <w:t xml:space="preserve">to </w:t>
      </w:r>
      <w:r w:rsidR="00682251" w:rsidRPr="00E31251">
        <w:rPr>
          <w:rFonts w:ascii="Calibri" w:hAnsi="Calibri" w:cs="Calibri"/>
          <w:sz w:val="24"/>
          <w:szCs w:val="24"/>
          <w:lang w:bidi="ar-SA"/>
        </w:rPr>
        <w:t>0.00</w:t>
      </w:r>
      <w:r w:rsidR="00244208" w:rsidRPr="00E31251">
        <w:rPr>
          <w:rFonts w:ascii="Calibri" w:hAnsi="Calibri" w:cs="Calibri"/>
          <w:sz w:val="24"/>
          <w:szCs w:val="24"/>
          <w:lang w:bidi="ar-SA"/>
        </w:rPr>
        <w:t>059</w:t>
      </w:r>
      <w:r w:rsidR="00682251" w:rsidRPr="1B69EF75">
        <w:rPr>
          <w:rFonts w:ascii="Calibri" w:hAnsi="Calibri" w:cs="Calibri"/>
          <w:sz w:val="24"/>
          <w:szCs w:val="24"/>
          <w:lang w:bidi="ar-SA"/>
        </w:rPr>
        <w:t> </w:t>
      </w:r>
      <w:bookmarkStart w:id="31" w:name="_Hlk214001500"/>
      <w:r w:rsidR="5CF1670B">
        <w:t>°C</w:t>
      </w:r>
      <w:bookmarkEnd w:id="31"/>
      <w:r w:rsidR="004B264B">
        <w:t>,</w:t>
      </w:r>
      <w:r w:rsidR="0001217D">
        <w:t xml:space="preserve"> by 2050</w:t>
      </w:r>
      <w:r w:rsidR="00967B83">
        <w:t xml:space="preserve">, and </w:t>
      </w:r>
      <w:r w:rsidR="00137EC1">
        <w:t>a ΔT</w:t>
      </w:r>
      <w:r w:rsidR="00137EC1" w:rsidRPr="1B69EF75">
        <w:rPr>
          <w:rFonts w:ascii="Calibri" w:hAnsi="Calibri" w:cs="Calibri"/>
          <w:sz w:val="24"/>
          <w:szCs w:val="24"/>
          <w:lang w:bidi="ar-SA"/>
        </w:rPr>
        <w:t xml:space="preserve"> </w:t>
      </w:r>
      <w:r w:rsidR="007B7E6F">
        <w:rPr>
          <w:rFonts w:ascii="Calibri" w:hAnsi="Calibri" w:cs="Calibri"/>
          <w:sz w:val="24"/>
          <w:szCs w:val="24"/>
          <w:lang w:bidi="ar-SA"/>
        </w:rPr>
        <w:t xml:space="preserve">of </w:t>
      </w:r>
      <w:r w:rsidR="00137EC1" w:rsidRPr="1B69EF75">
        <w:rPr>
          <w:rFonts w:ascii="Calibri" w:hAnsi="Calibri" w:cs="Calibri"/>
          <w:sz w:val="24"/>
          <w:szCs w:val="24"/>
          <w:lang w:bidi="ar-SA"/>
        </w:rPr>
        <w:t>0.000</w:t>
      </w:r>
      <w:r w:rsidR="007B7E6F">
        <w:rPr>
          <w:rFonts w:ascii="Calibri" w:hAnsi="Calibri" w:cs="Calibri"/>
          <w:sz w:val="24"/>
          <w:szCs w:val="24"/>
          <w:lang w:bidi="ar-SA"/>
        </w:rPr>
        <w:t>5</w:t>
      </w:r>
      <w:r w:rsidR="00137EC1" w:rsidRPr="1B69EF75">
        <w:rPr>
          <w:rFonts w:ascii="Calibri" w:hAnsi="Calibri" w:cs="Calibri"/>
          <w:sz w:val="24"/>
          <w:szCs w:val="24"/>
          <w:lang w:bidi="ar-SA"/>
        </w:rPr>
        <w:t>7</w:t>
      </w:r>
      <w:r w:rsidR="00137EC1">
        <w:rPr>
          <w:rFonts w:ascii="Calibri" w:hAnsi="Calibri" w:cs="Calibri"/>
          <w:sz w:val="24"/>
          <w:szCs w:val="24"/>
          <w:lang w:bidi="ar-SA"/>
        </w:rPr>
        <w:t xml:space="preserve"> </w:t>
      </w:r>
      <w:r w:rsidR="007B7E6F">
        <w:rPr>
          <w:rFonts w:ascii="Calibri" w:hAnsi="Calibri" w:cs="Calibri"/>
          <w:sz w:val="24"/>
          <w:szCs w:val="24"/>
          <w:lang w:bidi="ar-SA"/>
        </w:rPr>
        <w:t>to</w:t>
      </w:r>
      <w:r w:rsidR="004315EB">
        <w:rPr>
          <w:rFonts w:ascii="Calibri" w:hAnsi="Calibri" w:cs="Calibri"/>
          <w:sz w:val="24"/>
          <w:szCs w:val="24"/>
          <w:lang w:bidi="ar-SA"/>
        </w:rPr>
        <w:t xml:space="preserve"> </w:t>
      </w:r>
      <w:r w:rsidR="004315EB" w:rsidRPr="1B69EF75">
        <w:rPr>
          <w:rFonts w:ascii="Calibri" w:hAnsi="Calibri" w:cs="Calibri"/>
          <w:sz w:val="24"/>
          <w:szCs w:val="24"/>
          <w:lang w:bidi="ar-SA"/>
        </w:rPr>
        <w:t>0.000</w:t>
      </w:r>
      <w:r w:rsidR="00916642">
        <w:rPr>
          <w:rFonts w:ascii="Calibri" w:hAnsi="Calibri" w:cs="Calibri"/>
          <w:sz w:val="24"/>
          <w:szCs w:val="24"/>
          <w:lang w:bidi="ar-SA"/>
        </w:rPr>
        <w:t>6</w:t>
      </w:r>
      <w:r w:rsidR="004315EB" w:rsidRPr="1B69EF75">
        <w:rPr>
          <w:rFonts w:ascii="Calibri" w:hAnsi="Calibri" w:cs="Calibri"/>
          <w:sz w:val="24"/>
          <w:szCs w:val="24"/>
          <w:lang w:bidi="ar-SA"/>
        </w:rPr>
        <w:t>7</w:t>
      </w:r>
      <w:r w:rsidR="004315EB">
        <w:rPr>
          <w:rFonts w:ascii="Calibri" w:hAnsi="Calibri" w:cs="Calibri"/>
          <w:sz w:val="24"/>
          <w:szCs w:val="24"/>
          <w:lang w:bidi="ar-SA"/>
        </w:rPr>
        <w:t>, by 2100</w:t>
      </w:r>
      <w:r w:rsidR="21F0142F">
        <w:t xml:space="preserve">. </w:t>
      </w:r>
    </w:p>
    <w:p w14:paraId="10DF022F" w14:textId="77777777" w:rsidR="00274E9A" w:rsidRDefault="00274E9A" w:rsidP="00CE3AD2">
      <w:pPr>
        <w:rPr>
          <w:rStyle w:val="normaltextrun"/>
          <w:rFonts w:ascii="Calibri" w:eastAsiaTheme="majorEastAsia" w:hAnsi="Calibri" w:cs="Calibri"/>
          <w:color w:val="000000"/>
          <w:shd w:val="clear" w:color="auto" w:fill="FFFFFF"/>
        </w:rPr>
      </w:pPr>
    </w:p>
    <w:p w14:paraId="1DA81249" w14:textId="58909309" w:rsidR="00A20DD0" w:rsidRDefault="00A20DD0" w:rsidP="00A20DD0">
      <w:pPr>
        <w:pStyle w:val="Caption"/>
        <w:keepNext/>
      </w:pPr>
      <w:r>
        <w:t xml:space="preserve">Table </w:t>
      </w:r>
      <w:r>
        <w:fldChar w:fldCharType="begin"/>
      </w:r>
      <w:r>
        <w:instrText>SEQ Table \* ARABIC</w:instrText>
      </w:r>
      <w:r>
        <w:fldChar w:fldCharType="separate"/>
      </w:r>
      <w:r w:rsidR="004A13A5">
        <w:rPr>
          <w:noProof/>
        </w:rPr>
        <w:t>2</w:t>
      </w:r>
      <w:r>
        <w:fldChar w:fldCharType="end"/>
      </w:r>
      <w:r>
        <w:t xml:space="preserve">. MAGICC Model </w:t>
      </w:r>
      <w:r w:rsidR="0001217D">
        <w:t>Montana Total</w:t>
      </w:r>
      <w:r>
        <w:t xml:space="preserve"> Annual </w:t>
      </w:r>
      <w:r w:rsidR="0001217D">
        <w:t xml:space="preserve">GHG </w:t>
      </w:r>
      <w:r>
        <w:t>Emissions</w:t>
      </w:r>
      <w:r w:rsidR="0001217D">
        <w:t xml:space="preserve"> (all sectors)</w:t>
      </w:r>
      <w:r>
        <w:t xml:space="preserv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9"/>
        <w:gridCol w:w="1985"/>
        <w:gridCol w:w="1520"/>
        <w:gridCol w:w="1520"/>
        <w:gridCol w:w="1520"/>
        <w:gridCol w:w="1520"/>
      </w:tblGrid>
      <w:tr w:rsidR="00E80D10" w:rsidRPr="00E80D10" w14:paraId="39A3F1EF" w14:textId="77777777" w:rsidTr="27F276F4">
        <w:trPr>
          <w:trHeight w:val="720"/>
        </w:trPr>
        <w:tc>
          <w:tcPr>
            <w:tcW w:w="1279" w:type="dxa"/>
            <w:tcBorders>
              <w:top w:val="single" w:sz="6" w:space="0" w:color="auto"/>
              <w:left w:val="single" w:sz="6" w:space="0" w:color="auto"/>
              <w:bottom w:val="single" w:sz="6" w:space="0" w:color="auto"/>
              <w:right w:val="single" w:sz="6" w:space="0" w:color="auto"/>
            </w:tcBorders>
            <w:shd w:val="clear" w:color="auto" w:fill="CAEDFB"/>
            <w:vAlign w:val="center"/>
            <w:hideMark/>
          </w:tcPr>
          <w:p w14:paraId="62FB0B63"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Scenario</w:t>
            </w:r>
            <w:r w:rsidRPr="00E80D10">
              <w:rPr>
                <w:rFonts w:ascii="Calibri" w:hAnsi="Calibri" w:cs="Calibri"/>
                <w:sz w:val="24"/>
                <w:szCs w:val="24"/>
                <w:lang w:bidi="ar-SA"/>
              </w:rPr>
              <w:t> </w:t>
            </w:r>
          </w:p>
        </w:tc>
        <w:tc>
          <w:tcPr>
            <w:tcW w:w="1985" w:type="dxa"/>
            <w:tcBorders>
              <w:top w:val="single" w:sz="6" w:space="0" w:color="auto"/>
              <w:left w:val="single" w:sz="6" w:space="0" w:color="auto"/>
              <w:bottom w:val="single" w:sz="6" w:space="0" w:color="auto"/>
              <w:right w:val="single" w:sz="6" w:space="0" w:color="auto"/>
            </w:tcBorders>
            <w:shd w:val="clear" w:color="auto" w:fill="CAEDFB"/>
            <w:hideMark/>
          </w:tcPr>
          <w:p w14:paraId="53F0CE93"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Annual Emissions</w:t>
            </w:r>
            <w:r w:rsidRPr="00E80D10">
              <w:rPr>
                <w:rFonts w:ascii="Calibri" w:hAnsi="Calibri" w:cs="Calibri"/>
                <w:sz w:val="24"/>
                <w:szCs w:val="24"/>
                <w:lang w:bidi="ar-SA"/>
              </w:rPr>
              <w:t> </w:t>
            </w:r>
          </w:p>
          <w:p w14:paraId="5831AFAC"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(metric tons CO</w:t>
            </w:r>
            <w:r w:rsidRPr="00E80D10">
              <w:rPr>
                <w:rFonts w:ascii="Calibri" w:hAnsi="Calibri" w:cs="Calibri"/>
                <w:b/>
                <w:bCs/>
                <w:sz w:val="19"/>
                <w:szCs w:val="19"/>
                <w:vertAlign w:val="subscript"/>
                <w:lang w:bidi="ar-SA"/>
              </w:rPr>
              <w:t>2</w:t>
            </w:r>
            <w:r w:rsidRPr="00E80D10">
              <w:rPr>
                <w:rFonts w:ascii="Calibri" w:hAnsi="Calibri" w:cs="Calibri"/>
                <w:b/>
                <w:bCs/>
                <w:sz w:val="24"/>
                <w:szCs w:val="24"/>
                <w:lang w:bidi="ar-SA"/>
              </w:rPr>
              <w:t>e/yr)</w:t>
            </w:r>
            <w:r w:rsidRPr="00E80D10">
              <w:rPr>
                <w:rFonts w:ascii="Calibri" w:hAnsi="Calibri" w:cs="Calibri"/>
                <w:sz w:val="24"/>
                <w:szCs w:val="24"/>
                <w:lang w:bidi="ar-SA"/>
              </w:rPr>
              <w:t> </w:t>
            </w:r>
          </w:p>
        </w:tc>
        <w:tc>
          <w:tcPr>
            <w:tcW w:w="1520" w:type="dxa"/>
            <w:tcBorders>
              <w:top w:val="single" w:sz="6" w:space="0" w:color="auto"/>
              <w:left w:val="single" w:sz="6" w:space="0" w:color="auto"/>
              <w:bottom w:val="single" w:sz="6" w:space="0" w:color="auto"/>
              <w:right w:val="single" w:sz="6" w:space="0" w:color="auto"/>
            </w:tcBorders>
            <w:shd w:val="clear" w:color="auto" w:fill="CAEDFB"/>
            <w:vAlign w:val="center"/>
            <w:hideMark/>
          </w:tcPr>
          <w:p w14:paraId="052D4443" w14:textId="6D74DAED" w:rsidR="00E80D10" w:rsidRPr="00E80D10" w:rsidRDefault="7898D1BF" w:rsidP="00E80D10">
            <w:pPr>
              <w:widowControl/>
              <w:autoSpaceDE/>
              <w:autoSpaceDN/>
              <w:jc w:val="center"/>
              <w:textAlignment w:val="baseline"/>
              <w:rPr>
                <w:rFonts w:ascii="Segoe UI" w:hAnsi="Segoe UI" w:cs="Segoe UI"/>
                <w:sz w:val="18"/>
                <w:szCs w:val="18"/>
                <w:lang w:bidi="ar-SA"/>
              </w:rPr>
            </w:pPr>
            <w:r w:rsidRPr="27F276F4">
              <w:rPr>
                <w:rFonts w:ascii="Calibri" w:hAnsi="Calibri" w:cs="Calibri"/>
                <w:b/>
                <w:bCs/>
                <w:sz w:val="24"/>
                <w:szCs w:val="24"/>
                <w:lang w:bidi="ar-SA"/>
              </w:rPr>
              <w:t>RCP</w:t>
            </w:r>
            <w:r w:rsidR="3B098779" w:rsidRPr="27F276F4">
              <w:rPr>
                <w:rFonts w:ascii="Calibri" w:hAnsi="Calibri" w:cs="Calibri"/>
                <w:b/>
                <w:bCs/>
                <w:sz w:val="24"/>
                <w:szCs w:val="24"/>
                <w:lang w:bidi="ar-SA"/>
              </w:rPr>
              <w:t>2.6 </w:t>
            </w:r>
            <w:r w:rsidR="3B098779" w:rsidRPr="27F276F4">
              <w:rPr>
                <w:rFonts w:ascii="Calibri" w:hAnsi="Calibri" w:cs="Calibri"/>
                <w:sz w:val="24"/>
                <w:szCs w:val="24"/>
                <w:lang w:bidi="ar-SA"/>
              </w:rPr>
              <w:t> </w:t>
            </w:r>
          </w:p>
          <w:p w14:paraId="34A06B99"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ΔT by 2050 (°C)</w:t>
            </w:r>
            <w:r w:rsidRPr="00E80D10">
              <w:rPr>
                <w:rFonts w:ascii="Calibri" w:hAnsi="Calibri" w:cs="Calibri"/>
                <w:sz w:val="24"/>
                <w:szCs w:val="24"/>
                <w:lang w:bidi="ar-SA"/>
              </w:rPr>
              <w:t> </w:t>
            </w:r>
          </w:p>
        </w:tc>
        <w:tc>
          <w:tcPr>
            <w:tcW w:w="1520" w:type="dxa"/>
            <w:tcBorders>
              <w:top w:val="single" w:sz="6" w:space="0" w:color="auto"/>
              <w:left w:val="single" w:sz="6" w:space="0" w:color="auto"/>
              <w:bottom w:val="single" w:sz="6" w:space="0" w:color="auto"/>
              <w:right w:val="single" w:sz="6" w:space="0" w:color="auto"/>
            </w:tcBorders>
            <w:shd w:val="clear" w:color="auto" w:fill="CAEDFB"/>
            <w:vAlign w:val="center"/>
            <w:hideMark/>
          </w:tcPr>
          <w:p w14:paraId="094C9B56" w14:textId="442835D9" w:rsidR="00E80D10" w:rsidRPr="00E80D10" w:rsidRDefault="7898D1BF" w:rsidP="00E80D10">
            <w:pPr>
              <w:widowControl/>
              <w:autoSpaceDE/>
              <w:autoSpaceDN/>
              <w:jc w:val="center"/>
              <w:textAlignment w:val="baseline"/>
              <w:rPr>
                <w:rFonts w:ascii="Segoe UI" w:hAnsi="Segoe UI" w:cs="Segoe UI"/>
                <w:sz w:val="18"/>
                <w:szCs w:val="18"/>
                <w:lang w:bidi="ar-SA"/>
              </w:rPr>
            </w:pPr>
            <w:r w:rsidRPr="27F276F4">
              <w:rPr>
                <w:rFonts w:ascii="Calibri" w:hAnsi="Calibri" w:cs="Calibri"/>
                <w:b/>
                <w:bCs/>
                <w:sz w:val="24"/>
                <w:szCs w:val="24"/>
                <w:lang w:bidi="ar-SA"/>
              </w:rPr>
              <w:t>RCP</w:t>
            </w:r>
            <w:r w:rsidR="3B098779" w:rsidRPr="27F276F4">
              <w:rPr>
                <w:rFonts w:ascii="Calibri" w:hAnsi="Calibri" w:cs="Calibri"/>
                <w:b/>
                <w:bCs/>
                <w:sz w:val="24"/>
                <w:szCs w:val="24"/>
                <w:lang w:bidi="ar-SA"/>
              </w:rPr>
              <w:t>8.5 </w:t>
            </w:r>
            <w:r w:rsidR="3B098779" w:rsidRPr="27F276F4">
              <w:rPr>
                <w:rFonts w:ascii="Calibri" w:hAnsi="Calibri" w:cs="Calibri"/>
                <w:sz w:val="24"/>
                <w:szCs w:val="24"/>
                <w:lang w:bidi="ar-SA"/>
              </w:rPr>
              <w:t> </w:t>
            </w:r>
          </w:p>
          <w:p w14:paraId="5AEFE20C"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ΔT by 2050 (°C)</w:t>
            </w:r>
            <w:r w:rsidRPr="00E80D10">
              <w:rPr>
                <w:rFonts w:ascii="Calibri" w:hAnsi="Calibri" w:cs="Calibri"/>
                <w:sz w:val="24"/>
                <w:szCs w:val="24"/>
                <w:lang w:bidi="ar-SA"/>
              </w:rPr>
              <w:t> </w:t>
            </w:r>
          </w:p>
        </w:tc>
        <w:tc>
          <w:tcPr>
            <w:tcW w:w="1520" w:type="dxa"/>
            <w:tcBorders>
              <w:top w:val="single" w:sz="6" w:space="0" w:color="auto"/>
              <w:left w:val="single" w:sz="6" w:space="0" w:color="auto"/>
              <w:bottom w:val="single" w:sz="6" w:space="0" w:color="auto"/>
              <w:right w:val="single" w:sz="6" w:space="0" w:color="auto"/>
            </w:tcBorders>
            <w:shd w:val="clear" w:color="auto" w:fill="CAEDFB"/>
            <w:vAlign w:val="center"/>
            <w:hideMark/>
          </w:tcPr>
          <w:p w14:paraId="3FBFBBDA" w14:textId="371F800D" w:rsidR="00E80D10" w:rsidRPr="00E80D10" w:rsidRDefault="7898D1BF" w:rsidP="00E80D10">
            <w:pPr>
              <w:widowControl/>
              <w:autoSpaceDE/>
              <w:autoSpaceDN/>
              <w:jc w:val="center"/>
              <w:textAlignment w:val="baseline"/>
              <w:rPr>
                <w:rFonts w:ascii="Segoe UI" w:hAnsi="Segoe UI" w:cs="Segoe UI"/>
                <w:sz w:val="18"/>
                <w:szCs w:val="18"/>
                <w:lang w:bidi="ar-SA"/>
              </w:rPr>
            </w:pPr>
            <w:r w:rsidRPr="27F276F4">
              <w:rPr>
                <w:rFonts w:ascii="Calibri" w:hAnsi="Calibri" w:cs="Calibri"/>
                <w:b/>
                <w:bCs/>
                <w:sz w:val="24"/>
                <w:szCs w:val="24"/>
                <w:lang w:bidi="ar-SA"/>
              </w:rPr>
              <w:t>RCP</w:t>
            </w:r>
            <w:r w:rsidR="3B098779" w:rsidRPr="27F276F4">
              <w:rPr>
                <w:rFonts w:ascii="Calibri" w:hAnsi="Calibri" w:cs="Calibri"/>
                <w:b/>
                <w:bCs/>
                <w:sz w:val="24"/>
                <w:szCs w:val="24"/>
                <w:lang w:bidi="ar-SA"/>
              </w:rPr>
              <w:t>2.6 </w:t>
            </w:r>
            <w:r w:rsidR="3B098779" w:rsidRPr="27F276F4">
              <w:rPr>
                <w:rFonts w:ascii="Calibri" w:hAnsi="Calibri" w:cs="Calibri"/>
                <w:sz w:val="24"/>
                <w:szCs w:val="24"/>
                <w:lang w:bidi="ar-SA"/>
              </w:rPr>
              <w:t> </w:t>
            </w:r>
          </w:p>
          <w:p w14:paraId="39967DB3"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ΔT by 2100 (</w:t>
            </w:r>
            <w:bookmarkStart w:id="32" w:name="_Hlk209682308"/>
            <w:r w:rsidRPr="00E80D10">
              <w:rPr>
                <w:rFonts w:ascii="Calibri" w:hAnsi="Calibri" w:cs="Calibri"/>
                <w:b/>
                <w:bCs/>
                <w:sz w:val="24"/>
                <w:szCs w:val="24"/>
                <w:lang w:bidi="ar-SA"/>
              </w:rPr>
              <w:t>°C</w:t>
            </w:r>
            <w:bookmarkEnd w:id="32"/>
            <w:r w:rsidRPr="00E80D10">
              <w:rPr>
                <w:rFonts w:ascii="Calibri" w:hAnsi="Calibri" w:cs="Calibri"/>
                <w:b/>
                <w:bCs/>
                <w:sz w:val="24"/>
                <w:szCs w:val="24"/>
                <w:lang w:bidi="ar-SA"/>
              </w:rPr>
              <w:t>)</w:t>
            </w:r>
            <w:r w:rsidRPr="00E80D10">
              <w:rPr>
                <w:rFonts w:ascii="Calibri" w:hAnsi="Calibri" w:cs="Calibri"/>
                <w:sz w:val="24"/>
                <w:szCs w:val="24"/>
                <w:lang w:bidi="ar-SA"/>
              </w:rPr>
              <w:t> </w:t>
            </w:r>
          </w:p>
        </w:tc>
        <w:tc>
          <w:tcPr>
            <w:tcW w:w="1520" w:type="dxa"/>
            <w:tcBorders>
              <w:top w:val="single" w:sz="6" w:space="0" w:color="auto"/>
              <w:left w:val="single" w:sz="6" w:space="0" w:color="auto"/>
              <w:bottom w:val="single" w:sz="6" w:space="0" w:color="auto"/>
              <w:right w:val="single" w:sz="6" w:space="0" w:color="auto"/>
            </w:tcBorders>
            <w:shd w:val="clear" w:color="auto" w:fill="CAEDFB"/>
            <w:vAlign w:val="center"/>
            <w:hideMark/>
          </w:tcPr>
          <w:p w14:paraId="5D611E42" w14:textId="20458327" w:rsidR="00E80D10" w:rsidRPr="00E80D10" w:rsidRDefault="7898D1BF" w:rsidP="00E80D10">
            <w:pPr>
              <w:widowControl/>
              <w:autoSpaceDE/>
              <w:autoSpaceDN/>
              <w:jc w:val="center"/>
              <w:textAlignment w:val="baseline"/>
              <w:rPr>
                <w:rFonts w:ascii="Segoe UI" w:hAnsi="Segoe UI" w:cs="Segoe UI"/>
                <w:sz w:val="18"/>
                <w:szCs w:val="18"/>
                <w:lang w:bidi="ar-SA"/>
              </w:rPr>
            </w:pPr>
            <w:r w:rsidRPr="27F276F4">
              <w:rPr>
                <w:rFonts w:ascii="Calibri" w:hAnsi="Calibri" w:cs="Calibri"/>
                <w:b/>
                <w:bCs/>
                <w:sz w:val="24"/>
                <w:szCs w:val="24"/>
                <w:lang w:bidi="ar-SA"/>
              </w:rPr>
              <w:t>RCP</w:t>
            </w:r>
            <w:r w:rsidR="3B098779" w:rsidRPr="27F276F4">
              <w:rPr>
                <w:rFonts w:ascii="Calibri" w:hAnsi="Calibri" w:cs="Calibri"/>
                <w:b/>
                <w:bCs/>
                <w:sz w:val="24"/>
                <w:szCs w:val="24"/>
                <w:lang w:bidi="ar-SA"/>
              </w:rPr>
              <w:t>8.5 </w:t>
            </w:r>
            <w:r w:rsidR="3B098779" w:rsidRPr="27F276F4">
              <w:rPr>
                <w:rFonts w:ascii="Calibri" w:hAnsi="Calibri" w:cs="Calibri"/>
                <w:sz w:val="24"/>
                <w:szCs w:val="24"/>
                <w:lang w:bidi="ar-SA"/>
              </w:rPr>
              <w:t> </w:t>
            </w:r>
          </w:p>
          <w:p w14:paraId="71D2A8D5" w14:textId="77777777" w:rsidR="00E80D10" w:rsidRPr="00E80D10" w:rsidRDefault="00E80D10" w:rsidP="00E80D10">
            <w:pPr>
              <w:widowControl/>
              <w:autoSpaceDE/>
              <w:autoSpaceDN/>
              <w:jc w:val="center"/>
              <w:textAlignment w:val="baseline"/>
              <w:rPr>
                <w:rFonts w:ascii="Segoe UI" w:hAnsi="Segoe UI" w:cs="Segoe UI"/>
                <w:sz w:val="18"/>
                <w:szCs w:val="18"/>
                <w:lang w:bidi="ar-SA"/>
              </w:rPr>
            </w:pPr>
            <w:r w:rsidRPr="00E80D10">
              <w:rPr>
                <w:rFonts w:ascii="Calibri" w:hAnsi="Calibri" w:cs="Calibri"/>
                <w:b/>
                <w:bCs/>
                <w:sz w:val="24"/>
                <w:szCs w:val="24"/>
                <w:lang w:bidi="ar-SA"/>
              </w:rPr>
              <w:t>ΔT by 2100 (°C)</w:t>
            </w:r>
            <w:r w:rsidRPr="00E80D10">
              <w:rPr>
                <w:rFonts w:ascii="Calibri" w:hAnsi="Calibri" w:cs="Calibri"/>
                <w:sz w:val="24"/>
                <w:szCs w:val="24"/>
                <w:lang w:bidi="ar-SA"/>
              </w:rPr>
              <w:t> </w:t>
            </w:r>
          </w:p>
        </w:tc>
      </w:tr>
      <w:tr w:rsidR="00E80D10" w:rsidRPr="00E80D10" w14:paraId="58D3F472" w14:textId="77777777" w:rsidTr="27F276F4">
        <w:trPr>
          <w:trHeight w:val="345"/>
        </w:trPr>
        <w:tc>
          <w:tcPr>
            <w:tcW w:w="1279" w:type="dxa"/>
            <w:tcBorders>
              <w:top w:val="single" w:sz="6" w:space="0" w:color="auto"/>
              <w:left w:val="single" w:sz="6" w:space="0" w:color="auto"/>
              <w:bottom w:val="single" w:sz="6" w:space="0" w:color="auto"/>
              <w:right w:val="single" w:sz="6" w:space="0" w:color="auto"/>
            </w:tcBorders>
            <w:vAlign w:val="center"/>
            <w:hideMark/>
          </w:tcPr>
          <w:p w14:paraId="2A9BB373" w14:textId="77777777" w:rsidR="00E80D10" w:rsidRPr="0063691F" w:rsidRDefault="00E80D10" w:rsidP="00E80D10">
            <w:pPr>
              <w:widowControl/>
              <w:autoSpaceDE/>
              <w:autoSpaceDN/>
              <w:jc w:val="left"/>
              <w:textAlignment w:val="baseline"/>
              <w:rPr>
                <w:rFonts w:ascii="Segoe UI" w:hAnsi="Segoe UI" w:cs="Segoe UI"/>
                <w:sz w:val="18"/>
                <w:szCs w:val="18"/>
                <w:lang w:bidi="ar-SA"/>
              </w:rPr>
            </w:pPr>
            <w:r w:rsidRPr="0063691F">
              <w:rPr>
                <w:rFonts w:ascii="Calibri" w:hAnsi="Calibri" w:cs="Calibri"/>
                <w:sz w:val="24"/>
                <w:szCs w:val="24"/>
                <w:lang w:bidi="ar-SA"/>
              </w:rPr>
              <w:t>Statewide Emissions </w:t>
            </w:r>
          </w:p>
          <w:p w14:paraId="32401CFE" w14:textId="77777777" w:rsidR="00E80D10" w:rsidRPr="0063691F" w:rsidRDefault="00E80D10" w:rsidP="00E80D10">
            <w:pPr>
              <w:widowControl/>
              <w:autoSpaceDE/>
              <w:autoSpaceDN/>
              <w:jc w:val="left"/>
              <w:textAlignment w:val="baseline"/>
              <w:rPr>
                <w:rFonts w:ascii="Segoe UI" w:hAnsi="Segoe UI" w:cs="Segoe UI"/>
                <w:sz w:val="18"/>
                <w:szCs w:val="18"/>
                <w:lang w:bidi="ar-SA"/>
              </w:rPr>
            </w:pPr>
            <w:r w:rsidRPr="0063691F">
              <w:rPr>
                <w:rFonts w:ascii="Calibri" w:hAnsi="Calibri" w:cs="Calibri"/>
                <w:sz w:val="24"/>
                <w:szCs w:val="24"/>
                <w:lang w:bidi="ar-SA"/>
              </w:rPr>
              <w:t>Scenario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0A50A6C" w14:textId="77777777" w:rsidR="00E80D10" w:rsidRPr="0063691F" w:rsidRDefault="00E80D10" w:rsidP="00E80D10">
            <w:pPr>
              <w:widowControl/>
              <w:autoSpaceDE/>
              <w:autoSpaceDN/>
              <w:jc w:val="center"/>
              <w:textAlignment w:val="baseline"/>
              <w:rPr>
                <w:rFonts w:ascii="Segoe UI" w:hAnsi="Segoe UI" w:cs="Segoe UI"/>
                <w:sz w:val="18"/>
                <w:szCs w:val="18"/>
                <w:lang w:bidi="ar-SA"/>
              </w:rPr>
            </w:pPr>
            <w:r w:rsidRPr="0063691F">
              <w:rPr>
                <w:rFonts w:ascii="Calibri" w:hAnsi="Calibri" w:cs="Calibri"/>
                <w:sz w:val="24"/>
                <w:szCs w:val="24"/>
                <w:lang w:bidi="ar-SA"/>
              </w:rPr>
              <w:t>50.74 million </w:t>
            </w:r>
          </w:p>
        </w:tc>
        <w:tc>
          <w:tcPr>
            <w:tcW w:w="1520" w:type="dxa"/>
            <w:tcBorders>
              <w:top w:val="single" w:sz="6" w:space="0" w:color="auto"/>
              <w:left w:val="single" w:sz="6" w:space="0" w:color="auto"/>
              <w:bottom w:val="single" w:sz="6" w:space="0" w:color="auto"/>
              <w:right w:val="single" w:sz="6" w:space="0" w:color="auto"/>
            </w:tcBorders>
            <w:vAlign w:val="center"/>
            <w:hideMark/>
          </w:tcPr>
          <w:p w14:paraId="368DBC62" w14:textId="5E0D65BA" w:rsidR="00E80D10" w:rsidRPr="0063691F" w:rsidRDefault="773751AA" w:rsidP="00E80D10">
            <w:pPr>
              <w:widowControl/>
              <w:autoSpaceDE/>
              <w:autoSpaceDN/>
              <w:jc w:val="center"/>
              <w:textAlignment w:val="baseline"/>
              <w:rPr>
                <w:rFonts w:ascii="Segoe UI" w:hAnsi="Segoe UI" w:cs="Segoe UI"/>
                <w:sz w:val="18"/>
                <w:szCs w:val="18"/>
                <w:lang w:bidi="ar-SA"/>
              </w:rPr>
            </w:pPr>
            <w:r w:rsidRPr="00E31251">
              <w:rPr>
                <w:rFonts w:ascii="Calibri" w:hAnsi="Calibri" w:cs="Calibri"/>
                <w:sz w:val="24"/>
                <w:szCs w:val="24"/>
                <w:lang w:bidi="ar-SA"/>
              </w:rPr>
              <w:t>0.</w:t>
            </w:r>
            <w:r w:rsidR="0063691F" w:rsidRPr="00E31251">
              <w:rPr>
                <w:rFonts w:ascii="Calibri" w:hAnsi="Calibri" w:cs="Calibri"/>
                <w:sz w:val="24"/>
                <w:szCs w:val="24"/>
                <w:lang w:bidi="ar-SA"/>
              </w:rPr>
              <w:t>00059</w:t>
            </w:r>
            <w:r w:rsidR="0063691F" w:rsidRPr="0063691F">
              <w:rPr>
                <w:rFonts w:ascii="Calibri" w:hAnsi="Calibri" w:cs="Calibri"/>
                <w:sz w:val="24"/>
                <w:szCs w:val="24"/>
                <w:lang w:bidi="ar-SA"/>
              </w:rPr>
              <w:t> </w:t>
            </w:r>
          </w:p>
        </w:tc>
        <w:tc>
          <w:tcPr>
            <w:tcW w:w="1520" w:type="dxa"/>
            <w:tcBorders>
              <w:top w:val="single" w:sz="6" w:space="0" w:color="auto"/>
              <w:left w:val="single" w:sz="6" w:space="0" w:color="auto"/>
              <w:bottom w:val="single" w:sz="6" w:space="0" w:color="auto"/>
              <w:right w:val="single" w:sz="6" w:space="0" w:color="auto"/>
            </w:tcBorders>
            <w:vAlign w:val="center"/>
            <w:hideMark/>
          </w:tcPr>
          <w:p w14:paraId="7680CBB2" w14:textId="05F29DE0" w:rsidR="00E80D10" w:rsidRPr="0063691F" w:rsidRDefault="448607B9" w:rsidP="00E80D10">
            <w:pPr>
              <w:widowControl/>
              <w:autoSpaceDE/>
              <w:autoSpaceDN/>
              <w:jc w:val="center"/>
              <w:textAlignment w:val="baseline"/>
              <w:rPr>
                <w:rFonts w:ascii="Segoe UI" w:hAnsi="Segoe UI" w:cs="Segoe UI"/>
                <w:sz w:val="18"/>
                <w:szCs w:val="18"/>
                <w:lang w:bidi="ar-SA"/>
              </w:rPr>
            </w:pPr>
            <w:r w:rsidRPr="0063691F">
              <w:rPr>
                <w:rFonts w:ascii="Calibri" w:hAnsi="Calibri" w:cs="Calibri"/>
                <w:sz w:val="24"/>
                <w:szCs w:val="24"/>
                <w:lang w:bidi="ar-SA"/>
              </w:rPr>
              <w:t>0.000</w:t>
            </w:r>
            <w:r w:rsidR="64D700DF" w:rsidRPr="0063691F">
              <w:rPr>
                <w:rFonts w:ascii="Calibri" w:hAnsi="Calibri" w:cs="Calibri"/>
                <w:sz w:val="24"/>
                <w:szCs w:val="24"/>
                <w:lang w:bidi="ar-SA"/>
              </w:rPr>
              <w:t>49 </w:t>
            </w:r>
          </w:p>
        </w:tc>
        <w:tc>
          <w:tcPr>
            <w:tcW w:w="1520" w:type="dxa"/>
            <w:tcBorders>
              <w:top w:val="single" w:sz="6" w:space="0" w:color="auto"/>
              <w:left w:val="single" w:sz="6" w:space="0" w:color="auto"/>
              <w:bottom w:val="single" w:sz="6" w:space="0" w:color="auto"/>
              <w:right w:val="single" w:sz="6" w:space="0" w:color="auto"/>
            </w:tcBorders>
            <w:vAlign w:val="center"/>
            <w:hideMark/>
          </w:tcPr>
          <w:p w14:paraId="46137289" w14:textId="5C9EACEC" w:rsidR="00E80D10" w:rsidRPr="0063691F" w:rsidRDefault="79E0F66B" w:rsidP="00E80D10">
            <w:pPr>
              <w:widowControl/>
              <w:autoSpaceDE/>
              <w:autoSpaceDN/>
              <w:jc w:val="center"/>
              <w:textAlignment w:val="baseline"/>
              <w:rPr>
                <w:rFonts w:ascii="Segoe UI" w:hAnsi="Segoe UI" w:cs="Segoe UI"/>
                <w:sz w:val="18"/>
                <w:szCs w:val="18"/>
                <w:lang w:bidi="ar-SA"/>
              </w:rPr>
            </w:pPr>
            <w:r w:rsidRPr="0063691F">
              <w:rPr>
                <w:rFonts w:ascii="Calibri" w:hAnsi="Calibri" w:cs="Calibri"/>
                <w:sz w:val="24"/>
                <w:szCs w:val="24"/>
                <w:lang w:bidi="ar-SA"/>
              </w:rPr>
              <w:t>0.000</w:t>
            </w:r>
            <w:r w:rsidR="64D700DF" w:rsidRPr="0063691F">
              <w:rPr>
                <w:rFonts w:ascii="Calibri" w:hAnsi="Calibri" w:cs="Calibri"/>
                <w:sz w:val="24"/>
                <w:szCs w:val="24"/>
                <w:lang w:bidi="ar-SA"/>
              </w:rPr>
              <w:t>67 </w:t>
            </w:r>
          </w:p>
        </w:tc>
        <w:tc>
          <w:tcPr>
            <w:tcW w:w="1520" w:type="dxa"/>
            <w:tcBorders>
              <w:top w:val="single" w:sz="6" w:space="0" w:color="auto"/>
              <w:left w:val="single" w:sz="6" w:space="0" w:color="auto"/>
              <w:bottom w:val="single" w:sz="6" w:space="0" w:color="auto"/>
              <w:right w:val="single" w:sz="6" w:space="0" w:color="auto"/>
            </w:tcBorders>
            <w:vAlign w:val="center"/>
            <w:hideMark/>
          </w:tcPr>
          <w:p w14:paraId="731DC9CF" w14:textId="5FCC889C" w:rsidR="00E80D10" w:rsidRPr="00E80D10" w:rsidRDefault="78425EB0" w:rsidP="00E80D10">
            <w:pPr>
              <w:widowControl/>
              <w:autoSpaceDE/>
              <w:autoSpaceDN/>
              <w:jc w:val="center"/>
              <w:textAlignment w:val="baseline"/>
              <w:rPr>
                <w:rFonts w:ascii="Segoe UI" w:hAnsi="Segoe UI" w:cs="Segoe UI"/>
                <w:sz w:val="18"/>
                <w:szCs w:val="18"/>
                <w:lang w:bidi="ar-SA"/>
              </w:rPr>
            </w:pPr>
            <w:r w:rsidRPr="0063691F">
              <w:rPr>
                <w:rFonts w:ascii="Calibri" w:hAnsi="Calibri" w:cs="Calibri"/>
                <w:sz w:val="24"/>
                <w:szCs w:val="24"/>
                <w:lang w:bidi="ar-SA"/>
              </w:rPr>
              <w:t>0.000</w:t>
            </w:r>
            <w:r w:rsidR="64D700DF" w:rsidRPr="0063691F">
              <w:rPr>
                <w:rFonts w:ascii="Calibri" w:hAnsi="Calibri" w:cs="Calibri"/>
                <w:sz w:val="24"/>
                <w:szCs w:val="24"/>
                <w:lang w:bidi="ar-SA"/>
              </w:rPr>
              <w:t>57</w:t>
            </w:r>
            <w:r w:rsidR="64D700DF" w:rsidRPr="1B69EF75">
              <w:rPr>
                <w:rFonts w:ascii="Calibri" w:hAnsi="Calibri" w:cs="Calibri"/>
                <w:sz w:val="24"/>
                <w:szCs w:val="24"/>
                <w:lang w:bidi="ar-SA"/>
              </w:rPr>
              <w:t> </w:t>
            </w:r>
          </w:p>
        </w:tc>
      </w:tr>
    </w:tbl>
    <w:p w14:paraId="6B0A4FCD" w14:textId="11629F60" w:rsidR="00246FAF" w:rsidRDefault="00246FAF" w:rsidP="009D1C41">
      <w:pPr>
        <w:rPr>
          <w:rFonts w:eastAsiaTheme="majorEastAsia"/>
        </w:rPr>
      </w:pPr>
    </w:p>
    <w:p w14:paraId="34FC97DB" w14:textId="2488B67B" w:rsidR="00C5502F" w:rsidRDefault="7E2FC733" w:rsidP="009D1C41">
      <w:r>
        <w:t xml:space="preserve">For context, Montana’s temperature has risen by approximately 2.5 degrees </w:t>
      </w:r>
      <w:r w:rsidR="6F378586">
        <w:t>Fahrenheit</w:t>
      </w:r>
      <w:r w:rsidR="00B20080">
        <w:t xml:space="preserve"> </w:t>
      </w:r>
      <w:r w:rsidR="009807FF">
        <w:t>(</w:t>
      </w:r>
      <w:r w:rsidR="009807FF">
        <w:rPr>
          <w:rFonts w:cstheme="minorHAnsi"/>
        </w:rPr>
        <w:t>º</w:t>
      </w:r>
      <w:r w:rsidR="009807FF">
        <w:t>F)</w:t>
      </w:r>
      <w:r>
        <w:t xml:space="preserve">, or 1.4 </w:t>
      </w:r>
      <w:r w:rsidR="00AD394B">
        <w:rPr>
          <w:rFonts w:cstheme="minorHAnsi"/>
        </w:rPr>
        <w:t>º</w:t>
      </w:r>
      <w:r>
        <w:t xml:space="preserve">C, from 1900 to 2020 (NOAA, 2022), and is expected to increase approximately this same amount between 2020 and 2050, (Alder &amp; Hostetler, 2013), equating to roughly 0.46 </w:t>
      </w:r>
      <w:r w:rsidR="0076528E">
        <w:rPr>
          <w:rFonts w:cstheme="minorHAnsi"/>
        </w:rPr>
        <w:t>º</w:t>
      </w:r>
      <w:r>
        <w:t>C of warming per decade over this future</w:t>
      </w:r>
      <w:r w:rsidR="6F378586">
        <w:t xml:space="preserve"> </w:t>
      </w:r>
      <w:r>
        <w:t>period in Montana. Incorporating</w:t>
      </w:r>
      <w:r w:rsidR="6F378586">
        <w:t xml:space="preserve"> only</w:t>
      </w:r>
      <w:r>
        <w:t xml:space="preserve"> the GHG emissions from the proposed action</w:t>
      </w:r>
      <w:r w:rsidR="6F378586">
        <w:t>, therefore, is expected to</w:t>
      </w:r>
      <w:r>
        <w:t xml:space="preserve"> result in a negligible impact on the Montana environment. </w:t>
      </w:r>
    </w:p>
    <w:p w14:paraId="0703C5B0" w14:textId="77777777" w:rsidR="00C5502F" w:rsidRDefault="00C5502F" w:rsidP="009D1C41"/>
    <w:p w14:paraId="3FB81846" w14:textId="532552E8" w:rsidR="009D1C41" w:rsidRDefault="7E2FC733" w:rsidP="009D1C41">
      <w:r>
        <w:t>For example, t</w:t>
      </w:r>
      <w:r w:rsidR="31FDBC58">
        <w:t>he impacts of climate change throughout the eastern portion of Montana include changes in flooding and drought, rising temperatures, and the spread of invasive species (BLM 2021).</w:t>
      </w:r>
      <w:r>
        <w:t xml:space="preserve"> The BLM Specialist Report also indicates that higher global surface temperatures may result in longer growing seasons, decreases in snowpack</w:t>
      </w:r>
      <w:r w:rsidR="00500BBF">
        <w:t>, and drier</w:t>
      </w:r>
      <w:r>
        <w:t xml:space="preserve"> forests resulting in increased likelihood of forest fires</w:t>
      </w:r>
      <w:r w:rsidR="0092142D">
        <w:t xml:space="preserve"> in Montana</w:t>
      </w:r>
      <w:r>
        <w:t xml:space="preserve">. (BLM 2024). The Great Plains, including Montana, are already experiencing climate impacts such as reduced peak streamflow, more intense spring storms, and increased localized drought. (Knapp, 2023). The Montana Climate Assessment (Whitlock, 2017) discussed similar climate impacts, providing comprehensive data on Montana’s current health profile, including how the populations’ health may be impacted (Adams, 2021). </w:t>
      </w:r>
    </w:p>
    <w:p w14:paraId="43344327" w14:textId="77777777" w:rsidR="00C5502F" w:rsidRDefault="00C5502F" w:rsidP="009D1C41"/>
    <w:p w14:paraId="4DED4A33" w14:textId="16DB0574" w:rsidR="00C5502F" w:rsidRDefault="7E2FC733" w:rsidP="009D1C41">
      <w:r>
        <w:t xml:space="preserve">However, as stated, due to the inherent cumulative and global nature of climate change, </w:t>
      </w:r>
      <w:r w:rsidR="6F378586">
        <w:t>it’s</w:t>
      </w:r>
      <w:r>
        <w:t xml:space="preserve"> currently unfeasible</w:t>
      </w:r>
      <w:r w:rsidR="6F378586">
        <w:t xml:space="preserve"> with best available technology</w:t>
      </w:r>
      <w:r>
        <w:t xml:space="preserve">, </w:t>
      </w:r>
      <w:r w:rsidR="00A01625">
        <w:t>i.e., models</w:t>
      </w:r>
      <w:r w:rsidR="00FB72F3">
        <w:t xml:space="preserve"> such as MAGICC</w:t>
      </w:r>
      <w:r>
        <w:t>, to link a single source of GHG emissions to a specific environmental impact</w:t>
      </w:r>
      <w:r w:rsidR="00A01625">
        <w:t>, such as ΔT</w:t>
      </w:r>
      <w:r>
        <w:t xml:space="preserve">. GHGs mix in the atmosphere due to atmospheric circulation, </w:t>
      </w:r>
      <w:r w:rsidR="6F378586">
        <w:t xml:space="preserve">and are incorporated into every other global emission source, blurring regional signals. (NOAA, 2025; United States Environmental Protection Agency, 2025b, 2025c). </w:t>
      </w:r>
    </w:p>
    <w:p w14:paraId="0FB7C9CD" w14:textId="77777777" w:rsidR="00500BBF" w:rsidRDefault="00500BBF" w:rsidP="009D1C41"/>
    <w:p w14:paraId="2667A39A" w14:textId="1513E75D" w:rsidR="004050A6" w:rsidRDefault="089AC86D" w:rsidP="27F276F4">
      <w:pPr>
        <w:rPr>
          <w:b/>
          <w:bCs/>
          <w:i/>
          <w:iCs/>
        </w:rPr>
      </w:pPr>
      <w:r w:rsidRPr="27F276F4">
        <w:rPr>
          <w:b/>
          <w:bCs/>
          <w:i/>
          <w:iCs/>
        </w:rPr>
        <w:t>Cumulative Impacts</w:t>
      </w:r>
    </w:p>
    <w:p w14:paraId="3F3D201B" w14:textId="77777777" w:rsidR="00274E9A" w:rsidRDefault="029B0299" w:rsidP="1B69EF75">
      <w:bookmarkStart w:id="33" w:name="_Toc63946640"/>
      <w:r>
        <w:t xml:space="preserve">Montana recently used the EPA State Inventory Tool (SIT) to develop a greenhouse gas inventory in conjunction with preparation of a possible grant application for the Community Planning Reduction Grant (CPRG) program. This tool was </w:t>
      </w:r>
      <w:r w:rsidR="3420F311">
        <w:t xml:space="preserve">designed </w:t>
      </w:r>
      <w:r>
        <w:t>by</w:t>
      </w:r>
      <w:r w:rsidR="3420F311">
        <w:t xml:space="preserve"> the</w:t>
      </w:r>
      <w:r>
        <w:t xml:space="preserve"> EPA to help states develop their own greenhouse gas inventories, and this relies upon data already collected by the federal government through various agencies. The inventory specifically </w:t>
      </w:r>
      <w:r w:rsidR="3420F311">
        <w:t>accounts for</w:t>
      </w:r>
      <w:r>
        <w:t xml:space="preserve"> </w:t>
      </w:r>
      <w:r w:rsidR="21F0142F">
        <w:t>CO</w:t>
      </w:r>
      <w:r w:rsidR="21F0142F" w:rsidRPr="004800E8">
        <w:rPr>
          <w:vertAlign w:val="subscript"/>
        </w:rPr>
        <w:t>2</w:t>
      </w:r>
      <w:r>
        <w:t xml:space="preserve">, </w:t>
      </w:r>
      <w:r w:rsidR="21F0142F">
        <w:t>CH</w:t>
      </w:r>
      <w:r w:rsidR="21F0142F" w:rsidRPr="004800E8">
        <w:rPr>
          <w:vertAlign w:val="subscript"/>
        </w:rPr>
        <w:t>4</w:t>
      </w:r>
      <w:r>
        <w:t xml:space="preserve">, and </w:t>
      </w:r>
      <w:r w:rsidR="21F0142F">
        <w:t>N</w:t>
      </w:r>
      <w:r w:rsidR="21F0142F" w:rsidRPr="004800E8">
        <w:rPr>
          <w:vertAlign w:val="subscript"/>
        </w:rPr>
        <w:t>2</w:t>
      </w:r>
      <w:r w:rsidR="21F0142F">
        <w:t xml:space="preserve">O </w:t>
      </w:r>
      <w:r>
        <w:t>and reports the total as CO</w:t>
      </w:r>
      <w:r w:rsidRPr="004800E8">
        <w:rPr>
          <w:vertAlign w:val="subscript"/>
        </w:rPr>
        <w:t>2</w:t>
      </w:r>
      <w:r>
        <w:t xml:space="preserve">e. The SIT </w:t>
      </w:r>
      <w:r>
        <w:lastRenderedPageBreak/>
        <w:t>consists of eleven Excel based modules with pre-populated data that can be used with default settings or</w:t>
      </w:r>
      <w:r w:rsidR="21F0142F">
        <w:t>,</w:t>
      </w:r>
      <w:r>
        <w:t xml:space="preserve"> in some cases, allows states to input their own data when the state believes their own data provides a higher level of quality and accuracy. </w:t>
      </w:r>
    </w:p>
    <w:p w14:paraId="64245572" w14:textId="77777777" w:rsidR="004800E8" w:rsidRDefault="004800E8" w:rsidP="27F276F4"/>
    <w:p w14:paraId="5A6AC9F1" w14:textId="56636C43" w:rsidR="00CD4389" w:rsidRPr="00CD4389" w:rsidRDefault="029B0299" w:rsidP="27F276F4">
      <w:pPr>
        <w:rPr>
          <w:rFonts w:ascii="Segoe UI" w:hAnsi="Segoe UI" w:cs="Segoe UI"/>
          <w:sz w:val="18"/>
          <w:szCs w:val="18"/>
        </w:rPr>
      </w:pPr>
      <w:r w:rsidRPr="27F276F4">
        <w:rPr>
          <w:rFonts w:ascii="Calibri" w:hAnsi="Calibri" w:cs="Calibri"/>
        </w:rPr>
        <w:t xml:space="preserve">Once each of the eleven modules is filled out, the data from each module is exported into a final “synthesis” module which summarizes all of the data into a single file. Within the synthesis file, several worksheets display the output data in a number of formats such as GHG emissions by sector and GHG emissions by type of </w:t>
      </w:r>
      <w:r w:rsidR="21F0142F" w:rsidRPr="27F276F4">
        <w:rPr>
          <w:rFonts w:ascii="Calibri" w:hAnsi="Calibri" w:cs="Calibri"/>
        </w:rPr>
        <w:t>GHG</w:t>
      </w:r>
      <w:r w:rsidRPr="27F276F4">
        <w:rPr>
          <w:rFonts w:ascii="Calibri" w:hAnsi="Calibri" w:cs="Calibri"/>
        </w:rPr>
        <w:t>.   </w:t>
      </w:r>
    </w:p>
    <w:p w14:paraId="4DD20229" w14:textId="77777777" w:rsidR="00CD4389" w:rsidRPr="00CD4389" w:rsidRDefault="029B0299" w:rsidP="27F276F4">
      <w:pPr>
        <w:rPr>
          <w:rFonts w:ascii="Segoe UI" w:hAnsi="Segoe UI" w:cs="Segoe UI"/>
          <w:sz w:val="18"/>
          <w:szCs w:val="18"/>
        </w:rPr>
      </w:pPr>
      <w:r w:rsidRPr="27F276F4">
        <w:rPr>
          <w:rFonts w:ascii="Calibri" w:hAnsi="Calibri" w:cs="Calibri"/>
        </w:rPr>
        <w:t> </w:t>
      </w:r>
    </w:p>
    <w:p w14:paraId="0CA9B00C" w14:textId="46C121BA" w:rsidR="00CD4389" w:rsidRPr="00CD4389" w:rsidRDefault="029B0299" w:rsidP="27F276F4">
      <w:pPr>
        <w:rPr>
          <w:rFonts w:ascii="Segoe UI" w:hAnsi="Segoe UI" w:cs="Segoe UI"/>
          <w:sz w:val="18"/>
          <w:szCs w:val="18"/>
        </w:rPr>
      </w:pPr>
      <w:r w:rsidRPr="27F276F4">
        <w:rPr>
          <w:rFonts w:ascii="Calibri" w:hAnsi="Calibri" w:cs="Calibri"/>
        </w:rPr>
        <w:t xml:space="preserve">DEQ determined the use of the default data provides a reasonable representation of the </w:t>
      </w:r>
      <w:r w:rsidR="21F0142F" w:rsidRPr="27F276F4">
        <w:rPr>
          <w:rFonts w:ascii="Calibri" w:hAnsi="Calibri" w:cs="Calibri"/>
        </w:rPr>
        <w:t>GHG</w:t>
      </w:r>
      <w:r w:rsidRPr="27F276F4">
        <w:rPr>
          <w:rFonts w:ascii="Calibri" w:hAnsi="Calibri" w:cs="Calibri"/>
        </w:rPr>
        <w:t xml:space="preserve"> inventory for the various sectors of </w:t>
      </w:r>
      <w:r w:rsidR="611414D9" w:rsidRPr="27F276F4">
        <w:rPr>
          <w:rFonts w:ascii="Calibri" w:hAnsi="Calibri" w:cs="Calibri"/>
        </w:rPr>
        <w:t>Montana</w:t>
      </w:r>
      <w:r w:rsidRPr="27F276F4">
        <w:rPr>
          <w:rFonts w:ascii="Calibri" w:hAnsi="Calibri" w:cs="Calibri"/>
        </w:rPr>
        <w:t xml:space="preserve"> and the estimated total annual </w:t>
      </w:r>
      <w:r w:rsidR="21F0142F" w:rsidRPr="27F276F4">
        <w:rPr>
          <w:rFonts w:ascii="Calibri" w:hAnsi="Calibri" w:cs="Calibri"/>
        </w:rPr>
        <w:t>GHG</w:t>
      </w:r>
      <w:r w:rsidRPr="27F276F4">
        <w:rPr>
          <w:rFonts w:ascii="Calibri" w:hAnsi="Calibri" w:cs="Calibri"/>
        </w:rPr>
        <w:t xml:space="preserve"> inventory by year. The </w:t>
      </w:r>
      <w:r w:rsidR="611414D9" w:rsidRPr="27F276F4">
        <w:rPr>
          <w:rFonts w:ascii="Calibri" w:hAnsi="Calibri" w:cs="Calibri"/>
        </w:rPr>
        <w:t xml:space="preserve">most recent </w:t>
      </w:r>
      <w:r w:rsidRPr="27F276F4">
        <w:rPr>
          <w:rFonts w:ascii="Calibri" w:hAnsi="Calibri" w:cs="Calibri"/>
        </w:rPr>
        <w:t>SIT data</w:t>
      </w:r>
      <w:r w:rsidR="611414D9" w:rsidRPr="27F276F4">
        <w:rPr>
          <w:rFonts w:ascii="Calibri" w:hAnsi="Calibri" w:cs="Calibri"/>
        </w:rPr>
        <w:t xml:space="preserve"> available</w:t>
      </w:r>
      <w:r w:rsidRPr="27F276F4">
        <w:rPr>
          <w:rFonts w:ascii="Calibri" w:hAnsi="Calibri" w:cs="Calibri"/>
        </w:rPr>
        <w:t xml:space="preserve"> from </w:t>
      </w:r>
      <w:r w:rsidR="611414D9" w:rsidRPr="27F276F4">
        <w:rPr>
          <w:rFonts w:ascii="Calibri" w:hAnsi="Calibri" w:cs="Calibri"/>
        </w:rPr>
        <w:t xml:space="preserve">the </w:t>
      </w:r>
      <w:r w:rsidRPr="27F276F4">
        <w:rPr>
          <w:rFonts w:ascii="Calibri" w:hAnsi="Calibri" w:cs="Calibri"/>
        </w:rPr>
        <w:t xml:space="preserve">EPA </w:t>
      </w:r>
      <w:r w:rsidR="21F0142F" w:rsidRPr="27F276F4">
        <w:rPr>
          <w:rFonts w:ascii="Calibri" w:hAnsi="Calibri" w:cs="Calibri"/>
        </w:rPr>
        <w:t xml:space="preserve">extends </w:t>
      </w:r>
      <w:r w:rsidR="611414D9" w:rsidRPr="27F276F4">
        <w:rPr>
          <w:rFonts w:ascii="Calibri" w:hAnsi="Calibri" w:cs="Calibri"/>
        </w:rPr>
        <w:t xml:space="preserve">only to </w:t>
      </w:r>
      <w:r w:rsidR="56E76EB4" w:rsidRPr="27F276F4">
        <w:rPr>
          <w:rFonts w:ascii="Calibri" w:hAnsi="Calibri" w:cs="Calibri"/>
        </w:rPr>
        <w:t>2022</w:t>
      </w:r>
      <w:r w:rsidRPr="27F276F4">
        <w:rPr>
          <w:rFonts w:ascii="Calibri" w:hAnsi="Calibri" w:cs="Calibri"/>
        </w:rPr>
        <w:t xml:space="preserve">, as it takes several years to validate and </w:t>
      </w:r>
      <w:r w:rsidR="611414D9" w:rsidRPr="27F276F4">
        <w:rPr>
          <w:rFonts w:ascii="Calibri" w:hAnsi="Calibri" w:cs="Calibri"/>
        </w:rPr>
        <w:t>release data</w:t>
      </w:r>
      <w:r w:rsidRPr="27F276F4">
        <w:rPr>
          <w:rFonts w:ascii="Calibri" w:hAnsi="Calibri" w:cs="Calibri"/>
        </w:rPr>
        <w:t xml:space="preserve"> within revised modules. DEQ maintains a copy of the output results of the SIT</w:t>
      </w:r>
      <w:r w:rsidR="00DE54B7">
        <w:rPr>
          <w:rFonts w:ascii="Calibri" w:hAnsi="Calibri" w:cs="Calibri"/>
        </w:rPr>
        <w:t xml:space="preserve"> and this data is available upon request</w:t>
      </w:r>
      <w:r w:rsidRPr="27F276F4">
        <w:rPr>
          <w:rFonts w:ascii="Calibri" w:hAnsi="Calibri" w:cs="Calibri"/>
        </w:rPr>
        <w:t>.    </w:t>
      </w:r>
    </w:p>
    <w:p w14:paraId="64D364F8" w14:textId="77777777" w:rsidR="00CD4389" w:rsidRPr="00CD4389" w:rsidRDefault="029B0299" w:rsidP="27F276F4">
      <w:pPr>
        <w:rPr>
          <w:rFonts w:ascii="Segoe UI" w:hAnsi="Segoe UI" w:cs="Segoe UI"/>
          <w:sz w:val="18"/>
          <w:szCs w:val="18"/>
        </w:rPr>
      </w:pPr>
      <w:r w:rsidRPr="27F276F4">
        <w:rPr>
          <w:rFonts w:ascii="Calibri" w:hAnsi="Calibri" w:cs="Calibri"/>
        </w:rPr>
        <w:t> </w:t>
      </w:r>
    </w:p>
    <w:p w14:paraId="31974916" w14:textId="6D0C5413" w:rsidR="00CD39BA" w:rsidRDefault="029B0299" w:rsidP="27F276F4">
      <w:pPr>
        <w:widowControl/>
        <w:autoSpaceDE/>
        <w:autoSpaceDN/>
        <w:textAlignment w:val="baseline"/>
        <w:rPr>
          <w:rFonts w:ascii="Calibri" w:hAnsi="Calibri" w:cs="Calibri"/>
        </w:rPr>
      </w:pPr>
      <w:r w:rsidRPr="52C51BEB">
        <w:rPr>
          <w:rFonts w:ascii="Calibri" w:hAnsi="Calibri" w:cs="Calibri"/>
        </w:rPr>
        <w:t>DEQ determined the use of the default data provides a reasonable representation of the GHG inventory for all of the</w:t>
      </w:r>
      <w:r w:rsidR="611414D9" w:rsidRPr="52C51BEB">
        <w:rPr>
          <w:rFonts w:ascii="Calibri" w:hAnsi="Calibri" w:cs="Calibri"/>
        </w:rPr>
        <w:t xml:space="preserve"> Montana</w:t>
      </w:r>
      <w:r w:rsidRPr="52C51BEB">
        <w:rPr>
          <w:rFonts w:ascii="Calibri" w:hAnsi="Calibri" w:cs="Calibri"/>
        </w:rPr>
        <w:t xml:space="preserve"> state sectors, and an estimated total annual GHG inventory by year. At present, Montana accounts for </w:t>
      </w:r>
      <w:r w:rsidR="7889D71B" w:rsidRPr="52C51BEB">
        <w:rPr>
          <w:rFonts w:ascii="Calibri" w:hAnsi="Calibri" w:cs="Calibri"/>
        </w:rPr>
        <w:t xml:space="preserve">a total of </w:t>
      </w:r>
      <w:r w:rsidR="56E76EB4" w:rsidRPr="52C51BEB">
        <w:rPr>
          <w:rFonts w:ascii="Calibri" w:hAnsi="Calibri" w:cs="Calibri"/>
        </w:rPr>
        <w:t>51.</w:t>
      </w:r>
      <w:r w:rsidR="004A2D63">
        <w:rPr>
          <w:rFonts w:ascii="Calibri" w:hAnsi="Calibri" w:cs="Calibri"/>
        </w:rPr>
        <w:t>7</w:t>
      </w:r>
      <w:r w:rsidR="004A2D63" w:rsidRPr="52C51BEB">
        <w:rPr>
          <w:rFonts w:ascii="Calibri" w:hAnsi="Calibri" w:cs="Calibri"/>
        </w:rPr>
        <w:t xml:space="preserve">4 </w:t>
      </w:r>
      <w:r w:rsidRPr="52C51BEB">
        <w:rPr>
          <w:rFonts w:ascii="Calibri" w:hAnsi="Calibri" w:cs="Calibri"/>
        </w:rPr>
        <w:t>million metric tons of CO</w:t>
      </w:r>
      <w:r w:rsidRPr="52C51BEB">
        <w:rPr>
          <w:rFonts w:ascii="Calibri" w:hAnsi="Calibri" w:cs="Calibri"/>
          <w:vertAlign w:val="subscript"/>
        </w:rPr>
        <w:t>2</w:t>
      </w:r>
      <w:r w:rsidRPr="52C51BEB">
        <w:rPr>
          <w:rFonts w:ascii="Calibri" w:hAnsi="Calibri" w:cs="Calibri"/>
        </w:rPr>
        <w:t xml:space="preserve">e based on the EPA SIT for the year </w:t>
      </w:r>
      <w:r w:rsidR="7889D71B" w:rsidRPr="52C51BEB">
        <w:rPr>
          <w:rFonts w:ascii="Calibri" w:hAnsi="Calibri" w:cs="Calibri"/>
        </w:rPr>
        <w:t>2022</w:t>
      </w:r>
      <w:r w:rsidRPr="52C51BEB">
        <w:rPr>
          <w:rFonts w:ascii="Calibri" w:hAnsi="Calibri" w:cs="Calibri"/>
        </w:rPr>
        <w:t xml:space="preserve">. This project may contribute up to </w:t>
      </w:r>
      <w:r w:rsidR="577BA423" w:rsidRPr="52C51BEB">
        <w:rPr>
          <w:rFonts w:ascii="Calibri" w:hAnsi="Calibri" w:cs="Calibri"/>
        </w:rPr>
        <w:t>33</w:t>
      </w:r>
      <w:r w:rsidR="56E76EB4" w:rsidRPr="52C51BEB">
        <w:rPr>
          <w:rFonts w:ascii="Calibri" w:hAnsi="Calibri" w:cs="Calibri"/>
        </w:rPr>
        <w:t>7</w:t>
      </w:r>
      <w:r w:rsidR="7889D71B" w:rsidRPr="52C51BEB">
        <w:rPr>
          <w:rFonts w:ascii="Calibri" w:hAnsi="Calibri" w:cs="Calibri"/>
        </w:rPr>
        <w:t xml:space="preserve"> </w:t>
      </w:r>
      <w:r w:rsidRPr="52C51BEB">
        <w:rPr>
          <w:rFonts w:ascii="Calibri" w:hAnsi="Calibri" w:cs="Calibri"/>
        </w:rPr>
        <w:t>metric tons per year of CO</w:t>
      </w:r>
      <w:r w:rsidRPr="52C51BEB">
        <w:rPr>
          <w:rFonts w:ascii="Calibri" w:hAnsi="Calibri" w:cs="Calibri"/>
          <w:vertAlign w:val="subscript"/>
        </w:rPr>
        <w:t>2</w:t>
      </w:r>
      <w:r w:rsidRPr="52C51BEB">
        <w:rPr>
          <w:rFonts w:ascii="Calibri" w:hAnsi="Calibri" w:cs="Calibri"/>
        </w:rPr>
        <w:t xml:space="preserve">e. The estimated emission of </w:t>
      </w:r>
      <w:r w:rsidR="577BA423" w:rsidRPr="52C51BEB">
        <w:rPr>
          <w:rFonts w:ascii="Calibri" w:hAnsi="Calibri" w:cs="Calibri"/>
        </w:rPr>
        <w:t>33</w:t>
      </w:r>
      <w:r w:rsidR="56E76EB4" w:rsidRPr="52C51BEB">
        <w:rPr>
          <w:rFonts w:ascii="Calibri" w:hAnsi="Calibri" w:cs="Calibri"/>
        </w:rPr>
        <w:t>7</w:t>
      </w:r>
      <w:r w:rsidRPr="52C51BEB">
        <w:rPr>
          <w:rFonts w:ascii="Calibri" w:hAnsi="Calibri" w:cs="Calibri"/>
        </w:rPr>
        <w:t xml:space="preserve"> metric tons of CO</w:t>
      </w:r>
      <w:r w:rsidRPr="52C51BEB">
        <w:rPr>
          <w:rFonts w:ascii="Calibri" w:hAnsi="Calibri" w:cs="Calibri"/>
          <w:vertAlign w:val="subscript"/>
        </w:rPr>
        <w:t>2</w:t>
      </w:r>
      <w:r w:rsidRPr="52C51BEB">
        <w:rPr>
          <w:rFonts w:ascii="Calibri" w:hAnsi="Calibri" w:cs="Calibri"/>
        </w:rPr>
        <w:t xml:space="preserve">e from </w:t>
      </w:r>
      <w:r w:rsidR="002E2330">
        <w:rPr>
          <w:rFonts w:ascii="Calibri" w:hAnsi="Calibri" w:cs="Calibri"/>
        </w:rPr>
        <w:t>the proposed</w:t>
      </w:r>
      <w:r w:rsidR="002E2330" w:rsidRPr="52C51BEB">
        <w:rPr>
          <w:rFonts w:ascii="Calibri" w:hAnsi="Calibri" w:cs="Calibri"/>
        </w:rPr>
        <w:t xml:space="preserve"> </w:t>
      </w:r>
      <w:r w:rsidRPr="52C51BEB">
        <w:rPr>
          <w:rFonts w:ascii="Calibri" w:hAnsi="Calibri" w:cs="Calibri"/>
        </w:rPr>
        <w:t xml:space="preserve">project would contribute </w:t>
      </w:r>
      <w:r w:rsidR="002E2330">
        <w:rPr>
          <w:rFonts w:ascii="Calibri" w:hAnsi="Calibri" w:cs="Calibri"/>
        </w:rPr>
        <w:t xml:space="preserve">approximately </w:t>
      </w:r>
      <w:r w:rsidRPr="52C51BEB">
        <w:rPr>
          <w:rFonts w:ascii="Calibri" w:hAnsi="Calibri" w:cs="Calibri"/>
        </w:rPr>
        <w:t>0.0</w:t>
      </w:r>
      <w:r w:rsidR="577BA423" w:rsidRPr="52C51BEB">
        <w:rPr>
          <w:rFonts w:ascii="Calibri" w:hAnsi="Calibri" w:cs="Calibri"/>
        </w:rPr>
        <w:t>00</w:t>
      </w:r>
      <w:r w:rsidR="19A2237F" w:rsidRPr="52C51BEB">
        <w:rPr>
          <w:rFonts w:ascii="Calibri" w:hAnsi="Calibri" w:cs="Calibri"/>
        </w:rPr>
        <w:t>664</w:t>
      </w:r>
      <w:r w:rsidRPr="52C51BEB">
        <w:rPr>
          <w:rFonts w:ascii="Calibri" w:hAnsi="Calibri" w:cs="Calibri"/>
        </w:rPr>
        <w:t>% of Montana’s annual CO</w:t>
      </w:r>
      <w:r w:rsidRPr="52C51BEB">
        <w:rPr>
          <w:rFonts w:ascii="Calibri" w:hAnsi="Calibri" w:cs="Calibri"/>
          <w:vertAlign w:val="subscript"/>
        </w:rPr>
        <w:t>2</w:t>
      </w:r>
      <w:r w:rsidRPr="52C51BEB">
        <w:rPr>
          <w:rFonts w:ascii="Calibri" w:hAnsi="Calibri" w:cs="Calibri"/>
        </w:rPr>
        <w:t>e emissions</w:t>
      </w:r>
      <w:r w:rsidR="00201FC1">
        <w:rPr>
          <w:rFonts w:ascii="Calibri" w:hAnsi="Calibri" w:cs="Calibri"/>
        </w:rPr>
        <w:t xml:space="preserve">. </w:t>
      </w:r>
    </w:p>
    <w:p w14:paraId="2783400F" w14:textId="77777777" w:rsidR="00CD39BA" w:rsidRDefault="00CD39BA" w:rsidP="27F276F4">
      <w:pPr>
        <w:widowControl/>
        <w:autoSpaceDE/>
        <w:autoSpaceDN/>
        <w:textAlignment w:val="baseline"/>
        <w:rPr>
          <w:rFonts w:ascii="Calibri" w:hAnsi="Calibri" w:cs="Calibri"/>
        </w:rPr>
      </w:pPr>
    </w:p>
    <w:p w14:paraId="1CD5692B" w14:textId="6C09FDB7" w:rsidR="00CD4389" w:rsidRDefault="00C12148" w:rsidP="27F276F4">
      <w:pPr>
        <w:widowControl/>
        <w:autoSpaceDE/>
        <w:autoSpaceDN/>
        <w:textAlignment w:val="baseline"/>
        <w:rPr>
          <w:rFonts w:ascii="Calibri" w:hAnsi="Calibri" w:cs="Calibri"/>
        </w:rPr>
      </w:pPr>
      <w:r>
        <w:rPr>
          <w:rStyle w:val="normaltextrun"/>
          <w:rFonts w:ascii="Calibri" w:eastAsiaTheme="majorEastAsia" w:hAnsi="Calibri" w:cs="Calibri"/>
          <w:color w:val="000000"/>
          <w:shd w:val="clear" w:color="auto" w:fill="FFFFFF"/>
        </w:rPr>
        <w:t>B</w:t>
      </w:r>
      <w:r w:rsidR="001A35D9">
        <w:rPr>
          <w:rStyle w:val="normaltextrun"/>
          <w:rFonts w:ascii="Calibri" w:eastAsiaTheme="majorEastAsia" w:hAnsi="Calibri" w:cs="Calibri"/>
          <w:color w:val="000000"/>
          <w:shd w:val="clear" w:color="auto" w:fill="FFFFFF"/>
        </w:rPr>
        <w:t>ecause of the inherent limits of MAGICC related to project level emissions</w:t>
      </w:r>
      <w:r w:rsidR="00CD39BA">
        <w:rPr>
          <w:rStyle w:val="normaltextrun"/>
          <w:rFonts w:ascii="Calibri" w:eastAsiaTheme="majorEastAsia" w:hAnsi="Calibri" w:cs="Calibri"/>
          <w:color w:val="000000"/>
          <w:shd w:val="clear" w:color="auto" w:fill="FFFFFF"/>
        </w:rPr>
        <w:t xml:space="preserve"> (see discussion above)</w:t>
      </w:r>
      <w:r w:rsidR="001A35D9">
        <w:rPr>
          <w:rStyle w:val="normaltextrun"/>
          <w:rFonts w:ascii="Calibri" w:eastAsiaTheme="majorEastAsia" w:hAnsi="Calibri" w:cs="Calibri"/>
          <w:color w:val="000000"/>
          <w:shd w:val="clear" w:color="auto" w:fill="FFFFFF"/>
        </w:rPr>
        <w:t xml:space="preserve">, DEQ </w:t>
      </w:r>
      <w:r w:rsidR="00940E19">
        <w:rPr>
          <w:rStyle w:val="normaltextrun"/>
          <w:rFonts w:ascii="Calibri" w:eastAsiaTheme="majorEastAsia" w:hAnsi="Calibri" w:cs="Calibri"/>
          <w:color w:val="000000"/>
          <w:shd w:val="clear" w:color="auto" w:fill="FFFFFF"/>
        </w:rPr>
        <w:t>instead uses MAGICC to</w:t>
      </w:r>
      <w:r w:rsidR="001A35D9">
        <w:rPr>
          <w:rStyle w:val="normaltextrun"/>
          <w:rFonts w:ascii="Calibri" w:eastAsiaTheme="majorEastAsia" w:hAnsi="Calibri" w:cs="Calibri"/>
          <w:color w:val="000000"/>
          <w:shd w:val="clear" w:color="auto" w:fill="FFFFFF"/>
        </w:rPr>
        <w:t xml:space="preserve"> analyze </w:t>
      </w:r>
      <w:r w:rsidR="00A53073">
        <w:rPr>
          <w:rStyle w:val="normaltextrun"/>
          <w:rFonts w:ascii="Calibri" w:eastAsiaTheme="majorEastAsia" w:hAnsi="Calibri" w:cs="Calibri"/>
          <w:color w:val="000000"/>
          <w:shd w:val="clear" w:color="auto" w:fill="FFFFFF"/>
        </w:rPr>
        <w:t xml:space="preserve">impacts from </w:t>
      </w:r>
      <w:r w:rsidR="00F55FD3">
        <w:rPr>
          <w:rStyle w:val="normaltextrun"/>
          <w:rFonts w:ascii="Calibri" w:eastAsiaTheme="majorEastAsia" w:hAnsi="Calibri" w:cs="Calibri"/>
          <w:color w:val="000000"/>
          <w:shd w:val="clear" w:color="auto" w:fill="FFFFFF"/>
        </w:rPr>
        <w:t xml:space="preserve">the estimated total </w:t>
      </w:r>
      <w:r w:rsidR="001A35D9">
        <w:rPr>
          <w:rStyle w:val="normaltextrun"/>
          <w:rFonts w:ascii="Calibri" w:eastAsiaTheme="majorEastAsia" w:hAnsi="Calibri" w:cs="Calibri"/>
          <w:color w:val="000000"/>
          <w:shd w:val="clear" w:color="auto" w:fill="FFFFFF"/>
        </w:rPr>
        <w:t>annual Montana GHG emissions (all sector</w:t>
      </w:r>
      <w:r w:rsidR="009E7473">
        <w:rPr>
          <w:rStyle w:val="normaltextrun"/>
          <w:rFonts w:ascii="Calibri" w:eastAsiaTheme="majorEastAsia" w:hAnsi="Calibri" w:cs="Calibri"/>
          <w:color w:val="000000"/>
          <w:shd w:val="clear" w:color="auto" w:fill="FFFFFF"/>
        </w:rPr>
        <w:t>s</w:t>
      </w:r>
      <w:r w:rsidR="001A35D9">
        <w:rPr>
          <w:rStyle w:val="normaltextrun"/>
          <w:rFonts w:ascii="Calibri" w:eastAsiaTheme="majorEastAsia" w:hAnsi="Calibri" w:cs="Calibri"/>
          <w:color w:val="000000"/>
          <w:shd w:val="clear" w:color="auto" w:fill="FFFFFF"/>
        </w:rPr>
        <w:t>)</w:t>
      </w:r>
      <w:r w:rsidR="00DC378E">
        <w:rPr>
          <w:rStyle w:val="normaltextrun"/>
          <w:rFonts w:ascii="Calibri" w:eastAsiaTheme="majorEastAsia" w:hAnsi="Calibri" w:cs="Calibri"/>
          <w:color w:val="000000"/>
          <w:shd w:val="clear" w:color="auto" w:fill="FFFFFF"/>
        </w:rPr>
        <w:t xml:space="preserve">. </w:t>
      </w:r>
      <w:r w:rsidR="001A35D9">
        <w:rPr>
          <w:rStyle w:val="normaltextrun"/>
          <w:rFonts w:ascii="Calibri" w:eastAsiaTheme="majorEastAsia" w:hAnsi="Calibri" w:cs="Calibri"/>
          <w:color w:val="000000"/>
          <w:shd w:val="clear" w:color="auto" w:fill="FFFFFF"/>
        </w:rPr>
        <w:t xml:space="preserve">We </w:t>
      </w:r>
      <w:r w:rsidR="001A35D9" w:rsidRPr="00F157F9">
        <w:rPr>
          <w:rStyle w:val="normaltextrun"/>
          <w:rFonts w:ascii="Calibri" w:eastAsiaTheme="majorEastAsia" w:hAnsi="Calibri" w:cs="Calibri"/>
          <w:color w:val="000000"/>
          <w:shd w:val="clear" w:color="auto" w:fill="FFFFFF"/>
        </w:rPr>
        <w:t>then relate the proposed project level GHG emissions</w:t>
      </w:r>
      <w:r w:rsidR="00122000" w:rsidRPr="00F157F9">
        <w:rPr>
          <w:rStyle w:val="normaltextrun"/>
          <w:rFonts w:ascii="Calibri" w:eastAsiaTheme="majorEastAsia" w:hAnsi="Calibri" w:cs="Calibri"/>
          <w:color w:val="000000"/>
          <w:shd w:val="clear" w:color="auto" w:fill="FFFFFF"/>
        </w:rPr>
        <w:t xml:space="preserve"> </w:t>
      </w:r>
      <w:r w:rsidR="009E7473" w:rsidRPr="00F157F9">
        <w:rPr>
          <w:rStyle w:val="normaltextrun"/>
          <w:rFonts w:ascii="Calibri" w:eastAsiaTheme="majorEastAsia" w:hAnsi="Calibri" w:cs="Calibri"/>
          <w:color w:val="000000"/>
          <w:shd w:val="clear" w:color="auto" w:fill="FFFFFF"/>
        </w:rPr>
        <w:t xml:space="preserve">of </w:t>
      </w:r>
      <w:r w:rsidR="00122000" w:rsidRPr="00F157F9">
        <w:rPr>
          <w:rStyle w:val="normaltextrun"/>
          <w:rFonts w:ascii="Calibri" w:eastAsiaTheme="majorEastAsia" w:hAnsi="Calibri" w:cs="Calibri"/>
          <w:color w:val="000000"/>
          <w:shd w:val="clear" w:color="auto" w:fill="FFFFFF"/>
        </w:rPr>
        <w:t>337 metric tons</w:t>
      </w:r>
      <w:r w:rsidR="004B76E7" w:rsidRPr="00F157F9">
        <w:rPr>
          <w:rStyle w:val="normaltextrun"/>
          <w:rFonts w:ascii="Calibri" w:eastAsiaTheme="majorEastAsia" w:hAnsi="Calibri" w:cs="Calibri"/>
          <w:color w:val="000000"/>
          <w:shd w:val="clear" w:color="auto" w:fill="FFFFFF"/>
        </w:rPr>
        <w:t xml:space="preserve"> per </w:t>
      </w:r>
      <w:r w:rsidR="00122000" w:rsidRPr="00F157F9">
        <w:rPr>
          <w:rStyle w:val="normaltextrun"/>
          <w:rFonts w:ascii="Calibri" w:eastAsiaTheme="majorEastAsia" w:hAnsi="Calibri" w:cs="Calibri"/>
          <w:color w:val="000000"/>
          <w:shd w:val="clear" w:color="auto" w:fill="FFFFFF"/>
        </w:rPr>
        <w:t>year</w:t>
      </w:r>
      <w:r w:rsidR="001A35D9" w:rsidRPr="00F157F9">
        <w:rPr>
          <w:rStyle w:val="normaltextrun"/>
          <w:rFonts w:ascii="Calibri" w:eastAsiaTheme="majorEastAsia" w:hAnsi="Calibri" w:cs="Calibri"/>
          <w:color w:val="000000"/>
          <w:shd w:val="clear" w:color="auto" w:fill="FFFFFF"/>
        </w:rPr>
        <w:t xml:space="preserve"> to Montana’s overall GHG emissions </w:t>
      </w:r>
      <w:r w:rsidR="004B76E7" w:rsidRPr="00F157F9">
        <w:rPr>
          <w:rStyle w:val="normaltextrun"/>
          <w:rFonts w:ascii="Calibri" w:eastAsiaTheme="majorEastAsia" w:hAnsi="Calibri" w:cs="Calibri"/>
          <w:color w:val="000000"/>
          <w:shd w:val="clear" w:color="auto" w:fill="FFFFFF"/>
        </w:rPr>
        <w:t xml:space="preserve">of </w:t>
      </w:r>
      <w:r w:rsidR="00122000" w:rsidRPr="00F157F9">
        <w:rPr>
          <w:rStyle w:val="normaltextrun"/>
          <w:rFonts w:ascii="Calibri" w:eastAsiaTheme="majorEastAsia" w:hAnsi="Calibri" w:cs="Calibri"/>
          <w:color w:val="000000"/>
          <w:shd w:val="clear" w:color="auto" w:fill="FFFFFF"/>
        </w:rPr>
        <w:t>50</w:t>
      </w:r>
      <w:r w:rsidR="00023DA5" w:rsidRPr="00F157F9">
        <w:rPr>
          <w:rStyle w:val="normaltextrun"/>
          <w:rFonts w:ascii="Calibri" w:eastAsiaTheme="majorEastAsia" w:hAnsi="Calibri" w:cs="Calibri"/>
          <w:color w:val="000000"/>
          <w:shd w:val="clear" w:color="auto" w:fill="FFFFFF"/>
        </w:rPr>
        <w:t>,700,000 metric tons</w:t>
      </w:r>
      <w:r w:rsidR="004B76E7" w:rsidRPr="00F157F9">
        <w:rPr>
          <w:rStyle w:val="normaltextrun"/>
          <w:rFonts w:ascii="Calibri" w:eastAsiaTheme="majorEastAsia" w:hAnsi="Calibri" w:cs="Calibri"/>
          <w:color w:val="000000"/>
          <w:shd w:val="clear" w:color="auto" w:fill="FFFFFF"/>
        </w:rPr>
        <w:t xml:space="preserve"> per </w:t>
      </w:r>
      <w:r w:rsidR="00023DA5" w:rsidRPr="00F157F9">
        <w:rPr>
          <w:rStyle w:val="normaltextrun"/>
          <w:rFonts w:ascii="Calibri" w:eastAsiaTheme="majorEastAsia" w:hAnsi="Calibri" w:cs="Calibri"/>
          <w:color w:val="000000"/>
          <w:shd w:val="clear" w:color="auto" w:fill="FFFFFF"/>
        </w:rPr>
        <w:t xml:space="preserve">year </w:t>
      </w:r>
      <w:r w:rsidR="001A35D9" w:rsidRPr="00F157F9">
        <w:rPr>
          <w:rStyle w:val="normaltextrun"/>
          <w:rFonts w:ascii="Calibri" w:eastAsiaTheme="majorEastAsia" w:hAnsi="Calibri" w:cs="Calibri"/>
          <w:color w:val="000000"/>
          <w:shd w:val="clear" w:color="auto" w:fill="FFFFFF"/>
        </w:rPr>
        <w:t>and the associated ΔT</w:t>
      </w:r>
      <w:r w:rsidR="002054AB" w:rsidRPr="00F157F9">
        <w:rPr>
          <w:rStyle w:val="normaltextrun"/>
          <w:rFonts w:ascii="Calibri" w:eastAsiaTheme="majorEastAsia" w:hAnsi="Calibri" w:cs="Calibri"/>
          <w:color w:val="000000"/>
          <w:shd w:val="clear" w:color="auto" w:fill="FFFFFF"/>
        </w:rPr>
        <w:t xml:space="preserve"> </w:t>
      </w:r>
      <w:r w:rsidR="004B76E7" w:rsidRPr="00F157F9">
        <w:rPr>
          <w:rStyle w:val="normaltextrun"/>
          <w:rFonts w:ascii="Calibri" w:eastAsiaTheme="majorEastAsia" w:hAnsi="Calibri" w:cs="Calibri"/>
          <w:color w:val="000000"/>
          <w:shd w:val="clear" w:color="auto" w:fill="FFFFFF"/>
        </w:rPr>
        <w:t xml:space="preserve">of </w:t>
      </w:r>
      <w:r w:rsidR="002054AB" w:rsidRPr="00F157F9">
        <w:rPr>
          <w:rFonts w:ascii="Calibri" w:hAnsi="Calibri" w:cs="Calibri"/>
          <w:lang w:bidi="ar-SA"/>
        </w:rPr>
        <w:t>0.00049 </w:t>
      </w:r>
      <w:r w:rsidR="007B30E7" w:rsidRPr="00F157F9">
        <w:rPr>
          <w:rFonts w:ascii="Calibri" w:hAnsi="Calibri" w:cs="Calibri"/>
          <w:lang w:bidi="ar-SA"/>
        </w:rPr>
        <w:t>ºC to 0.00</w:t>
      </w:r>
      <w:r w:rsidR="00244208" w:rsidRPr="00F157F9">
        <w:rPr>
          <w:rFonts w:ascii="Calibri" w:hAnsi="Calibri" w:cs="Calibri"/>
          <w:lang w:bidi="ar-SA"/>
        </w:rPr>
        <w:t>059</w:t>
      </w:r>
      <w:r w:rsidR="007B30E7" w:rsidRPr="00F157F9">
        <w:rPr>
          <w:rFonts w:ascii="Calibri" w:hAnsi="Calibri" w:cs="Calibri"/>
          <w:lang w:bidi="ar-SA"/>
        </w:rPr>
        <w:t xml:space="preserve"> </w:t>
      </w:r>
      <w:r w:rsidR="009E7473" w:rsidRPr="00F157F9">
        <w:rPr>
          <w:rFonts w:ascii="Calibri" w:hAnsi="Calibri" w:cs="Calibri"/>
          <w:lang w:bidi="ar-SA"/>
        </w:rPr>
        <w:t>ºC by 2050</w:t>
      </w:r>
      <w:r w:rsidR="001A35D9" w:rsidRPr="00F157F9">
        <w:rPr>
          <w:rStyle w:val="normaltextrun"/>
          <w:rFonts w:ascii="Calibri" w:eastAsiaTheme="majorEastAsia" w:hAnsi="Calibri" w:cs="Calibri"/>
          <w:color w:val="000000"/>
          <w:shd w:val="clear" w:color="auto" w:fill="FFFFFF"/>
        </w:rPr>
        <w:t xml:space="preserve">. </w:t>
      </w:r>
      <w:r w:rsidR="00D216B1" w:rsidRPr="00F157F9">
        <w:rPr>
          <w:rStyle w:val="normaltextrun"/>
          <w:rFonts w:ascii="Calibri" w:eastAsiaTheme="majorEastAsia" w:hAnsi="Calibri" w:cs="Calibri"/>
          <w:color w:val="000000"/>
          <w:shd w:val="clear" w:color="auto" w:fill="FFFFFF"/>
        </w:rPr>
        <w:t>P</w:t>
      </w:r>
      <w:r w:rsidR="001A35D9" w:rsidRPr="00F157F9">
        <w:rPr>
          <w:rStyle w:val="normaltextrun"/>
          <w:rFonts w:ascii="Calibri" w:eastAsiaTheme="majorEastAsia" w:hAnsi="Calibri" w:cs="Calibri"/>
          <w:color w:val="000000"/>
          <w:shd w:val="clear" w:color="auto" w:fill="FFFFFF"/>
        </w:rPr>
        <w:t xml:space="preserve">roject level emissions would be expected to result in some change in </w:t>
      </w:r>
      <w:proofErr w:type="gramStart"/>
      <w:r w:rsidR="001A35D9" w:rsidRPr="00F157F9">
        <w:rPr>
          <w:rStyle w:val="normaltextrun"/>
          <w:rFonts w:ascii="Calibri" w:eastAsiaTheme="majorEastAsia" w:hAnsi="Calibri" w:cs="Calibri"/>
          <w:color w:val="000000"/>
          <w:shd w:val="clear" w:color="auto" w:fill="FFFFFF"/>
        </w:rPr>
        <w:t>the Montana</w:t>
      </w:r>
      <w:proofErr w:type="gramEnd"/>
      <w:r w:rsidR="001A35D9" w:rsidRPr="00F157F9">
        <w:rPr>
          <w:rStyle w:val="normaltextrun"/>
          <w:rFonts w:ascii="Calibri" w:eastAsiaTheme="majorEastAsia" w:hAnsi="Calibri" w:cs="Calibri"/>
          <w:color w:val="000000"/>
          <w:shd w:val="clear" w:color="auto" w:fill="FFFFFF"/>
        </w:rPr>
        <w:t xml:space="preserve"> and global ΔT, </w:t>
      </w:r>
      <w:r w:rsidR="00BF25B0">
        <w:rPr>
          <w:rStyle w:val="normaltextrun"/>
          <w:rFonts w:ascii="Calibri" w:eastAsiaTheme="majorEastAsia" w:hAnsi="Calibri" w:cs="Calibri"/>
          <w:color w:val="000000"/>
          <w:shd w:val="clear" w:color="auto" w:fill="FFFFFF"/>
        </w:rPr>
        <w:t>and</w:t>
      </w:r>
      <w:r w:rsidR="001A35D9" w:rsidRPr="00F157F9">
        <w:rPr>
          <w:rStyle w:val="normaltextrun"/>
          <w:rFonts w:ascii="Calibri" w:eastAsiaTheme="majorEastAsia" w:hAnsi="Calibri" w:cs="Calibri"/>
          <w:color w:val="000000"/>
          <w:shd w:val="clear" w:color="auto" w:fill="FFFFFF"/>
        </w:rPr>
        <w:t xml:space="preserve"> GHG emissions from the proposed action </w:t>
      </w:r>
      <w:r w:rsidR="00BF25B0">
        <w:rPr>
          <w:rStyle w:val="normaltextrun"/>
          <w:rFonts w:ascii="Calibri" w:eastAsiaTheme="majorEastAsia" w:hAnsi="Calibri" w:cs="Calibri"/>
          <w:color w:val="000000"/>
          <w:shd w:val="clear" w:color="auto" w:fill="FFFFFF"/>
        </w:rPr>
        <w:t xml:space="preserve">would </w:t>
      </w:r>
      <w:r w:rsidR="001A35D9" w:rsidRPr="00F157F9">
        <w:rPr>
          <w:rStyle w:val="normaltextrun"/>
          <w:rFonts w:ascii="Calibri" w:eastAsiaTheme="majorEastAsia" w:hAnsi="Calibri" w:cs="Calibri"/>
          <w:color w:val="000000"/>
          <w:shd w:val="clear" w:color="auto" w:fill="FFFFFF"/>
        </w:rPr>
        <w:t>represent</w:t>
      </w:r>
      <w:r w:rsidR="00B46F32" w:rsidRPr="00F157F9">
        <w:rPr>
          <w:rStyle w:val="normaltextrun"/>
          <w:rFonts w:ascii="Calibri" w:eastAsiaTheme="majorEastAsia" w:hAnsi="Calibri" w:cs="Calibri"/>
          <w:color w:val="000000"/>
          <w:shd w:val="clear" w:color="auto" w:fill="FFFFFF"/>
        </w:rPr>
        <w:t xml:space="preserve"> </w:t>
      </w:r>
      <w:proofErr w:type="gramStart"/>
      <w:r w:rsidR="004855F9">
        <w:rPr>
          <w:rStyle w:val="normaltextrun"/>
          <w:rFonts w:ascii="Calibri" w:eastAsiaTheme="majorEastAsia" w:hAnsi="Calibri" w:cs="Calibri"/>
          <w:color w:val="000000"/>
          <w:shd w:val="clear" w:color="auto" w:fill="FFFFFF"/>
        </w:rPr>
        <w:t xml:space="preserve">approximately </w:t>
      </w:r>
      <w:r w:rsidR="001A35D9" w:rsidRPr="00F157F9">
        <w:rPr>
          <w:rStyle w:val="normaltextrun"/>
          <w:rFonts w:ascii="Calibri" w:eastAsiaTheme="majorEastAsia" w:hAnsi="Calibri" w:cs="Calibri"/>
          <w:color w:val="000000"/>
          <w:shd w:val="clear" w:color="auto" w:fill="FFFFFF"/>
        </w:rPr>
        <w:t xml:space="preserve"> </w:t>
      </w:r>
      <w:r w:rsidR="009603FC" w:rsidRPr="00F157F9">
        <w:rPr>
          <w:rFonts w:ascii="Calibri" w:hAnsi="Calibri" w:cs="Calibri"/>
        </w:rPr>
        <w:t>0.000664</w:t>
      </w:r>
      <w:proofErr w:type="gramEnd"/>
      <w:r w:rsidR="009603FC" w:rsidRPr="00F157F9">
        <w:rPr>
          <w:rFonts w:ascii="Calibri" w:hAnsi="Calibri" w:cs="Calibri"/>
        </w:rPr>
        <w:t xml:space="preserve">% </w:t>
      </w:r>
      <w:r w:rsidR="001A35D9" w:rsidRPr="00F157F9">
        <w:rPr>
          <w:rStyle w:val="normaltextrun"/>
          <w:rFonts w:ascii="Calibri" w:eastAsiaTheme="majorEastAsia" w:hAnsi="Calibri" w:cs="Calibri"/>
          <w:color w:val="000000"/>
          <w:shd w:val="clear" w:color="auto" w:fill="FFFFFF"/>
        </w:rPr>
        <w:t>of Montana’s total GHG emissions</w:t>
      </w:r>
      <w:r w:rsidR="004855F9">
        <w:rPr>
          <w:rStyle w:val="normaltextrun"/>
          <w:rFonts w:ascii="Calibri" w:eastAsiaTheme="majorEastAsia" w:hAnsi="Calibri" w:cs="Calibri"/>
          <w:color w:val="000000"/>
          <w:shd w:val="clear" w:color="auto" w:fill="FFFFFF"/>
        </w:rPr>
        <w:t>. Therefore,</w:t>
      </w:r>
      <w:r w:rsidR="001A35D9" w:rsidRPr="00F157F9">
        <w:rPr>
          <w:rStyle w:val="normaltextrun"/>
          <w:rFonts w:ascii="Calibri" w:eastAsiaTheme="majorEastAsia" w:hAnsi="Calibri" w:cs="Calibri"/>
          <w:color w:val="000000"/>
          <w:shd w:val="clear" w:color="auto" w:fill="FFFFFF"/>
        </w:rPr>
        <w:t xml:space="preserve"> the project level ΔT would be at the lowest level of detection or less.</w:t>
      </w:r>
      <w:r w:rsidR="464541D1" w:rsidRPr="590349C5">
        <w:rPr>
          <w:rFonts w:ascii="Calibri" w:hAnsi="Calibri" w:cs="Calibri"/>
        </w:rPr>
        <w:t xml:space="preserve"> </w:t>
      </w:r>
    </w:p>
    <w:p w14:paraId="0D908A62" w14:textId="77777777" w:rsidR="000E76B3" w:rsidRDefault="000E76B3" w:rsidP="27F276F4">
      <w:pPr>
        <w:widowControl/>
        <w:autoSpaceDE/>
        <w:autoSpaceDN/>
        <w:textAlignment w:val="baseline"/>
        <w:rPr>
          <w:rFonts w:ascii="Calibri" w:hAnsi="Calibri" w:cs="Calibri"/>
        </w:rPr>
      </w:pPr>
    </w:p>
    <w:p w14:paraId="19EAC06C" w14:textId="166E0F53" w:rsidR="00A678F5" w:rsidRPr="00A678F5" w:rsidRDefault="00A678F5" w:rsidP="00A678F5">
      <w:pPr>
        <w:rPr>
          <w:rFonts w:ascii="Calibri" w:hAnsi="Calibri" w:cs="Calibri"/>
        </w:rPr>
      </w:pPr>
      <w:r w:rsidRPr="00A678F5">
        <w:rPr>
          <w:rFonts w:ascii="Calibri" w:hAnsi="Calibri" w:cs="Calibri"/>
        </w:rPr>
        <w:t>The Project is estimated to generate approximately 337 metric tons CO₂e per year from increased diesel equipment operation associated with expanded coal handling and transport activities. To assist readers in understanding the proportional scale of this contribution, DEQ provides the following reference comparisons using equivalency factors published by the U.S. Environmental Protection Agency's Greenhouse Gas Equivalencies Calculator: 337 metric tons CO₂e per year is approximately equivalent to the annual tailpipe emissions of 73 passenger vehicles operated for one year, the annual energy use of approximately 45 average U.S. homes, or the CO₂ produced by burning 1.9 railcars of coal. These comparisons, together with the order-of-magnitude percentage comparisons to state and global emissions totals and the MAGICC-modeled temperature increment set forth above, are presented as contextual indicators to illustrate the Project's relative scale within the broader emissions landscape. None of these comparisons are treated as standalone or determinative tests of significance. DEQ's significance finding under ARM 17.4.608 rests on the full body of quantitative and qualitative information presented in this Supplemental EA, including absolute emission estimates, the cumulative climate context, the qualitative discussion of regional climate trends, and the scope of this air-quality permit decision.</w:t>
      </w:r>
    </w:p>
    <w:p w14:paraId="4EE1E461" w14:textId="0486AED6" w:rsidR="00BF25B0" w:rsidRPr="00665FC1" w:rsidRDefault="00BF25B0" w:rsidP="009F0848">
      <w:pPr>
        <w:rPr>
          <w:rFonts w:ascii="Calibri" w:hAnsi="Calibri" w:cs="Calibri"/>
        </w:rPr>
      </w:pPr>
    </w:p>
    <w:p w14:paraId="6C64846D" w14:textId="31154969" w:rsidR="52C51BEB" w:rsidRDefault="52C51BEB" w:rsidP="52C51BEB">
      <w:pPr>
        <w:widowControl/>
        <w:rPr>
          <w:rFonts w:ascii="Calibri" w:hAnsi="Calibri" w:cs="Calibri"/>
        </w:rPr>
      </w:pPr>
    </w:p>
    <w:p w14:paraId="77D1398A" w14:textId="39BEAE5C" w:rsidR="60194990" w:rsidRDefault="00590F46" w:rsidP="52C51BEB">
      <w:pPr>
        <w:widowControl/>
      </w:pPr>
      <w:r>
        <w:lastRenderedPageBreak/>
        <w:t>As</w:t>
      </w:r>
      <w:r w:rsidR="60194990">
        <w:t xml:space="preserve"> stated, due to the inherent cumulative and global nature of climate change, </w:t>
      </w:r>
      <w:r w:rsidR="00396007">
        <w:t>and a lack of available technology for such purposes</w:t>
      </w:r>
      <w:r w:rsidR="60194990">
        <w:t xml:space="preserve"> </w:t>
      </w:r>
      <w:r w:rsidR="009E64EE">
        <w:t xml:space="preserve">it is </w:t>
      </w:r>
      <w:r w:rsidR="60194990">
        <w:t xml:space="preserve">currently </w:t>
      </w:r>
      <w:r w:rsidR="00173EAA">
        <w:t xml:space="preserve">not feasible </w:t>
      </w:r>
      <w:r w:rsidR="60194990">
        <w:t xml:space="preserve">to </w:t>
      </w:r>
      <w:r w:rsidR="00173EAA">
        <w:t xml:space="preserve">accurately </w:t>
      </w:r>
      <w:r w:rsidR="60194990">
        <w:t>link a single source of GHG emissions to a specific environmental impact</w:t>
      </w:r>
      <w:r w:rsidR="00173EAA">
        <w:t xml:space="preserve">, such as </w:t>
      </w:r>
      <w:r w:rsidR="00D73682">
        <w:t xml:space="preserve">Montana or global </w:t>
      </w:r>
      <w:r w:rsidR="00173EAA">
        <w:rPr>
          <w:rFonts w:cstheme="minorHAnsi"/>
        </w:rPr>
        <w:t>Δ</w:t>
      </w:r>
      <w:r w:rsidR="00173EAA">
        <w:t>T</w:t>
      </w:r>
      <w:r w:rsidR="60194990">
        <w:t>. GHGs mix in the atmosphere due to atmospheric circulation, and are incorporated into every other global emission source, blurring regional signals. (NOAA, 2025; United States Environmental Protection Agency, 2025b, 2025c).</w:t>
      </w:r>
      <w:r w:rsidR="58A2A3C4">
        <w:t xml:space="preserve"> </w:t>
      </w:r>
    </w:p>
    <w:p w14:paraId="336F9638" w14:textId="2D7B6559" w:rsidR="00D543BE" w:rsidRPr="00D543BE" w:rsidRDefault="029B0299" w:rsidP="004800E8">
      <w:pPr>
        <w:widowControl/>
        <w:autoSpaceDE/>
        <w:autoSpaceDN/>
        <w:textAlignment w:val="baseline"/>
      </w:pPr>
      <w:r w:rsidRPr="27F276F4">
        <w:rPr>
          <w:rFonts w:ascii="Calibri" w:hAnsi="Calibri" w:cs="Calibri"/>
          <w:lang w:bidi="ar-SA"/>
        </w:rPr>
        <w:t> </w:t>
      </w:r>
      <w:bookmarkStart w:id="34" w:name="_Toc196305919"/>
    </w:p>
    <w:p w14:paraId="469D3DA9" w14:textId="1307F5DB" w:rsidR="00B3415D" w:rsidRPr="00647288" w:rsidRDefault="2F468972" w:rsidP="00756D6D">
      <w:pPr>
        <w:pStyle w:val="Heading3"/>
      </w:pPr>
      <w:bookmarkStart w:id="35" w:name="_Toc219800155"/>
      <w:r>
        <w:t>Description of Alternatives</w:t>
      </w:r>
      <w:bookmarkEnd w:id="34"/>
      <w:bookmarkEnd w:id="35"/>
    </w:p>
    <w:bookmarkEnd w:id="33"/>
    <w:p w14:paraId="7B514787" w14:textId="7D4EA02D" w:rsidR="0069383F" w:rsidRDefault="7FFAA536" w:rsidP="00804097">
      <w:r>
        <w:t xml:space="preserve">No Action Alternative: </w:t>
      </w:r>
      <w:r w:rsidR="00804097" w:rsidRPr="00804097">
        <w:t>Under the No Action Alternative,</w:t>
      </w:r>
      <w:r w:rsidR="00804097">
        <w:t xml:space="preserve"> </w:t>
      </w:r>
      <w:r w:rsidR="00D114B8">
        <w:t xml:space="preserve">MAQP </w:t>
      </w:r>
      <w:r w:rsidR="00D114B8">
        <w:rPr>
          <w:rFonts w:cstheme="minorHAnsi"/>
        </w:rPr>
        <w:t>#3179-1</w:t>
      </w:r>
      <w:r w:rsidR="00C92BA9">
        <w:rPr>
          <w:rFonts w:cstheme="minorHAnsi"/>
        </w:rPr>
        <w:t>3</w:t>
      </w:r>
      <w:r w:rsidR="00804097" w:rsidRPr="00804097">
        <w:t xml:space="preserve"> would not be approved, and the </w:t>
      </w:r>
      <w:r w:rsidR="00C92BA9">
        <w:t xml:space="preserve">allowable </w:t>
      </w:r>
      <w:r w:rsidR="00804097">
        <w:t>transport</w:t>
      </w:r>
      <w:r w:rsidR="00804097" w:rsidRPr="00804097">
        <w:t xml:space="preserve"> of </w:t>
      </w:r>
      <w:r w:rsidR="004964D6">
        <w:t>an</w:t>
      </w:r>
      <w:r w:rsidR="00804097">
        <w:t xml:space="preserve"> additional</w:t>
      </w:r>
      <w:r w:rsidR="00804097" w:rsidRPr="00804097">
        <w:t xml:space="preserve"> </w:t>
      </w:r>
      <w:r w:rsidR="00093B76">
        <w:t>550</w:t>
      </w:r>
      <w:r w:rsidR="00EA1F1E">
        <w:t>,000 tons of coal</w:t>
      </w:r>
      <w:r w:rsidR="00804097" w:rsidRPr="00804097">
        <w:t xml:space="preserve"> </w:t>
      </w:r>
      <w:r w:rsidR="004964D6">
        <w:t>per year</w:t>
      </w:r>
      <w:r w:rsidR="00B277AA">
        <w:t xml:space="preserve"> </w:t>
      </w:r>
      <w:r w:rsidR="00D73682">
        <w:t xml:space="preserve">overland, </w:t>
      </w:r>
      <w:r w:rsidR="00B277AA">
        <w:t xml:space="preserve">via semi-truck </w:t>
      </w:r>
      <w:r w:rsidR="00804097" w:rsidRPr="00804097">
        <w:t xml:space="preserve">would not occur. There would be no greenhouse gas emissions </w:t>
      </w:r>
      <w:r w:rsidR="00B277AA">
        <w:t xml:space="preserve">increase </w:t>
      </w:r>
      <w:r w:rsidR="00804097" w:rsidRPr="00804097">
        <w:t xml:space="preserve">from the </w:t>
      </w:r>
      <w:r w:rsidR="003C5FFF">
        <w:t xml:space="preserve">proposed increase in </w:t>
      </w:r>
      <w:r w:rsidR="00804097" w:rsidRPr="00804097">
        <w:t xml:space="preserve">transportation of coal </w:t>
      </w:r>
      <w:r w:rsidR="00D114B8">
        <w:t>at the Bull Mountain Mine site</w:t>
      </w:r>
      <w:r w:rsidR="00FB6AED">
        <w:t xml:space="preserve">. </w:t>
      </w:r>
    </w:p>
    <w:p w14:paraId="7BFE4D6D" w14:textId="2C8914F4" w:rsidR="00804097" w:rsidRDefault="00A107B7" w:rsidP="00804097">
      <w:r>
        <w:t xml:space="preserve">The </w:t>
      </w:r>
      <w:r w:rsidR="00594572">
        <w:t xml:space="preserve">ongoing </w:t>
      </w:r>
      <w:r>
        <w:t xml:space="preserve">impact of </w:t>
      </w:r>
      <w:r w:rsidR="0020417C">
        <w:t xml:space="preserve">maintaining </w:t>
      </w:r>
      <w:r w:rsidR="00D73682">
        <w:t xml:space="preserve">the </w:t>
      </w:r>
      <w:r w:rsidR="0020417C">
        <w:t xml:space="preserve">status quo </w:t>
      </w:r>
      <w:r w:rsidR="00D73682">
        <w:t>for</w:t>
      </w:r>
      <w:r w:rsidR="0020417C">
        <w:t xml:space="preserve"> </w:t>
      </w:r>
      <w:r w:rsidR="003C624E">
        <w:t xml:space="preserve">allowable semi-truck </w:t>
      </w:r>
      <w:r w:rsidR="0020417C">
        <w:t xml:space="preserve">transportation </w:t>
      </w:r>
      <w:r w:rsidR="003C624E">
        <w:t>of coal</w:t>
      </w:r>
      <w:r w:rsidR="0020417C">
        <w:t xml:space="preserve"> at </w:t>
      </w:r>
      <w:r w:rsidR="00C92BA9">
        <w:t xml:space="preserve">150,000 tons of </w:t>
      </w:r>
      <w:r w:rsidR="003C624E">
        <w:t>p</w:t>
      </w:r>
      <w:r w:rsidR="00C92BA9">
        <w:t xml:space="preserve">er year would be </w:t>
      </w:r>
      <w:r>
        <w:t>67.2 tons of CO</w:t>
      </w:r>
      <w:r w:rsidRPr="0096325E">
        <w:rPr>
          <w:vertAlign w:val="subscript"/>
        </w:rPr>
        <w:t>2</w:t>
      </w:r>
      <w:r>
        <w:t>e</w:t>
      </w:r>
      <w:r w:rsidR="003C624E">
        <w:t xml:space="preserve"> p</w:t>
      </w:r>
      <w:r w:rsidR="003A5D9D">
        <w:t>e</w:t>
      </w:r>
      <w:r w:rsidR="003C624E">
        <w:t>r year</w:t>
      </w:r>
      <w:r w:rsidR="00B356A9">
        <w:t>,</w:t>
      </w:r>
      <w:r w:rsidR="00692E3E">
        <w:t xml:space="preserve"> or approximately </w:t>
      </w:r>
      <w:r w:rsidR="0096325E">
        <w:t>336</w:t>
      </w:r>
      <w:r w:rsidR="001C720B">
        <w:t xml:space="preserve"> </w:t>
      </w:r>
      <w:r w:rsidR="00FC4783">
        <w:t>tons of CO</w:t>
      </w:r>
      <w:r w:rsidR="00FC4783" w:rsidRPr="0096325E">
        <w:rPr>
          <w:vertAlign w:val="subscript"/>
        </w:rPr>
        <w:t>2</w:t>
      </w:r>
      <w:r w:rsidR="00A00586">
        <w:t>e</w:t>
      </w:r>
      <w:r w:rsidR="00F44AFA">
        <w:t xml:space="preserve"> </w:t>
      </w:r>
      <w:r w:rsidR="00B356A9">
        <w:t xml:space="preserve">per year </w:t>
      </w:r>
      <w:r w:rsidR="00F44AFA">
        <w:t xml:space="preserve">less than if the project were </w:t>
      </w:r>
      <w:r w:rsidR="00F44AFA" w:rsidRPr="00204C72">
        <w:t>approved.</w:t>
      </w:r>
      <w:r w:rsidRPr="00204C72" w:rsidDel="003066E1">
        <w:t xml:space="preserve"> </w:t>
      </w:r>
      <w:r w:rsidR="00804097" w:rsidRPr="00204C72">
        <w:t>Thus</w:t>
      </w:r>
      <w:r w:rsidR="00804097" w:rsidRPr="00804097">
        <w:t xml:space="preserve">, under the No Action Alternative, there would be no change to the greenhouse gas emissions from </w:t>
      </w:r>
      <w:r w:rsidR="00CD7C23">
        <w:t xml:space="preserve">the existing allowable </w:t>
      </w:r>
      <w:r w:rsidR="00FB6AED">
        <w:t>transportation of coal</w:t>
      </w:r>
      <w:r w:rsidR="002721DE" w:rsidRPr="002721DE">
        <w:t xml:space="preserve"> </w:t>
      </w:r>
      <w:r w:rsidR="002721DE">
        <w:t>via semi-truck</w:t>
      </w:r>
      <w:r w:rsidR="00572169">
        <w:t>,</w:t>
      </w:r>
      <w:r w:rsidR="00317E12">
        <w:t xml:space="preserve"> and the project would not </w:t>
      </w:r>
      <w:r w:rsidR="00DD7486">
        <w:t xml:space="preserve">have an </w:t>
      </w:r>
      <w:r w:rsidR="004068A3">
        <w:t xml:space="preserve">impact </w:t>
      </w:r>
      <w:r w:rsidR="00DD7486">
        <w:t>on</w:t>
      </w:r>
      <w:r w:rsidR="004068A3">
        <w:t xml:space="preserve"> </w:t>
      </w:r>
      <w:r w:rsidR="00697FF9">
        <w:t>Montana’s</w:t>
      </w:r>
      <w:r w:rsidR="004068A3">
        <w:t xml:space="preserve"> </w:t>
      </w:r>
      <w:r w:rsidR="009C6783">
        <w:t>climate</w:t>
      </w:r>
      <w:r w:rsidR="00053CF3">
        <w:t xml:space="preserve">. </w:t>
      </w:r>
      <w:r w:rsidR="002721DE">
        <w:t xml:space="preserve"> </w:t>
      </w:r>
    </w:p>
    <w:p w14:paraId="3BDF93C4" w14:textId="77777777" w:rsidR="00804097" w:rsidRDefault="00804097" w:rsidP="00804097"/>
    <w:p w14:paraId="112A4B9B" w14:textId="569EDED2" w:rsidR="000F1937" w:rsidRDefault="00A718B8" w:rsidP="000F1937">
      <w:r>
        <w:t>Although d</w:t>
      </w:r>
      <w:r w:rsidR="0759D3B9">
        <w:t xml:space="preserve">enial of the </w:t>
      </w:r>
      <w:r w:rsidR="000D4D72">
        <w:t>application for</w:t>
      </w:r>
      <w:r w:rsidR="0759D3B9">
        <w:t xml:space="preserve"> </w:t>
      </w:r>
      <w:r w:rsidR="00A30E16">
        <w:t>MAQP</w:t>
      </w:r>
      <w:r w:rsidR="00F33325">
        <w:t xml:space="preserve"> #3179-13</w:t>
      </w:r>
      <w:r w:rsidR="0759D3B9">
        <w:t xml:space="preserve"> was </w:t>
      </w:r>
      <w:r w:rsidR="00274E9A">
        <w:t>consider</w:t>
      </w:r>
      <w:r w:rsidR="3ED7ACD7">
        <w:t>ed</w:t>
      </w:r>
      <w:r w:rsidR="0759D3B9">
        <w:t>, Signal Peak submitted a complete application for the proposed action</w:t>
      </w:r>
      <w:r w:rsidR="00277842">
        <w:t>,</w:t>
      </w:r>
      <w:r w:rsidR="0759D3B9">
        <w:t xml:space="preserve"> and conditions </w:t>
      </w:r>
      <w:r w:rsidR="6AC73C3A">
        <w:t xml:space="preserve">contained </w:t>
      </w:r>
      <w:r w:rsidR="0759D3B9">
        <w:t xml:space="preserve">within the MAQP </w:t>
      </w:r>
      <w:r w:rsidR="00A67836">
        <w:t>ensure the proposed action would operate in compliance with the Clean Air Act of Montana and</w:t>
      </w:r>
      <w:r w:rsidR="00765854">
        <w:t xml:space="preserve"> </w:t>
      </w:r>
      <w:r w:rsidR="00A67836">
        <w:t>the Federal Clean Air Act</w:t>
      </w:r>
      <w:r w:rsidR="5E7E3AE3">
        <w:t xml:space="preserve">. </w:t>
      </w:r>
      <w:r w:rsidR="61A02E80">
        <w:t xml:space="preserve">Therefore, DEQ did not deny the </w:t>
      </w:r>
      <w:r w:rsidR="00084F28">
        <w:t>Proposed Action</w:t>
      </w:r>
      <w:r w:rsidR="61A02E80">
        <w:t>.</w:t>
      </w:r>
      <w:r w:rsidR="009249C5" w:rsidRPr="009249C5">
        <w:t xml:space="preserve"> </w:t>
      </w:r>
    </w:p>
    <w:p w14:paraId="0AA2A66F" w14:textId="77777777" w:rsidR="00D543BE" w:rsidRPr="0075004C" w:rsidRDefault="00D543BE" w:rsidP="000F1937">
      <w:pPr>
        <w:rPr>
          <w:rFonts w:cstheme="minorBidi"/>
        </w:rPr>
      </w:pPr>
    </w:p>
    <w:p w14:paraId="5A8FD9AE" w14:textId="69FC21D2" w:rsidR="00B3415D" w:rsidRPr="000C66FE" w:rsidRDefault="2F468972" w:rsidP="00756D6D">
      <w:pPr>
        <w:pStyle w:val="Heading3"/>
      </w:pPr>
      <w:bookmarkStart w:id="36" w:name="_Toc196305920"/>
      <w:bookmarkStart w:id="37" w:name="_Toc219800156"/>
      <w:r>
        <w:t>Consultation</w:t>
      </w:r>
      <w:bookmarkEnd w:id="36"/>
      <w:bookmarkEnd w:id="37"/>
    </w:p>
    <w:p w14:paraId="7F58ECBB" w14:textId="6E03911F" w:rsidR="00647288" w:rsidRPr="00F45C4A" w:rsidRDefault="00B3415D" w:rsidP="00647288">
      <w:pPr>
        <w:pStyle w:val="BodyText"/>
        <w:rPr>
          <w:rFonts w:cstheme="minorBidi"/>
          <w:sz w:val="22"/>
          <w:szCs w:val="22"/>
        </w:rPr>
      </w:pPr>
      <w:bookmarkStart w:id="38" w:name="_Toc138411217"/>
      <w:bookmarkStart w:id="39" w:name="_Toc138411359"/>
      <w:bookmarkStart w:id="40" w:name="_Toc138412044"/>
      <w:bookmarkStart w:id="41" w:name="_Toc138413375"/>
      <w:r w:rsidRPr="00F45C4A">
        <w:rPr>
          <w:rFonts w:eastAsiaTheme="minorEastAsia"/>
          <w:sz w:val="22"/>
          <w:szCs w:val="22"/>
          <w:lang w:bidi="ar-SA"/>
        </w:rPr>
        <w:t xml:space="preserve">DEQ engaged in internal and external efforts to identify substantive issues and/or concerns related to the proposed project. Internal scoping consisted of internal review of the </w:t>
      </w:r>
      <w:r w:rsidR="009B5393">
        <w:rPr>
          <w:rFonts w:eastAsiaTheme="minorEastAsia"/>
          <w:sz w:val="22"/>
          <w:szCs w:val="22"/>
          <w:lang w:bidi="ar-SA"/>
        </w:rPr>
        <w:t>EA</w:t>
      </w:r>
      <w:r w:rsidRPr="00F45C4A">
        <w:rPr>
          <w:rFonts w:eastAsiaTheme="minorEastAsia"/>
          <w:sz w:val="22"/>
          <w:szCs w:val="22"/>
          <w:lang w:bidi="ar-SA"/>
        </w:rPr>
        <w:t xml:space="preserve"> document by DEQ staff and </w:t>
      </w:r>
      <w:r w:rsidR="00246FAF" w:rsidRPr="00F45C4A">
        <w:rPr>
          <w:rFonts w:eastAsiaTheme="minorEastAsia"/>
          <w:sz w:val="22"/>
          <w:szCs w:val="22"/>
          <w:lang w:bidi="ar-SA"/>
        </w:rPr>
        <w:t>Signal Peak staff</w:t>
      </w:r>
      <w:r w:rsidRPr="00F45C4A">
        <w:rPr>
          <w:rFonts w:eastAsiaTheme="minorEastAsia"/>
          <w:sz w:val="22"/>
          <w:szCs w:val="22"/>
          <w:lang w:bidi="ar-SA"/>
        </w:rPr>
        <w:t xml:space="preserve">. </w:t>
      </w:r>
      <w:bookmarkStart w:id="42" w:name="_Toc138411218"/>
      <w:bookmarkStart w:id="43" w:name="_Toc138411360"/>
      <w:bookmarkStart w:id="44" w:name="_Toc138412045"/>
      <w:bookmarkStart w:id="45" w:name="_Toc138413376"/>
      <w:bookmarkStart w:id="46" w:name="_Toc63946645"/>
      <w:bookmarkStart w:id="47" w:name="_Toc138411219"/>
      <w:bookmarkStart w:id="48" w:name="_Toc138411361"/>
      <w:bookmarkEnd w:id="38"/>
      <w:bookmarkEnd w:id="39"/>
      <w:bookmarkEnd w:id="40"/>
      <w:bookmarkEnd w:id="41"/>
      <w:bookmarkEnd w:id="42"/>
      <w:bookmarkEnd w:id="43"/>
      <w:bookmarkEnd w:id="44"/>
      <w:bookmarkEnd w:id="45"/>
    </w:p>
    <w:p w14:paraId="7546C758" w14:textId="77777777" w:rsidR="009B5393" w:rsidRDefault="009B5393" w:rsidP="0027732C">
      <w:pPr>
        <w:pStyle w:val="Heading3"/>
      </w:pPr>
      <w:bookmarkStart w:id="49" w:name="_Toc196305921"/>
    </w:p>
    <w:p w14:paraId="5D87D037" w14:textId="10E9D2C0" w:rsidR="009D15FD" w:rsidRPr="0027732C" w:rsidRDefault="3242A44D" w:rsidP="27F276F4">
      <w:pPr>
        <w:pStyle w:val="Heading3"/>
        <w:rPr>
          <w:rStyle w:val="Heading2Char"/>
          <w:b/>
          <w:bCs/>
          <w:smallCaps w:val="0"/>
          <w:sz w:val="28"/>
          <w:szCs w:val="28"/>
        </w:rPr>
      </w:pPr>
      <w:bookmarkStart w:id="50" w:name="_Toc219800157"/>
      <w:r>
        <w:t xml:space="preserve">Public </w:t>
      </w:r>
      <w:r w:rsidRPr="27F276F4">
        <w:rPr>
          <w:rStyle w:val="Heading2Char"/>
          <w:b/>
          <w:bCs/>
          <w:smallCaps w:val="0"/>
          <w:sz w:val="28"/>
          <w:szCs w:val="28"/>
        </w:rPr>
        <w:t>Involvement</w:t>
      </w:r>
      <w:bookmarkEnd w:id="49"/>
      <w:bookmarkEnd w:id="50"/>
    </w:p>
    <w:p w14:paraId="7AF1013C" w14:textId="10D117E1" w:rsidR="000025FF" w:rsidRDefault="16791C52" w:rsidP="590349C5">
      <w:pPr>
        <w:widowControl/>
        <w:adjustRightInd w:val="0"/>
        <w:spacing w:after="240"/>
        <w:rPr>
          <w:rFonts w:cstheme="minorBidi"/>
        </w:rPr>
      </w:pPr>
      <w:r w:rsidRPr="27F276F4">
        <w:rPr>
          <w:rFonts w:cstheme="minorBidi"/>
        </w:rPr>
        <w:t xml:space="preserve">The </w:t>
      </w:r>
      <w:bookmarkStart w:id="51" w:name="_Toc196305922"/>
      <w:r w:rsidR="15EE5B5C" w:rsidRPr="27F276F4">
        <w:rPr>
          <w:rFonts w:cstheme="minorBidi"/>
        </w:rPr>
        <w:t xml:space="preserve">public comment period for this </w:t>
      </w:r>
      <w:r w:rsidR="00C51C89">
        <w:rPr>
          <w:rFonts w:cstheme="minorBidi"/>
        </w:rPr>
        <w:t>S</w:t>
      </w:r>
      <w:r w:rsidR="72592B88" w:rsidRPr="27F276F4">
        <w:rPr>
          <w:rFonts w:cstheme="minorBidi"/>
        </w:rPr>
        <w:t>upplemental EA</w:t>
      </w:r>
      <w:r w:rsidR="15EE5B5C" w:rsidRPr="27F276F4">
        <w:rPr>
          <w:rFonts w:cstheme="minorBidi"/>
        </w:rPr>
        <w:t xml:space="preserve"> </w:t>
      </w:r>
      <w:r w:rsidR="006F09DC">
        <w:rPr>
          <w:rFonts w:cstheme="minorBidi"/>
        </w:rPr>
        <w:t xml:space="preserve">was initiated on November 17, </w:t>
      </w:r>
      <w:r w:rsidR="00ED531A">
        <w:rPr>
          <w:rFonts w:cstheme="minorBidi"/>
        </w:rPr>
        <w:t>2025,</w:t>
      </w:r>
      <w:r w:rsidR="00ED531A" w:rsidRPr="27F276F4">
        <w:rPr>
          <w:rFonts w:cstheme="minorBidi"/>
        </w:rPr>
        <w:t xml:space="preserve"> </w:t>
      </w:r>
      <w:r w:rsidR="00ED531A" w:rsidRPr="00454944">
        <w:rPr>
          <w:rFonts w:cstheme="minorBidi"/>
        </w:rPr>
        <w:t>and</w:t>
      </w:r>
      <w:r w:rsidR="00454944">
        <w:rPr>
          <w:rFonts w:cstheme="minorBidi"/>
        </w:rPr>
        <w:t xml:space="preserve"> concluded on</w:t>
      </w:r>
      <w:r w:rsidR="00454944" w:rsidRPr="00274E9A">
        <w:rPr>
          <w:rFonts w:cstheme="minorBidi"/>
        </w:rPr>
        <w:t xml:space="preserve"> </w:t>
      </w:r>
      <w:r w:rsidR="006F09DC">
        <w:rPr>
          <w:rFonts w:cstheme="minorBidi"/>
        </w:rPr>
        <w:t xml:space="preserve">December 17, </w:t>
      </w:r>
      <w:r w:rsidR="15EE5B5C" w:rsidRPr="00274E9A">
        <w:rPr>
          <w:rFonts w:cstheme="minorBidi"/>
        </w:rPr>
        <w:t>2025</w:t>
      </w:r>
      <w:r w:rsidR="15EE5B5C" w:rsidRPr="27F276F4">
        <w:rPr>
          <w:rFonts w:cstheme="minorBidi"/>
        </w:rPr>
        <w:t>.</w:t>
      </w:r>
      <w:r w:rsidR="000025FF">
        <w:rPr>
          <w:rFonts w:cstheme="minorBidi"/>
        </w:rPr>
        <w:t xml:space="preserve"> </w:t>
      </w:r>
      <w:r w:rsidR="00AC4C1F">
        <w:rPr>
          <w:rFonts w:cstheme="minorBidi"/>
        </w:rPr>
        <w:t>DEQ received several comments from Signal Peak, as addressed in the table below</w:t>
      </w:r>
      <w:r w:rsidR="002E6014">
        <w:rPr>
          <w:rFonts w:cstheme="minorBidi"/>
        </w:rPr>
        <w:t xml:space="preserve">. </w:t>
      </w:r>
      <w:r w:rsidR="002E6014" w:rsidRPr="002E6014">
        <w:rPr>
          <w:rFonts w:cstheme="minorBidi"/>
        </w:rPr>
        <w:t>DEQ also received substantive comments from Montana Environmental Information Center (MEIC) et al. on December 16, 2025. DEQ’s responses to the MEIC et al. comments are provided in the attached Comment Response Document.</w:t>
      </w:r>
      <w:r w:rsidR="00AC4C1F">
        <w:rPr>
          <w:rFonts w:cstheme="minorBidi"/>
        </w:rPr>
        <w:t xml:space="preserve"> </w:t>
      </w: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5"/>
        <w:gridCol w:w="1260"/>
        <w:gridCol w:w="3600"/>
        <w:gridCol w:w="3000"/>
      </w:tblGrid>
      <w:tr w:rsidR="000025FF" w:rsidRPr="00FB7886" w14:paraId="065A8354" w14:textId="77777777" w:rsidTr="004C3238">
        <w:tc>
          <w:tcPr>
            <w:tcW w:w="9745" w:type="dxa"/>
            <w:gridSpan w:val="4"/>
          </w:tcPr>
          <w:p w14:paraId="72E99733" w14:textId="6DFCEEEC" w:rsidR="000025FF" w:rsidRDefault="000025FF" w:rsidP="000B0272">
            <w:pPr>
              <w:jc w:val="center"/>
              <w:rPr>
                <w:b/>
                <w:szCs w:val="24"/>
              </w:rPr>
            </w:pPr>
            <w:r>
              <w:rPr>
                <w:b/>
                <w:szCs w:val="24"/>
              </w:rPr>
              <w:t>Public Comments Received</w:t>
            </w:r>
          </w:p>
        </w:tc>
      </w:tr>
      <w:tr w:rsidR="000025FF" w:rsidRPr="00FB7886" w14:paraId="0E90B1E1" w14:textId="77777777" w:rsidTr="008D1C91">
        <w:tc>
          <w:tcPr>
            <w:tcW w:w="1885" w:type="dxa"/>
          </w:tcPr>
          <w:p w14:paraId="72679DEC" w14:textId="77777777" w:rsidR="000025FF" w:rsidRPr="00FB7886" w:rsidRDefault="000025FF" w:rsidP="000B0272">
            <w:pPr>
              <w:jc w:val="center"/>
              <w:rPr>
                <w:b/>
                <w:szCs w:val="24"/>
              </w:rPr>
            </w:pPr>
            <w:bookmarkStart w:id="52" w:name="_Hlk167341803"/>
            <w:r w:rsidRPr="00FB7886">
              <w:rPr>
                <w:b/>
                <w:szCs w:val="24"/>
              </w:rPr>
              <w:t>Person/Group Commenting</w:t>
            </w:r>
          </w:p>
        </w:tc>
        <w:tc>
          <w:tcPr>
            <w:tcW w:w="1260" w:type="dxa"/>
          </w:tcPr>
          <w:p w14:paraId="0C225EB3" w14:textId="77777777" w:rsidR="000025FF" w:rsidRPr="00FB7886" w:rsidRDefault="000025FF" w:rsidP="000B0272">
            <w:pPr>
              <w:jc w:val="center"/>
              <w:rPr>
                <w:b/>
                <w:szCs w:val="24"/>
              </w:rPr>
            </w:pPr>
            <w:r w:rsidRPr="00FB7886">
              <w:rPr>
                <w:b/>
                <w:szCs w:val="24"/>
              </w:rPr>
              <w:t>Permit Reference</w:t>
            </w:r>
          </w:p>
        </w:tc>
        <w:tc>
          <w:tcPr>
            <w:tcW w:w="3600" w:type="dxa"/>
          </w:tcPr>
          <w:p w14:paraId="1D97A52A" w14:textId="77777777" w:rsidR="000025FF" w:rsidRPr="00FB7886" w:rsidRDefault="000025FF" w:rsidP="000B0272">
            <w:pPr>
              <w:jc w:val="center"/>
              <w:rPr>
                <w:b/>
                <w:szCs w:val="24"/>
              </w:rPr>
            </w:pPr>
            <w:r w:rsidRPr="00FB7886">
              <w:rPr>
                <w:b/>
                <w:szCs w:val="24"/>
              </w:rPr>
              <w:t>Comment</w:t>
            </w:r>
          </w:p>
        </w:tc>
        <w:tc>
          <w:tcPr>
            <w:tcW w:w="3000" w:type="dxa"/>
          </w:tcPr>
          <w:p w14:paraId="5DA7EF35" w14:textId="77777777" w:rsidR="000025FF" w:rsidRPr="00FB7886" w:rsidRDefault="000025FF" w:rsidP="000B0272">
            <w:pPr>
              <w:jc w:val="center"/>
              <w:rPr>
                <w:b/>
                <w:szCs w:val="24"/>
              </w:rPr>
            </w:pPr>
            <w:r>
              <w:rPr>
                <w:b/>
                <w:szCs w:val="24"/>
              </w:rPr>
              <w:t>DEQ</w:t>
            </w:r>
            <w:r w:rsidRPr="00FB7886">
              <w:rPr>
                <w:b/>
                <w:szCs w:val="24"/>
              </w:rPr>
              <w:t xml:space="preserve"> Response</w:t>
            </w:r>
          </w:p>
        </w:tc>
      </w:tr>
      <w:tr w:rsidR="000025FF" w:rsidRPr="00FB7886" w14:paraId="67074AF6" w14:textId="77777777" w:rsidTr="008D1C91">
        <w:tc>
          <w:tcPr>
            <w:tcW w:w="1885" w:type="dxa"/>
          </w:tcPr>
          <w:p w14:paraId="6004AE3F" w14:textId="77777777"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2E9D98DB" w14:textId="77777777" w:rsidR="000025FF" w:rsidRPr="00454944" w:rsidRDefault="000025FF" w:rsidP="000025FF">
            <w:pPr>
              <w:jc w:val="left"/>
              <w:rPr>
                <w:rFonts w:cstheme="minorHAnsi"/>
                <w:szCs w:val="24"/>
                <w:u w:val="single"/>
              </w:rPr>
            </w:pPr>
            <w:r w:rsidRPr="00454944">
              <w:rPr>
                <w:rFonts w:cstheme="minorHAnsi"/>
                <w:szCs w:val="24"/>
              </w:rPr>
              <w:t>Supplemental EA, Correction, Top of Page 14</w:t>
            </w:r>
          </w:p>
          <w:p w14:paraId="6EFDC799" w14:textId="77777777" w:rsidR="000025FF" w:rsidRPr="00454944" w:rsidRDefault="000025FF" w:rsidP="000025FF">
            <w:pPr>
              <w:jc w:val="left"/>
              <w:rPr>
                <w:rFonts w:cstheme="minorHAnsi"/>
                <w:szCs w:val="24"/>
              </w:rPr>
            </w:pPr>
          </w:p>
        </w:tc>
        <w:tc>
          <w:tcPr>
            <w:tcW w:w="3600" w:type="dxa"/>
          </w:tcPr>
          <w:p w14:paraId="18DF21B6" w14:textId="3AE6AF6C" w:rsidR="000025FF" w:rsidRPr="00454944" w:rsidRDefault="000025FF" w:rsidP="000025FF">
            <w:pPr>
              <w:jc w:val="left"/>
              <w:rPr>
                <w:rFonts w:cstheme="minorHAnsi"/>
                <w:szCs w:val="24"/>
              </w:rPr>
            </w:pPr>
            <w:r w:rsidRPr="00454944">
              <w:rPr>
                <w:rFonts w:cstheme="minorHAnsi"/>
                <w:szCs w:val="24"/>
              </w:rPr>
              <w:t xml:space="preserve">“The ongoing impact of maintaining the status quo for allowable semi-truck transportation of coal at 150,000 tons of per year would be 67.2 tons of CO2e per year, or approximately </w:t>
            </w:r>
            <w:r w:rsidRPr="00454944">
              <w:rPr>
                <w:rFonts w:cstheme="minorHAnsi"/>
                <w:b/>
                <w:bCs/>
                <w:strike/>
                <w:szCs w:val="24"/>
              </w:rPr>
              <w:t>270</w:t>
            </w:r>
            <w:r w:rsidRPr="00454944">
              <w:rPr>
                <w:rFonts w:cstheme="minorHAnsi"/>
                <w:szCs w:val="24"/>
              </w:rPr>
              <w:t xml:space="preserve"> </w:t>
            </w:r>
            <w:r w:rsidRPr="00454944">
              <w:rPr>
                <w:rFonts w:cstheme="minorHAnsi"/>
                <w:b/>
                <w:bCs/>
                <w:szCs w:val="24"/>
              </w:rPr>
              <w:t>337 tons of CO2e per year</w:t>
            </w:r>
            <w:r w:rsidRPr="00454944">
              <w:rPr>
                <w:rFonts w:cstheme="minorHAnsi"/>
                <w:szCs w:val="24"/>
              </w:rPr>
              <w:t xml:space="preserve"> less than if the project were approved. Thus, under the No Action Alternative, there would be no change to the greenhouse gas </w:t>
            </w:r>
            <w:r w:rsidRPr="00454944">
              <w:rPr>
                <w:rFonts w:cstheme="minorHAnsi"/>
                <w:szCs w:val="24"/>
              </w:rPr>
              <w:lastRenderedPageBreak/>
              <w:t>emissions from the existing allowable transportation of coal via semi-truck, and the project would not have an impact on Montana’s climate.”</w:t>
            </w:r>
          </w:p>
          <w:p w14:paraId="431CF099" w14:textId="77777777" w:rsidR="000025FF" w:rsidRPr="00454944" w:rsidRDefault="000025FF" w:rsidP="000025FF">
            <w:pPr>
              <w:jc w:val="left"/>
              <w:rPr>
                <w:rFonts w:cstheme="minorHAnsi"/>
                <w:szCs w:val="24"/>
              </w:rPr>
            </w:pPr>
          </w:p>
        </w:tc>
        <w:tc>
          <w:tcPr>
            <w:tcW w:w="3000" w:type="dxa"/>
          </w:tcPr>
          <w:p w14:paraId="4847013D" w14:textId="77777777" w:rsidR="000025FF" w:rsidRPr="00454944" w:rsidRDefault="000025FF" w:rsidP="000025FF">
            <w:pPr>
              <w:jc w:val="left"/>
              <w:rPr>
                <w:rFonts w:cstheme="minorHAnsi"/>
                <w:szCs w:val="24"/>
              </w:rPr>
            </w:pPr>
            <w:r w:rsidRPr="00454944">
              <w:rPr>
                <w:rFonts w:cstheme="minorHAnsi"/>
                <w:szCs w:val="24"/>
              </w:rPr>
              <w:lastRenderedPageBreak/>
              <w:t xml:space="preserve">DEQ made the requested corrections. </w:t>
            </w:r>
          </w:p>
        </w:tc>
      </w:tr>
      <w:tr w:rsidR="000025FF" w:rsidRPr="00FB7886" w14:paraId="33CDC690" w14:textId="77777777" w:rsidTr="008D1C91">
        <w:tc>
          <w:tcPr>
            <w:tcW w:w="1885" w:type="dxa"/>
          </w:tcPr>
          <w:p w14:paraId="1DD3BC5A" w14:textId="2888E197"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5EED7B45" w14:textId="77777777" w:rsidR="000025FF" w:rsidRPr="00454944" w:rsidRDefault="000025FF" w:rsidP="000025FF">
            <w:pPr>
              <w:jc w:val="left"/>
              <w:rPr>
                <w:rFonts w:cstheme="minorHAnsi"/>
                <w:szCs w:val="24"/>
                <w:u w:val="single"/>
              </w:rPr>
            </w:pPr>
            <w:r w:rsidRPr="00454944">
              <w:rPr>
                <w:rFonts w:cstheme="minorHAnsi"/>
                <w:szCs w:val="24"/>
              </w:rPr>
              <w:t>Supplemental EA, Correction, Page 4</w:t>
            </w:r>
          </w:p>
          <w:p w14:paraId="579EF735" w14:textId="77777777" w:rsidR="000025FF" w:rsidRPr="00454944" w:rsidRDefault="000025FF" w:rsidP="000025FF">
            <w:pPr>
              <w:jc w:val="left"/>
              <w:rPr>
                <w:rFonts w:cstheme="minorHAnsi"/>
                <w:szCs w:val="24"/>
              </w:rPr>
            </w:pPr>
            <w:r w:rsidRPr="00454944">
              <w:rPr>
                <w:rFonts w:cstheme="minorHAnsi"/>
                <w:szCs w:val="24"/>
              </w:rPr>
              <w:t xml:space="preserve">Proposed Action </w:t>
            </w:r>
          </w:p>
          <w:p w14:paraId="087E90BD" w14:textId="77777777" w:rsidR="000025FF" w:rsidRPr="00454944" w:rsidRDefault="000025FF" w:rsidP="000025FF">
            <w:pPr>
              <w:jc w:val="left"/>
              <w:rPr>
                <w:rFonts w:cstheme="minorHAnsi"/>
                <w:szCs w:val="24"/>
              </w:rPr>
            </w:pPr>
          </w:p>
        </w:tc>
        <w:tc>
          <w:tcPr>
            <w:tcW w:w="3600" w:type="dxa"/>
          </w:tcPr>
          <w:p w14:paraId="7A834606" w14:textId="77777777" w:rsidR="000025FF" w:rsidRPr="00454944" w:rsidRDefault="000025FF" w:rsidP="000025FF">
            <w:pPr>
              <w:jc w:val="left"/>
              <w:rPr>
                <w:rFonts w:cstheme="minorHAnsi"/>
                <w:szCs w:val="20"/>
              </w:rPr>
            </w:pPr>
            <w:r w:rsidRPr="00454944">
              <w:rPr>
                <w:rFonts w:cstheme="minorHAnsi"/>
                <w:szCs w:val="20"/>
              </w:rPr>
              <w:t xml:space="preserve">Signal Peak Energy, LLC. (Signal Peak) applied for MAQP #3179-13 under the Clean Air Act of Montana, § 75-2-101, et. seq, to cover the transportation increase of allowable tonnage of coal shipped per year, from 150,000 tons per year (tpy) to </w:t>
            </w:r>
            <w:r w:rsidRPr="00454944">
              <w:rPr>
                <w:rFonts w:cstheme="minorHAnsi"/>
                <w:b/>
                <w:bCs/>
                <w:strike/>
                <w:szCs w:val="20"/>
              </w:rPr>
              <w:t>750,000</w:t>
            </w:r>
            <w:r w:rsidRPr="00454944">
              <w:rPr>
                <w:rFonts w:cstheme="minorHAnsi"/>
                <w:b/>
                <w:bCs/>
                <w:szCs w:val="20"/>
              </w:rPr>
              <w:t xml:space="preserve"> 700,000</w:t>
            </w:r>
            <w:r w:rsidRPr="00454944">
              <w:rPr>
                <w:rFonts w:cstheme="minorHAnsi"/>
                <w:szCs w:val="20"/>
              </w:rPr>
              <w:t xml:space="preserve"> </w:t>
            </w:r>
            <w:proofErr w:type="gramStart"/>
            <w:r w:rsidRPr="00454944">
              <w:rPr>
                <w:rFonts w:cstheme="minorHAnsi"/>
                <w:szCs w:val="20"/>
              </w:rPr>
              <w:t>tpy</w:t>
            </w:r>
            <w:proofErr w:type="gramEnd"/>
            <w:r w:rsidRPr="00454944">
              <w:rPr>
                <w:rFonts w:cstheme="minorHAnsi"/>
                <w:szCs w:val="20"/>
              </w:rPr>
              <w:t xml:space="preserve">   </w:t>
            </w:r>
          </w:p>
          <w:p w14:paraId="19224A32" w14:textId="77777777" w:rsidR="000025FF" w:rsidRPr="00454944" w:rsidRDefault="000025FF" w:rsidP="000025FF">
            <w:pPr>
              <w:ind w:left="720"/>
              <w:jc w:val="left"/>
              <w:rPr>
                <w:rFonts w:cstheme="minorHAnsi"/>
                <w:szCs w:val="24"/>
                <w:u w:val="single"/>
              </w:rPr>
            </w:pPr>
          </w:p>
        </w:tc>
        <w:tc>
          <w:tcPr>
            <w:tcW w:w="3000" w:type="dxa"/>
          </w:tcPr>
          <w:p w14:paraId="538516F0"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0025FF" w:rsidRPr="00FB7886" w14:paraId="419C1E7A" w14:textId="77777777" w:rsidTr="008D1C91">
        <w:tc>
          <w:tcPr>
            <w:tcW w:w="1885" w:type="dxa"/>
          </w:tcPr>
          <w:p w14:paraId="78473FD3" w14:textId="26431634"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606886B9" w14:textId="77777777" w:rsidR="000025FF" w:rsidRPr="00454944" w:rsidRDefault="000025FF" w:rsidP="000025FF">
            <w:pPr>
              <w:jc w:val="left"/>
              <w:rPr>
                <w:rFonts w:cstheme="minorHAnsi"/>
                <w:szCs w:val="24"/>
              </w:rPr>
            </w:pPr>
            <w:r w:rsidRPr="00454944">
              <w:rPr>
                <w:rFonts w:cstheme="minorHAnsi"/>
                <w:szCs w:val="24"/>
              </w:rPr>
              <w:t xml:space="preserve">Supplemental EA, Correction, Table 2, Page 5 – Air Quality </w:t>
            </w:r>
          </w:p>
        </w:tc>
        <w:tc>
          <w:tcPr>
            <w:tcW w:w="3600" w:type="dxa"/>
          </w:tcPr>
          <w:p w14:paraId="250557D4" w14:textId="77777777" w:rsidR="000025FF" w:rsidRPr="00454944" w:rsidRDefault="000025FF" w:rsidP="000025FF">
            <w:pPr>
              <w:jc w:val="left"/>
              <w:rPr>
                <w:rFonts w:cstheme="minorHAnsi"/>
              </w:rPr>
            </w:pPr>
            <w:r w:rsidRPr="00454944">
              <w:rPr>
                <w:rFonts w:cstheme="minorHAnsi"/>
              </w:rPr>
              <w:t xml:space="preserve">Signal Peak </w:t>
            </w:r>
            <w:proofErr w:type="gramStart"/>
            <w:r w:rsidRPr="00454944">
              <w:rPr>
                <w:rFonts w:cstheme="minorHAnsi"/>
              </w:rPr>
              <w:t>submitted an application</w:t>
            </w:r>
            <w:proofErr w:type="gramEnd"/>
            <w:r w:rsidRPr="00454944">
              <w:rPr>
                <w:rFonts w:cstheme="minorHAnsi"/>
              </w:rPr>
              <w:t xml:space="preserve"> for modification of MAQP #3179-12 to allow for an increase of coal to be shipped by truck. The modification requested an increase of coal shipped from 150,000 tons per year to </w:t>
            </w:r>
            <w:r w:rsidRPr="00454944">
              <w:rPr>
                <w:rFonts w:cstheme="minorHAnsi"/>
                <w:b/>
                <w:bCs/>
                <w:strike/>
              </w:rPr>
              <w:t>750,000</w:t>
            </w:r>
            <w:r w:rsidRPr="00454944">
              <w:rPr>
                <w:rFonts w:cstheme="minorHAnsi"/>
                <w:b/>
                <w:bCs/>
              </w:rPr>
              <w:t xml:space="preserve"> 700,000 tons per year</w:t>
            </w:r>
            <w:r w:rsidRPr="00454944">
              <w:rPr>
                <w:rFonts w:cstheme="minorHAnsi"/>
              </w:rPr>
              <w:t xml:space="preserve"> and was issued final on December 20, 2023. Approximately 337 metric tons of CO2 equivalent emissions would be emitted from the on-site (mine) transfer of coal to and from the semi-truck load-out facility. </w:t>
            </w:r>
          </w:p>
          <w:p w14:paraId="590713B7" w14:textId="77777777" w:rsidR="000025FF" w:rsidRPr="00454944" w:rsidRDefault="000025FF" w:rsidP="000025FF">
            <w:pPr>
              <w:ind w:left="720"/>
              <w:jc w:val="left"/>
              <w:rPr>
                <w:rFonts w:cstheme="minorHAnsi"/>
                <w:szCs w:val="24"/>
                <w:u w:val="single"/>
              </w:rPr>
            </w:pPr>
          </w:p>
        </w:tc>
        <w:tc>
          <w:tcPr>
            <w:tcW w:w="3000" w:type="dxa"/>
          </w:tcPr>
          <w:p w14:paraId="7F8C3A0E"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0025FF" w:rsidRPr="00FB7886" w14:paraId="24B7AF83" w14:textId="77777777" w:rsidTr="008D1C91">
        <w:tc>
          <w:tcPr>
            <w:tcW w:w="1885" w:type="dxa"/>
          </w:tcPr>
          <w:p w14:paraId="1D49FDAC" w14:textId="4A4EC919"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3A9570AC" w14:textId="77777777" w:rsidR="000025FF" w:rsidRPr="00454944" w:rsidRDefault="000025FF" w:rsidP="000025FF">
            <w:pPr>
              <w:jc w:val="left"/>
              <w:rPr>
                <w:rFonts w:cstheme="minorHAnsi"/>
                <w:szCs w:val="24"/>
              </w:rPr>
            </w:pPr>
            <w:r w:rsidRPr="00454944">
              <w:rPr>
                <w:rFonts w:cstheme="minorHAnsi"/>
                <w:szCs w:val="24"/>
              </w:rPr>
              <w:t>Supplemental EA, Correction, Table 3, Page 5</w:t>
            </w:r>
          </w:p>
        </w:tc>
        <w:tc>
          <w:tcPr>
            <w:tcW w:w="3600" w:type="dxa"/>
          </w:tcPr>
          <w:p w14:paraId="12105160" w14:textId="77777777" w:rsidR="000025FF" w:rsidRPr="00454944" w:rsidRDefault="000025FF" w:rsidP="000025FF">
            <w:pPr>
              <w:jc w:val="left"/>
              <w:rPr>
                <w:rFonts w:cstheme="minorHAnsi"/>
                <w:szCs w:val="24"/>
              </w:rPr>
            </w:pPr>
            <w:r w:rsidRPr="00454944">
              <w:rPr>
                <w:rFonts w:cstheme="minorHAnsi"/>
                <w:szCs w:val="24"/>
              </w:rPr>
              <w:t xml:space="preserve">Signal Peak </w:t>
            </w:r>
            <w:proofErr w:type="gramStart"/>
            <w:r w:rsidRPr="00454944">
              <w:rPr>
                <w:rFonts w:cstheme="minorHAnsi"/>
                <w:szCs w:val="24"/>
              </w:rPr>
              <w:t>submitted an application</w:t>
            </w:r>
            <w:proofErr w:type="gramEnd"/>
            <w:r w:rsidRPr="00454944">
              <w:rPr>
                <w:rFonts w:cstheme="minorHAnsi"/>
                <w:szCs w:val="24"/>
              </w:rPr>
              <w:t xml:space="preserve"> for modification of MAQP #3179-12 to allow for an increase of coal to be shipped by truck. The modification requested an increase of coal shipped over-road by semi-truck from 150,000 tons per year to </w:t>
            </w:r>
            <w:r w:rsidRPr="00454944">
              <w:rPr>
                <w:rFonts w:cstheme="minorHAnsi"/>
                <w:b/>
                <w:bCs/>
                <w:strike/>
                <w:szCs w:val="24"/>
              </w:rPr>
              <w:t>750,000</w:t>
            </w:r>
            <w:r w:rsidRPr="00454944">
              <w:rPr>
                <w:rFonts w:cstheme="minorHAnsi"/>
                <w:b/>
                <w:bCs/>
                <w:szCs w:val="24"/>
              </w:rPr>
              <w:t xml:space="preserve"> 700,000</w:t>
            </w:r>
            <w:r w:rsidRPr="00454944">
              <w:rPr>
                <w:rFonts w:cstheme="minorHAnsi"/>
                <w:szCs w:val="24"/>
              </w:rPr>
              <w:t xml:space="preserve"> </w:t>
            </w:r>
            <w:r w:rsidRPr="00454944">
              <w:rPr>
                <w:rFonts w:cstheme="minorHAnsi"/>
                <w:b/>
                <w:bCs/>
                <w:szCs w:val="24"/>
              </w:rPr>
              <w:t xml:space="preserve">tons per year </w:t>
            </w:r>
            <w:r w:rsidRPr="00454944">
              <w:rPr>
                <w:rFonts w:cstheme="minorHAnsi"/>
                <w:szCs w:val="24"/>
              </w:rPr>
              <w:t>and was issued as final on December 20, 2023.</w:t>
            </w:r>
          </w:p>
        </w:tc>
        <w:tc>
          <w:tcPr>
            <w:tcW w:w="3000" w:type="dxa"/>
          </w:tcPr>
          <w:p w14:paraId="170E9004"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0025FF" w:rsidRPr="00FB7886" w14:paraId="5D02E1CB" w14:textId="77777777" w:rsidTr="008D1C91">
        <w:tc>
          <w:tcPr>
            <w:tcW w:w="1885" w:type="dxa"/>
          </w:tcPr>
          <w:p w14:paraId="35D50810" w14:textId="4B85B1C7"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48A30EA0" w14:textId="77777777" w:rsidR="000025FF" w:rsidRPr="00454944" w:rsidRDefault="000025FF" w:rsidP="000025FF">
            <w:pPr>
              <w:jc w:val="left"/>
              <w:rPr>
                <w:rFonts w:cstheme="minorHAnsi"/>
                <w:szCs w:val="24"/>
              </w:rPr>
            </w:pPr>
            <w:r w:rsidRPr="00454944">
              <w:rPr>
                <w:rFonts w:cstheme="minorHAnsi"/>
                <w:szCs w:val="24"/>
              </w:rPr>
              <w:t xml:space="preserve">Supplemental EA, Correction, Page 7, Summary of Scope of Analysis </w:t>
            </w:r>
          </w:p>
        </w:tc>
        <w:tc>
          <w:tcPr>
            <w:tcW w:w="3600" w:type="dxa"/>
          </w:tcPr>
          <w:p w14:paraId="3274EE89" w14:textId="77777777" w:rsidR="000025FF" w:rsidRPr="00454944" w:rsidRDefault="000025FF" w:rsidP="000025FF">
            <w:pPr>
              <w:jc w:val="left"/>
              <w:rPr>
                <w:rFonts w:cstheme="minorHAnsi"/>
                <w:szCs w:val="24"/>
              </w:rPr>
            </w:pPr>
            <w:r w:rsidRPr="00454944">
              <w:rPr>
                <w:rFonts w:cstheme="minorHAnsi"/>
                <w:szCs w:val="24"/>
              </w:rPr>
              <w:t xml:space="preserve">DEQ has determined EPA’s Scope 1 GHG impacts, as defined in the Inventory Guidance for Greenhouse Gas Emissions, are appropriate under MEPA for this Proposed Action. Scope 1 emissions are defined as direct GHG emissions that occur from sources that are controlled or owned by the organization (EPA Center for Corporate Climate Leadership). DEQ’s review of Scope 1 emissions is </w:t>
            </w:r>
            <w:r w:rsidRPr="00454944">
              <w:rPr>
                <w:rFonts w:cstheme="minorHAnsi"/>
                <w:szCs w:val="24"/>
              </w:rPr>
              <w:lastRenderedPageBreak/>
              <w:t xml:space="preserve">consistent with the agency’s approach of evaluating proximate impacts caused by the permitted action rather than remote, downstream impacts that may be caused by a subsequent permitted action outside the authority of DEQ. Accordingly, the analysis area for this resource is limited to the activities regulated by the issuance of MAQP #3179-13, as described above, which would allow for an increase of coal to be shipped by semi-truck. The increase in allowable shipping of coal overland, via semi-truck from 150,000 tons per year to </w:t>
            </w:r>
            <w:r w:rsidRPr="00454944">
              <w:rPr>
                <w:rFonts w:cstheme="minorHAnsi"/>
                <w:b/>
                <w:bCs/>
                <w:strike/>
                <w:szCs w:val="24"/>
              </w:rPr>
              <w:t>750,000</w:t>
            </w:r>
            <w:r w:rsidRPr="00454944">
              <w:rPr>
                <w:rFonts w:cstheme="minorHAnsi"/>
                <w:b/>
                <w:bCs/>
                <w:szCs w:val="24"/>
              </w:rPr>
              <w:t xml:space="preserve"> 700,000 tons per year</w:t>
            </w:r>
            <w:r w:rsidRPr="00454944">
              <w:rPr>
                <w:rFonts w:cstheme="minorHAnsi"/>
                <w:szCs w:val="24"/>
              </w:rPr>
              <w:t xml:space="preserve"> would increase the facilities use of petroleum distillate #2 (diesel fuel) and the increased combustion of diesel fuel would generate GHGs.</w:t>
            </w:r>
          </w:p>
          <w:p w14:paraId="4AEFD283" w14:textId="77777777" w:rsidR="000025FF" w:rsidRPr="00454944" w:rsidRDefault="000025FF" w:rsidP="000025FF">
            <w:pPr>
              <w:ind w:left="720"/>
              <w:jc w:val="left"/>
              <w:rPr>
                <w:rFonts w:cstheme="minorHAnsi"/>
                <w:szCs w:val="24"/>
              </w:rPr>
            </w:pPr>
          </w:p>
        </w:tc>
        <w:tc>
          <w:tcPr>
            <w:tcW w:w="3000" w:type="dxa"/>
          </w:tcPr>
          <w:p w14:paraId="6D6BD623" w14:textId="77777777" w:rsidR="000025FF" w:rsidRPr="00454944" w:rsidRDefault="000025FF" w:rsidP="000025FF">
            <w:pPr>
              <w:jc w:val="left"/>
              <w:rPr>
                <w:rFonts w:cstheme="minorHAnsi"/>
                <w:szCs w:val="24"/>
              </w:rPr>
            </w:pPr>
            <w:r w:rsidRPr="00454944">
              <w:rPr>
                <w:rFonts w:cstheme="minorHAnsi"/>
                <w:szCs w:val="24"/>
              </w:rPr>
              <w:lastRenderedPageBreak/>
              <w:t>DEQ made the requested corrections.</w:t>
            </w:r>
          </w:p>
        </w:tc>
      </w:tr>
      <w:tr w:rsidR="000025FF" w:rsidRPr="00FB7886" w14:paraId="2A7D5C76" w14:textId="77777777" w:rsidTr="008D1C91">
        <w:tc>
          <w:tcPr>
            <w:tcW w:w="1885" w:type="dxa"/>
          </w:tcPr>
          <w:p w14:paraId="529D03EF" w14:textId="77777777" w:rsidR="000025FF" w:rsidRPr="00454944" w:rsidRDefault="000025FF" w:rsidP="000025FF">
            <w:pPr>
              <w:jc w:val="left"/>
              <w:rPr>
                <w:rFonts w:cstheme="minorHAnsi"/>
                <w:szCs w:val="24"/>
              </w:rPr>
            </w:pPr>
          </w:p>
        </w:tc>
        <w:tc>
          <w:tcPr>
            <w:tcW w:w="1260" w:type="dxa"/>
          </w:tcPr>
          <w:p w14:paraId="6CACC3D5" w14:textId="77777777" w:rsidR="000025FF" w:rsidRPr="00454944" w:rsidRDefault="000025FF" w:rsidP="000025FF">
            <w:pPr>
              <w:jc w:val="left"/>
              <w:rPr>
                <w:rFonts w:cstheme="minorHAnsi"/>
                <w:szCs w:val="24"/>
              </w:rPr>
            </w:pPr>
            <w:r w:rsidRPr="00454944">
              <w:rPr>
                <w:rFonts w:cstheme="minorHAnsi"/>
                <w:szCs w:val="24"/>
              </w:rPr>
              <w:t>Supplemental EA, Correction, Page 9</w:t>
            </w:r>
          </w:p>
          <w:p w14:paraId="3AE1C4AE" w14:textId="77777777" w:rsidR="000025FF" w:rsidRPr="00454944" w:rsidRDefault="000025FF" w:rsidP="000025FF">
            <w:pPr>
              <w:jc w:val="left"/>
              <w:rPr>
                <w:rFonts w:cstheme="minorHAnsi"/>
                <w:szCs w:val="24"/>
              </w:rPr>
            </w:pPr>
            <w:r w:rsidRPr="00454944">
              <w:rPr>
                <w:rFonts w:cstheme="minorHAnsi"/>
                <w:b/>
                <w:bCs/>
                <w:szCs w:val="24"/>
              </w:rPr>
              <w:t xml:space="preserve">Analysis </w:t>
            </w:r>
          </w:p>
          <w:p w14:paraId="02431C42" w14:textId="77777777" w:rsidR="000025FF" w:rsidRPr="00454944" w:rsidRDefault="000025FF" w:rsidP="000025FF">
            <w:pPr>
              <w:jc w:val="left"/>
              <w:rPr>
                <w:rFonts w:cstheme="minorHAnsi"/>
                <w:szCs w:val="24"/>
              </w:rPr>
            </w:pPr>
            <w:r w:rsidRPr="00454944">
              <w:rPr>
                <w:rFonts w:cstheme="minorHAnsi"/>
                <w:b/>
                <w:bCs/>
                <w:i/>
                <w:iCs/>
                <w:szCs w:val="24"/>
              </w:rPr>
              <w:t xml:space="preserve">Direct Impacts </w:t>
            </w:r>
          </w:p>
          <w:p w14:paraId="639FC9AB" w14:textId="77777777" w:rsidR="000025FF" w:rsidRPr="00454944" w:rsidRDefault="000025FF" w:rsidP="000025FF">
            <w:pPr>
              <w:jc w:val="left"/>
              <w:rPr>
                <w:rFonts w:cstheme="minorHAnsi"/>
                <w:szCs w:val="24"/>
              </w:rPr>
            </w:pPr>
          </w:p>
        </w:tc>
        <w:tc>
          <w:tcPr>
            <w:tcW w:w="3600" w:type="dxa"/>
          </w:tcPr>
          <w:p w14:paraId="0408A016" w14:textId="77777777" w:rsidR="000025FF" w:rsidRPr="00454944" w:rsidRDefault="000025FF" w:rsidP="000025FF">
            <w:pPr>
              <w:jc w:val="left"/>
              <w:rPr>
                <w:rFonts w:cstheme="minorHAnsi"/>
                <w:szCs w:val="24"/>
              </w:rPr>
            </w:pPr>
            <w:r w:rsidRPr="00454944">
              <w:rPr>
                <w:rFonts w:cstheme="minorHAnsi"/>
                <w:szCs w:val="24"/>
              </w:rPr>
              <w:t xml:space="preserve">The proposed action authorizes the use of equipment for loading and transportation of coal for the life of </w:t>
            </w:r>
            <w:proofErr w:type="gramStart"/>
            <w:r w:rsidRPr="00454944">
              <w:rPr>
                <w:rFonts w:cstheme="minorHAnsi"/>
                <w:szCs w:val="24"/>
              </w:rPr>
              <w:t>the mine</w:t>
            </w:r>
            <w:proofErr w:type="gramEnd"/>
            <w:r w:rsidRPr="00454944">
              <w:rPr>
                <w:rFonts w:cstheme="minorHAnsi"/>
                <w:szCs w:val="24"/>
              </w:rPr>
              <w:t xml:space="preserve">. Combustion of distillate fuel #2-fuel (diesel fuel) in vehicles throughout the life of the proposed project would produce exhaust fumes containing GHGs. Signal Peak estimates that approximately 33,000 gallons of fuel would be utilized per year to load </w:t>
            </w:r>
            <w:r w:rsidRPr="00454944">
              <w:rPr>
                <w:rFonts w:cstheme="minorHAnsi"/>
                <w:b/>
                <w:bCs/>
                <w:strike/>
                <w:szCs w:val="24"/>
              </w:rPr>
              <w:t>500,000</w:t>
            </w:r>
            <w:r w:rsidRPr="00454944">
              <w:rPr>
                <w:rFonts w:cstheme="minorHAnsi"/>
                <w:b/>
                <w:bCs/>
                <w:szCs w:val="24"/>
              </w:rPr>
              <w:t xml:space="preserve"> 550,000 tons of additional coal</w:t>
            </w:r>
            <w:r w:rsidRPr="00454944">
              <w:rPr>
                <w:rFonts w:cstheme="minorHAnsi"/>
                <w:szCs w:val="24"/>
              </w:rPr>
              <w:t xml:space="preserve"> into semi-trucks; 6,785 gallons for over-the-road semi-trucks; and 26,125 gallons for operation of the front-end loader.</w:t>
            </w:r>
          </w:p>
          <w:p w14:paraId="59F212E1" w14:textId="77777777" w:rsidR="000025FF" w:rsidRPr="00454944" w:rsidRDefault="000025FF" w:rsidP="000025FF">
            <w:pPr>
              <w:ind w:left="720"/>
              <w:jc w:val="left"/>
              <w:rPr>
                <w:rFonts w:cstheme="minorHAnsi"/>
                <w:szCs w:val="24"/>
              </w:rPr>
            </w:pPr>
          </w:p>
        </w:tc>
        <w:tc>
          <w:tcPr>
            <w:tcW w:w="3000" w:type="dxa"/>
          </w:tcPr>
          <w:p w14:paraId="36CB25FE"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0025FF" w:rsidRPr="00FB7886" w14:paraId="525EB206" w14:textId="77777777" w:rsidTr="008D1C91">
        <w:tc>
          <w:tcPr>
            <w:tcW w:w="1885" w:type="dxa"/>
          </w:tcPr>
          <w:p w14:paraId="2650F6E2" w14:textId="6301F622"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0B1BF1AE" w14:textId="77777777" w:rsidR="000025FF" w:rsidRPr="00454944" w:rsidRDefault="000025FF" w:rsidP="000025FF">
            <w:pPr>
              <w:jc w:val="left"/>
              <w:rPr>
                <w:rFonts w:cstheme="minorHAnsi"/>
                <w:szCs w:val="24"/>
              </w:rPr>
            </w:pPr>
            <w:r w:rsidRPr="00454944">
              <w:rPr>
                <w:rFonts w:cstheme="minorHAnsi"/>
                <w:szCs w:val="24"/>
              </w:rPr>
              <w:t xml:space="preserve">Supplemental EA, Correction, Page 13, bottom of page </w:t>
            </w:r>
          </w:p>
          <w:p w14:paraId="4A134ED1" w14:textId="77777777" w:rsidR="000025FF" w:rsidRPr="00454944" w:rsidRDefault="000025FF" w:rsidP="000025FF">
            <w:pPr>
              <w:jc w:val="left"/>
              <w:rPr>
                <w:rFonts w:cstheme="minorHAnsi"/>
                <w:szCs w:val="24"/>
              </w:rPr>
            </w:pPr>
            <w:r w:rsidRPr="00454944">
              <w:rPr>
                <w:rFonts w:cstheme="minorHAnsi"/>
                <w:b/>
                <w:bCs/>
                <w:szCs w:val="24"/>
              </w:rPr>
              <w:t xml:space="preserve">Description of Alternatives </w:t>
            </w:r>
          </w:p>
          <w:p w14:paraId="61C38104" w14:textId="77777777" w:rsidR="000025FF" w:rsidRPr="00454944" w:rsidRDefault="000025FF" w:rsidP="000025FF">
            <w:pPr>
              <w:jc w:val="left"/>
              <w:rPr>
                <w:rFonts w:cstheme="minorHAnsi"/>
                <w:szCs w:val="24"/>
              </w:rPr>
            </w:pPr>
          </w:p>
        </w:tc>
        <w:tc>
          <w:tcPr>
            <w:tcW w:w="3600" w:type="dxa"/>
          </w:tcPr>
          <w:p w14:paraId="24394F2C" w14:textId="77777777" w:rsidR="000025FF" w:rsidRPr="00454944" w:rsidRDefault="000025FF" w:rsidP="000025FF">
            <w:pPr>
              <w:jc w:val="left"/>
              <w:rPr>
                <w:rFonts w:cstheme="minorHAnsi"/>
                <w:szCs w:val="24"/>
              </w:rPr>
            </w:pPr>
            <w:r w:rsidRPr="00454944">
              <w:rPr>
                <w:rFonts w:cstheme="minorHAnsi"/>
                <w:szCs w:val="24"/>
              </w:rPr>
              <w:lastRenderedPageBreak/>
              <w:t xml:space="preserve">No Action Alternative: Under the No Action Alternative, MAQP #3179-13 would not be approved, and the allowable transport of an additional </w:t>
            </w:r>
            <w:r w:rsidRPr="00454944">
              <w:rPr>
                <w:rFonts w:cstheme="minorHAnsi"/>
                <w:b/>
                <w:bCs/>
                <w:strike/>
                <w:szCs w:val="24"/>
              </w:rPr>
              <w:t>500,000</w:t>
            </w:r>
            <w:r w:rsidRPr="00454944">
              <w:rPr>
                <w:rFonts w:cstheme="minorHAnsi"/>
                <w:b/>
                <w:bCs/>
                <w:szCs w:val="24"/>
              </w:rPr>
              <w:t xml:space="preserve"> 550,000 tons of coal per year</w:t>
            </w:r>
            <w:r w:rsidRPr="00454944">
              <w:rPr>
                <w:rFonts w:cstheme="minorHAnsi"/>
                <w:szCs w:val="24"/>
              </w:rPr>
              <w:t xml:space="preserve"> overland, via semi-truck would not occur.</w:t>
            </w:r>
          </w:p>
          <w:p w14:paraId="459F00DC" w14:textId="77777777" w:rsidR="000025FF" w:rsidRPr="00454944" w:rsidRDefault="000025FF" w:rsidP="000025FF">
            <w:pPr>
              <w:ind w:left="720"/>
              <w:jc w:val="left"/>
              <w:rPr>
                <w:rFonts w:cstheme="minorHAnsi"/>
                <w:szCs w:val="24"/>
              </w:rPr>
            </w:pPr>
          </w:p>
        </w:tc>
        <w:tc>
          <w:tcPr>
            <w:tcW w:w="3000" w:type="dxa"/>
          </w:tcPr>
          <w:p w14:paraId="7FF0C266"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0025FF" w:rsidRPr="00FB7886" w14:paraId="7E8718D5" w14:textId="77777777" w:rsidTr="008D1C91">
        <w:tc>
          <w:tcPr>
            <w:tcW w:w="1885" w:type="dxa"/>
          </w:tcPr>
          <w:p w14:paraId="15E06A79" w14:textId="5D4C6432" w:rsidR="000025FF" w:rsidRPr="00454944" w:rsidRDefault="000025FF" w:rsidP="000025FF">
            <w:pPr>
              <w:jc w:val="left"/>
              <w:rPr>
                <w:rFonts w:cstheme="minorHAnsi"/>
                <w:szCs w:val="24"/>
              </w:rPr>
            </w:pPr>
            <w:r w:rsidRPr="00454944">
              <w:rPr>
                <w:rFonts w:cstheme="minorHAnsi"/>
                <w:szCs w:val="24"/>
              </w:rPr>
              <w:t>Signal Peak Energy, LLC.</w:t>
            </w:r>
          </w:p>
        </w:tc>
        <w:tc>
          <w:tcPr>
            <w:tcW w:w="1260" w:type="dxa"/>
          </w:tcPr>
          <w:p w14:paraId="5D6152B6" w14:textId="77777777" w:rsidR="000025FF" w:rsidRPr="00454944" w:rsidRDefault="000025FF" w:rsidP="000025FF">
            <w:pPr>
              <w:jc w:val="left"/>
              <w:rPr>
                <w:rFonts w:cstheme="minorHAnsi"/>
                <w:szCs w:val="24"/>
              </w:rPr>
            </w:pPr>
            <w:r w:rsidRPr="00454944">
              <w:rPr>
                <w:rFonts w:cstheme="minorHAnsi"/>
                <w:szCs w:val="24"/>
              </w:rPr>
              <w:t>Supplemental EA, Correction, Page 16</w:t>
            </w:r>
          </w:p>
          <w:p w14:paraId="79AEF724" w14:textId="77777777" w:rsidR="000025FF" w:rsidRPr="00454944" w:rsidRDefault="000025FF" w:rsidP="000025FF">
            <w:pPr>
              <w:jc w:val="left"/>
              <w:rPr>
                <w:rFonts w:cstheme="minorHAnsi"/>
                <w:szCs w:val="24"/>
              </w:rPr>
            </w:pPr>
            <w:r w:rsidRPr="00454944">
              <w:rPr>
                <w:rFonts w:cstheme="minorHAnsi"/>
                <w:b/>
                <w:bCs/>
                <w:szCs w:val="24"/>
              </w:rPr>
              <w:t xml:space="preserve">Conclusions and Findings </w:t>
            </w:r>
          </w:p>
          <w:p w14:paraId="484C16EA" w14:textId="77777777" w:rsidR="000025FF" w:rsidRPr="00454944" w:rsidRDefault="000025FF" w:rsidP="000025FF">
            <w:pPr>
              <w:jc w:val="left"/>
              <w:rPr>
                <w:rFonts w:cstheme="minorHAnsi"/>
                <w:szCs w:val="24"/>
              </w:rPr>
            </w:pPr>
          </w:p>
        </w:tc>
        <w:tc>
          <w:tcPr>
            <w:tcW w:w="3600" w:type="dxa"/>
          </w:tcPr>
          <w:p w14:paraId="2A17EC25" w14:textId="77777777" w:rsidR="000025FF" w:rsidRPr="00454944" w:rsidRDefault="000025FF" w:rsidP="000025FF">
            <w:pPr>
              <w:jc w:val="left"/>
              <w:rPr>
                <w:rFonts w:cstheme="minorHAnsi"/>
                <w:szCs w:val="24"/>
              </w:rPr>
            </w:pPr>
            <w:r w:rsidRPr="00454944">
              <w:rPr>
                <w:rFonts w:cstheme="minorHAnsi"/>
                <w:szCs w:val="24"/>
              </w:rPr>
              <w:t xml:space="preserve">This Supplemental EA addresses the GHG Impacts associated with distillate fuel #2 (diesel) necessary for the addition of </w:t>
            </w:r>
            <w:r w:rsidRPr="00454944">
              <w:rPr>
                <w:rFonts w:cstheme="minorHAnsi"/>
                <w:b/>
                <w:bCs/>
                <w:strike/>
                <w:szCs w:val="24"/>
              </w:rPr>
              <w:t>500,000</w:t>
            </w:r>
            <w:r w:rsidRPr="00454944">
              <w:rPr>
                <w:rFonts w:cstheme="minorHAnsi"/>
                <w:b/>
                <w:bCs/>
                <w:szCs w:val="24"/>
              </w:rPr>
              <w:t xml:space="preserve"> 550,000 tons of coal </w:t>
            </w:r>
            <w:r w:rsidRPr="00454944">
              <w:rPr>
                <w:rFonts w:cstheme="minorHAnsi"/>
                <w:szCs w:val="24"/>
              </w:rPr>
              <w:t>shipped over the road by semi-truck and trailer as well as the use of heavy equipment to load the semi-trucks and trailers.</w:t>
            </w:r>
          </w:p>
          <w:p w14:paraId="72CB18D0" w14:textId="77777777" w:rsidR="000025FF" w:rsidRPr="00454944" w:rsidRDefault="000025FF" w:rsidP="000025FF">
            <w:pPr>
              <w:ind w:left="720"/>
              <w:jc w:val="left"/>
              <w:rPr>
                <w:rFonts w:cstheme="minorHAnsi"/>
                <w:szCs w:val="24"/>
              </w:rPr>
            </w:pPr>
          </w:p>
        </w:tc>
        <w:tc>
          <w:tcPr>
            <w:tcW w:w="3000" w:type="dxa"/>
          </w:tcPr>
          <w:p w14:paraId="7483C770" w14:textId="77777777" w:rsidR="000025FF" w:rsidRPr="00454944" w:rsidRDefault="000025FF" w:rsidP="000025FF">
            <w:pPr>
              <w:jc w:val="left"/>
              <w:rPr>
                <w:rFonts w:cstheme="minorHAnsi"/>
                <w:szCs w:val="24"/>
              </w:rPr>
            </w:pPr>
            <w:r w:rsidRPr="00454944">
              <w:rPr>
                <w:rFonts w:cstheme="minorHAnsi"/>
                <w:szCs w:val="24"/>
              </w:rPr>
              <w:t>DEQ made the requested corrections.</w:t>
            </w:r>
          </w:p>
        </w:tc>
      </w:tr>
      <w:tr w:rsidR="0045691B" w:rsidRPr="00FB7886" w14:paraId="4109124C" w14:textId="77777777" w:rsidTr="008D1C91">
        <w:tc>
          <w:tcPr>
            <w:tcW w:w="1885" w:type="dxa"/>
          </w:tcPr>
          <w:p w14:paraId="19A4E6D8" w14:textId="67DE7CE3" w:rsidR="0045691B" w:rsidRPr="00454944" w:rsidRDefault="00B47D1F" w:rsidP="000025FF">
            <w:pPr>
              <w:jc w:val="left"/>
              <w:rPr>
                <w:rFonts w:cstheme="minorHAnsi"/>
                <w:szCs w:val="24"/>
              </w:rPr>
            </w:pPr>
            <w:r w:rsidRPr="00B47D1F">
              <w:rPr>
                <w:rFonts w:cstheme="minorHAnsi"/>
                <w:szCs w:val="24"/>
              </w:rPr>
              <w:t>MEIC, Montana Sierra Club, 350 Montana, Park County Environmental Council, Families for a Livable Climate, Bull Mountain Land Alliance, Montana Health Professionals for a Healthy Climate (submitted by Western Environmental Law Center)</w:t>
            </w:r>
          </w:p>
        </w:tc>
        <w:tc>
          <w:tcPr>
            <w:tcW w:w="1260" w:type="dxa"/>
          </w:tcPr>
          <w:p w14:paraId="6638BA2B" w14:textId="17F80797" w:rsidR="0045691B" w:rsidRPr="00454944" w:rsidRDefault="00B47D1F" w:rsidP="000025FF">
            <w:pPr>
              <w:jc w:val="left"/>
              <w:rPr>
                <w:rFonts w:cstheme="minorHAnsi"/>
                <w:szCs w:val="24"/>
              </w:rPr>
            </w:pPr>
            <w:r w:rsidRPr="00B47D1F">
              <w:rPr>
                <w:rFonts w:cstheme="minorHAnsi"/>
                <w:szCs w:val="24"/>
              </w:rPr>
              <w:t>Supplemental EA, General</w:t>
            </w:r>
          </w:p>
        </w:tc>
        <w:tc>
          <w:tcPr>
            <w:tcW w:w="3600" w:type="dxa"/>
          </w:tcPr>
          <w:p w14:paraId="294AEB53" w14:textId="60327201" w:rsidR="0045691B" w:rsidRPr="00454944" w:rsidRDefault="00905ECB" w:rsidP="000025FF">
            <w:pPr>
              <w:jc w:val="left"/>
              <w:rPr>
                <w:rFonts w:cstheme="minorHAnsi"/>
                <w:szCs w:val="24"/>
              </w:rPr>
            </w:pPr>
            <w:r w:rsidRPr="00905ECB">
              <w:rPr>
                <w:rFonts w:cstheme="minorHAnsi"/>
                <w:szCs w:val="24"/>
              </w:rPr>
              <w:t>Substantive comments addressing scope of GHG analysis, negligibility finding, MAGICC model use, climate context, ARM 17.4.608 significance criteria,</w:t>
            </w:r>
            <w:r w:rsidR="00A24B22">
              <w:rPr>
                <w:rFonts w:cstheme="minorHAnsi"/>
                <w:szCs w:val="24"/>
              </w:rPr>
              <w:t xml:space="preserve"> and</w:t>
            </w:r>
            <w:r w:rsidRPr="00905ECB">
              <w:rPr>
                <w:rFonts w:cstheme="minorHAnsi"/>
                <w:szCs w:val="24"/>
              </w:rPr>
              <w:t xml:space="preserve"> alternatives analysis</w:t>
            </w:r>
            <w:r w:rsidR="00A24B22">
              <w:rPr>
                <w:rFonts w:cstheme="minorHAnsi"/>
                <w:szCs w:val="24"/>
              </w:rPr>
              <w:t xml:space="preserve">. </w:t>
            </w:r>
          </w:p>
        </w:tc>
        <w:tc>
          <w:tcPr>
            <w:tcW w:w="3000" w:type="dxa"/>
          </w:tcPr>
          <w:p w14:paraId="3A32919D" w14:textId="408895DC" w:rsidR="0045691B" w:rsidRPr="00454944" w:rsidRDefault="00905ECB" w:rsidP="000025FF">
            <w:pPr>
              <w:jc w:val="left"/>
              <w:rPr>
                <w:rFonts w:cstheme="minorHAnsi"/>
                <w:szCs w:val="24"/>
              </w:rPr>
            </w:pPr>
            <w:r>
              <w:rPr>
                <w:rFonts w:cstheme="minorHAnsi"/>
                <w:szCs w:val="24"/>
              </w:rPr>
              <w:t xml:space="preserve">See attached comment response document. </w:t>
            </w:r>
          </w:p>
        </w:tc>
      </w:tr>
      <w:bookmarkEnd w:id="52"/>
    </w:tbl>
    <w:p w14:paraId="1FD09B0B" w14:textId="77777777" w:rsidR="000025FF" w:rsidRPr="00122135" w:rsidRDefault="000025FF" w:rsidP="000025FF">
      <w:pPr>
        <w:rPr>
          <w:b/>
          <w:bCs/>
        </w:rPr>
      </w:pPr>
    </w:p>
    <w:p w14:paraId="5F62C453" w14:textId="5EC13719" w:rsidR="00B3415D" w:rsidRPr="000C66FE" w:rsidRDefault="2F468972" w:rsidP="27F276F4">
      <w:pPr>
        <w:pStyle w:val="Heading3"/>
        <w:rPr>
          <w:rFonts w:eastAsiaTheme="minorEastAsia"/>
          <w:lang w:bidi="ar-SA"/>
        </w:rPr>
      </w:pPr>
      <w:bookmarkStart w:id="53" w:name="_Toc219800158"/>
      <w:bookmarkStart w:id="54" w:name="_Hlk213680985"/>
      <w:bookmarkEnd w:id="46"/>
      <w:bookmarkEnd w:id="47"/>
      <w:bookmarkEnd w:id="48"/>
      <w:r>
        <w:t>Need for Further Analysis</w:t>
      </w:r>
      <w:bookmarkEnd w:id="51"/>
      <w:bookmarkEnd w:id="53"/>
    </w:p>
    <w:p w14:paraId="6B12A028" w14:textId="4957E322" w:rsidR="00B3415D" w:rsidRDefault="00B3415D" w:rsidP="000F1937">
      <w:r w:rsidRPr="0075004C">
        <w:t>When determining whether the preparation of an environmental impact statement is needed, DEQ is required to consider the seven significance criteria set forth in ARM 17.4.608, which are as follows:</w:t>
      </w:r>
    </w:p>
    <w:p w14:paraId="58E9F525" w14:textId="77777777" w:rsidR="00A742EA" w:rsidRDefault="00A742EA" w:rsidP="000F1937"/>
    <w:p w14:paraId="75325ADF" w14:textId="27D505D7" w:rsidR="00454B32" w:rsidRPr="00BB2310" w:rsidRDefault="00701A27" w:rsidP="009D4B9C">
      <w:pPr>
        <w:pStyle w:val="ListParagraph"/>
        <w:numPr>
          <w:ilvl w:val="0"/>
          <w:numId w:val="19"/>
        </w:numPr>
        <w:rPr>
          <w:i/>
        </w:rPr>
      </w:pPr>
      <w:r w:rsidRPr="00BB2310">
        <w:rPr>
          <w:i/>
        </w:rPr>
        <w:t xml:space="preserve">The severity, duration, geographic extent, and frequency of the occurrence of the impact. </w:t>
      </w:r>
    </w:p>
    <w:p w14:paraId="5BB16A78" w14:textId="77777777" w:rsidR="00046E17" w:rsidRPr="00BB2310" w:rsidRDefault="00046E17" w:rsidP="00046E17"/>
    <w:p w14:paraId="283C6E0C" w14:textId="7BE74FC4" w:rsidR="00A10C82" w:rsidRDefault="00701A27" w:rsidP="00046E17">
      <w:r w:rsidRPr="00BB2310">
        <w:t xml:space="preserve">The Proposed Action’s individual contribution to climate change is determined to be not significant. As detailed in the cumulative impacts section, the action would account for a negligible fraction of the total warming in Montana over </w:t>
      </w:r>
      <w:r>
        <w:t xml:space="preserve">the next decade, contributing only </w:t>
      </w:r>
      <w:r w:rsidRPr="00BB2310">
        <w:rPr>
          <w:rFonts w:ascii="Calibri" w:hAnsi="Calibri" w:cs="Calibri"/>
        </w:rPr>
        <w:t>0.</w:t>
      </w:r>
      <w:r w:rsidR="004D20EC" w:rsidRPr="00BB2310">
        <w:rPr>
          <w:rFonts w:ascii="Calibri" w:hAnsi="Calibri" w:cs="Calibri"/>
        </w:rPr>
        <w:t>000664%</w:t>
      </w:r>
      <w:r>
        <w:t xml:space="preserve"> </w:t>
      </w:r>
      <w:r w:rsidR="00AD1D11">
        <w:t>of Montana’s total annual GHG emissions</w:t>
      </w:r>
      <w:r>
        <w:t>.</w:t>
      </w:r>
      <w:r w:rsidRPr="00BB2310">
        <w:t xml:space="preserve"> This is not to downplay the effects of GHG emissions. Rather, given the wide dispersion of greenhouse gas effects, the resulting climate impacts </w:t>
      </w:r>
      <w:r w:rsidR="00061B42" w:rsidRPr="00BB2310">
        <w:t xml:space="preserve">associated with project level </w:t>
      </w:r>
      <w:r w:rsidR="003D7417" w:rsidRPr="00BB2310">
        <w:t>emissions</w:t>
      </w:r>
      <w:r w:rsidR="00061B42" w:rsidRPr="00BB2310">
        <w:t xml:space="preserve"> </w:t>
      </w:r>
      <w:r w:rsidRPr="00BB2310">
        <w:t>are globally indistinguishable and nondifferentiable. Consequently, the Proposed Action’s individual emissions are insufficient to cause a significant impact on climate systems</w:t>
      </w:r>
      <w:r w:rsidR="00C5750D" w:rsidRPr="00BB2310">
        <w:t xml:space="preserve"> globally or in Montana</w:t>
      </w:r>
      <w:r w:rsidRPr="00BB2310">
        <w:t>. The severity, duration, geographic extent and frequency of the occurrence of the impacts are addressed in turn:</w:t>
      </w:r>
      <w:r w:rsidRPr="00701A27">
        <w:t xml:space="preserve">  </w:t>
      </w:r>
    </w:p>
    <w:p w14:paraId="29D1CF87" w14:textId="77777777" w:rsidR="009D4B9C" w:rsidRDefault="009D4B9C" w:rsidP="00046E17"/>
    <w:p w14:paraId="27832377" w14:textId="764C54E4" w:rsidR="00A10C82" w:rsidRDefault="00A10C82" w:rsidP="00A10C82">
      <w:pPr>
        <w:pStyle w:val="ListParagraph"/>
        <w:numPr>
          <w:ilvl w:val="0"/>
          <w:numId w:val="20"/>
        </w:numPr>
      </w:pPr>
      <w:r>
        <w:t xml:space="preserve">Severity: </w:t>
      </w:r>
      <w:r w:rsidR="00F95A29" w:rsidRPr="00F95A29">
        <w:t xml:space="preserve">The </w:t>
      </w:r>
      <w:r w:rsidR="00F95A29">
        <w:t>Proposed Action’s</w:t>
      </w:r>
      <w:r w:rsidR="00F95A29" w:rsidRPr="00F95A29">
        <w:t xml:space="preserve"> contribution of GHG emissions would not be distinguishable on a global or local scale. GHG</w:t>
      </w:r>
      <w:r w:rsidR="007111DF">
        <w:t xml:space="preserve"> </w:t>
      </w:r>
      <w:r w:rsidR="00B87914" w:rsidRPr="00B87914">
        <w:t xml:space="preserve">emissions </w:t>
      </w:r>
      <w:proofErr w:type="gramStart"/>
      <w:r w:rsidR="00B87914" w:rsidRPr="00B87914">
        <w:t>incrementally add</w:t>
      </w:r>
      <w:proofErr w:type="gramEnd"/>
      <w:r w:rsidR="00B87914" w:rsidRPr="00B87914">
        <w:t xml:space="preserve"> to global GHGs and, thus, to cumulative climate impacts.</w:t>
      </w:r>
      <w:r w:rsidR="00861D6B" w:rsidRPr="00861D6B">
        <w:t xml:space="preserve"> DEQ acknowledges that every additional ton of GHGs contributes to cumulative warming and associated climate effects, including those described in the climate-context discussion above. However, given the magnitude of the project’s emissions (337 metric tons </w:t>
      </w:r>
      <w:r w:rsidR="00861D6B" w:rsidRPr="00861D6B">
        <w:lastRenderedPageBreak/>
        <w:t>CO2e/yr) relative to Montana’s total annual emissions, and the inherent limitations of available models in attributing specific climate impacts to individual project-level emissions, the Proposed Action would not induce separately attributable climate impacts (see Cumulative Impacts Analysis).</w:t>
      </w:r>
      <w:r w:rsidR="00B87914" w:rsidRPr="00B87914">
        <w:t xml:space="preserve"> </w:t>
      </w:r>
    </w:p>
    <w:p w14:paraId="38F6140D" w14:textId="0D0FBCC7" w:rsidR="00A10C82" w:rsidRDefault="00A10C82" w:rsidP="00A10C82">
      <w:pPr>
        <w:pStyle w:val="ListParagraph"/>
        <w:numPr>
          <w:ilvl w:val="0"/>
          <w:numId w:val="20"/>
        </w:numPr>
      </w:pPr>
      <w:r>
        <w:t xml:space="preserve">Duration: </w:t>
      </w:r>
      <w:r w:rsidR="008A21BA" w:rsidRPr="009D4B9C">
        <w:t>While the GHG impacts are long-term (over decades and centuries), the Proposed Action</w:t>
      </w:r>
      <w:r w:rsidR="00595FA4">
        <w:t>’s duration</w:t>
      </w:r>
      <w:r w:rsidR="00761617">
        <w:t xml:space="preserve"> </w:t>
      </w:r>
      <w:r w:rsidR="008A21BA" w:rsidRPr="009D4B9C">
        <w:t xml:space="preserve">is finite. The impact would not be permanent on </w:t>
      </w:r>
      <w:r w:rsidR="006E0CB7" w:rsidRPr="009D4B9C">
        <w:t>Montana’s climate</w:t>
      </w:r>
      <w:r w:rsidR="008A21BA" w:rsidRPr="009D4B9C">
        <w:t xml:space="preserve"> because global emission impacts are continuous and cumulative, and the Proposed Action’s commencement or cessation would not </w:t>
      </w:r>
      <w:r w:rsidR="0039048F" w:rsidRPr="009D4B9C">
        <w:t>be distinguishable on a global or local scale</w:t>
      </w:r>
      <w:r w:rsidR="0039048F" w:rsidRPr="009D4B9C" w:rsidDel="0039048F">
        <w:t xml:space="preserve"> </w:t>
      </w:r>
      <w:r w:rsidR="009F7A84" w:rsidRPr="009D4B9C">
        <w:t xml:space="preserve">and </w:t>
      </w:r>
      <w:r w:rsidR="00DE2A9F" w:rsidRPr="009D4B9C">
        <w:t xml:space="preserve">thus </w:t>
      </w:r>
      <w:r w:rsidR="009F7A84" w:rsidRPr="009D4B9C">
        <w:t xml:space="preserve">would not </w:t>
      </w:r>
      <w:r w:rsidR="008A21BA" w:rsidRPr="009D4B9C">
        <w:t>alter the long-term trend.</w:t>
      </w:r>
    </w:p>
    <w:p w14:paraId="603A379C" w14:textId="2ED7D595" w:rsidR="00A10C82" w:rsidRDefault="00A10C82" w:rsidP="009D4B9C">
      <w:pPr>
        <w:pStyle w:val="ListParagraph"/>
        <w:numPr>
          <w:ilvl w:val="0"/>
          <w:numId w:val="20"/>
        </w:numPr>
      </w:pPr>
      <w:r>
        <w:t>Geographic extent:</w:t>
      </w:r>
      <w:r w:rsidR="0091094B">
        <w:t xml:space="preserve"> </w:t>
      </w:r>
      <w:r w:rsidR="00D435FF">
        <w:t>T</w:t>
      </w:r>
      <w:r w:rsidR="00D435FF" w:rsidRPr="00D435FF">
        <w:t xml:space="preserve">he emissions would originate in Montana, but their ultimate impact (change in climate systems) is global in nature. Because the impacts are not concentrated in the immediate </w:t>
      </w:r>
      <w:r w:rsidR="00D435FF">
        <w:t>Bull Mountain Mine</w:t>
      </w:r>
      <w:r w:rsidR="00D435FF" w:rsidRPr="00D435FF">
        <w:t xml:space="preserve"> area, </w:t>
      </w:r>
      <w:r w:rsidR="00681A11">
        <w:t xml:space="preserve">or within the State of Montana, </w:t>
      </w:r>
      <w:r w:rsidR="00D435FF" w:rsidRPr="00D435FF">
        <w:t>the project’s contribution of GHGs would be indistinguishable from the background of statewide and global GHG emissions</w:t>
      </w:r>
      <w:r w:rsidR="00681A11">
        <w:t>. Therefore,</w:t>
      </w:r>
      <w:r w:rsidR="00D435FF" w:rsidRPr="00D435FF">
        <w:t xml:space="preserve"> the contribution would not alter the frequency or intensity of climate events in the </w:t>
      </w:r>
      <w:r w:rsidR="00D435FF">
        <w:t>Bull Mountain Mine area</w:t>
      </w:r>
      <w:r w:rsidR="00D435FF" w:rsidRPr="00D435FF">
        <w:t xml:space="preserve"> or Montana.  </w:t>
      </w:r>
    </w:p>
    <w:p w14:paraId="153B56BE" w14:textId="6A51F688" w:rsidR="00237DC3" w:rsidRDefault="00237DC3" w:rsidP="008E57F4">
      <w:pPr>
        <w:pStyle w:val="ListParagraph"/>
        <w:numPr>
          <w:ilvl w:val="0"/>
          <w:numId w:val="20"/>
        </w:numPr>
      </w:pPr>
      <w:r>
        <w:t xml:space="preserve">Frequency of occurrence of the impact: </w:t>
      </w:r>
      <w:r w:rsidR="00120463" w:rsidRPr="00120463">
        <w:t xml:space="preserve">The emission of GHGs would occur continuously for the life of </w:t>
      </w:r>
      <w:r w:rsidR="00120463" w:rsidRPr="008E57F4">
        <w:t xml:space="preserve">the </w:t>
      </w:r>
      <w:r w:rsidR="00120463" w:rsidRPr="00A97576">
        <w:t>mine</w:t>
      </w:r>
      <w:r w:rsidR="00120463" w:rsidRPr="008E57F4">
        <w:t xml:space="preserve"> as long as coal is transported</w:t>
      </w:r>
      <w:r w:rsidR="00120463" w:rsidRPr="00120463">
        <w:t>. While the activity is frequent, the resulting impact on climate systems would not be significantly increased by the Proposed Action because the project would not alter the frequency or intensity of climate events.</w:t>
      </w:r>
    </w:p>
    <w:p w14:paraId="410168C7" w14:textId="77777777" w:rsidR="00046E17" w:rsidRDefault="00046E17" w:rsidP="00046E17"/>
    <w:p w14:paraId="4748FB65" w14:textId="38A7B9C0" w:rsidR="00046E17" w:rsidRDefault="008A28B1" w:rsidP="008E57F4">
      <w:pPr>
        <w:pStyle w:val="ListParagraph"/>
        <w:numPr>
          <w:ilvl w:val="0"/>
          <w:numId w:val="19"/>
        </w:numPr>
        <w:rPr>
          <w:i/>
        </w:rPr>
      </w:pPr>
      <w:r w:rsidRPr="008E57F4">
        <w:rPr>
          <w:i/>
          <w:iCs/>
        </w:rPr>
        <w:t>The probability that the impact will occur if the proposed action occurs; or conversely, reasonable assurance in keeping with the potential severity of an impact that the impact will not occur.</w:t>
      </w:r>
    </w:p>
    <w:p w14:paraId="3F26F543" w14:textId="77777777" w:rsidR="008A28B1" w:rsidRPr="008A28B1" w:rsidRDefault="008A28B1" w:rsidP="008A28B1"/>
    <w:p w14:paraId="4D28555B" w14:textId="157BFEC9" w:rsidR="00EB6796" w:rsidRPr="008A28B1" w:rsidRDefault="00EB6796" w:rsidP="008A28B1">
      <w:r w:rsidRPr="00EB6796">
        <w:t xml:space="preserve">The probability that the proposed project would contribute to GHGs is certain. However, as discussed in the Cumulative Impacts section, the severity of the additional greenhouse gas contributions is </w:t>
      </w:r>
      <w:r w:rsidR="007B6F09">
        <w:t>negligible</w:t>
      </w:r>
      <w:r w:rsidRPr="00EB6796">
        <w:t xml:space="preserve"> to the overall warming of Montana.  </w:t>
      </w:r>
    </w:p>
    <w:p w14:paraId="214BFDCE" w14:textId="77777777" w:rsidR="00B245BC" w:rsidRDefault="00B245BC" w:rsidP="008A28B1"/>
    <w:p w14:paraId="733B222B" w14:textId="0EEA969E" w:rsidR="00B245BC" w:rsidRDefault="007C3914" w:rsidP="00B245BC">
      <w:pPr>
        <w:pStyle w:val="ListParagraph"/>
        <w:numPr>
          <w:ilvl w:val="0"/>
          <w:numId w:val="19"/>
        </w:numPr>
        <w:rPr>
          <w:i/>
          <w:iCs/>
        </w:rPr>
      </w:pPr>
      <w:r w:rsidRPr="0059341F">
        <w:rPr>
          <w:i/>
          <w:iCs/>
        </w:rPr>
        <w:t>Growth-inducing or growth-inhibiting aspects of the impact, including the relationship or contribution of the impact to cumulative impacts.</w:t>
      </w:r>
    </w:p>
    <w:p w14:paraId="3E2B3608" w14:textId="77777777" w:rsidR="00FC6484" w:rsidRDefault="00FC6484" w:rsidP="00FC6484">
      <w:pPr>
        <w:rPr>
          <w:i/>
          <w:iCs/>
        </w:rPr>
      </w:pPr>
    </w:p>
    <w:p w14:paraId="4C5539CD" w14:textId="3FF12F5A" w:rsidR="00FC6484" w:rsidRDefault="00FC6484" w:rsidP="00FC6484">
      <w:r w:rsidRPr="00FC6484">
        <w:t xml:space="preserve">The </w:t>
      </w:r>
      <w:r>
        <w:t xml:space="preserve">Proposed Action </w:t>
      </w:r>
      <w:r w:rsidRPr="00FC6484">
        <w:t>would not have any growth-inducing or growth</w:t>
      </w:r>
      <w:r>
        <w:t xml:space="preserve"> </w:t>
      </w:r>
      <w:r w:rsidRPr="00FC6484">
        <w:t xml:space="preserve">inhibiting aspects, or significant contribution to cumulative impacts. The Proposed Action’s GHG emissions, which are </w:t>
      </w:r>
      <w:r w:rsidR="005F033F">
        <w:t>only</w:t>
      </w:r>
      <w:r w:rsidRPr="00FC6484">
        <w:t xml:space="preserve"> associated with </w:t>
      </w:r>
      <w:r>
        <w:t xml:space="preserve">transporting coal </w:t>
      </w:r>
      <w:r w:rsidR="00426247">
        <w:t>within the boundaries of</w:t>
      </w:r>
      <w:r>
        <w:t xml:space="preserve"> </w:t>
      </w:r>
      <w:r w:rsidRPr="00FC6484">
        <w:t xml:space="preserve">an existing </w:t>
      </w:r>
      <w:r w:rsidR="00B23EDD">
        <w:t>mine</w:t>
      </w:r>
      <w:r w:rsidRPr="00FC6484">
        <w:t xml:space="preserve"> would not induce new regional or national growth. The Proposed Action </w:t>
      </w:r>
      <w:r w:rsidR="00B23EDD">
        <w:t xml:space="preserve">does not </w:t>
      </w:r>
      <w:r w:rsidR="00D20CBC">
        <w:t>increase</w:t>
      </w:r>
      <w:r w:rsidR="0012278C">
        <w:t xml:space="preserve"> the amount of </w:t>
      </w:r>
      <w:r w:rsidR="00426247">
        <w:t>allowable coal production</w:t>
      </w:r>
      <w:r w:rsidR="0012278C">
        <w:t xml:space="preserve"> at </w:t>
      </w:r>
      <w:proofErr w:type="gramStart"/>
      <w:r w:rsidR="0012278C">
        <w:t xml:space="preserve">the </w:t>
      </w:r>
      <w:r w:rsidR="00C06E73">
        <w:t>Bull</w:t>
      </w:r>
      <w:proofErr w:type="gramEnd"/>
      <w:r w:rsidR="00C06E73">
        <w:t xml:space="preserve"> Mountain Mine</w:t>
      </w:r>
      <w:r w:rsidR="00F94898">
        <w:t>, but rather approves additional transport of coal</w:t>
      </w:r>
      <w:r w:rsidR="00426247">
        <w:t xml:space="preserve"> overland, via </w:t>
      </w:r>
      <w:r w:rsidR="009371CB">
        <w:t>semi</w:t>
      </w:r>
      <w:r w:rsidR="00426247">
        <w:t>-truck</w:t>
      </w:r>
      <w:r w:rsidRPr="00FC6484">
        <w:t xml:space="preserve">. </w:t>
      </w:r>
      <w:r w:rsidR="005F68BE">
        <w:t>T</w:t>
      </w:r>
      <w:r w:rsidRPr="00FC6484">
        <w:t xml:space="preserve">he Proposed Action’s </w:t>
      </w:r>
      <w:r w:rsidR="005F68BE">
        <w:t>negligible</w:t>
      </w:r>
      <w:r w:rsidRPr="00FC6484">
        <w:t xml:space="preserve"> contribution to global GHG concentrations does not meaningfully alter the probability or severity of climate-related events at a scale that would inhibit growth either locally or globally.</w:t>
      </w:r>
    </w:p>
    <w:p w14:paraId="37CBE9BD" w14:textId="77777777" w:rsidR="00FC6484" w:rsidRPr="00FC6484" w:rsidRDefault="00FC6484" w:rsidP="0B804797"/>
    <w:p w14:paraId="7B545F74" w14:textId="2CBAB097" w:rsidR="007C3914" w:rsidRDefault="00FF6BDE" w:rsidP="0059341F">
      <w:pPr>
        <w:pStyle w:val="ListParagraph"/>
        <w:numPr>
          <w:ilvl w:val="0"/>
          <w:numId w:val="19"/>
        </w:numPr>
        <w:rPr>
          <w:i/>
        </w:rPr>
      </w:pPr>
      <w:r>
        <w:rPr>
          <w:i/>
          <w:iCs/>
        </w:rPr>
        <w:t>T</w:t>
      </w:r>
      <w:r w:rsidRPr="00FF6BDE">
        <w:rPr>
          <w:i/>
          <w:iCs/>
        </w:rPr>
        <w:t>he quantity and quality of each environmental resource or value that would be affected, including the uniqueness and fragility of those resources and values.</w:t>
      </w:r>
    </w:p>
    <w:p w14:paraId="547BBC13" w14:textId="77777777" w:rsidR="009F214A" w:rsidRDefault="009F214A" w:rsidP="009F214A">
      <w:pPr>
        <w:rPr>
          <w:i/>
          <w:iCs/>
        </w:rPr>
      </w:pPr>
    </w:p>
    <w:p w14:paraId="2DBDCE99" w14:textId="06C4B64E" w:rsidR="009F214A" w:rsidRDefault="009F214A" w:rsidP="009F214A">
      <w:r w:rsidRPr="009F214A">
        <w:t xml:space="preserve">The Proposed Action </w:t>
      </w:r>
      <w:r w:rsidR="0016015B">
        <w:t>would</w:t>
      </w:r>
      <w:r w:rsidRPr="009F214A">
        <w:t xml:space="preserve"> not impact any resources that are considered unique or fragile within </w:t>
      </w:r>
      <w:r w:rsidR="00151FFB">
        <w:t>Montana</w:t>
      </w:r>
      <w:r w:rsidR="000E00EE">
        <w:t>’s</w:t>
      </w:r>
      <w:r w:rsidR="00151FFB">
        <w:t xml:space="preserve"> environment</w:t>
      </w:r>
      <w:r w:rsidRPr="009F214A">
        <w:t xml:space="preserve"> </w:t>
      </w:r>
      <w:r w:rsidR="00FB4C6B">
        <w:t>b</w:t>
      </w:r>
      <w:r w:rsidR="009133B5">
        <w:t>ecause the</w:t>
      </w:r>
      <w:r w:rsidRPr="009F214A">
        <w:t xml:space="preserve"> project’s contribution to global climate change is </w:t>
      </w:r>
      <w:r w:rsidR="005F68BE">
        <w:t>negligible</w:t>
      </w:r>
      <w:r w:rsidRPr="009F214A">
        <w:t xml:space="preserve"> </w:t>
      </w:r>
      <w:r w:rsidR="009133B5">
        <w:t>and</w:t>
      </w:r>
      <w:r w:rsidRPr="009F214A">
        <w:t xml:space="preserve"> does not constitute a measurable effect</w:t>
      </w:r>
      <w:r w:rsidR="00A165CE">
        <w:t xml:space="preserve"> </w:t>
      </w:r>
      <w:r w:rsidR="00A165CE" w:rsidRPr="00A165CE">
        <w:t xml:space="preserve">on the quantity and quality of the stable global climate system, nor </w:t>
      </w:r>
      <w:r w:rsidR="0016015B">
        <w:t>would</w:t>
      </w:r>
      <w:r w:rsidR="00A165CE" w:rsidRPr="00A165CE">
        <w:t xml:space="preserve"> it impact the integrity of any localized environmental resource</w:t>
      </w:r>
      <w:r w:rsidR="00CB2B60">
        <w:t xml:space="preserve"> as a result of climate change</w:t>
      </w:r>
      <w:r w:rsidR="00A165CE" w:rsidRPr="00A165CE">
        <w:t>.</w:t>
      </w:r>
      <w:r w:rsidR="009133B5">
        <w:t xml:space="preserve"> </w:t>
      </w:r>
    </w:p>
    <w:p w14:paraId="3C55111D" w14:textId="77777777" w:rsidR="009F214A" w:rsidRPr="009F214A" w:rsidRDefault="009F214A" w:rsidP="0059341F"/>
    <w:p w14:paraId="10922042" w14:textId="46797E33" w:rsidR="00FF6BDE" w:rsidRDefault="009521A5" w:rsidP="0059341F">
      <w:pPr>
        <w:pStyle w:val="ListParagraph"/>
        <w:numPr>
          <w:ilvl w:val="0"/>
          <w:numId w:val="19"/>
        </w:numPr>
        <w:rPr>
          <w:i/>
        </w:rPr>
      </w:pPr>
      <w:r w:rsidRPr="009521A5">
        <w:rPr>
          <w:i/>
          <w:iCs/>
        </w:rPr>
        <w:t>The importance to the state and to society of each environmental resource or value that would be affected.</w:t>
      </w:r>
    </w:p>
    <w:p w14:paraId="6D5DB46A" w14:textId="77777777" w:rsidR="0016015B" w:rsidRPr="0059341F" w:rsidRDefault="0016015B" w:rsidP="0059341F">
      <w:pPr>
        <w:ind w:left="360"/>
        <w:rPr>
          <w:i/>
          <w:iCs/>
        </w:rPr>
      </w:pPr>
    </w:p>
    <w:p w14:paraId="047B62B1" w14:textId="15D39529" w:rsidR="0016015B" w:rsidRPr="0059341F" w:rsidRDefault="0016015B" w:rsidP="0016015B">
      <w:r w:rsidRPr="0059341F">
        <w:t>Althoug</w:t>
      </w:r>
      <w:r>
        <w:t>h</w:t>
      </w:r>
      <w:r w:rsidRPr="0059341F">
        <w:t xml:space="preserve"> the value of a stable climate system </w:t>
      </w:r>
      <w:r w:rsidR="00C52172">
        <w:t>is</w:t>
      </w:r>
      <w:r w:rsidRPr="0059341F">
        <w:t xml:space="preserve"> of the highest importance to the state and society, the Proposed Action, </w:t>
      </w:r>
      <w:r>
        <w:t xml:space="preserve">approving additional </w:t>
      </w:r>
      <w:r w:rsidR="000447B6">
        <w:t xml:space="preserve">overland </w:t>
      </w:r>
      <w:r>
        <w:t>transport of coal</w:t>
      </w:r>
      <w:r w:rsidR="004F298F">
        <w:t xml:space="preserve">, </w:t>
      </w:r>
      <w:r>
        <w:t>would have</w:t>
      </w:r>
      <w:r w:rsidRPr="0059341F">
        <w:t xml:space="preserve"> a </w:t>
      </w:r>
      <w:r w:rsidR="004F298F">
        <w:t>negligible</w:t>
      </w:r>
      <w:r w:rsidRPr="0059341F">
        <w:t xml:space="preserve"> </w:t>
      </w:r>
      <w:r w:rsidR="00F463D4">
        <w:t xml:space="preserve">contribution to Montana’s </w:t>
      </w:r>
      <w:r w:rsidRPr="0059341F">
        <w:t xml:space="preserve">GHG emissions.  </w:t>
      </w:r>
    </w:p>
    <w:p w14:paraId="7BDD2484" w14:textId="77777777" w:rsidR="0016015B" w:rsidRPr="0059341F" w:rsidRDefault="0016015B" w:rsidP="0059341F">
      <w:pPr>
        <w:rPr>
          <w:i/>
          <w:iCs/>
        </w:rPr>
      </w:pPr>
    </w:p>
    <w:p w14:paraId="6F6C0E1F" w14:textId="6560C956" w:rsidR="009521A5" w:rsidRDefault="00B40198" w:rsidP="00B245BC">
      <w:pPr>
        <w:pStyle w:val="ListParagraph"/>
        <w:numPr>
          <w:ilvl w:val="0"/>
          <w:numId w:val="19"/>
        </w:numPr>
        <w:rPr>
          <w:i/>
          <w:iCs/>
        </w:rPr>
      </w:pPr>
      <w:r w:rsidRPr="00B40198">
        <w:rPr>
          <w:i/>
          <w:iCs/>
        </w:rPr>
        <w:t xml:space="preserve">Any precedent that would be set </w:t>
      </w:r>
      <w:proofErr w:type="gramStart"/>
      <w:r w:rsidRPr="00B40198">
        <w:rPr>
          <w:i/>
          <w:iCs/>
        </w:rPr>
        <w:t>as a result of</w:t>
      </w:r>
      <w:proofErr w:type="gramEnd"/>
      <w:r w:rsidRPr="00B40198">
        <w:rPr>
          <w:i/>
          <w:iCs/>
        </w:rPr>
        <w:t xml:space="preserve"> </w:t>
      </w:r>
      <w:proofErr w:type="gramStart"/>
      <w:r w:rsidRPr="00B40198">
        <w:rPr>
          <w:i/>
          <w:iCs/>
        </w:rPr>
        <w:t>an</w:t>
      </w:r>
      <w:proofErr w:type="gramEnd"/>
      <w:r w:rsidRPr="00B40198">
        <w:rPr>
          <w:i/>
          <w:iCs/>
        </w:rPr>
        <w:t xml:space="preserve"> impact of the proposed action that would commit the department to future actions with significant impacts or a decision in principle about such future actions.</w:t>
      </w:r>
    </w:p>
    <w:p w14:paraId="3407FAE1" w14:textId="77777777" w:rsidR="00627538" w:rsidRDefault="00627538" w:rsidP="00627538">
      <w:pPr>
        <w:rPr>
          <w:i/>
          <w:iCs/>
        </w:rPr>
      </w:pPr>
    </w:p>
    <w:p w14:paraId="2F800F28" w14:textId="77777777" w:rsidR="0069383F" w:rsidRDefault="00627538" w:rsidP="00627538">
      <w:r>
        <w:t>I</w:t>
      </w:r>
      <w:r w:rsidRPr="00627538">
        <w:t xml:space="preserve">ssuance of </w:t>
      </w:r>
      <w:r>
        <w:t>MAQP</w:t>
      </w:r>
      <w:r w:rsidR="0082104C">
        <w:t xml:space="preserve"> #3179-13</w:t>
      </w:r>
      <w:r w:rsidRPr="00627538">
        <w:t xml:space="preserve"> to the applicant does not set any precedent that commits DEQ to future actions with significant impacts or a decision in principle about such future actions. This supplemental EA</w:t>
      </w:r>
      <w:r w:rsidR="601101B7">
        <w:t xml:space="preserve"> is </w:t>
      </w:r>
      <w:r w:rsidRPr="00627538">
        <w:t xml:space="preserve">conducted for this specific permitting </w:t>
      </w:r>
      <w:proofErr w:type="gramStart"/>
      <w:r w:rsidRPr="00627538">
        <w:t xml:space="preserve">action, </w:t>
      </w:r>
      <w:r w:rsidR="00B56120">
        <w:t>and</w:t>
      </w:r>
      <w:proofErr w:type="gramEnd"/>
      <w:r w:rsidRPr="00627538">
        <w:t xml:space="preserve"> including an analysis of </w:t>
      </w:r>
      <w:r w:rsidR="0080043D">
        <w:t xml:space="preserve">overland </w:t>
      </w:r>
      <w:r w:rsidRPr="00627538">
        <w:t xml:space="preserve">coal transportation </w:t>
      </w:r>
      <w:r w:rsidR="0077202C">
        <w:t xml:space="preserve">GHG </w:t>
      </w:r>
      <w:r w:rsidRPr="00627538">
        <w:t xml:space="preserve">emissions, is performed pursuant to a voluntary remand. </w:t>
      </w:r>
    </w:p>
    <w:p w14:paraId="184826F2" w14:textId="7831F48F" w:rsidR="00627538" w:rsidRDefault="00627538" w:rsidP="00627538">
      <w:r w:rsidRPr="00627538">
        <w:t>This voluntary analysis does not constitute a decision in principle or set a binding precedent requiring DEQ to analyze</w:t>
      </w:r>
      <w:r w:rsidR="00F93D46">
        <w:t xml:space="preserve"> </w:t>
      </w:r>
      <w:r w:rsidRPr="00627538">
        <w:t xml:space="preserve">transportation emissions in its review of </w:t>
      </w:r>
      <w:r w:rsidR="00F2651A">
        <w:t>MAQPs</w:t>
      </w:r>
      <w:r w:rsidR="000A717C">
        <w:t>.</w:t>
      </w:r>
      <w:r w:rsidRPr="00627538">
        <w:t xml:space="preserve"> If the applicant submits another </w:t>
      </w:r>
      <w:r w:rsidR="00585AC9">
        <w:t>MAQP</w:t>
      </w:r>
      <w:r w:rsidRPr="00627538">
        <w:t xml:space="preserve"> application to </w:t>
      </w:r>
      <w:r w:rsidR="00585AC9">
        <w:t>authorize</w:t>
      </w:r>
      <w:r w:rsidRPr="00627538">
        <w:t xml:space="preserve"> additional </w:t>
      </w:r>
      <w:r w:rsidR="00EF3136">
        <w:t>allowable amount</w:t>
      </w:r>
      <w:r w:rsidR="00017239">
        <w:t>s of transportable coal</w:t>
      </w:r>
      <w:r w:rsidRPr="00627538">
        <w:t>, DEQ is not committed to issuing those authorizations. Pursuant to MEPA, DEQ would conduct an environmental review for any subsequent authorizations sought by the applicant that require environmental review. DEQ would make a permitting decision based on the criteria set forth in</w:t>
      </w:r>
      <w:r w:rsidR="00DE423A">
        <w:t xml:space="preserve"> the Clean Air Act of Montana and rules adopted under that Act, </w:t>
      </w:r>
      <w:r w:rsidR="005B3FF2">
        <w:t xml:space="preserve">and </w:t>
      </w:r>
      <w:r w:rsidR="00DE423A">
        <w:t>the Federal Clean Air Act and rules promulgated under that Act</w:t>
      </w:r>
      <w:r w:rsidR="005B3FF2">
        <w:t>.</w:t>
      </w:r>
    </w:p>
    <w:p w14:paraId="7A2F1B1C" w14:textId="77777777" w:rsidR="00627538" w:rsidRPr="00627538" w:rsidRDefault="00627538" w:rsidP="00D46346"/>
    <w:p w14:paraId="236FD05E" w14:textId="48C721B2" w:rsidR="00691D0A" w:rsidRDefault="00691D0A" w:rsidP="00D46346">
      <w:pPr>
        <w:pStyle w:val="ListParagraph"/>
        <w:numPr>
          <w:ilvl w:val="0"/>
          <w:numId w:val="19"/>
        </w:numPr>
        <w:rPr>
          <w:i/>
        </w:rPr>
      </w:pPr>
      <w:r w:rsidRPr="00691D0A">
        <w:rPr>
          <w:i/>
          <w:iCs/>
        </w:rPr>
        <w:t>Potential conflict with local, state, or federal laws, requirements, or formal plans.</w:t>
      </w:r>
    </w:p>
    <w:p w14:paraId="06B06DD6" w14:textId="77777777" w:rsidR="00E66B66" w:rsidRDefault="00E66B66" w:rsidP="00E66B66">
      <w:pPr>
        <w:rPr>
          <w:i/>
          <w:iCs/>
        </w:rPr>
      </w:pPr>
    </w:p>
    <w:p w14:paraId="1A87C0BA" w14:textId="6FE8EC92" w:rsidR="00E66B66" w:rsidRPr="00E66B66" w:rsidRDefault="00E66B66" w:rsidP="00D46346">
      <w:r w:rsidRPr="00E66B66">
        <w:t xml:space="preserve">The Proposed Action would not have any growth-inducing or growth-inhibiting aspects that would conflict with any local, state, or federal laws, requirements, or formal plans. </w:t>
      </w:r>
      <w:r w:rsidR="0022514C">
        <w:t xml:space="preserve">All </w:t>
      </w:r>
      <w:r w:rsidR="00804EAD">
        <w:t xml:space="preserve">applicable local, state, and federal requirements would be adhered to. </w:t>
      </w:r>
    </w:p>
    <w:bookmarkEnd w:id="54"/>
    <w:p w14:paraId="0BFC3F09" w14:textId="77777777" w:rsidR="00B3415D" w:rsidRPr="00CA41EC" w:rsidRDefault="00B3415D" w:rsidP="00B3415D">
      <w:pPr>
        <w:rPr>
          <w:rFonts w:cstheme="minorHAnsi"/>
          <w:b/>
        </w:rPr>
      </w:pPr>
    </w:p>
    <w:p w14:paraId="1470FC93" w14:textId="1A41320E" w:rsidR="00B3415D" w:rsidRDefault="2F468972" w:rsidP="00756D6D">
      <w:pPr>
        <w:pStyle w:val="Heading3"/>
      </w:pPr>
      <w:bookmarkStart w:id="55" w:name="_Toc196305923"/>
      <w:bookmarkStart w:id="56" w:name="_Toc219800159"/>
      <w:r>
        <w:t>Conclusions and Findings</w:t>
      </w:r>
      <w:bookmarkEnd w:id="55"/>
      <w:bookmarkEnd w:id="56"/>
    </w:p>
    <w:p w14:paraId="050BEC3A" w14:textId="77777777" w:rsidR="00246FAF" w:rsidRDefault="00246FAF" w:rsidP="00246FAF"/>
    <w:p w14:paraId="757176E0" w14:textId="2E0A3CCC" w:rsidR="00246FAF" w:rsidRPr="00246FAF" w:rsidRDefault="5CF1670B" w:rsidP="2F563B5D">
      <w:pPr>
        <w:rPr>
          <w:rFonts w:ascii="Calibri" w:hAnsi="Calibri" w:cs="Calibri"/>
          <w:sz w:val="24"/>
          <w:szCs w:val="24"/>
          <w:lang w:bidi="ar-SA"/>
        </w:rPr>
      </w:pPr>
      <w:r>
        <w:t xml:space="preserve">This Supplemental EA addresses the GHG Impacts </w:t>
      </w:r>
      <w:r w:rsidR="2269BA2A">
        <w:t>associated</w:t>
      </w:r>
      <w:r>
        <w:t xml:space="preserve"> with </w:t>
      </w:r>
      <w:r w:rsidR="7889D71B">
        <w:t xml:space="preserve">distillate fuel #2 </w:t>
      </w:r>
      <w:r w:rsidR="11E6F8AF">
        <w:t>(diesel)</w:t>
      </w:r>
      <w:r w:rsidR="5143FD84">
        <w:t xml:space="preserve"> </w:t>
      </w:r>
      <w:r w:rsidR="7889D71B">
        <w:t xml:space="preserve">necessary for </w:t>
      </w:r>
      <w:r>
        <w:t xml:space="preserve">the addition of </w:t>
      </w:r>
      <w:r w:rsidR="00093B76">
        <w:t>550</w:t>
      </w:r>
      <w:r>
        <w:t xml:space="preserve">,000 tons of coal shipped over the road by semi-truck and trailer as well as the </w:t>
      </w:r>
      <w:r w:rsidR="2269BA2A">
        <w:t>use of heavy equipment to load the semi-truck</w:t>
      </w:r>
      <w:r w:rsidR="7889D71B">
        <w:t>s</w:t>
      </w:r>
      <w:r w:rsidR="2269BA2A">
        <w:t xml:space="preserve"> and trailer</w:t>
      </w:r>
      <w:r w:rsidR="7889D71B">
        <w:t>s</w:t>
      </w:r>
      <w:r w:rsidR="2269BA2A">
        <w:t xml:space="preserve">. The potential impact of GHGs associated with the permit action </w:t>
      </w:r>
      <w:r w:rsidR="5BD332FF">
        <w:t xml:space="preserve">could </w:t>
      </w:r>
      <w:r w:rsidR="2269BA2A">
        <w:t xml:space="preserve">have </w:t>
      </w:r>
      <w:r w:rsidR="008B12C7">
        <w:t>negligible</w:t>
      </w:r>
      <w:r w:rsidR="2269BA2A">
        <w:t xml:space="preserve"> impact on the immediate areas surrounding the Bull Mountain Mine site and could potentially increase the </w:t>
      </w:r>
      <w:r w:rsidR="7889D71B">
        <w:t xml:space="preserve">ambient </w:t>
      </w:r>
      <w:r w:rsidR="2269BA2A">
        <w:t xml:space="preserve">temperatures </w:t>
      </w:r>
      <w:r w:rsidR="7889D71B">
        <w:t>in the affected area and globally</w:t>
      </w:r>
      <w:r w:rsidR="00A44B3D">
        <w:t xml:space="preserve">; however, </w:t>
      </w:r>
      <w:r w:rsidR="0018562D">
        <w:t xml:space="preserve">the </w:t>
      </w:r>
      <w:r w:rsidR="00A13108">
        <w:rPr>
          <w:rFonts w:cstheme="minorHAnsi"/>
        </w:rPr>
        <w:t>Δ</w:t>
      </w:r>
      <w:r w:rsidR="008612F6">
        <w:t xml:space="preserve">T </w:t>
      </w:r>
      <w:r w:rsidR="00745E0D">
        <w:t xml:space="preserve">caused by the proposed action </w:t>
      </w:r>
      <w:r w:rsidR="00A44B3D" w:rsidRPr="00F95A29">
        <w:t>would not be distinguishable on a global or local scale</w:t>
      </w:r>
      <w:r w:rsidR="2269BA2A" w:rsidRPr="27F276F4">
        <w:rPr>
          <w:rFonts w:ascii="Calibri" w:hAnsi="Calibri" w:cs="Calibri"/>
          <w:sz w:val="24"/>
          <w:szCs w:val="24"/>
          <w:lang w:bidi="ar-SA"/>
        </w:rPr>
        <w:t xml:space="preserve">. </w:t>
      </w:r>
    </w:p>
    <w:p w14:paraId="47BC0980" w14:textId="77777777" w:rsidR="000F1937" w:rsidRDefault="000F1937" w:rsidP="000F1937"/>
    <w:p w14:paraId="14686671" w14:textId="77777777" w:rsidR="000F1937" w:rsidRDefault="000F1937" w:rsidP="000F1937"/>
    <w:p w14:paraId="110E3C00" w14:textId="77777777" w:rsidR="000F1937" w:rsidRPr="000F1937" w:rsidRDefault="000F1937" w:rsidP="000F1937"/>
    <w:p w14:paraId="5CCD9644" w14:textId="77777777" w:rsidR="000F1937" w:rsidRDefault="000F1937" w:rsidP="00B3415D">
      <w:pPr>
        <w:rPr>
          <w:rFonts w:cstheme="minorHAnsi"/>
          <w:b/>
        </w:rPr>
      </w:pPr>
      <w:r>
        <w:rPr>
          <w:rFonts w:cstheme="minorHAnsi"/>
          <w:b/>
        </w:rPr>
        <w:br w:type="page"/>
      </w:r>
    </w:p>
    <w:p w14:paraId="21A6F739" w14:textId="423F3646" w:rsidR="00954CC5" w:rsidRPr="0027732C" w:rsidRDefault="560811A0" w:rsidP="0027732C">
      <w:pPr>
        <w:pStyle w:val="Heading2"/>
      </w:pPr>
      <w:bookmarkStart w:id="57" w:name="_Toc196305924"/>
      <w:bookmarkStart w:id="58" w:name="_Toc219800160"/>
      <w:r>
        <w:lastRenderedPageBreak/>
        <w:t>Preparation</w:t>
      </w:r>
      <w:bookmarkEnd w:id="57"/>
      <w:bookmarkEnd w:id="58"/>
    </w:p>
    <w:p w14:paraId="4D964049" w14:textId="23482458" w:rsidR="00B3415D" w:rsidRPr="00954CC5" w:rsidRDefault="00B3415D" w:rsidP="00670D02">
      <w:r w:rsidRPr="00954CC5">
        <w:t>Environmental Assessment and Significance Determination Prepared By:</w:t>
      </w:r>
    </w:p>
    <w:p w14:paraId="182D02CB" w14:textId="77777777" w:rsidR="00B3415D" w:rsidRPr="00CA41EC" w:rsidRDefault="00B3415D" w:rsidP="00B3415D">
      <w:pPr>
        <w:widowControl/>
        <w:tabs>
          <w:tab w:val="left" w:pos="4770"/>
          <w:tab w:val="left" w:pos="6480"/>
          <w:tab w:val="left" w:pos="7020"/>
          <w:tab w:val="left" w:pos="7920"/>
          <w:tab w:val="left" w:pos="8640"/>
        </w:tabs>
        <w:ind w:left="360"/>
        <w:rPr>
          <w:rFonts w:cstheme="minorHAnsi"/>
        </w:rPr>
      </w:pPr>
    </w:p>
    <w:p w14:paraId="11D0EA29" w14:textId="4E39AFF4" w:rsidR="00B3415D" w:rsidRPr="00B330A2" w:rsidRDefault="00B330A2" w:rsidP="00B3415D">
      <w:pPr>
        <w:widowControl/>
        <w:tabs>
          <w:tab w:val="left" w:pos="4770"/>
          <w:tab w:val="left" w:pos="6480"/>
          <w:tab w:val="left" w:pos="7020"/>
          <w:tab w:val="left" w:pos="7920"/>
          <w:tab w:val="left" w:pos="8640"/>
        </w:tabs>
        <w:ind w:left="360"/>
        <w:rPr>
          <w:rFonts w:cstheme="minorHAnsi"/>
        </w:rPr>
      </w:pPr>
      <w:r w:rsidRPr="00B330A2">
        <w:rPr>
          <w:rFonts w:cstheme="minorHAnsi"/>
        </w:rPr>
        <w:t>John P. Proulx</w:t>
      </w:r>
    </w:p>
    <w:p w14:paraId="16B3D427" w14:textId="191687CA" w:rsidR="00B3415D" w:rsidRPr="00B330A2" w:rsidRDefault="00B330A2" w:rsidP="00B3415D">
      <w:pPr>
        <w:widowControl/>
        <w:tabs>
          <w:tab w:val="left" w:pos="4770"/>
          <w:tab w:val="left" w:pos="6480"/>
          <w:tab w:val="left" w:pos="7020"/>
          <w:tab w:val="left" w:pos="7920"/>
          <w:tab w:val="left" w:pos="8640"/>
        </w:tabs>
        <w:ind w:left="360"/>
        <w:rPr>
          <w:rFonts w:cstheme="minorHAnsi"/>
        </w:rPr>
      </w:pPr>
      <w:r w:rsidRPr="00B330A2">
        <w:rPr>
          <w:rFonts w:cstheme="minorHAnsi"/>
        </w:rPr>
        <w:t xml:space="preserve">Air Quality Engineer </w:t>
      </w:r>
    </w:p>
    <w:p w14:paraId="0BDEAAEC" w14:textId="77777777" w:rsidR="00B3415D" w:rsidRPr="00B330A2" w:rsidRDefault="00B3415D" w:rsidP="00B3415D">
      <w:pPr>
        <w:tabs>
          <w:tab w:val="left" w:pos="1008"/>
        </w:tabs>
        <w:suppressAutoHyphens/>
        <w:rPr>
          <w:rFonts w:cstheme="minorHAnsi"/>
          <w:b/>
        </w:rPr>
      </w:pPr>
    </w:p>
    <w:p w14:paraId="784FCF89" w14:textId="77777777" w:rsidR="00B3415D" w:rsidRPr="00B330A2" w:rsidRDefault="00B3415D" w:rsidP="001B12EB">
      <w:r w:rsidRPr="00B330A2">
        <w:t>Environmental Assessment Reviewed By:</w:t>
      </w:r>
    </w:p>
    <w:p w14:paraId="28D9B6A1" w14:textId="77777777" w:rsidR="00B3415D" w:rsidRPr="00B330A2" w:rsidRDefault="00B3415D" w:rsidP="00B3415D">
      <w:pPr>
        <w:widowControl/>
        <w:tabs>
          <w:tab w:val="left" w:pos="4770"/>
          <w:tab w:val="left" w:pos="6480"/>
          <w:tab w:val="left" w:pos="7020"/>
          <w:tab w:val="left" w:pos="7920"/>
          <w:tab w:val="left" w:pos="8640"/>
        </w:tabs>
        <w:ind w:left="360"/>
        <w:rPr>
          <w:rFonts w:cstheme="minorHAnsi"/>
        </w:rPr>
      </w:pPr>
    </w:p>
    <w:p w14:paraId="433FFBB4" w14:textId="5131EDE3" w:rsidR="00B3415D" w:rsidRDefault="00F63833" w:rsidP="00B3415D">
      <w:pPr>
        <w:widowControl/>
        <w:tabs>
          <w:tab w:val="left" w:pos="4770"/>
          <w:tab w:val="left" w:pos="6480"/>
          <w:tab w:val="left" w:pos="7020"/>
          <w:tab w:val="left" w:pos="7920"/>
          <w:tab w:val="left" w:pos="8640"/>
        </w:tabs>
        <w:ind w:left="360"/>
        <w:rPr>
          <w:rFonts w:cstheme="minorHAnsi"/>
        </w:rPr>
      </w:pPr>
      <w:r>
        <w:rPr>
          <w:rFonts w:cstheme="minorHAnsi"/>
        </w:rPr>
        <w:t>Craig Jones – MEPA Coordinator</w:t>
      </w:r>
    </w:p>
    <w:p w14:paraId="76FAAE11" w14:textId="655CC11B" w:rsidR="00F63833" w:rsidRPr="00B330A2" w:rsidRDefault="00F63833" w:rsidP="00B3415D">
      <w:pPr>
        <w:widowControl/>
        <w:tabs>
          <w:tab w:val="left" w:pos="4770"/>
          <w:tab w:val="left" w:pos="6480"/>
          <w:tab w:val="left" w:pos="7020"/>
          <w:tab w:val="left" w:pos="7920"/>
          <w:tab w:val="left" w:pos="8640"/>
        </w:tabs>
        <w:ind w:left="360"/>
        <w:rPr>
          <w:rFonts w:cstheme="minorHAnsi"/>
        </w:rPr>
      </w:pPr>
      <w:r>
        <w:rPr>
          <w:rFonts w:cstheme="minorHAnsi"/>
        </w:rPr>
        <w:t>Bailey Tasker – MEPA Coordinator</w:t>
      </w:r>
    </w:p>
    <w:p w14:paraId="43484EAE" w14:textId="4E665039" w:rsidR="00896C20" w:rsidRDefault="00896C20" w:rsidP="00B3415D">
      <w:pPr>
        <w:widowControl/>
        <w:tabs>
          <w:tab w:val="left" w:pos="4770"/>
          <w:tab w:val="left" w:pos="6480"/>
          <w:tab w:val="left" w:pos="7020"/>
          <w:tab w:val="left" w:pos="7920"/>
          <w:tab w:val="left" w:pos="8640"/>
        </w:tabs>
        <w:ind w:left="360"/>
        <w:rPr>
          <w:rFonts w:cstheme="minorHAnsi"/>
        </w:rPr>
      </w:pPr>
      <w:r>
        <w:rPr>
          <w:rFonts w:cstheme="minorHAnsi"/>
        </w:rPr>
        <w:t>Isabell</w:t>
      </w:r>
      <w:r w:rsidR="006B22AC">
        <w:rPr>
          <w:rFonts w:cstheme="minorHAnsi"/>
        </w:rPr>
        <w:t>e</w:t>
      </w:r>
      <w:r>
        <w:rPr>
          <w:rFonts w:cstheme="minorHAnsi"/>
        </w:rPr>
        <w:t xml:space="preserve"> Nebel – Attorney, Legal</w:t>
      </w:r>
    </w:p>
    <w:p w14:paraId="4D454940" w14:textId="6D075048" w:rsidR="00E6164E" w:rsidRDefault="00E6164E" w:rsidP="00B3415D">
      <w:pPr>
        <w:widowControl/>
        <w:tabs>
          <w:tab w:val="left" w:pos="4770"/>
          <w:tab w:val="left" w:pos="6480"/>
          <w:tab w:val="left" w:pos="7020"/>
          <w:tab w:val="left" w:pos="7920"/>
          <w:tab w:val="left" w:pos="8640"/>
        </w:tabs>
        <w:ind w:left="360"/>
        <w:rPr>
          <w:rFonts w:cstheme="minorHAnsi"/>
        </w:rPr>
      </w:pPr>
      <w:r>
        <w:rPr>
          <w:rFonts w:cstheme="minorHAnsi"/>
        </w:rPr>
        <w:t xml:space="preserve">Eric Merchant, </w:t>
      </w:r>
      <w:r w:rsidR="00501552">
        <w:rPr>
          <w:rFonts w:cstheme="minorHAnsi"/>
        </w:rPr>
        <w:t xml:space="preserve">Supervisor, Air Quality Permitting Services Section </w:t>
      </w:r>
    </w:p>
    <w:p w14:paraId="10BEAC6F" w14:textId="5F4750B5" w:rsidR="00896C20" w:rsidRPr="00B330A2" w:rsidRDefault="00896C20" w:rsidP="00B3415D">
      <w:pPr>
        <w:widowControl/>
        <w:tabs>
          <w:tab w:val="left" w:pos="4770"/>
          <w:tab w:val="left" w:pos="6480"/>
          <w:tab w:val="left" w:pos="7020"/>
          <w:tab w:val="left" w:pos="7920"/>
          <w:tab w:val="left" w:pos="8640"/>
        </w:tabs>
        <w:ind w:left="360"/>
        <w:rPr>
          <w:rFonts w:cstheme="minorHAnsi"/>
        </w:rPr>
      </w:pPr>
      <w:r>
        <w:rPr>
          <w:rFonts w:cstheme="minorHAnsi"/>
        </w:rPr>
        <w:t>Samuel King – Chief Legal Counsel, Legal</w:t>
      </w:r>
    </w:p>
    <w:p w14:paraId="08A81198" w14:textId="77777777" w:rsidR="00B3415D" w:rsidRPr="00B330A2"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32B7A898" w14:textId="77777777" w:rsidR="00B3415D" w:rsidRPr="00B330A2"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ACBA7C9" w14:textId="77777777" w:rsidR="00B3415D" w:rsidRPr="00B330A2" w:rsidRDefault="00B3415D" w:rsidP="001B12EB">
      <w:r w:rsidRPr="00B330A2">
        <w:t>Approved By:</w:t>
      </w:r>
    </w:p>
    <w:p w14:paraId="01F09853" w14:textId="77777777" w:rsidR="00B3415D" w:rsidRPr="00B330A2" w:rsidRDefault="00B3415D" w:rsidP="00B3415D">
      <w:pPr>
        <w:tabs>
          <w:tab w:val="left" w:pos="1008"/>
        </w:tabs>
        <w:suppressAutoHyphens/>
        <w:rPr>
          <w:rFonts w:cstheme="minorHAnsi"/>
          <w:b/>
          <w:bCs/>
        </w:rPr>
      </w:pPr>
    </w:p>
    <w:p w14:paraId="23779CDA" w14:textId="168E4554" w:rsidR="00CA5B84" w:rsidRPr="008914D3" w:rsidRDefault="008914D3" w:rsidP="00B3415D">
      <w:pPr>
        <w:tabs>
          <w:tab w:val="left" w:pos="1008"/>
        </w:tabs>
        <w:suppressAutoHyphens/>
        <w:rPr>
          <w:rFonts w:cstheme="minorHAnsi"/>
        </w:rPr>
      </w:pPr>
      <w:r>
        <w:rPr>
          <w:rFonts w:cstheme="minorHAnsi"/>
          <w:b/>
          <w:bCs/>
          <w:noProof/>
          <w14:ligatures w14:val="standardContextual"/>
        </w:rPr>
        <w:drawing>
          <wp:inline distT="0" distB="0" distL="0" distR="0" wp14:anchorId="1AA57950" wp14:editId="6D4778F9">
            <wp:extent cx="792092" cy="459111"/>
            <wp:effectExtent l="0" t="0" r="8255" b="0"/>
            <wp:docPr id="195084176" name="Picture 2" descr="Signature for Eric Merc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4176" name="Picture 2" descr="Signature for Eric Merchant"/>
                    <pic:cNvPicPr/>
                  </pic:nvPicPr>
                  <pic:blipFill>
                    <a:blip r:embed="rId12">
                      <a:extLst>
                        <a:ext uri="{28A0092B-C50C-407E-A947-70E740481C1C}">
                          <a14:useLocalDpi xmlns:a14="http://schemas.microsoft.com/office/drawing/2010/main" val="0"/>
                        </a:ext>
                      </a:extLst>
                    </a:blip>
                    <a:stretch>
                      <a:fillRect/>
                    </a:stretch>
                  </pic:blipFill>
                  <pic:spPr>
                    <a:xfrm>
                      <a:off x="0" y="0"/>
                      <a:ext cx="799578" cy="463450"/>
                    </a:xfrm>
                    <a:prstGeom prst="rect">
                      <a:avLst/>
                    </a:prstGeom>
                  </pic:spPr>
                </pic:pic>
              </a:graphicData>
            </a:graphic>
          </wp:inline>
        </w:drawing>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E0370E">
        <w:rPr>
          <w:rFonts w:cstheme="minorHAnsi"/>
        </w:rPr>
        <w:t>April 16</w:t>
      </w:r>
      <w:r w:rsidR="002C3771">
        <w:rPr>
          <w:rFonts w:cstheme="minorHAnsi"/>
        </w:rPr>
        <w:t>, 2026</w:t>
      </w:r>
    </w:p>
    <w:p w14:paraId="06105484" w14:textId="28FC99D8" w:rsidR="00B3415D" w:rsidRPr="00B330A2" w:rsidRDefault="0075004C" w:rsidP="0075004C">
      <w:pPr>
        <w:tabs>
          <w:tab w:val="right" w:pos="3600"/>
          <w:tab w:val="right" w:pos="5040"/>
          <w:tab w:val="right" w:pos="7920"/>
        </w:tabs>
        <w:suppressAutoHyphens/>
        <w:rPr>
          <w:rFonts w:cstheme="minorHAnsi"/>
          <w:b/>
          <w:bCs/>
          <w:i/>
          <w:iCs/>
        </w:rPr>
      </w:pPr>
      <w:r w:rsidRPr="00B330A2">
        <w:rPr>
          <w:rFonts w:cstheme="minorHAnsi"/>
          <w:i/>
          <w:iCs/>
          <w:u w:val="single"/>
        </w:rPr>
        <w:tab/>
      </w:r>
      <w:r w:rsidRPr="00B330A2">
        <w:rPr>
          <w:rFonts w:cstheme="minorHAnsi"/>
          <w:i/>
          <w:iCs/>
        </w:rPr>
        <w:tab/>
      </w:r>
      <w:r w:rsidRPr="00B330A2">
        <w:rPr>
          <w:rFonts w:cstheme="minorHAnsi"/>
          <w:i/>
          <w:iCs/>
          <w:u w:val="single"/>
        </w:rPr>
        <w:tab/>
      </w:r>
      <w:r w:rsidR="00B3415D" w:rsidRPr="00B330A2">
        <w:rPr>
          <w:rFonts w:cstheme="minorHAnsi"/>
          <w:i/>
          <w:iCs/>
        </w:rPr>
        <w:tab/>
      </w:r>
      <w:r w:rsidR="00B3415D" w:rsidRPr="00B330A2">
        <w:rPr>
          <w:rFonts w:cstheme="minorHAnsi"/>
          <w:i/>
          <w:iCs/>
        </w:rPr>
        <w:tab/>
      </w:r>
    </w:p>
    <w:p w14:paraId="655A1AC5" w14:textId="073E5434" w:rsidR="008B12C7" w:rsidRDefault="008B12C7" w:rsidP="0075004C">
      <w:pPr>
        <w:widowControl/>
        <w:tabs>
          <w:tab w:val="left" w:pos="5040"/>
        </w:tabs>
        <w:rPr>
          <w:rFonts w:cstheme="minorBidi"/>
        </w:rPr>
      </w:pPr>
      <w:r w:rsidRPr="0B804797">
        <w:rPr>
          <w:rFonts w:cstheme="minorBidi"/>
        </w:rPr>
        <w:t xml:space="preserve">Eric Merchant, Supervisor </w:t>
      </w:r>
      <w:r>
        <w:tab/>
      </w:r>
      <w:r w:rsidRPr="0B804797">
        <w:rPr>
          <w:rFonts w:cstheme="minorBidi"/>
        </w:rPr>
        <w:t>Date</w:t>
      </w:r>
    </w:p>
    <w:p w14:paraId="019DABCE" w14:textId="77777777" w:rsidR="008B12C7" w:rsidRDefault="008B12C7" w:rsidP="0075004C">
      <w:pPr>
        <w:widowControl/>
        <w:tabs>
          <w:tab w:val="left" w:pos="5040"/>
        </w:tabs>
        <w:rPr>
          <w:rFonts w:cstheme="minorBidi"/>
        </w:rPr>
      </w:pPr>
      <w:r w:rsidRPr="0B804797">
        <w:rPr>
          <w:rFonts w:cstheme="minorBidi"/>
        </w:rPr>
        <w:t>Air Quality Permitting Services Section</w:t>
      </w:r>
    </w:p>
    <w:p w14:paraId="22099D0E" w14:textId="77777777" w:rsidR="008B12C7" w:rsidRDefault="008B12C7" w:rsidP="0075004C">
      <w:pPr>
        <w:widowControl/>
        <w:tabs>
          <w:tab w:val="left" w:pos="5040"/>
        </w:tabs>
        <w:rPr>
          <w:rFonts w:cstheme="minorBidi"/>
        </w:rPr>
      </w:pPr>
      <w:r w:rsidRPr="0B804797">
        <w:rPr>
          <w:rFonts w:cstheme="minorBidi"/>
        </w:rPr>
        <w:t>Air Quality Bureau</w:t>
      </w:r>
    </w:p>
    <w:p w14:paraId="425026AA" w14:textId="76BBB7F4" w:rsidR="00B3415D" w:rsidRPr="00CA41EC" w:rsidRDefault="008B12C7" w:rsidP="0075004C">
      <w:pPr>
        <w:widowControl/>
        <w:tabs>
          <w:tab w:val="left" w:pos="5040"/>
        </w:tabs>
        <w:rPr>
          <w:rFonts w:cstheme="minorBidi"/>
        </w:rPr>
      </w:pPr>
      <w:r w:rsidRPr="0B804797">
        <w:rPr>
          <w:rFonts w:cstheme="minorBidi"/>
        </w:rPr>
        <w:t>Air, Energy and Mining Division</w:t>
      </w:r>
      <w:r w:rsidR="0075004C">
        <w:tab/>
      </w:r>
    </w:p>
    <w:p w14:paraId="17E826C5" w14:textId="77777777"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rPr>
      </w:pPr>
      <w:r w:rsidRPr="00CA41EC">
        <w:rPr>
          <w:rFonts w:cstheme="minorHAnsi"/>
        </w:rPr>
        <w:t>Department of Environmental Quality</w:t>
      </w:r>
    </w:p>
    <w:p w14:paraId="40241355" w14:textId="77777777"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4B3573D"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76B167B4"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6A13B70D"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0587ECA6" w14:textId="77777777" w:rsidR="00CA5B84" w:rsidRDefault="00CA5B84"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p>
    <w:p w14:paraId="43066D75" w14:textId="11625C9F" w:rsidR="00B3415D" w:rsidRPr="00CA41EC" w:rsidRDefault="00B3415D" w:rsidP="00B3415D">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b/>
          <w:bCs/>
        </w:rPr>
      </w:pPr>
      <w:r w:rsidRPr="00CA41EC">
        <w:rPr>
          <w:rFonts w:cstheme="minorHAnsi"/>
          <w:b/>
          <w:bCs/>
        </w:rPr>
        <w:br w:type="page"/>
      </w:r>
    </w:p>
    <w:p w14:paraId="68A20994" w14:textId="416FE79D" w:rsidR="00B3415D" w:rsidRPr="000F1937" w:rsidRDefault="2F468972" w:rsidP="00756D6D">
      <w:pPr>
        <w:pStyle w:val="Heading2"/>
      </w:pPr>
      <w:bookmarkStart w:id="59" w:name="_Toc196305925"/>
      <w:bookmarkStart w:id="60" w:name="_Toc219800161"/>
      <w:r>
        <w:lastRenderedPageBreak/>
        <w:t>References</w:t>
      </w:r>
      <w:bookmarkEnd w:id="59"/>
      <w:bookmarkEnd w:id="60"/>
    </w:p>
    <w:p w14:paraId="593A7A2B" w14:textId="66C6FBE3" w:rsidR="1757EE90" w:rsidRDefault="1757EE90" w:rsidP="419EDE09">
      <w:pPr>
        <w:pStyle w:val="ListParagraph"/>
        <w:numPr>
          <w:ilvl w:val="0"/>
          <w:numId w:val="17"/>
        </w:numPr>
        <w:rPr>
          <w:rFonts w:ascii="Calibri" w:eastAsia="Calibri" w:hAnsi="Calibri" w:cs="Calibri"/>
          <w:b/>
          <w:bCs/>
          <w:smallCaps/>
          <w:sz w:val="32"/>
          <w:szCs w:val="32"/>
        </w:rPr>
      </w:pPr>
      <w:r w:rsidRPr="419EDE09">
        <w:rPr>
          <w:rFonts w:ascii="Calibri" w:eastAsia="Calibri" w:hAnsi="Calibri" w:cs="Calibri"/>
          <w:b/>
          <w:bCs/>
          <w:smallCaps/>
          <w:sz w:val="32"/>
          <w:szCs w:val="32"/>
        </w:rPr>
        <w:t>References</w:t>
      </w:r>
    </w:p>
    <w:p w14:paraId="1008B5FE" w14:textId="465DA694"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Adams, A. B. (2021). </w:t>
      </w:r>
      <w:r w:rsidRPr="419EDE09">
        <w:rPr>
          <w:rFonts w:ascii="Calibri" w:eastAsia="Calibri" w:hAnsi="Calibri" w:cs="Calibri"/>
          <w:i/>
          <w:iCs/>
        </w:rPr>
        <w:t>Climate change and human health in Montana: a special report of the Montana Climate Assessment.</w:t>
      </w:r>
      <w:r w:rsidRPr="419EDE09">
        <w:rPr>
          <w:rFonts w:ascii="Calibri" w:eastAsia="Calibri" w:hAnsi="Calibri" w:cs="Calibri"/>
        </w:rPr>
        <w:t xml:space="preserve"> Bozeman MT: Montana State University, Institute on Ecosystems, Center for American Indian and Rural Health Equity.</w:t>
      </w:r>
    </w:p>
    <w:p w14:paraId="461012BC" w14:textId="75E4AF48"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Alder, J., &amp; Hostetler, S. (2013). </w:t>
      </w:r>
      <w:r w:rsidRPr="419EDE09">
        <w:rPr>
          <w:rFonts w:ascii="Calibri" w:eastAsia="Calibri" w:hAnsi="Calibri" w:cs="Calibri"/>
          <w:i/>
          <w:iCs/>
        </w:rPr>
        <w:t>USGS National Climate Change Viewer. US Geological Survey</w:t>
      </w:r>
      <w:r w:rsidRPr="419EDE09">
        <w:rPr>
          <w:rFonts w:ascii="Calibri" w:eastAsia="Calibri" w:hAnsi="Calibri" w:cs="Calibri"/>
        </w:rPr>
        <w:t>. doi:10.5066/F7W9575T</w:t>
      </w:r>
    </w:p>
    <w:p w14:paraId="1BA72CB8" w14:textId="3DC28213" w:rsidR="592D7103" w:rsidRDefault="629ABFF6">
      <w:pPr>
        <w:pStyle w:val="ListParagraph"/>
        <w:numPr>
          <w:ilvl w:val="0"/>
          <w:numId w:val="17"/>
        </w:numPr>
        <w:rPr>
          <w:rFonts w:eastAsia="Calibri"/>
        </w:rPr>
      </w:pPr>
      <w:r>
        <w:t xml:space="preserve">Appendix 2_Secondary Impacts of </w:t>
      </w:r>
      <w:proofErr w:type="spellStart"/>
      <w:r>
        <w:t>GHG_Attachment</w:t>
      </w:r>
      <w:proofErr w:type="spellEnd"/>
      <w:r>
        <w:t xml:space="preserve"> A_1stDraft_2025_08_22.dox</w:t>
      </w:r>
    </w:p>
    <w:p w14:paraId="32CCBFF5" w14:textId="4C489E2B" w:rsidR="629ABFF6" w:rsidRDefault="629ABFF6" w:rsidP="0B804797">
      <w:pPr>
        <w:pStyle w:val="ListParagraph"/>
        <w:numPr>
          <w:ilvl w:val="0"/>
          <w:numId w:val="17"/>
        </w:numPr>
        <w:rPr>
          <w:rFonts w:ascii="Calibri" w:eastAsia="Calibri" w:hAnsi="Calibri" w:cs="Calibri"/>
        </w:rPr>
      </w:pPr>
      <w:r w:rsidRPr="50FCC1FA">
        <w:rPr>
          <w:rFonts w:ascii="Calibri" w:eastAsia="Calibri" w:hAnsi="Calibri" w:cs="Calibri"/>
        </w:rPr>
        <w:t xml:space="preserve">Bureau of Land Management (BLM). (2021). </w:t>
      </w:r>
      <w:r w:rsidRPr="50FCC1FA">
        <w:rPr>
          <w:rFonts w:ascii="Calibri" w:eastAsia="Calibri" w:hAnsi="Calibri" w:cs="Calibri"/>
          <w:i/>
          <w:iCs/>
        </w:rPr>
        <w:t>2021 BLM Specialist Report on Annual Greenhouse Gas Emissions and Climate Trends from Coal, Oil, and Gas Exploration and Development on the Federal Mineral Estate.</w:t>
      </w:r>
    </w:p>
    <w:p w14:paraId="46A888D9" w14:textId="0447FD74"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Bureau of Land Management (BLM). (2024). </w:t>
      </w:r>
      <w:r w:rsidRPr="419EDE09">
        <w:rPr>
          <w:rFonts w:ascii="Calibri" w:eastAsia="Calibri" w:hAnsi="Calibri" w:cs="Calibri"/>
          <w:i/>
          <w:iCs/>
        </w:rPr>
        <w:t>2023 BLM Specialist Report on Annual Greenhouse Gas Emissions and Climate Trends from Coal, Oil, and Gas Exploration and Development on the Federal Mineral Estate.</w:t>
      </w:r>
      <w:r w:rsidRPr="419EDE09">
        <w:rPr>
          <w:rFonts w:ascii="Calibri" w:eastAsia="Calibri" w:hAnsi="Calibri" w:cs="Calibri"/>
        </w:rPr>
        <w:t xml:space="preserve"> </w:t>
      </w:r>
    </w:p>
    <w:p w14:paraId="7C2727C7" w14:textId="20EC6059" w:rsidR="005F1B60" w:rsidRDefault="005F1B60" w:rsidP="0B804797">
      <w:pPr>
        <w:pStyle w:val="ListParagraph"/>
        <w:numPr>
          <w:ilvl w:val="0"/>
          <w:numId w:val="17"/>
        </w:numPr>
        <w:rPr>
          <w:rFonts w:ascii="Calibri" w:eastAsia="Calibri" w:hAnsi="Calibri" w:cs="Calibri"/>
        </w:rPr>
      </w:pPr>
      <w:r w:rsidRPr="005F1B60">
        <w:rPr>
          <w:rFonts w:ascii="Calibri" w:eastAsia="Calibri" w:hAnsi="Calibri" w:cs="Calibri"/>
        </w:rPr>
        <w:t xml:space="preserve">Callahan, C. W., &amp; Mankin, J. S. (2025). </w:t>
      </w:r>
      <w:r w:rsidRPr="008D1C91">
        <w:rPr>
          <w:rFonts w:ascii="Calibri" w:eastAsia="Calibri" w:hAnsi="Calibri" w:cs="Calibri"/>
          <w:i/>
          <w:iCs/>
        </w:rPr>
        <w:t>Carbon majors and the scientific case for climate liability.</w:t>
      </w:r>
      <w:r w:rsidR="00212074" w:rsidRPr="00212074">
        <w:t xml:space="preserve"> </w:t>
      </w:r>
      <w:r w:rsidR="00212074" w:rsidRPr="00212074">
        <w:rPr>
          <w:rFonts w:ascii="Calibri" w:eastAsia="Calibri" w:hAnsi="Calibri" w:cs="Calibri"/>
        </w:rPr>
        <w:t>Nature, 640(8060), 893–901.</w:t>
      </w:r>
    </w:p>
    <w:p w14:paraId="3A49DA42" w14:textId="30D69FBC"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Climate Resource. (2022). </w:t>
      </w:r>
      <w:r w:rsidRPr="419EDE09">
        <w:rPr>
          <w:rFonts w:ascii="Calibri" w:eastAsia="Calibri" w:hAnsi="Calibri" w:cs="Calibri"/>
          <w:i/>
          <w:iCs/>
        </w:rPr>
        <w:t>MAGICC</w:t>
      </w:r>
      <w:r w:rsidRPr="419EDE09">
        <w:rPr>
          <w:rFonts w:ascii="Calibri" w:eastAsia="Calibri" w:hAnsi="Calibri" w:cs="Calibri"/>
        </w:rPr>
        <w:t xml:space="preserve">. Retrieved from </w:t>
      </w:r>
      <w:hyperlink r:id="rId13">
        <w:r w:rsidRPr="365F30C2">
          <w:rPr>
            <w:rStyle w:val="Hyperlink"/>
            <w:rFonts w:ascii="Calibri" w:eastAsia="Calibri" w:hAnsi="Calibri" w:cs="Calibri"/>
          </w:rPr>
          <w:t>https://magicc.org/</w:t>
        </w:r>
      </w:hyperlink>
      <w:r w:rsidRPr="365F30C2">
        <w:rPr>
          <w:rFonts w:ascii="Calibri" w:eastAsia="Calibri" w:hAnsi="Calibri" w:cs="Calibri"/>
        </w:rPr>
        <w:t>.</w:t>
      </w:r>
    </w:p>
    <w:p w14:paraId="0E429291" w14:textId="5F3917C1"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Denning, A. (June 21, 2017). Simple, Serious, and Solvable: Climate Change Communication for Public Audiences. </w:t>
      </w:r>
      <w:r w:rsidRPr="419EDE09">
        <w:rPr>
          <w:rFonts w:ascii="Calibri" w:eastAsia="Calibri" w:hAnsi="Calibri" w:cs="Calibri"/>
          <w:i/>
          <w:iCs/>
        </w:rPr>
        <w:t>American Meteorological Society 45th Conference on Broadcast Meteorology.</w:t>
      </w:r>
      <w:r w:rsidRPr="419EDE09">
        <w:rPr>
          <w:rFonts w:ascii="Calibri" w:eastAsia="Calibri" w:hAnsi="Calibri" w:cs="Calibri"/>
        </w:rPr>
        <w:t xml:space="preserve"> Kansas City, MO.</w:t>
      </w:r>
    </w:p>
    <w:p w14:paraId="0CB68430" w14:textId="66331F9E"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Department of Environmental Quality. (2022a). </w:t>
      </w:r>
      <w:r w:rsidRPr="419EDE09">
        <w:rPr>
          <w:rFonts w:ascii="Calibri" w:eastAsia="Calibri" w:hAnsi="Calibri" w:cs="Calibri"/>
          <w:i/>
          <w:iCs/>
        </w:rPr>
        <w:t>Rosebud Mine Area B AM5 Final Environmental Impact Statement.</w:t>
      </w:r>
      <w:r w:rsidRPr="419EDE09">
        <w:rPr>
          <w:rFonts w:ascii="Calibri" w:eastAsia="Calibri" w:hAnsi="Calibri" w:cs="Calibri"/>
        </w:rPr>
        <w:t xml:space="preserve"> </w:t>
      </w:r>
    </w:p>
    <w:p w14:paraId="1AD97B33" w14:textId="1EFE826A"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Department of Environmental Quality. (2022b). </w:t>
      </w:r>
      <w:r w:rsidRPr="419EDE09">
        <w:rPr>
          <w:rFonts w:ascii="Calibri" w:eastAsia="Calibri" w:hAnsi="Calibri" w:cs="Calibri"/>
          <w:i/>
          <w:iCs/>
        </w:rPr>
        <w:t>Rosebud Mine Area B AM5 Final Environmental Impact Statement Appendix E.</w:t>
      </w:r>
      <w:r w:rsidRPr="419EDE09">
        <w:rPr>
          <w:rFonts w:ascii="Calibri" w:eastAsia="Calibri" w:hAnsi="Calibri" w:cs="Calibri"/>
        </w:rPr>
        <w:t xml:space="preserve"> </w:t>
      </w:r>
    </w:p>
    <w:p w14:paraId="1DB90F38" w14:textId="5FE25148" w:rsidR="00212074" w:rsidRPr="008D1C91" w:rsidRDefault="00212074" w:rsidP="00212074">
      <w:pPr>
        <w:pStyle w:val="ListParagraph"/>
        <w:numPr>
          <w:ilvl w:val="0"/>
          <w:numId w:val="17"/>
        </w:numPr>
        <w:rPr>
          <w:rFonts w:ascii="Calibri" w:eastAsia="Calibri" w:hAnsi="Calibri" w:cs="Calibri"/>
        </w:rPr>
      </w:pPr>
      <w:r w:rsidRPr="00212074">
        <w:rPr>
          <w:rFonts w:ascii="Calibri" w:eastAsia="Calibri" w:hAnsi="Calibri" w:cs="Calibri"/>
        </w:rPr>
        <w:t xml:space="preserve">Department of Environmental Quality. (2026c). </w:t>
      </w:r>
      <w:r w:rsidRPr="008D1C91">
        <w:rPr>
          <w:rFonts w:ascii="Calibri" w:eastAsia="Calibri" w:hAnsi="Calibri" w:cs="Calibri"/>
          <w:i/>
          <w:iCs/>
        </w:rPr>
        <w:t>Guidance for Greenhouse Gas Impact Assessments Under the Montana Environmental Policy Act</w:t>
      </w:r>
      <w:r w:rsidR="00A01D83">
        <w:rPr>
          <w:rFonts w:ascii="Calibri" w:eastAsia="Calibri" w:hAnsi="Calibri" w:cs="Calibri"/>
        </w:rPr>
        <w:t>.</w:t>
      </w:r>
      <w:r w:rsidRPr="00212074">
        <w:t xml:space="preserve"> </w:t>
      </w:r>
      <w:r w:rsidRPr="00212074">
        <w:rPr>
          <w:rFonts w:ascii="Calibri" w:eastAsia="Calibri" w:hAnsi="Calibri" w:cs="Calibri"/>
        </w:rPr>
        <w:t>Helena: Department of Environmental Quality.</w:t>
      </w:r>
    </w:p>
    <w:p w14:paraId="56C8886C" w14:textId="6CF63332" w:rsidR="00BE773E" w:rsidRPr="008D1C91" w:rsidRDefault="00BE773E" w:rsidP="00BE773E">
      <w:pPr>
        <w:pStyle w:val="ListParagraph"/>
        <w:numPr>
          <w:ilvl w:val="0"/>
          <w:numId w:val="17"/>
        </w:numPr>
        <w:rPr>
          <w:rFonts w:ascii="Calibri" w:eastAsia="Calibri" w:hAnsi="Calibri" w:cs="Calibri"/>
        </w:rPr>
      </w:pPr>
      <w:r w:rsidRPr="00BE773E">
        <w:rPr>
          <w:rFonts w:ascii="Calibri" w:eastAsia="Calibri" w:hAnsi="Calibri" w:cs="Calibri"/>
        </w:rPr>
        <w:t>Department of Environmental Quality. (202</w:t>
      </w:r>
      <w:r w:rsidR="00335705">
        <w:rPr>
          <w:rFonts w:ascii="Calibri" w:eastAsia="Calibri" w:hAnsi="Calibri" w:cs="Calibri"/>
        </w:rPr>
        <w:t>6</w:t>
      </w:r>
      <w:r w:rsidR="00A01D83">
        <w:rPr>
          <w:rFonts w:ascii="Calibri" w:eastAsia="Calibri" w:hAnsi="Calibri" w:cs="Calibri"/>
        </w:rPr>
        <w:t>d</w:t>
      </w:r>
      <w:r w:rsidRPr="00BE773E">
        <w:rPr>
          <w:rFonts w:ascii="Calibri" w:eastAsia="Calibri" w:hAnsi="Calibri" w:cs="Calibri"/>
        </w:rPr>
        <w:t xml:space="preserve">). </w:t>
      </w:r>
      <w:r w:rsidRPr="008D1C91">
        <w:rPr>
          <w:rFonts w:ascii="Calibri" w:eastAsia="Calibri" w:hAnsi="Calibri" w:cs="Calibri"/>
          <w:i/>
          <w:iCs/>
        </w:rPr>
        <w:t>Guidance for Greenhouse Gas Impact Assessments Under the Montana Environmental Policy Act</w:t>
      </w:r>
      <w:r w:rsidRPr="00BE773E">
        <w:rPr>
          <w:rFonts w:ascii="Calibri" w:eastAsia="Calibri" w:hAnsi="Calibri" w:cs="Calibri"/>
        </w:rPr>
        <w:t xml:space="preserve">: Appendix </w:t>
      </w:r>
      <w:r>
        <w:rPr>
          <w:rFonts w:ascii="Calibri" w:eastAsia="Calibri" w:hAnsi="Calibri" w:cs="Calibri"/>
        </w:rPr>
        <w:t>3</w:t>
      </w:r>
      <w:r w:rsidRPr="00BE773E">
        <w:rPr>
          <w:rFonts w:ascii="Calibri" w:eastAsia="Calibri" w:hAnsi="Calibri" w:cs="Calibri"/>
        </w:rPr>
        <w:t xml:space="preserve"> </w:t>
      </w:r>
      <w:r>
        <w:rPr>
          <w:rFonts w:ascii="Calibri" w:eastAsia="Calibri" w:hAnsi="Calibri" w:cs="Calibri"/>
        </w:rPr>
        <w:t>Methods and Means</w:t>
      </w:r>
      <w:r w:rsidR="009826AB">
        <w:rPr>
          <w:rFonts w:ascii="Calibri" w:eastAsia="Calibri" w:hAnsi="Calibri" w:cs="Calibri"/>
        </w:rPr>
        <w:t xml:space="preserve"> of Quantifying Costs Related to Greenhouse Gas Emissions</w:t>
      </w:r>
      <w:r w:rsidRPr="00BE773E">
        <w:rPr>
          <w:rFonts w:ascii="Calibri" w:eastAsia="Calibri" w:hAnsi="Calibri" w:cs="Calibri"/>
        </w:rPr>
        <w:t>. Helena: Department of Environmental Quality.</w:t>
      </w:r>
    </w:p>
    <w:p w14:paraId="0407A7A5" w14:textId="623CE665"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Department of Environmental Quality. (202</w:t>
      </w:r>
      <w:r w:rsidR="00335705">
        <w:rPr>
          <w:rFonts w:ascii="Calibri" w:eastAsia="Calibri" w:hAnsi="Calibri" w:cs="Calibri"/>
        </w:rPr>
        <w:t>6</w:t>
      </w:r>
      <w:r w:rsidR="00A01D83">
        <w:rPr>
          <w:rFonts w:ascii="Calibri" w:eastAsia="Calibri" w:hAnsi="Calibri" w:cs="Calibri"/>
        </w:rPr>
        <w:t>e</w:t>
      </w:r>
      <w:r w:rsidRPr="419EDE09">
        <w:rPr>
          <w:rFonts w:ascii="Calibri" w:eastAsia="Calibri" w:hAnsi="Calibri" w:cs="Calibri"/>
        </w:rPr>
        <w:t xml:space="preserve">). </w:t>
      </w:r>
      <w:r w:rsidRPr="419EDE09">
        <w:rPr>
          <w:rFonts w:ascii="Calibri" w:eastAsia="Calibri" w:hAnsi="Calibri" w:cs="Calibri"/>
          <w:i/>
          <w:iCs/>
        </w:rPr>
        <w:t>Guidance for Greenhouse Gas Impact Assessments Under the Montana Environmental Policy Act: Appendix 4 Cumulative Impacts of GHG.</w:t>
      </w:r>
      <w:r w:rsidRPr="419EDE09">
        <w:rPr>
          <w:rFonts w:ascii="Calibri" w:eastAsia="Calibri" w:hAnsi="Calibri" w:cs="Calibri"/>
        </w:rPr>
        <w:t xml:space="preserve"> Helena: Department of Environmental Quality.</w:t>
      </w:r>
    </w:p>
    <w:p w14:paraId="16B438A7" w14:textId="66903FD6"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Environmental Protection Agency. (2025). </w:t>
      </w:r>
      <w:r w:rsidRPr="419EDE09">
        <w:rPr>
          <w:rFonts w:ascii="Calibri" w:eastAsia="Calibri" w:hAnsi="Calibri" w:cs="Calibri"/>
          <w:i/>
          <w:iCs/>
        </w:rPr>
        <w:t>EPA Simplified GHG Emissions Calculator</w:t>
      </w:r>
      <w:r w:rsidRPr="419EDE09">
        <w:rPr>
          <w:rFonts w:ascii="Calibri" w:eastAsia="Calibri" w:hAnsi="Calibri" w:cs="Calibri"/>
        </w:rPr>
        <w:t xml:space="preserve">. Retrieved from </w:t>
      </w:r>
      <w:hyperlink r:id="rId14">
        <w:r w:rsidRPr="365F30C2">
          <w:rPr>
            <w:rStyle w:val="Hyperlink"/>
            <w:rFonts w:ascii="Calibri" w:eastAsia="Calibri" w:hAnsi="Calibri" w:cs="Calibri"/>
          </w:rPr>
          <w:t>https://www.epa.gov/climateleadership/simplified-ghg-emissions-calculator</w:t>
        </w:r>
      </w:hyperlink>
    </w:p>
    <w:p w14:paraId="1A752C08" w14:textId="2B2CD45E" w:rsidR="004B2517" w:rsidRDefault="004B2517" w:rsidP="0B804797">
      <w:pPr>
        <w:pStyle w:val="ListParagraph"/>
        <w:numPr>
          <w:ilvl w:val="0"/>
          <w:numId w:val="17"/>
        </w:numPr>
      </w:pPr>
      <w:r w:rsidRPr="004B2517">
        <w:t xml:space="preserve">Havranek, T., </w:t>
      </w:r>
      <w:proofErr w:type="spellStart"/>
      <w:r w:rsidRPr="004B2517">
        <w:t>Irsova</w:t>
      </w:r>
      <w:proofErr w:type="spellEnd"/>
      <w:r w:rsidRPr="004B2517">
        <w:t xml:space="preserve">, Z., Janda, K., &amp; Zilberman, D. (2015). </w:t>
      </w:r>
      <w:r w:rsidRPr="008D1C91">
        <w:rPr>
          <w:i/>
          <w:iCs/>
        </w:rPr>
        <w:t>Selective reporting and the social cost of carbon.</w:t>
      </w:r>
      <w:r w:rsidRPr="004B2517">
        <w:t xml:space="preserve"> CAMA Working Paper. Centre for Applied Macroeconomic Analysis, Australian National University.</w:t>
      </w:r>
    </w:p>
    <w:p w14:paraId="48E5C9CA" w14:textId="24BDAC72"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IPCC. (2014). </w:t>
      </w:r>
      <w:r w:rsidRPr="419EDE09">
        <w:rPr>
          <w:rFonts w:ascii="Calibri" w:eastAsia="Calibri" w:hAnsi="Calibri" w:cs="Calibri"/>
          <w:i/>
          <w:iCs/>
        </w:rPr>
        <w:t>Climate Change 2014: Synthesis Report. Contribution of Working Groups I, II and III to the Fifth Assessment Report of the Intergovernmental Panel on Climate Change.</w:t>
      </w:r>
      <w:r w:rsidRPr="419EDE09">
        <w:rPr>
          <w:rFonts w:ascii="Calibri" w:eastAsia="Calibri" w:hAnsi="Calibri" w:cs="Calibri"/>
        </w:rPr>
        <w:t xml:space="preserve"> </w:t>
      </w:r>
    </w:p>
    <w:p w14:paraId="50F4B2BB" w14:textId="2CE9B046"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IPCC. (2021). </w:t>
      </w:r>
      <w:r w:rsidRPr="419EDE09">
        <w:rPr>
          <w:rFonts w:ascii="Calibri" w:eastAsia="Calibri" w:hAnsi="Calibri" w:cs="Calibri"/>
          <w:i/>
          <w:iCs/>
        </w:rPr>
        <w:t xml:space="preserve">Climate change 2021: the physical science basis. Contribution of Working Group I to the </w:t>
      </w:r>
      <w:proofErr w:type="spellStart"/>
      <w:r w:rsidRPr="419EDE09">
        <w:rPr>
          <w:rFonts w:ascii="Calibri" w:eastAsia="Calibri" w:hAnsi="Calibri" w:cs="Calibri"/>
          <w:i/>
          <w:iCs/>
        </w:rPr>
        <w:t>SIxth</w:t>
      </w:r>
      <w:proofErr w:type="spellEnd"/>
      <w:r w:rsidRPr="419EDE09">
        <w:rPr>
          <w:rFonts w:ascii="Calibri" w:eastAsia="Calibri" w:hAnsi="Calibri" w:cs="Calibri"/>
          <w:i/>
          <w:iCs/>
        </w:rPr>
        <w:t xml:space="preserve"> Assessment Report of the Intergovernmental Panel on Climate Change.</w:t>
      </w:r>
      <w:r w:rsidRPr="419EDE09">
        <w:rPr>
          <w:rFonts w:ascii="Calibri" w:eastAsia="Calibri" w:hAnsi="Calibri" w:cs="Calibri"/>
        </w:rPr>
        <w:t xml:space="preserve"> doi:10.1017/9781009157896.</w:t>
      </w:r>
    </w:p>
    <w:p w14:paraId="4A9E61BC" w14:textId="784DF198" w:rsidR="004C2D9C" w:rsidRPr="008D1C91" w:rsidRDefault="004C2D9C" w:rsidP="0B804797">
      <w:pPr>
        <w:pStyle w:val="ListParagraph"/>
        <w:numPr>
          <w:ilvl w:val="0"/>
          <w:numId w:val="17"/>
        </w:numPr>
        <w:rPr>
          <w:rFonts w:ascii="Calibri" w:eastAsia="Calibri" w:hAnsi="Calibri" w:cs="Calibri"/>
          <w:i/>
          <w:iCs/>
        </w:rPr>
      </w:pPr>
      <w:r w:rsidRPr="004C2D9C">
        <w:rPr>
          <w:rFonts w:ascii="Calibri" w:eastAsia="Calibri" w:hAnsi="Calibri" w:cs="Calibri"/>
        </w:rPr>
        <w:t xml:space="preserve">IPCC. (2022). </w:t>
      </w:r>
      <w:r w:rsidRPr="008D1C91">
        <w:rPr>
          <w:rFonts w:ascii="Calibri" w:eastAsia="Calibri" w:hAnsi="Calibri" w:cs="Calibri"/>
          <w:i/>
          <w:iCs/>
        </w:rPr>
        <w:t>Climate Change 2022: Impacts, Adaptation and Vulnerability. Contribution of Working Group II to the Sixth Assessment Report of the Intergovernmental Panel on Climate Change</w:t>
      </w:r>
      <w:r w:rsidR="002F730A">
        <w:rPr>
          <w:rFonts w:ascii="Calibri" w:eastAsia="Calibri" w:hAnsi="Calibri" w:cs="Calibri"/>
          <w:i/>
          <w:iCs/>
        </w:rPr>
        <w:t>.</w:t>
      </w:r>
    </w:p>
    <w:p w14:paraId="39020B26" w14:textId="5EE4ABFA"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lastRenderedPageBreak/>
        <w:t xml:space="preserve">Knapp, C. e. (2023). </w:t>
      </w:r>
      <w:r w:rsidRPr="419EDE09">
        <w:rPr>
          <w:rFonts w:ascii="Calibri" w:eastAsia="Calibri" w:hAnsi="Calibri" w:cs="Calibri"/>
          <w:i/>
          <w:iCs/>
        </w:rPr>
        <w:t>Northern Great Plains. In: Fifth National Climate Assessment.</w:t>
      </w:r>
      <w:r w:rsidRPr="419EDE09">
        <w:rPr>
          <w:rFonts w:ascii="Calibri" w:eastAsia="Calibri" w:hAnsi="Calibri" w:cs="Calibri"/>
        </w:rPr>
        <w:t xml:space="preserve"> Washington, DC, USA: U.S. Global Change Research Program.</w:t>
      </w:r>
    </w:p>
    <w:p w14:paraId="5B061418" w14:textId="3A4969FA" w:rsidR="1757EE90" w:rsidRDefault="1757EE90" w:rsidP="0B804797">
      <w:pPr>
        <w:pStyle w:val="ListParagraph"/>
        <w:numPr>
          <w:ilvl w:val="0"/>
          <w:numId w:val="17"/>
        </w:numPr>
        <w:rPr>
          <w:rFonts w:ascii="Calibri" w:eastAsia="Calibri" w:hAnsi="Calibri" w:cs="Calibri"/>
        </w:rPr>
      </w:pPr>
      <w:proofErr w:type="spellStart"/>
      <w:r w:rsidRPr="419EDE09">
        <w:rPr>
          <w:rFonts w:ascii="Calibri" w:eastAsia="Calibri" w:hAnsi="Calibri" w:cs="Calibri"/>
        </w:rPr>
        <w:t>Meinshausen</w:t>
      </w:r>
      <w:proofErr w:type="spellEnd"/>
      <w:r w:rsidRPr="419EDE09">
        <w:rPr>
          <w:rFonts w:ascii="Calibri" w:eastAsia="Calibri" w:hAnsi="Calibri" w:cs="Calibri"/>
        </w:rPr>
        <w:t xml:space="preserve">, M., Raper, S., &amp; Wigley, T. (2011). Emulating coupled atmosphere-ocean and carbon cycle models with a simpler model, MAGICC6 - Part 1. </w:t>
      </w:r>
      <w:r w:rsidRPr="419EDE09">
        <w:rPr>
          <w:rFonts w:ascii="Calibri" w:eastAsia="Calibri" w:hAnsi="Calibri" w:cs="Calibri"/>
          <w:i/>
          <w:iCs/>
        </w:rPr>
        <w:t>Atmospheric Chemistry and Physics</w:t>
      </w:r>
      <w:r w:rsidRPr="419EDE09">
        <w:rPr>
          <w:rFonts w:ascii="Calibri" w:eastAsia="Calibri" w:hAnsi="Calibri" w:cs="Calibri"/>
        </w:rPr>
        <w:t>.</w:t>
      </w:r>
    </w:p>
    <w:p w14:paraId="068C022F" w14:textId="2882C940"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MT DEQ. (2025, August 1). </w:t>
      </w:r>
      <w:r w:rsidRPr="419EDE09">
        <w:rPr>
          <w:rFonts w:ascii="Calibri" w:eastAsia="Calibri" w:hAnsi="Calibri" w:cs="Calibri"/>
          <w:i/>
          <w:iCs/>
        </w:rPr>
        <w:t>Final Supplemental EA.</w:t>
      </w:r>
      <w:r w:rsidRPr="419EDE09">
        <w:rPr>
          <w:rFonts w:ascii="Calibri" w:eastAsia="Calibri" w:hAnsi="Calibri" w:cs="Calibri"/>
        </w:rPr>
        <w:t xml:space="preserve"> Retrieved 10 13, 2025, from MT DEQ: </w:t>
      </w:r>
      <w:hyperlink r:id="rId15">
        <w:r w:rsidRPr="365F30C2">
          <w:rPr>
            <w:rStyle w:val="Hyperlink"/>
            <w:rFonts w:ascii="Calibri" w:eastAsia="Calibri" w:hAnsi="Calibri" w:cs="Calibri"/>
          </w:rPr>
          <w:t>https://deq.mt.gov/files/Air/AirQuality/Documents/ARMpermits/5261-00_Final_EA.pdf</w:t>
        </w:r>
      </w:hyperlink>
    </w:p>
    <w:p w14:paraId="5E74CCBA" w14:textId="27B47509"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NOAA. (2022). </w:t>
      </w:r>
      <w:r w:rsidRPr="419EDE09">
        <w:rPr>
          <w:rFonts w:ascii="Calibri" w:eastAsia="Calibri" w:hAnsi="Calibri" w:cs="Calibri"/>
          <w:i/>
          <w:iCs/>
        </w:rPr>
        <w:t>State Climate Summaries 2022 150-MT.</w:t>
      </w:r>
      <w:r w:rsidRPr="419EDE09">
        <w:rPr>
          <w:rFonts w:ascii="Calibri" w:eastAsia="Calibri" w:hAnsi="Calibri" w:cs="Calibri"/>
        </w:rPr>
        <w:t xml:space="preserve"> Retrieved from NOAA National Centers for Environmental Information: </w:t>
      </w:r>
      <w:hyperlink r:id="rId16">
        <w:r w:rsidRPr="365F30C2">
          <w:rPr>
            <w:rStyle w:val="Hyperlink"/>
            <w:rFonts w:ascii="Calibri" w:eastAsia="Calibri" w:hAnsi="Calibri" w:cs="Calibri"/>
          </w:rPr>
          <w:t>https://statesummaries.ncics.org/downloads/Montana-StateClimateSummary2022.pdf</w:t>
        </w:r>
      </w:hyperlink>
    </w:p>
    <w:p w14:paraId="31C78174" w14:textId="7166F24A"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NOAA. (2025). </w:t>
      </w:r>
      <w:r w:rsidRPr="419EDE09">
        <w:rPr>
          <w:rFonts w:ascii="Calibri" w:eastAsia="Calibri" w:hAnsi="Calibri" w:cs="Calibri"/>
          <w:i/>
          <w:iCs/>
        </w:rPr>
        <w:t xml:space="preserve">What is the Global Greenhouse Gas Reference Network? </w:t>
      </w:r>
      <w:r w:rsidRPr="419EDE09">
        <w:rPr>
          <w:rFonts w:ascii="Calibri" w:eastAsia="Calibri" w:hAnsi="Calibri" w:cs="Calibri"/>
        </w:rPr>
        <w:t xml:space="preserve">. Retrieved from </w:t>
      </w:r>
      <w:hyperlink r:id="rId17">
        <w:r w:rsidRPr="365F30C2">
          <w:rPr>
            <w:rStyle w:val="Hyperlink"/>
            <w:rFonts w:ascii="Calibri" w:eastAsia="Calibri" w:hAnsi="Calibri" w:cs="Calibri"/>
          </w:rPr>
          <w:t>https://gml.noaa.gov/ccgg/about.html</w:t>
        </w:r>
      </w:hyperlink>
    </w:p>
    <w:p w14:paraId="096B5B5F" w14:textId="7FE0805C"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NorthWestern Energy. (2023). </w:t>
      </w:r>
      <w:r w:rsidRPr="419EDE09">
        <w:rPr>
          <w:rFonts w:ascii="Calibri" w:eastAsia="Calibri" w:hAnsi="Calibri" w:cs="Calibri"/>
          <w:i/>
          <w:iCs/>
        </w:rPr>
        <w:t>NorthWestern Energy's Montana Integrated Resource Plan.</w:t>
      </w:r>
      <w:r w:rsidRPr="419EDE09">
        <w:rPr>
          <w:rFonts w:ascii="Calibri" w:eastAsia="Calibri" w:hAnsi="Calibri" w:cs="Calibri"/>
        </w:rPr>
        <w:t xml:space="preserve"> Retrieved October 15, 2025, from NorthWestern Energy: </w:t>
      </w:r>
      <w:hyperlink r:id="rId18">
        <w:r w:rsidRPr="365F30C2">
          <w:rPr>
            <w:rStyle w:val="Hyperlink"/>
            <w:rFonts w:ascii="Calibri" w:eastAsia="Calibri" w:hAnsi="Calibri" w:cs="Calibri"/>
          </w:rPr>
          <w:t>https://northwesternenergy.com/docs/default-source/default-document-library/about-us/erp-irp/2023_montana_irp_final.pdf?Status=Master/2023_Montana_IRP_Final.pdf</w:t>
        </w:r>
      </w:hyperlink>
    </w:p>
    <w:p w14:paraId="40B92761" w14:textId="740F2BB9" w:rsidR="00886FAF" w:rsidRDefault="00886FAF" w:rsidP="00390118">
      <w:pPr>
        <w:pStyle w:val="ListParagraph"/>
        <w:numPr>
          <w:ilvl w:val="0"/>
          <w:numId w:val="17"/>
        </w:numPr>
      </w:pPr>
      <w:proofErr w:type="spellStart"/>
      <w:r w:rsidRPr="00886FAF">
        <w:t>Pezzey</w:t>
      </w:r>
      <w:proofErr w:type="spellEnd"/>
      <w:r w:rsidRPr="00886FAF">
        <w:t xml:space="preserve">, J. C. V. (2019). </w:t>
      </w:r>
      <w:r w:rsidRPr="008D1C91">
        <w:rPr>
          <w:i/>
          <w:iCs/>
        </w:rPr>
        <w:t xml:space="preserve">Why </w:t>
      </w:r>
      <w:proofErr w:type="gramStart"/>
      <w:r w:rsidRPr="008D1C91">
        <w:rPr>
          <w:i/>
          <w:iCs/>
        </w:rPr>
        <w:t>the social cost of carbon will</w:t>
      </w:r>
      <w:proofErr w:type="gramEnd"/>
      <w:r w:rsidRPr="008D1C91">
        <w:rPr>
          <w:i/>
          <w:iCs/>
        </w:rPr>
        <w:t xml:space="preserve"> always be disputed</w:t>
      </w:r>
      <w:r w:rsidRPr="00886FAF">
        <w:t>. WIREs Climate Change, 10(1), e558.</w:t>
      </w:r>
    </w:p>
    <w:p w14:paraId="76DDEC69" w14:textId="6AFB2B4D" w:rsidR="008E4960" w:rsidRDefault="00390118" w:rsidP="008D1C91">
      <w:pPr>
        <w:pStyle w:val="ListParagraph"/>
        <w:numPr>
          <w:ilvl w:val="0"/>
          <w:numId w:val="17"/>
        </w:numPr>
      </w:pPr>
      <w:r w:rsidRPr="00390118">
        <w:t xml:space="preserve">Pindyck, R. S. (2013). </w:t>
      </w:r>
      <w:r w:rsidRPr="008D1C91">
        <w:rPr>
          <w:i/>
          <w:iCs/>
        </w:rPr>
        <w:t>Climate change policy: What do the models tell us?</w:t>
      </w:r>
      <w:r w:rsidRPr="00390118">
        <w:t xml:space="preserve"> Journal of Economic Literature, 51(3), 860–872.</w:t>
      </w:r>
    </w:p>
    <w:p w14:paraId="78A1E36E" w14:textId="1371267B" w:rsidR="6E0A0109" w:rsidRDefault="6E0A0109" w:rsidP="0B804797">
      <w:pPr>
        <w:numPr>
          <w:ilvl w:val="0"/>
          <w:numId w:val="17"/>
        </w:numPr>
      </w:pPr>
      <w:r>
        <w:t>Signal Peak Supplemental EA Memo Response, Cover SPE Supp EA_GHG Memo Response_20250916.pdf</w:t>
      </w:r>
    </w:p>
    <w:p w14:paraId="6B7B06F2" w14:textId="287B0063"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The Engineering Toolbox. (2025, October 8). </w:t>
      </w:r>
      <w:r w:rsidRPr="419EDE09">
        <w:rPr>
          <w:rFonts w:ascii="Calibri" w:eastAsia="Calibri" w:hAnsi="Calibri" w:cs="Calibri"/>
          <w:i/>
          <w:iCs/>
        </w:rPr>
        <w:t>Density of Gases</w:t>
      </w:r>
      <w:r w:rsidRPr="419EDE09">
        <w:rPr>
          <w:rFonts w:ascii="Calibri" w:eastAsia="Calibri" w:hAnsi="Calibri" w:cs="Calibri"/>
        </w:rPr>
        <w:t xml:space="preserve">. Retrieved from The Engineering Toolbox: </w:t>
      </w:r>
      <w:hyperlink r:id="rId19">
        <w:r w:rsidRPr="365F30C2">
          <w:rPr>
            <w:rStyle w:val="Hyperlink"/>
            <w:rFonts w:ascii="Calibri" w:eastAsia="Calibri" w:hAnsi="Calibri" w:cs="Calibri"/>
          </w:rPr>
          <w:t>https://www.engineeringtoolbox.com/gas-density-d_158.html</w:t>
        </w:r>
      </w:hyperlink>
    </w:p>
    <w:p w14:paraId="09F7D644" w14:textId="75E765A9" w:rsidR="0092730B" w:rsidRDefault="0092730B" w:rsidP="0B804797">
      <w:pPr>
        <w:pStyle w:val="ListParagraph"/>
        <w:numPr>
          <w:ilvl w:val="0"/>
          <w:numId w:val="17"/>
        </w:numPr>
        <w:rPr>
          <w:rFonts w:ascii="Calibri" w:eastAsia="Calibri" w:hAnsi="Calibri" w:cs="Calibri"/>
        </w:rPr>
      </w:pPr>
      <w:r>
        <w:rPr>
          <w:rFonts w:ascii="Calibri" w:eastAsia="Calibri" w:hAnsi="Calibri" w:cs="Calibri"/>
        </w:rPr>
        <w:t xml:space="preserve">United States Environmental Protection Agency (updated </w:t>
      </w:r>
      <w:proofErr w:type="gramStart"/>
      <w:r>
        <w:rPr>
          <w:rFonts w:ascii="Calibri" w:eastAsia="Calibri" w:hAnsi="Calibri" w:cs="Calibri"/>
        </w:rPr>
        <w:t>November,</w:t>
      </w:r>
      <w:proofErr w:type="gramEnd"/>
      <w:r>
        <w:rPr>
          <w:rFonts w:ascii="Calibri" w:eastAsia="Calibri" w:hAnsi="Calibri" w:cs="Calibri"/>
        </w:rPr>
        <w:t xml:space="preserve"> 2024)</w:t>
      </w:r>
      <w:r w:rsidR="00D01C09">
        <w:rPr>
          <w:rFonts w:ascii="Calibri" w:eastAsia="Calibri" w:hAnsi="Calibri" w:cs="Calibri"/>
        </w:rPr>
        <w:t xml:space="preserve">. </w:t>
      </w:r>
      <w:r w:rsidR="00D01C09" w:rsidRPr="008D1C91">
        <w:rPr>
          <w:rFonts w:ascii="Calibri" w:eastAsia="Calibri" w:hAnsi="Calibri" w:cs="Calibri"/>
          <w:i/>
          <w:iCs/>
        </w:rPr>
        <w:t>Greenhouse Gas Equivalencies Calculator</w:t>
      </w:r>
      <w:r w:rsidR="00D01C09">
        <w:rPr>
          <w:rFonts w:ascii="Calibri" w:eastAsia="Calibri" w:hAnsi="Calibri" w:cs="Calibri"/>
        </w:rPr>
        <w:t>. Retrieved from United States Environ</w:t>
      </w:r>
      <w:r w:rsidR="00C84E0C">
        <w:rPr>
          <w:rFonts w:ascii="Calibri" w:eastAsia="Calibri" w:hAnsi="Calibri" w:cs="Calibri"/>
        </w:rPr>
        <w:t xml:space="preserve">mental </w:t>
      </w:r>
      <w:r w:rsidR="00D238C1">
        <w:rPr>
          <w:rFonts w:ascii="Calibri" w:eastAsia="Calibri" w:hAnsi="Calibri" w:cs="Calibri"/>
        </w:rPr>
        <w:t xml:space="preserve">Protection Agency: </w:t>
      </w:r>
      <w:r w:rsidR="00E43F18" w:rsidRPr="00E43F18">
        <w:rPr>
          <w:rFonts w:ascii="Calibri" w:eastAsia="Calibri" w:hAnsi="Calibri" w:cs="Calibri"/>
        </w:rPr>
        <w:t>https://www.epa.gov/energy/greenhouse-gas-equivalencies-calculator</w:t>
      </w:r>
    </w:p>
    <w:p w14:paraId="1181C53D" w14:textId="1367C42F"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U</w:t>
      </w:r>
      <w:r w:rsidR="00D01C09">
        <w:rPr>
          <w:rFonts w:ascii="Calibri" w:eastAsia="Calibri" w:hAnsi="Calibri" w:cs="Calibri"/>
        </w:rPr>
        <w:t>nited States</w:t>
      </w:r>
      <w:r w:rsidRPr="419EDE09">
        <w:rPr>
          <w:rFonts w:ascii="Calibri" w:eastAsia="Calibri" w:hAnsi="Calibri" w:cs="Calibri"/>
        </w:rPr>
        <w:t xml:space="preserve"> Environmental Protection Agency. (2005). </w:t>
      </w:r>
      <w:r w:rsidRPr="419EDE09">
        <w:rPr>
          <w:rFonts w:ascii="Calibri" w:eastAsia="Calibri" w:hAnsi="Calibri" w:cs="Calibri"/>
          <w:i/>
          <w:iCs/>
        </w:rPr>
        <w:t>U.S. Surface Mines Emissions Assessment.</w:t>
      </w:r>
      <w:r w:rsidRPr="419EDE09">
        <w:rPr>
          <w:rFonts w:ascii="Calibri" w:eastAsia="Calibri" w:hAnsi="Calibri" w:cs="Calibri"/>
        </w:rPr>
        <w:t xml:space="preserve"> U.S. EPA Coalbed Methane Outreach Program.</w:t>
      </w:r>
    </w:p>
    <w:p w14:paraId="7691224C" w14:textId="42FEEC4B"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United States Environmental Protection Agency. (2025a, October 8). </w:t>
      </w:r>
      <w:r w:rsidRPr="419EDE09">
        <w:rPr>
          <w:rFonts w:ascii="Calibri" w:eastAsia="Calibri" w:hAnsi="Calibri" w:cs="Calibri"/>
          <w:i/>
          <w:iCs/>
        </w:rPr>
        <w:t>AP 42, Fifth Edition, Volume I Chapter 13: Miscellaneous Sources</w:t>
      </w:r>
      <w:r w:rsidRPr="419EDE09">
        <w:rPr>
          <w:rFonts w:ascii="Calibri" w:eastAsia="Calibri" w:hAnsi="Calibri" w:cs="Calibri"/>
        </w:rPr>
        <w:t xml:space="preserve">. Retrieved from </w:t>
      </w:r>
      <w:r w:rsidR="00D01C09">
        <w:rPr>
          <w:rFonts w:ascii="Calibri" w:eastAsia="Calibri" w:hAnsi="Calibri" w:cs="Calibri"/>
        </w:rPr>
        <w:t xml:space="preserve">United States </w:t>
      </w:r>
      <w:r w:rsidRPr="419EDE09">
        <w:rPr>
          <w:rFonts w:ascii="Calibri" w:eastAsia="Calibri" w:hAnsi="Calibri" w:cs="Calibri"/>
        </w:rPr>
        <w:t xml:space="preserve">Environmental Protection Agency: </w:t>
      </w:r>
      <w:hyperlink r:id="rId20">
        <w:r w:rsidRPr="365F30C2">
          <w:rPr>
            <w:rStyle w:val="Hyperlink"/>
            <w:rFonts w:ascii="Calibri" w:eastAsia="Calibri" w:hAnsi="Calibri" w:cs="Calibri"/>
          </w:rPr>
          <w:t>https://www.epa.gov/air-emissions-factors-and-quantification/ap-42-fifth-edition-volume-i-chapter-13-miscellaneous-0</w:t>
        </w:r>
      </w:hyperlink>
    </w:p>
    <w:p w14:paraId="0C907C76" w14:textId="5A175338" w:rsidR="1757EE90" w:rsidRDefault="1757EE90" w:rsidP="0B804797">
      <w:pPr>
        <w:pStyle w:val="ListParagraph"/>
        <w:numPr>
          <w:ilvl w:val="0"/>
          <w:numId w:val="17"/>
        </w:numPr>
        <w:rPr>
          <w:rFonts w:ascii="Calibri" w:eastAsia="Calibri" w:hAnsi="Calibri" w:cs="Calibri"/>
        </w:rPr>
      </w:pPr>
      <w:r w:rsidRPr="419EDE09">
        <w:rPr>
          <w:rFonts w:ascii="Calibri" w:eastAsia="Calibri" w:hAnsi="Calibri" w:cs="Calibri"/>
        </w:rPr>
        <w:t xml:space="preserve">United States Environmental Protection Agency. (2025b, October 8). </w:t>
      </w:r>
      <w:r w:rsidRPr="419EDE09">
        <w:rPr>
          <w:rFonts w:ascii="Calibri" w:eastAsia="Calibri" w:hAnsi="Calibri" w:cs="Calibri"/>
          <w:i/>
          <w:iCs/>
        </w:rPr>
        <w:t>Scopes 1, 2 and 3 Emissions Inventorying and Guidance</w:t>
      </w:r>
      <w:r w:rsidRPr="419EDE09">
        <w:rPr>
          <w:rFonts w:ascii="Calibri" w:eastAsia="Calibri" w:hAnsi="Calibri" w:cs="Calibri"/>
        </w:rPr>
        <w:t xml:space="preserve">. </w:t>
      </w:r>
      <w:r w:rsidRPr="0B804797">
        <w:rPr>
          <w:rFonts w:ascii="Calibri" w:eastAsia="Calibri" w:hAnsi="Calibri" w:cs="Calibri"/>
        </w:rPr>
        <w:t xml:space="preserve">Retrieved from United States Environmental Protection Agency: </w:t>
      </w:r>
      <w:hyperlink r:id="rId21">
        <w:r w:rsidRPr="0B804797">
          <w:rPr>
            <w:rStyle w:val="Hyperlink"/>
            <w:rFonts w:ascii="Calibri" w:eastAsia="Calibri" w:hAnsi="Calibri" w:cs="Calibri"/>
          </w:rPr>
          <w:t>https://www.epa.gov/climateleadership/scopes-1-2-and-3-emissions-inventorying-and-guidance#:~:text=EPA%27s%20scope%201%20and%20scope,boilers%2C%20furnaces%2C%20vehicles</w:t>
        </w:r>
      </w:hyperlink>
      <w:r w:rsidRPr="0B804797">
        <w:rPr>
          <w:rFonts w:ascii="Calibri" w:eastAsia="Calibri" w:hAnsi="Calibri" w:cs="Calibri"/>
        </w:rPr>
        <w:t>).</w:t>
      </w:r>
    </w:p>
    <w:p w14:paraId="01769580" w14:textId="43F17DCB" w:rsidR="1757EE90" w:rsidRDefault="1757EE90" w:rsidP="0B804797">
      <w:pPr>
        <w:pStyle w:val="ListParagraph"/>
        <w:numPr>
          <w:ilvl w:val="0"/>
          <w:numId w:val="17"/>
        </w:numPr>
        <w:rPr>
          <w:rStyle w:val="Hyperlink"/>
          <w:rFonts w:ascii="Calibri" w:eastAsia="Calibri" w:hAnsi="Calibri" w:cs="Calibri"/>
        </w:rPr>
      </w:pPr>
      <w:r w:rsidRPr="419EDE09">
        <w:rPr>
          <w:rFonts w:ascii="Calibri" w:eastAsia="Calibri" w:hAnsi="Calibri" w:cs="Calibri"/>
        </w:rPr>
        <w:t xml:space="preserve">United States Environmental Protection Agency. (2025c, October 8). </w:t>
      </w:r>
      <w:r w:rsidRPr="419EDE09">
        <w:rPr>
          <w:rFonts w:ascii="Calibri" w:eastAsia="Calibri" w:hAnsi="Calibri" w:cs="Calibri"/>
          <w:i/>
          <w:iCs/>
        </w:rPr>
        <w:t>Climate Change Indicators</w:t>
      </w:r>
      <w:r w:rsidRPr="419EDE09">
        <w:rPr>
          <w:rFonts w:ascii="Calibri" w:eastAsia="Calibri" w:hAnsi="Calibri" w:cs="Calibri"/>
        </w:rPr>
        <w:t xml:space="preserve">. Retrieved from United States Environmental Protection Agency: </w:t>
      </w:r>
      <w:hyperlink r:id="rId22">
        <w:r w:rsidRPr="365F30C2">
          <w:rPr>
            <w:rStyle w:val="Hyperlink"/>
            <w:rFonts w:ascii="Calibri" w:eastAsia="Calibri" w:hAnsi="Calibri" w:cs="Calibri"/>
          </w:rPr>
          <w:t>https://www.epa.gov/climate-indicators/greenhouse-gases</w:t>
        </w:r>
      </w:hyperlink>
    </w:p>
    <w:p w14:paraId="1836C257" w14:textId="467512FE" w:rsidR="00665FC1" w:rsidRDefault="1757EE90" w:rsidP="001E29CE">
      <w:pPr>
        <w:pStyle w:val="ListParagraph"/>
        <w:numPr>
          <w:ilvl w:val="0"/>
          <w:numId w:val="17"/>
        </w:numPr>
        <w:rPr>
          <w:rFonts w:ascii="Calibri" w:eastAsia="Calibri" w:hAnsi="Calibri" w:cs="Calibri"/>
        </w:rPr>
      </w:pPr>
      <w:r w:rsidRPr="419EDE09">
        <w:rPr>
          <w:rFonts w:ascii="Calibri" w:eastAsia="Calibri" w:hAnsi="Calibri" w:cs="Calibri"/>
        </w:rPr>
        <w:t xml:space="preserve">Whitlock, C. C. (2017). </w:t>
      </w:r>
      <w:r w:rsidRPr="419EDE09">
        <w:rPr>
          <w:rFonts w:ascii="Calibri" w:eastAsia="Calibri" w:hAnsi="Calibri" w:cs="Calibri"/>
          <w:i/>
          <w:iCs/>
        </w:rPr>
        <w:t>2017 Montana Climate Assessment.</w:t>
      </w:r>
      <w:r w:rsidRPr="419EDE09">
        <w:rPr>
          <w:rFonts w:ascii="Calibri" w:eastAsia="Calibri" w:hAnsi="Calibri" w:cs="Calibri"/>
        </w:rPr>
        <w:t xml:space="preserve"> Bozeman and Missoula MT: Montana State University and University of Montana, Montana Institute on Ecosystems.</w:t>
      </w:r>
    </w:p>
    <w:p w14:paraId="093F3992" w14:textId="77777777" w:rsidR="00471D1F" w:rsidRDefault="00471D1F" w:rsidP="00471D1F">
      <w:pPr>
        <w:rPr>
          <w:rFonts w:ascii="Calibri" w:eastAsia="Calibri" w:hAnsi="Calibri" w:cs="Calibri"/>
        </w:rPr>
      </w:pPr>
    </w:p>
    <w:p w14:paraId="0BF7E4B2" w14:textId="77777777" w:rsidR="00471D1F" w:rsidRDefault="00471D1F" w:rsidP="00471D1F">
      <w:pPr>
        <w:rPr>
          <w:rFonts w:ascii="Calibri" w:eastAsia="Calibri" w:hAnsi="Calibri" w:cs="Calibri"/>
        </w:rPr>
      </w:pPr>
    </w:p>
    <w:p w14:paraId="56091593" w14:textId="77777777" w:rsidR="00471D1F" w:rsidRDefault="00471D1F" w:rsidP="00471D1F">
      <w:pPr>
        <w:rPr>
          <w:rFonts w:ascii="Calibri" w:eastAsia="Calibri" w:hAnsi="Calibri" w:cs="Calibri"/>
        </w:rPr>
      </w:pPr>
    </w:p>
    <w:p w14:paraId="14C3E86B" w14:textId="77777777" w:rsidR="00471D1F" w:rsidRDefault="00471D1F" w:rsidP="00471D1F">
      <w:pPr>
        <w:rPr>
          <w:rFonts w:ascii="Calibri" w:eastAsia="Calibri" w:hAnsi="Calibri" w:cs="Calibri"/>
        </w:rPr>
      </w:pPr>
    </w:p>
    <w:p w14:paraId="40521E97" w14:textId="77777777" w:rsidR="00471D1F" w:rsidRDefault="00471D1F" w:rsidP="00471D1F">
      <w:pPr>
        <w:rPr>
          <w:rFonts w:ascii="Calibri" w:eastAsia="Calibri" w:hAnsi="Calibri" w:cs="Calibri"/>
        </w:rPr>
      </w:pPr>
    </w:p>
    <w:p w14:paraId="7514402A" w14:textId="687DD1FD" w:rsidR="001F19EC" w:rsidRPr="00597B5D" w:rsidRDefault="001F19EC" w:rsidP="00597B5D">
      <w:pPr>
        <w:jc w:val="center"/>
        <w:rPr>
          <w:b/>
          <w:bCs/>
        </w:rPr>
      </w:pPr>
      <w:r w:rsidRPr="001F19EC">
        <w:rPr>
          <w:b/>
          <w:bCs/>
        </w:rPr>
        <w:lastRenderedPageBreak/>
        <w:t>Signal Peak Energy MAQP #3179-13</w:t>
      </w:r>
      <w:r w:rsidR="003F1019" w:rsidRPr="003F1019">
        <w:rPr>
          <w:b/>
          <w:bCs/>
        </w:rPr>
        <w:t>–</w:t>
      </w:r>
      <w:r w:rsidRPr="001F19EC">
        <w:rPr>
          <w:b/>
          <w:bCs/>
        </w:rPr>
        <w:t xml:space="preserve"> Supplemental EA</w:t>
      </w:r>
      <w:r w:rsidR="00597B5D">
        <w:rPr>
          <w:b/>
          <w:bCs/>
        </w:rPr>
        <w:t xml:space="preserve"> Comment </w:t>
      </w:r>
      <w:r w:rsidR="003F1019">
        <w:rPr>
          <w:b/>
          <w:bCs/>
        </w:rPr>
        <w:t>Summary and Responses</w:t>
      </w:r>
    </w:p>
    <w:p w14:paraId="699FC19C" w14:textId="77777777" w:rsidR="00597B5D" w:rsidRPr="001F19EC" w:rsidRDefault="00597B5D" w:rsidP="001F19EC"/>
    <w:p w14:paraId="24EE7249" w14:textId="6D50C3FA" w:rsidR="001F19EC" w:rsidRDefault="001F19EC" w:rsidP="001F19EC">
      <w:r w:rsidRPr="001F19EC">
        <w:t xml:space="preserve">Responses to </w:t>
      </w:r>
      <w:r w:rsidR="00BA4460">
        <w:t xml:space="preserve">comments submitted by </w:t>
      </w:r>
      <w:r w:rsidR="00597B5D">
        <w:t xml:space="preserve">Western Environmental Law Center on behalf of: </w:t>
      </w:r>
      <w:r w:rsidR="00BA4460" w:rsidRPr="00BA4460">
        <w:t xml:space="preserve">MEIC, Montana Sierra Club, 350 Montana, Park County Environmental Council, Families for a Livable Climate, Bull Mountain Land Alliance, Montana Health Professionals for a Healthy Climate </w:t>
      </w:r>
    </w:p>
    <w:p w14:paraId="6C16A65E" w14:textId="77777777" w:rsidR="00597B5D" w:rsidRPr="001F19EC" w:rsidRDefault="00597B5D" w:rsidP="001F19EC"/>
    <w:p w14:paraId="6AA32B11" w14:textId="77777777" w:rsidR="001F19EC" w:rsidRPr="001F19EC" w:rsidRDefault="001F19EC" w:rsidP="001F19EC">
      <w:r w:rsidRPr="001F19EC">
        <w:rPr>
          <w:b/>
          <w:bCs/>
        </w:rPr>
        <w:t>Response 1: Social Cost of Greenhouse Gases (SC-GHG) / Monetization</w:t>
      </w:r>
    </w:p>
    <w:p w14:paraId="10B80F22" w14:textId="77777777" w:rsidR="001F19EC" w:rsidRPr="001F19EC" w:rsidRDefault="001F19EC" w:rsidP="001F19EC">
      <w:r w:rsidRPr="001F19EC">
        <w:rPr>
          <w:b/>
          <w:bCs/>
        </w:rPr>
        <w:t xml:space="preserve">Comment Theme: </w:t>
      </w:r>
      <w:r w:rsidRPr="001F19EC">
        <w:t>Commenters request SC-GHG monetization; argue benefits in dollars require harms in dollars.</w:t>
      </w:r>
    </w:p>
    <w:p w14:paraId="00294AAC" w14:textId="77777777" w:rsidR="001F19EC" w:rsidRPr="001F19EC" w:rsidRDefault="001F19EC" w:rsidP="001F19EC"/>
    <w:p w14:paraId="4B224841" w14:textId="77777777" w:rsidR="001F19EC" w:rsidRPr="001F19EC" w:rsidRDefault="001F19EC" w:rsidP="001F19EC">
      <w:r w:rsidRPr="001F19EC">
        <w:rPr>
          <w:b/>
          <w:bCs/>
        </w:rPr>
        <w:t>Comment Text: “</w:t>
      </w:r>
      <w:r w:rsidRPr="001F19EC">
        <w:t>Far from being impermissible “economic analysis” under Belk v. Montana DEQ, 2022 MT 38, the SC-GHG quantifies physical climate harms in understandable terms, fulfilling MEPA’s mandate to provide information the public and decisionmakers can actually use. When a project will emit however many metric tons of CO2e annually, that abstract number means nothing to most Montanans. Applying EPA’s SC-GHG values translates those emissions into a cost for annual climate damages–information that allows meaningful evaluation of the project’s true environmental cost.”</w:t>
      </w:r>
    </w:p>
    <w:p w14:paraId="7D3AC00D" w14:textId="77777777" w:rsidR="001F19EC" w:rsidRPr="001F19EC" w:rsidRDefault="001F19EC" w:rsidP="001F19EC">
      <w:r w:rsidRPr="001F19EC">
        <w:t>“DEQ should also provide Montana-specific context: how the project’s emissions contribute to the increasing days over 90°F, declining snowpack, and intensifying wildfire seasons that Montanans are already experiencing. MAGICC may appropriately be used for what it was designed for– evaluating large-scale emission scenarios over a long period of time–but it cannot be the sole analytical tool when its creators and DEQ itself acknowledge it fails at the project level.”</w:t>
      </w:r>
    </w:p>
    <w:p w14:paraId="51E6A42A" w14:textId="77777777" w:rsidR="001F19EC" w:rsidRPr="001F19EC" w:rsidRDefault="001F19EC" w:rsidP="001F19EC"/>
    <w:p w14:paraId="1834B966" w14:textId="77777777" w:rsidR="001F19EC" w:rsidRPr="001F19EC" w:rsidRDefault="001F19EC" w:rsidP="001F19EC">
      <w:r w:rsidRPr="001F19EC">
        <w:t xml:space="preserve">Commenters assert that DEQ must monetize GHG emissions using a social cost of greenhouse gases (SC-GHG) metric. MEPA does not require monetization or quantification of anticipated impacts. </w:t>
      </w:r>
      <w:r w:rsidRPr="001F19EC">
        <w:rPr>
          <w:i/>
          <w:iCs/>
        </w:rPr>
        <w:t>See, e.g., Belk v. Mont. DEQ</w:t>
      </w:r>
      <w:r w:rsidRPr="001F19EC">
        <w:t xml:space="preserve">, 2022 MT 38, ¶ 29 (stating no authority under MEPA “for the notion that such impacts must be assessed in quantitative economic terms” and that DEQ’s rules detailing requirements of an EA call for “narrative” descriptions of evaluated impacts). Likewise, federal courts have routinely rejected efforts by plaintiffs to argue that SC-GHG must be adopted to calculate significance of impacts under NEPA. </w:t>
      </w:r>
      <w:r w:rsidRPr="001F19EC">
        <w:rPr>
          <w:i/>
          <w:iCs/>
        </w:rPr>
        <w:t>See, e.g., Ctr. for Biological Diversity v. FERC</w:t>
      </w:r>
      <w:r w:rsidRPr="001F19EC">
        <w:t xml:space="preserve">, 67 F.4th 1176, 1184-85 (D.C. Cir. 2023). </w:t>
      </w:r>
    </w:p>
    <w:p w14:paraId="39B9453D" w14:textId="77777777" w:rsidR="001F19EC" w:rsidRPr="001F19EC" w:rsidRDefault="001F19EC" w:rsidP="001F19EC"/>
    <w:p w14:paraId="13A1FE12" w14:textId="77777777" w:rsidR="001F19EC" w:rsidRPr="001F19EC" w:rsidRDefault="001F19EC" w:rsidP="001F19EC">
      <w:r w:rsidRPr="001F19EC">
        <w:t xml:space="preserve">In fact, in the related AM6 mining-permit litigation, the Thirteenth Judicial District Court found DEQ's climate analysis adequate under MEPA where the agency quantified GHG emissions, compared them to statewide and sectoral totals, and described climate impacts qualitatively. Order on Pending Motions for Summary Judgment, </w:t>
      </w:r>
      <w:r w:rsidRPr="001F19EC">
        <w:rPr>
          <w:i/>
          <w:iCs/>
        </w:rPr>
        <w:t>Bull Mountain Land Alliance v. DEQ</w:t>
      </w:r>
      <w:r w:rsidRPr="001F19EC">
        <w:t xml:space="preserve">, Cause No. DV 24-1218, at 18 (Dec. 30, 2025). The court confirmed that MEPA requires an "adequate compilation of relevant information" and reasonable analysis, not any particular economic-valuation methodology. </w:t>
      </w:r>
      <w:r w:rsidRPr="001F19EC">
        <w:rPr>
          <w:i/>
          <w:iCs/>
        </w:rPr>
        <w:t>Id.</w:t>
      </w:r>
      <w:r w:rsidRPr="001F19EC">
        <w:t xml:space="preserve"> at 19 (citing </w:t>
      </w:r>
      <w:r w:rsidRPr="001F19EC">
        <w:rPr>
          <w:i/>
          <w:iCs/>
        </w:rPr>
        <w:t xml:space="preserve">Park </w:t>
      </w:r>
      <w:proofErr w:type="spellStart"/>
      <w:r w:rsidRPr="001F19EC">
        <w:rPr>
          <w:i/>
          <w:iCs/>
        </w:rPr>
        <w:t>Cnty</w:t>
      </w:r>
      <w:proofErr w:type="spellEnd"/>
      <w:r w:rsidRPr="001F19EC">
        <w:rPr>
          <w:i/>
          <w:iCs/>
        </w:rPr>
        <w:t>. Env't Council v. DEQ</w:t>
      </w:r>
      <w:r w:rsidRPr="001F19EC">
        <w:t>, 2020 MT 303, ¶ 18).</w:t>
      </w:r>
    </w:p>
    <w:p w14:paraId="489CA1E6" w14:textId="77777777" w:rsidR="001F19EC" w:rsidRPr="001F19EC" w:rsidRDefault="001F19EC" w:rsidP="001F19EC"/>
    <w:p w14:paraId="3BFBD896" w14:textId="77777777" w:rsidR="001F19EC" w:rsidRPr="001F19EC" w:rsidRDefault="001F19EC" w:rsidP="001F19EC">
      <w:r w:rsidRPr="001F19EC">
        <w:t xml:space="preserve">Notwithstanding that MEPA does not require an economic forecast of anticipated impacts, DEQ declines to adopt the SC-GHG analysis here. SC-GHG values are global or large-regional averages developed for broad federal regulatory analyses. Different integrated-assessment models and discount-rate assumptions produce highly variable damage estimates, and the metric's unsettled federal policy status further limits its reliability as a Montana-specific project-level tool. While using such a tool to “quantify” impacts may offer a convenient solution to capturing potential impacts of climate change, it has not proven to be an inherently accurate one. To be sure, there is no credible scientific dispute that GHGs are harmful to the environment. But attempting to quantify that harm into a distilled dollar figure amount, while perhaps in some instances offers a generally useful tool, remains, to date, a questionable methodology at best. Credible peer-reviewed literature has questioned using SC-GHG as an effective tool </w:t>
      </w:r>
      <w:r w:rsidRPr="001F19EC">
        <w:lastRenderedPageBreak/>
        <w:t>because it depends on normative assumptions (</w:t>
      </w:r>
      <w:proofErr w:type="spellStart"/>
      <w:r w:rsidRPr="001F19EC">
        <w:t>Pezzey</w:t>
      </w:r>
      <w:proofErr w:type="spellEnd"/>
      <w:r w:rsidRPr="001F19EC">
        <w:t>, 2019. “Why the social cost of carbon will always be disputed”); is subject to publication bias and large reliance on assumptions (Havranek et al., 2015. “Selective reporting and the social cost of carbon”); and risks collapsing highly uncertain, long-term environmental risks into a dollar figure under the guise of precision (Pindyck, 2013. “Climate change policy: What do the models tell us?”). While DEQ remains committed to revising and adopting valuable tools and mechanisms to assess environmental impacts, including those caused by GHGs as more accurate methodologies become available, it declines to accept methodologies that are convenient at the expense of accuracy. Using SC-GHG in this context could convey a misleading level of precision inconsistent with MEPA's informational purpose.</w:t>
      </w:r>
    </w:p>
    <w:p w14:paraId="47B0B8C6" w14:textId="77777777" w:rsidR="001F19EC" w:rsidRPr="001F19EC" w:rsidRDefault="001F19EC" w:rsidP="001F19EC"/>
    <w:p w14:paraId="61AD6C4E" w14:textId="77777777" w:rsidR="001F19EC" w:rsidRPr="001F19EC" w:rsidRDefault="001F19EC" w:rsidP="001F19EC">
      <w:r w:rsidRPr="001F19EC">
        <w:t>Instead, DEQ finds the approach it utilized here sufficiently conveys anticipated impacts. The Supplemental EA quantifies the project's emissions in physical units (337 metric tons CO₂e/yr), presents them in multiple contextual formats—absolute tons, percentage of Montana's total annual emissions, and order-of-magnitude modeled temperature contribution—and provides qualitative climate-impact discussion grounded in IPCC and regional assessments. This approach satisfies MEPA's disclosure and assessment requirements. See also DEQ’s January 2026 GHG Guidance Document, Appendix 3.</w:t>
      </w:r>
    </w:p>
    <w:p w14:paraId="472085B9" w14:textId="77777777" w:rsidR="00C52C01" w:rsidRDefault="00C52C01" w:rsidP="001F19EC">
      <w:pPr>
        <w:rPr>
          <w:b/>
          <w:bCs/>
        </w:rPr>
      </w:pPr>
    </w:p>
    <w:p w14:paraId="5520C726" w14:textId="28FB2E00" w:rsidR="001F19EC" w:rsidRPr="001F19EC" w:rsidRDefault="001F19EC" w:rsidP="001F19EC">
      <w:r w:rsidRPr="001F19EC">
        <w:rPr>
          <w:b/>
          <w:bCs/>
        </w:rPr>
        <w:t>Response 2: Scope of Analysis – Combustion Emissions / “Proximate” Causation</w:t>
      </w:r>
    </w:p>
    <w:p w14:paraId="6584DC56" w14:textId="77777777" w:rsidR="001F19EC" w:rsidRPr="001F19EC" w:rsidRDefault="001F19EC" w:rsidP="001F19EC">
      <w:r w:rsidRPr="001F19EC">
        <w:rPr>
          <w:b/>
          <w:bCs/>
        </w:rPr>
        <w:t xml:space="preserve">Comment Theme: </w:t>
      </w:r>
      <w:r w:rsidRPr="001F19EC">
        <w:t xml:space="preserve">Commenters argue DEQ must include downstream combustion; claim “proximate” ≠ “on-site”; cite </w:t>
      </w:r>
      <w:r w:rsidRPr="001F19EC">
        <w:rPr>
          <w:i/>
          <w:iCs/>
        </w:rPr>
        <w:t>Seven County</w:t>
      </w:r>
      <w:r w:rsidRPr="001F19EC">
        <w:t>.</w:t>
      </w:r>
    </w:p>
    <w:p w14:paraId="3505BFC9" w14:textId="77777777" w:rsidR="001F19EC" w:rsidRPr="001F19EC" w:rsidRDefault="001F19EC" w:rsidP="001F19EC"/>
    <w:p w14:paraId="389B551E" w14:textId="77777777" w:rsidR="001F19EC" w:rsidRPr="001F19EC" w:rsidRDefault="001F19EC" w:rsidP="001F19EC">
      <w:r w:rsidRPr="001F19EC">
        <w:rPr>
          <w:b/>
          <w:bCs/>
        </w:rPr>
        <w:t>Comment Text:</w:t>
      </w:r>
      <w:r w:rsidRPr="001F19EC">
        <w:t xml:space="preserve"> The Supplemental EA’s GHG analysis accounts for less than one percent of the actual emissions that will occur as a result of the action. DEQ quantifies only 337 metric tons of CO2e per year– emissions solely from diesel fuel used by semi-trucks and loaders traveling 2.1 miles within the mine boundary. . . . This approach inappropriately excludes combustion emissions from the 600,000 additional tons of coal being transported as a direct result of the permit.”</w:t>
      </w:r>
    </w:p>
    <w:p w14:paraId="3A1D243C" w14:textId="77777777" w:rsidR="001F19EC" w:rsidRPr="001F19EC" w:rsidRDefault="001F19EC" w:rsidP="001F19EC">
      <w:r w:rsidRPr="001F19EC">
        <w:t>“This omission is fatal to the analysis. Using EPA emission factors of approximately 2.00 metric tons CO2e per short ton of sub-bituminous coal, the 600,000 additional tons would generate approximately 1,200,000 metric tons of CO2e annually when burned—3,560 times larger than the 337 tons DEQ analyzes. The coal being mined exists for one purpose: combustion. Analyzing only transport diesel while ignoring end-use combustion is like evaluating a highway’s environmental impacts while excluding vehicle emissions or assessing a dam while ignoring downstream water releases.”</w:t>
      </w:r>
    </w:p>
    <w:p w14:paraId="0B03DE74" w14:textId="77777777" w:rsidR="001F19EC" w:rsidRPr="001F19EC" w:rsidRDefault="001F19EC" w:rsidP="001F19EC">
      <w:r w:rsidRPr="001F19EC">
        <w:t>“DEQ justifies this exclusion by limiting its analysis to “Scope 1 emissions”—emissions from sources “controlled or owned by the organization”—claiming this approach evaluates “proximate impacts” rather than “remote, downstream impacts that may be caused by a subsequent permitted action outside the authority of DEQ.” . . . This reasoning fails for three reasons.”</w:t>
      </w:r>
    </w:p>
    <w:p w14:paraId="2E79B4A6" w14:textId="77777777" w:rsidR="001F19EC" w:rsidRPr="001F19EC" w:rsidRDefault="001F19EC" w:rsidP="001F19EC">
      <w:r w:rsidRPr="001F19EC">
        <w:t>“First, it misinterprets SB 221’s “proximate” requirement. . . . DEQ conflates it with “on-site,” transforming a causation standard into an arbitrary geographic boundary. . . . “Proximate” is a causal concept asking whether an impact is sufficiently direct and foreseeable to warrant consideration, not whether it occurs within a property boundary.”</w:t>
      </w:r>
    </w:p>
    <w:p w14:paraId="0E141A1A" w14:textId="77777777" w:rsidR="001F19EC" w:rsidRPr="001F19EC" w:rsidRDefault="001F19EC" w:rsidP="001F19EC">
      <w:pPr>
        <w:rPr>
          <w:b/>
          <w:bCs/>
        </w:rPr>
      </w:pPr>
      <w:r w:rsidRPr="001F19EC">
        <w:t xml:space="preserve">“The U.S. Supreme Court confirmed this understanding in </w:t>
      </w:r>
      <w:r w:rsidRPr="001F19EC">
        <w:rPr>
          <w:i/>
          <w:iCs/>
        </w:rPr>
        <w:t>Seven County Infrastructure Coalition v. Eagle County</w:t>
      </w:r>
      <w:r w:rsidRPr="001F19EC">
        <w:t>, explaining that environmental effects fall within NEPA “even if those effects might extend outside the geographical territory of the project.” . . . The chain of proximate causation breaks only when a project “might lead to the construction or increased use of a separate project” requiring independent regulatory approval.”</w:t>
      </w:r>
    </w:p>
    <w:p w14:paraId="343A0A19" w14:textId="77777777" w:rsidR="001F19EC" w:rsidRPr="001F19EC" w:rsidRDefault="001F19EC" w:rsidP="001F19EC">
      <w:r w:rsidRPr="001F19EC">
        <w:t xml:space="preserve">Commenters, in </w:t>
      </w:r>
      <w:proofErr w:type="gramStart"/>
      <w:r w:rsidRPr="001F19EC">
        <w:t>sum</w:t>
      </w:r>
      <w:proofErr w:type="gramEnd"/>
      <w:r w:rsidRPr="001F19EC">
        <w:t xml:space="preserve">, assert that the Supplemental EA improperly limits its GHG analysis to on-site diesel emissions and must account for combustion of the coal itself. DEQ respectfully rejects Commenters’ reading of MEPA and NEPA, finding Commenters misunderstand applicable law and the extent of the </w:t>
      </w:r>
      <w:r w:rsidRPr="001F19EC">
        <w:lastRenderedPageBreak/>
        <w:t>permitted action.</w:t>
      </w:r>
    </w:p>
    <w:p w14:paraId="31A232D4" w14:textId="77777777" w:rsidR="001F19EC" w:rsidRPr="001F19EC" w:rsidRDefault="001F19EC" w:rsidP="001F19EC"/>
    <w:p w14:paraId="3684CF60" w14:textId="77777777" w:rsidR="001F19EC" w:rsidRPr="001F19EC" w:rsidRDefault="001F19EC" w:rsidP="001F19EC">
      <w:r w:rsidRPr="001F19EC">
        <w:t xml:space="preserve">MEPA directs agencies to analyze, "within the scope of their independent authority, all direct and secondary environmental impacts that will likely result from the specific activity conducted or permitted by the agency." </w:t>
      </w:r>
      <w:r w:rsidRPr="001F19EC">
        <w:rPr>
          <w:i/>
          <w:iCs/>
        </w:rPr>
        <w:t>MEIC v. DEQ</w:t>
      </w:r>
      <w:r w:rsidRPr="001F19EC">
        <w:t xml:space="preserve"> (Laurel), 2025 MT 3, ¶ 48 (quoting </w:t>
      </w:r>
      <w:r w:rsidRPr="001F19EC">
        <w:rPr>
          <w:i/>
          <w:iCs/>
        </w:rPr>
        <w:t>Bitterrooters for Planning, Inc. v. DEQ,</w:t>
      </w:r>
      <w:r w:rsidRPr="001F19EC">
        <w:t xml:space="preserve"> 2017 MT 222, ¶ 34). It has long been the case in Montana, including pre-Senate Bill 221 (SB 221), that DEQ must assess “secondary impacts” of a proposed action—i.e., those impacts that are “stimulated or induced by or otherwise result from a direct </w:t>
      </w:r>
      <w:r w:rsidRPr="001F19EC">
        <w:rPr>
          <w:i/>
          <w:iCs/>
        </w:rPr>
        <w:t>impact</w:t>
      </w:r>
      <w:r w:rsidRPr="001F19EC">
        <w:t xml:space="preserve"> of the action.” ARM 17.4.603(18) (emphasis added). A secondary impact, therefore, must still be an </w:t>
      </w:r>
      <w:r w:rsidRPr="001F19EC">
        <w:rPr>
          <w:i/>
          <w:iCs/>
        </w:rPr>
        <w:t xml:space="preserve">effect </w:t>
      </w:r>
      <w:r w:rsidRPr="001F19EC">
        <w:t xml:space="preserve">that manifests from the “direct impact” of an action, albeit later in time. Commenters conflate impacts caused by a secondary action—impacts from the combustion of coal, which is not subject to approval in this action—with impacts caused by </w:t>
      </w:r>
      <w:r w:rsidRPr="001F19EC">
        <w:rPr>
          <w:i/>
          <w:iCs/>
        </w:rPr>
        <w:t xml:space="preserve">this </w:t>
      </w:r>
      <w:r w:rsidRPr="001F19EC">
        <w:t xml:space="preserve">action. In effect, then, Commenters are making the same flawed “but for” causation argument the Montana Supreme Court rejected in </w:t>
      </w:r>
      <w:r w:rsidRPr="001F19EC">
        <w:rPr>
          <w:i/>
          <w:iCs/>
        </w:rPr>
        <w:t xml:space="preserve">Bitterrooters </w:t>
      </w:r>
      <w:r w:rsidRPr="001F19EC">
        <w:t xml:space="preserve">nearly a decade ago. </w:t>
      </w:r>
    </w:p>
    <w:p w14:paraId="20145FFB" w14:textId="77777777" w:rsidR="001F19EC" w:rsidRPr="001F19EC" w:rsidRDefault="001F19EC" w:rsidP="001F19EC"/>
    <w:p w14:paraId="48B2EC4F" w14:textId="77777777" w:rsidR="001F19EC" w:rsidRPr="001F19EC" w:rsidRDefault="001F19EC" w:rsidP="001F19EC">
      <w:r w:rsidRPr="001F19EC">
        <w:t xml:space="preserve">Further, the Montana Supreme Court has made clear that the agency’s MEPA analysis should be “confined to the environmental impacts of the proposed actions and not to the impacts of the larger projects.” </w:t>
      </w:r>
      <w:r w:rsidRPr="001F19EC">
        <w:rPr>
          <w:i/>
          <w:iCs/>
        </w:rPr>
        <w:t>Laurel</w:t>
      </w:r>
      <w:r w:rsidRPr="001F19EC">
        <w:t xml:space="preserve">, ¶ 51 (finding district court “properly applied </w:t>
      </w:r>
      <w:r w:rsidRPr="001F19EC">
        <w:rPr>
          <w:i/>
          <w:iCs/>
        </w:rPr>
        <w:t xml:space="preserve">Bitterrooters </w:t>
      </w:r>
      <w:r w:rsidRPr="001F19EC">
        <w:t xml:space="preserve">when it concluded that DEQ did not need to analyze in the air quality review the potential impact of the plant’s riverbed pipeline” because the “State Land Board . . . has authority for issuing easements and other rights-of-way over state land, including pipeline permitting for riverbed crossing.”). Suggesting DEQ must analyze the climate impacts of the combustion of coal overseas, over which it has no authority as an impact of the Air Quality permit issued to the Signal Peak Mine in Montana, finds no authority in Montana law, either pre- or post- SB 221. </w:t>
      </w:r>
    </w:p>
    <w:p w14:paraId="13208185" w14:textId="77777777" w:rsidR="001F19EC" w:rsidRPr="001F19EC" w:rsidRDefault="001F19EC" w:rsidP="001F19EC"/>
    <w:p w14:paraId="61159797" w14:textId="77777777" w:rsidR="001F19EC" w:rsidRPr="001F19EC" w:rsidRDefault="001F19EC" w:rsidP="001F19EC">
      <w:r w:rsidRPr="001F19EC">
        <w:t xml:space="preserve">Commenters’ reliance on </w:t>
      </w:r>
      <w:r w:rsidRPr="001F19EC">
        <w:rPr>
          <w:i/>
          <w:iCs/>
        </w:rPr>
        <w:t>Seven County</w:t>
      </w:r>
      <w:r w:rsidRPr="001F19EC">
        <w:t>, 605 U.S. 168, 145 S. Ct. 1497 (2025)</w:t>
      </w:r>
      <w:r w:rsidRPr="001F19EC">
        <w:rPr>
          <w:i/>
          <w:iCs/>
        </w:rPr>
        <w:t xml:space="preserve"> </w:t>
      </w:r>
      <w:r w:rsidRPr="001F19EC">
        <w:t>and NEPA caselaw</w:t>
      </w:r>
      <w:r w:rsidRPr="001F19EC">
        <w:rPr>
          <w:i/>
          <w:iCs/>
        </w:rPr>
        <w:t xml:space="preserve"> </w:t>
      </w:r>
      <w:r w:rsidRPr="001F19EC">
        <w:t xml:space="preserve">is equally misplaced, which further confirms DEQ has correctly scoped the potential impacts of the proposed action. In </w:t>
      </w:r>
      <w:r w:rsidRPr="001F19EC">
        <w:rPr>
          <w:i/>
          <w:iCs/>
        </w:rPr>
        <w:t>Seven County</w:t>
      </w:r>
      <w:r w:rsidRPr="001F19EC">
        <w:t xml:space="preserve">, the U.S. Supreme Court held, in an 8-0 decision, that the U.S. Surface Transportation Board was not required under NEPA to evaluate possible environmental effects from upstream and downstream projects, including increased upstream oil drilling or downstream oil refining along the Gulf Coast, separate from the 88-mile line of railroad track being approved in Utah, reasoning that while “indirect environmental </w:t>
      </w:r>
      <w:r w:rsidRPr="001F19EC">
        <w:rPr>
          <w:i/>
          <w:iCs/>
        </w:rPr>
        <w:t xml:space="preserve">effects </w:t>
      </w:r>
      <w:r w:rsidRPr="001F19EC">
        <w:t xml:space="preserve">of the project itself may fall within NEPA’s scope even if they might extend outside the geographical territory of the project or materialize later in time, the fact that the project might foreseeably lead to the construction or increased use of a </w:t>
      </w:r>
      <w:r w:rsidRPr="001F19EC">
        <w:rPr>
          <w:i/>
          <w:iCs/>
        </w:rPr>
        <w:t xml:space="preserve">separate project </w:t>
      </w:r>
      <w:r w:rsidRPr="001F19EC">
        <w:t xml:space="preserve">does not mean the agency must consider that project’s environmental effects,” especially “where, as here, those separate projects fall outside of the agency’s regulatory authority.” </w:t>
      </w:r>
      <w:r w:rsidRPr="001F19EC">
        <w:rPr>
          <w:i/>
          <w:iCs/>
        </w:rPr>
        <w:t>Id.</w:t>
      </w:r>
      <w:r w:rsidRPr="001F19EC">
        <w:t xml:space="preserve">, 605 U.S. at 170. The same reasoning applies here. “To put it in legal terms, the separate project”—here, the combustion of coal overseas—“breaks the chain of proximate causation between the project at hand the environmental effects of the separate project.” </w:t>
      </w:r>
      <w:r w:rsidRPr="001F19EC">
        <w:rPr>
          <w:i/>
          <w:iCs/>
        </w:rPr>
        <w:t>Id.</w:t>
      </w:r>
      <w:r w:rsidRPr="001F19EC">
        <w:t xml:space="preserve">, 605 U.S. at 188. Furthermore, it begs the question: because DEQ possesses no regulatory authority over that separate project, what exactly would the purpose of engaging in such an analysis be? The purpose of MEPA is to engage in fully informed decision making of the anticipated impacts of the project being approved. To speculate on impacts from separate projects which it cannot control or prevent through the exercise of its own independent jurisdiction is functionally meaningless. </w:t>
      </w:r>
    </w:p>
    <w:p w14:paraId="1465789D" w14:textId="77777777" w:rsidR="001F19EC" w:rsidRPr="001F19EC" w:rsidRDefault="001F19EC" w:rsidP="001F19EC"/>
    <w:p w14:paraId="13D0E313" w14:textId="77777777" w:rsidR="001F19EC" w:rsidRPr="001F19EC" w:rsidRDefault="001F19EC" w:rsidP="001F19EC">
      <w:r w:rsidRPr="001F19EC">
        <w:t xml:space="preserve">MAQP 3179-13 authorizes increased coal handling and semi-truck transport at the Bull Mountain Mine; it does not authorize coal extraction, sale, transportation, or combustion of coal overseas, and all of those separately permitted actions would fall beyond the agency’s regulatory authority. </w:t>
      </w:r>
    </w:p>
    <w:p w14:paraId="4FA400AE" w14:textId="77777777" w:rsidR="001F19EC" w:rsidRPr="001F19EC" w:rsidRDefault="001F19EC" w:rsidP="001F19EC"/>
    <w:p w14:paraId="61BAF690" w14:textId="77777777" w:rsidR="001F19EC" w:rsidRPr="001F19EC" w:rsidRDefault="001F19EC" w:rsidP="001F19EC">
      <w:r w:rsidRPr="001F19EC">
        <w:t>Finally, the 13</w:t>
      </w:r>
      <w:r w:rsidRPr="001F19EC">
        <w:rPr>
          <w:vertAlign w:val="superscript"/>
        </w:rPr>
        <w:t>th</w:t>
      </w:r>
      <w:r w:rsidRPr="001F19EC">
        <w:t xml:space="preserve"> Judicial District already squarely addressed this issue, when Conservation Groups made a similar argument that DEQ’s approval of the extraction of coal under MSUMRA required DEQ under MEPA </w:t>
      </w:r>
      <w:r w:rsidRPr="001F19EC">
        <w:lastRenderedPageBreak/>
        <w:t xml:space="preserve">to consider the climate impacts of combustion of Signal Peak’s coal overseas. The District Court rejected that argument, holding that DEQ "appropriately limited its analysis of environmental impacts from the proposed action of coal mining and was not required to consider downstream impacts from the separate project of coal combustion, over which DEQ exercises no regulatory authority." Order at 23. Notably, the Court applied both the </w:t>
      </w:r>
      <w:r w:rsidRPr="001F19EC">
        <w:rPr>
          <w:i/>
          <w:iCs/>
        </w:rPr>
        <w:t>Bitterrooters</w:t>
      </w:r>
      <w:r w:rsidRPr="001F19EC">
        <w:t xml:space="preserve"> causation test and the U.S. Supreme Court's recent decision in </w:t>
      </w:r>
      <w:r w:rsidRPr="001F19EC">
        <w:rPr>
          <w:i/>
          <w:iCs/>
        </w:rPr>
        <w:t>Seven County</w:t>
      </w:r>
      <w:r w:rsidRPr="001F19EC">
        <w:t xml:space="preserve"> in reaching its conclusion.</w:t>
      </w:r>
    </w:p>
    <w:p w14:paraId="5C91ECF8" w14:textId="77777777" w:rsidR="001F19EC" w:rsidRPr="001F19EC" w:rsidRDefault="001F19EC" w:rsidP="001F19EC"/>
    <w:p w14:paraId="653CCD31" w14:textId="77777777" w:rsidR="001F19EC" w:rsidRPr="001F19EC" w:rsidRDefault="001F19EC" w:rsidP="001F19EC">
      <w:r w:rsidRPr="001F19EC">
        <w:t xml:space="preserve">Again, DEQ reminds Commenters that the only action being approved is an air-quality permit for coal transport within the mine permit boundary. SB 221's "proximate" language and MEPA's cumulative-effects framework guide DEQ to consider impacts reasonably attributable to the permitted action, not to attribute impacts from all separate actions outside the scope of DEQ’s authority that may include end-use combustion emissions. </w:t>
      </w:r>
    </w:p>
    <w:p w14:paraId="6898CE9A" w14:textId="77777777" w:rsidR="001F19EC" w:rsidRPr="001F19EC" w:rsidRDefault="001F19EC" w:rsidP="001F19EC"/>
    <w:p w14:paraId="493AE92C" w14:textId="77777777" w:rsidR="001F19EC" w:rsidRPr="001F19EC" w:rsidRDefault="001F19EC" w:rsidP="001F19EC">
      <w:r w:rsidRPr="001F19EC">
        <w:t>Thus, DEQ finds that the Supplemental EA appropriately evaluates GHG emissions from coal-handling and transport activities authorized by MAQP 3179-13 and explains how those emissions contribute to broader atmospheric GHG loading and regional climate impacts in Montana and the Northern Great Plains.</w:t>
      </w:r>
    </w:p>
    <w:p w14:paraId="15DE6072" w14:textId="77777777" w:rsidR="00C52C01" w:rsidRDefault="00C52C01" w:rsidP="001F19EC">
      <w:pPr>
        <w:rPr>
          <w:b/>
          <w:bCs/>
        </w:rPr>
      </w:pPr>
    </w:p>
    <w:p w14:paraId="74102728" w14:textId="45B6EE3C" w:rsidR="001F19EC" w:rsidRPr="001F19EC" w:rsidRDefault="001F19EC" w:rsidP="001F19EC">
      <w:r w:rsidRPr="001F19EC">
        <w:rPr>
          <w:b/>
          <w:bCs/>
        </w:rPr>
        <w:t>Response 3: Negligibility / “Every Ton Matters” / Cumulative Impacts</w:t>
      </w:r>
    </w:p>
    <w:p w14:paraId="2ABB1222" w14:textId="72BDFC3F" w:rsidR="001F19EC" w:rsidRPr="001F19EC" w:rsidRDefault="001F19EC" w:rsidP="001F19EC">
      <w:r w:rsidRPr="001F19EC">
        <w:rPr>
          <w:b/>
          <w:bCs/>
        </w:rPr>
        <w:t xml:space="preserve">Comment Theme: </w:t>
      </w:r>
      <w:r w:rsidRPr="001F19EC">
        <w:t xml:space="preserve">Commenters </w:t>
      </w:r>
      <w:r w:rsidR="004D02AC">
        <w:t>challenge</w:t>
      </w:r>
      <w:r w:rsidRPr="001F19EC">
        <w:t xml:space="preserve"> negligibility finding; argue Held forecloses treating any project as insignificant</w:t>
      </w:r>
    </w:p>
    <w:p w14:paraId="65B36BB4" w14:textId="77777777" w:rsidR="001F19EC" w:rsidRPr="001F19EC" w:rsidRDefault="001F19EC" w:rsidP="001F19EC"/>
    <w:p w14:paraId="2F37D1ED" w14:textId="77777777" w:rsidR="001F19EC" w:rsidRPr="001F19EC" w:rsidRDefault="001F19EC" w:rsidP="001F19EC">
      <w:r w:rsidRPr="001F19EC">
        <w:rPr>
          <w:b/>
          <w:bCs/>
        </w:rPr>
        <w:t>Comment Text:</w:t>
      </w:r>
      <w:r w:rsidRPr="001F19EC">
        <w:t xml:space="preserve"> “DEQ’s finding that the project will have “negligible impact on the Montana environment” rests on a methodological shell game. First, DEQ artificially minimizes the project’s emissions by excluding combustion (99.97% of the actual climate impact). Second, it compares these minuscule transport emissions (337 tons) to Montana’s entire state emissions (50.74 million tons), yielding an </w:t>
      </w:r>
      <w:proofErr w:type="gramStart"/>
      <w:r w:rsidRPr="001F19EC">
        <w:t>insignificant-seeming</w:t>
      </w:r>
      <w:proofErr w:type="gramEnd"/>
      <w:r w:rsidRPr="001F19EC">
        <w:t xml:space="preserve"> 0.000664%. Third, DEQ applies the MAGICC climate model to this artificially small number, generating a temperature change so microscopically small that it appears to confirm this project’s negligibility. Finally, DEQ points to this infinitesimal result as proof the project has no significant impact. This is circular reasoning: Impacts are small because we only counted small emissions.”</w:t>
      </w:r>
    </w:p>
    <w:p w14:paraId="0B7D3C67" w14:textId="77777777" w:rsidR="001F19EC" w:rsidRPr="001F19EC" w:rsidRDefault="001F19EC" w:rsidP="001F19EC">
      <w:r w:rsidRPr="001F19EC">
        <w:t>“DEQ’s negligibility analysis directly conflicts with the Montana Supreme Court’s holdings in Held. The district court in Held found with “scientific certainty” that every additional ton of GHGs exacerbates climate impacts and increases Montanans’ exposure to present and future harms, expressly recognizing that “every additional ton of GHG emissions” risks locking in irreversible injuries. . . . The “drop in the bucket” argument, that one project’s contribution to a global problem can be dismissed as insignificant, was foreclosed by Held.”</w:t>
      </w:r>
    </w:p>
    <w:p w14:paraId="5E8303F2" w14:textId="77777777" w:rsidR="001F19EC" w:rsidRPr="001F19EC" w:rsidRDefault="001F19EC" w:rsidP="001F19EC">
      <w:r w:rsidRPr="001F19EC">
        <w:t>“DEQ’s approach to cumulative impacts analysis is fundamentally flawed and defeats MEPA’s purpose. . . . Under DEQ’s current methodology, every fossil fuel project in Montana would appear negligible when examined in isolation, because each represents only a small percentage of the state total. This systematic undercounting makes meaningful cumulative impacts analysis impossible.”</w:t>
      </w:r>
    </w:p>
    <w:p w14:paraId="633B5485" w14:textId="77777777" w:rsidR="001F19EC" w:rsidRPr="001F19EC" w:rsidRDefault="001F19EC" w:rsidP="001F19EC"/>
    <w:p w14:paraId="76266AF3" w14:textId="77777777" w:rsidR="001F19EC" w:rsidRPr="001F19EC" w:rsidRDefault="001F19EC" w:rsidP="001F19EC">
      <w:r w:rsidRPr="001F19EC">
        <w:t xml:space="preserve">Commenters contend that characterizing 337 metric tons of CO₂e per year as "negligible" conflicts with </w:t>
      </w:r>
      <w:r w:rsidRPr="001F19EC">
        <w:rPr>
          <w:i/>
          <w:iCs/>
        </w:rPr>
        <w:t>Held v. State</w:t>
      </w:r>
      <w:r w:rsidRPr="001F19EC">
        <w:t>, 2024 MT 312, which recognized that every additional ton of GHG emissions contributes to climate harm.</w:t>
      </w:r>
    </w:p>
    <w:p w14:paraId="3AE1D70D" w14:textId="77777777" w:rsidR="001F19EC" w:rsidRPr="001F19EC" w:rsidRDefault="001F19EC" w:rsidP="001F19EC"/>
    <w:p w14:paraId="0503E16C" w14:textId="77777777" w:rsidR="001F19EC" w:rsidRPr="001F19EC" w:rsidRDefault="001F19EC" w:rsidP="001F19EC">
      <w:r w:rsidRPr="001F19EC">
        <w:t xml:space="preserve">DEQ disagrees with the characterization. DEQ does not dispute that every additional ton of GHGs contributes to cumulative warming; the Supplemental EA expressly acknowledges this. However, "significance" under MEPA is a legal determination informed by scientific judgment and the factors in ARM 17.4.608—context, intensity, duration, and the nature of the agency decision—not solely whether </w:t>
      </w:r>
      <w:r w:rsidRPr="001F19EC">
        <w:lastRenderedPageBreak/>
        <w:t xml:space="preserve">emissions are non-zero; DEQ engaged in that analysis. Further, by Commenters logic, every project that emits any GHGs is necessarily rendered “significant.” There is no legal authority under NEPA or MEPA, or scientific authority, that simply because any GHG emissions will occur because of a project, that significant impacts are therefore expected. Indeed, what Commenters appear to be demanding—precise localized impacts from a single emissions source based on a global issue—is not within the scope of scientific possibility, and Commenters don’t provide any scientific evidence that countermands DEQ’s conclusions. Federal courts have long rejected such demands, in part, because it ignores that the global nature of climate change effects can’t be reasonably distilled into a specific climate impact at an exact location as caused by a particular project. </w:t>
      </w:r>
      <w:r w:rsidRPr="001F19EC">
        <w:rPr>
          <w:i/>
          <w:iCs/>
        </w:rPr>
        <w:t>See, e.g., Wash Envtl. Council v. Bellon</w:t>
      </w:r>
      <w:r w:rsidRPr="001F19EC">
        <w:t xml:space="preserve">, 732 F.3d 1131, 1143-44 (9th Cir. 2013) (holding plaintiffs lacked standing to challenge state agency's failure to regulate refinery GHGs because climate </w:t>
      </w:r>
      <w:proofErr w:type="gramStart"/>
      <w:r w:rsidRPr="001F19EC">
        <w:t>harms</w:t>
      </w:r>
      <w:proofErr w:type="gramEnd"/>
      <w:r w:rsidRPr="001F19EC">
        <w:t xml:space="preserve"> could not be traced to a particular state's emissions). To be sure, the scientific community appears to be making progress in the ability to determine hyper-local impacts from specific projects. </w:t>
      </w:r>
      <w:r w:rsidRPr="001F19EC">
        <w:rPr>
          <w:i/>
          <w:iCs/>
        </w:rPr>
        <w:t>See generally</w:t>
      </w:r>
      <w:r w:rsidRPr="001F19EC">
        <w:t xml:space="preserve"> Callahan &amp; Mankin, 2025. “Carbon Majors and the Scientific Case for Climate Liability,” </w:t>
      </w:r>
      <w:r w:rsidRPr="001F19EC">
        <w:rPr>
          <w:i/>
          <w:iCs/>
        </w:rPr>
        <w:t>Nature</w:t>
      </w:r>
      <w:r w:rsidRPr="001F19EC">
        <w:t xml:space="preserve">, Vol. 640, 893-901. Currently, however, even proposed frameworks for “end-to-end attribution” and understanding localized impacts from climate change is limited to general emitters’ total contributions on an order of magnitude of emissions far higher than the currently proposed project level emissions discussed in this instance. </w:t>
      </w:r>
      <w:r w:rsidRPr="001F19EC">
        <w:rPr>
          <w:i/>
          <w:iCs/>
        </w:rPr>
        <w:t>See id.</w:t>
      </w:r>
      <w:r w:rsidRPr="001F19EC">
        <w:t xml:space="preserve"> at 895. </w:t>
      </w:r>
    </w:p>
    <w:p w14:paraId="00EB9B98" w14:textId="77777777" w:rsidR="001F19EC" w:rsidRPr="001F19EC" w:rsidRDefault="001F19EC" w:rsidP="001F19EC"/>
    <w:p w14:paraId="69BCC1E6" w14:textId="77777777" w:rsidR="001F19EC" w:rsidRPr="001F19EC" w:rsidRDefault="001F19EC" w:rsidP="001F19EC">
      <w:r w:rsidRPr="001F19EC">
        <w:t>To assist readers in understanding the scale and potential significance of the Project's direct GHG contribution, DEQ notes the following reference comparisons, drawn from the U.S. Environmental Protection Agency's Greenhouse Gas Equivalencies Calculator. The Project's estimated 337 metric tons CO₂e per year from increased diesel equipment operation is approximately equivalent to the annual tailpipe emissions of 73 passenger vehicles operated for one year, the annual energy use of approximately 45 average U.S. homes, or the CO₂ produced by burning 1.9 railcars of coal. These comparisons are offered as contextual reference points to assist the public in understanding the proportional scale of the Project's direct contribution and are not presented as a standalone significance determination; significance is evaluated under the criteria set forth in ARM 17.4.608. DEQ has incorporated these comparisons into the updated cumulative impacts section of the Supplemental EA, where they are considered alongside order-of-magnitude comparisons to state and global emissions totals, application of the MAGICC climate model, and qualitative discussion of regional climate trends.</w:t>
      </w:r>
    </w:p>
    <w:p w14:paraId="096790CA" w14:textId="77777777" w:rsidR="001F19EC" w:rsidRPr="001F19EC" w:rsidRDefault="001F19EC" w:rsidP="001F19EC"/>
    <w:p w14:paraId="652A5A77" w14:textId="77777777" w:rsidR="001F19EC" w:rsidRPr="001F19EC" w:rsidRDefault="001F19EC" w:rsidP="001F19EC">
      <w:r w:rsidRPr="001F19EC">
        <w:t>Finally, contrary to Commenters’ comments, DEQ does not analyze the project in isolation, but in fact, considers the project amongst the entire industrial sector in Montana. The Supplemental EA evaluates cumulative impacts by: (1) quantifying the project’s 337 metric tons CO₂e/yr from coal-transport activities; (2) situating those emissions within Montana's total annual emissions of approximately 51.74 million metric tons CO₂e; and (3) describing regional climate impacts drawn from IPCC and Northern Great Plains assessments. Percentage comparisons and the MAGICC-modeled temperature increment are contextual indicators, not standalone significance tests. DEQ's significance finding rests on the full body of quantitative and qualitative information, the scope of this air-quality permit action, and the ARM 17.4.608 criteria.</w:t>
      </w:r>
    </w:p>
    <w:p w14:paraId="6D86EA73" w14:textId="77777777" w:rsidR="004D02AC" w:rsidRDefault="004D02AC" w:rsidP="001F19EC">
      <w:pPr>
        <w:rPr>
          <w:b/>
          <w:bCs/>
        </w:rPr>
      </w:pPr>
    </w:p>
    <w:p w14:paraId="24DD7334" w14:textId="33DAD76B" w:rsidR="001F19EC" w:rsidRPr="001F19EC" w:rsidRDefault="001F19EC" w:rsidP="001F19EC">
      <w:r w:rsidRPr="001F19EC">
        <w:rPr>
          <w:b/>
          <w:bCs/>
        </w:rPr>
        <w:t>Response 4: MAGICC Model Use and Limitations</w:t>
      </w:r>
    </w:p>
    <w:p w14:paraId="5E9961EA" w14:textId="77777777" w:rsidR="001F19EC" w:rsidRPr="001F19EC" w:rsidRDefault="001F19EC" w:rsidP="001F19EC">
      <w:r w:rsidRPr="001F19EC">
        <w:rPr>
          <w:b/>
          <w:bCs/>
        </w:rPr>
        <w:t xml:space="preserve">Comment Theme: </w:t>
      </w:r>
      <w:r w:rsidRPr="001F19EC">
        <w:t>Commenters challenge MAGICC as unsuited for project-level analysis; argue RCP/SSP scenarios cannot isolate individual project temperature impacts.</w:t>
      </w:r>
    </w:p>
    <w:p w14:paraId="3D4E278C" w14:textId="77777777" w:rsidR="001F19EC" w:rsidRPr="001F19EC" w:rsidRDefault="001F19EC" w:rsidP="001F19EC"/>
    <w:p w14:paraId="7A500205" w14:textId="77777777" w:rsidR="001F19EC" w:rsidRPr="001F19EC" w:rsidRDefault="001F19EC" w:rsidP="001F19EC">
      <w:r w:rsidRPr="001F19EC">
        <w:rPr>
          <w:b/>
          <w:bCs/>
        </w:rPr>
        <w:t>Comment Text:</w:t>
      </w:r>
      <w:r w:rsidRPr="001F19EC">
        <w:t xml:space="preserve"> “DEQ acknowledges that the MAGICC climate model is fundamentally ill-suited for project-level emissions analysis, yet relies on it as the primary analytical tool in the Supplemental EA. . . . The agency admits that at the scale of individual projects, MAGICC produces results that are “statistically </w:t>
      </w:r>
      <w:r w:rsidRPr="001F19EC">
        <w:lastRenderedPageBreak/>
        <w:t>insignificant,” with temperature impacts appearing to switch “on and off” between years, “an artifact” indicating the model cannot reliably distinguish such emissions from zero.”</w:t>
      </w:r>
    </w:p>
    <w:p w14:paraId="6A6A63B0" w14:textId="77777777" w:rsidR="001F19EC" w:rsidRPr="001F19EC" w:rsidRDefault="001F19EC" w:rsidP="001F19EC">
      <w:r w:rsidRPr="001F19EC">
        <w:t>“Rather than addressing these acknowledged limitations by employing appropriate analytical tools, DEQ doubles down on the flawed approach: it uses MAGICC to analyze Montana’s statewide emissions (50.74 million tons), calculates a minuscule temperature change, then compares the project’s artificially limited 337 tons to this statewide total to conclude the project contributes only 0.000664% and is therefore negligible. This is analytical malpractice–using a tool DEQ admits is not suited to project-level analysis, then leveraging that tool’s inadequacy to further minimize and render the project’s impacts invisible through percentage comparison.”</w:t>
      </w:r>
    </w:p>
    <w:p w14:paraId="0E7F4A1B" w14:textId="77777777" w:rsidR="001F19EC" w:rsidRPr="001F19EC" w:rsidRDefault="001F19EC" w:rsidP="001F19EC"/>
    <w:p w14:paraId="444AA841" w14:textId="77777777" w:rsidR="001F19EC" w:rsidRPr="001F19EC" w:rsidRDefault="001F19EC" w:rsidP="001F19EC">
      <w:r w:rsidRPr="001F19EC">
        <w:t>Commenters argue that the MAGICC model and global emissions scenarios (RCPs/SSPs) are unsuited for project-level analysis.</w:t>
      </w:r>
    </w:p>
    <w:p w14:paraId="7F259329" w14:textId="77777777" w:rsidR="001F19EC" w:rsidRPr="001F19EC" w:rsidRDefault="001F19EC" w:rsidP="001F19EC"/>
    <w:p w14:paraId="5F8B8C05" w14:textId="77777777" w:rsidR="001F19EC" w:rsidRPr="001F19EC" w:rsidRDefault="001F19EC" w:rsidP="001F19EC">
      <w:r w:rsidRPr="001F19EC">
        <w:t xml:space="preserve">DEQ agrees that MAGICC and global emissions pathways were designed for aggregate, large-scale analysis. The Supplemental EA acknowledges this limitation and uses MAGICC for a limited, contextual purpose: to illustrate at an order-of-magnitude level how Montana's total statewide emissions relate to global temperature trajectories. The project's emissions are then situated within that statewide context as a proportional share. In response to public </w:t>
      </w:r>
      <w:proofErr w:type="gramStart"/>
      <w:r w:rsidRPr="001F19EC">
        <w:t>comment</w:t>
      </w:r>
      <w:proofErr w:type="gramEnd"/>
      <w:r w:rsidRPr="001F19EC">
        <w:t xml:space="preserve">, DEQ has expanded this explanation in the Supplemental EA, and has updated the references table to include Appendix 3 of the Greenhouse Gas Guidance Document as it was inadvertently omitted from the list of references, as well as other references that were used to assist commenters in understanding GHG emission impacts. </w:t>
      </w:r>
    </w:p>
    <w:p w14:paraId="07878D09" w14:textId="77777777" w:rsidR="001F19EC" w:rsidRPr="001F19EC" w:rsidRDefault="001F19EC" w:rsidP="001F19EC"/>
    <w:p w14:paraId="763A575A" w14:textId="77777777" w:rsidR="001F19EC" w:rsidRPr="001F19EC" w:rsidRDefault="001F19EC" w:rsidP="001F19EC">
      <w:r w:rsidRPr="001F19EC">
        <w:t xml:space="preserve">The modeled temperature increment is not treated as a precise measure of the project's physical climate impact or as the determinative basis for </w:t>
      </w:r>
      <w:proofErr w:type="gramStart"/>
      <w:r w:rsidRPr="001F19EC">
        <w:t>the significance</w:t>
      </w:r>
      <w:proofErr w:type="gramEnd"/>
      <w:r w:rsidRPr="001F19EC">
        <w:t xml:space="preserve"> determination. Rather, the Supplemental EA evaluates GHG impacts primarily </w:t>
      </w:r>
      <w:proofErr w:type="gramStart"/>
      <w:r w:rsidRPr="001F19EC">
        <w:t>through:</w:t>
      </w:r>
      <w:proofErr w:type="gramEnd"/>
      <w:r w:rsidRPr="001F19EC">
        <w:t xml:space="preserve"> quantitative emission estimates from coal-transport activities; comparison to Montana's and global emission totals; and qualitative discussion of climate impacts in Montana and the Northern Great Plains. This use of a reduced-complexity model for contextual illustration—not project-level attribution—is consistent with climate-science practice and with well-established legal authority. </w:t>
      </w:r>
      <w:r w:rsidRPr="001F19EC">
        <w:rPr>
          <w:i/>
          <w:iCs/>
        </w:rPr>
        <w:t>See, e.g.,</w:t>
      </w:r>
      <w:r w:rsidRPr="001F19EC">
        <w:t xml:space="preserve"> </w:t>
      </w:r>
      <w:r w:rsidRPr="001F19EC">
        <w:rPr>
          <w:i/>
          <w:iCs/>
        </w:rPr>
        <w:t>Food &amp; Water Watch v. FERC</w:t>
      </w:r>
      <w:r w:rsidRPr="001F19EC">
        <w:t xml:space="preserve">, 104 F.4th 336, 346-47 (D.C. Cir. 2024); </w:t>
      </w:r>
      <w:r w:rsidRPr="001F19EC">
        <w:rPr>
          <w:i/>
          <w:iCs/>
        </w:rPr>
        <w:t>BMLA v. DEQ</w:t>
      </w:r>
      <w:r w:rsidRPr="001F19EC">
        <w:t xml:space="preserve">, Order on MSJ, at 18. </w:t>
      </w:r>
    </w:p>
    <w:p w14:paraId="21153C7E" w14:textId="77777777" w:rsidR="004D02AC" w:rsidRDefault="004D02AC" w:rsidP="001F19EC">
      <w:pPr>
        <w:rPr>
          <w:b/>
          <w:bCs/>
        </w:rPr>
      </w:pPr>
    </w:p>
    <w:p w14:paraId="373603AB" w14:textId="7D82E196" w:rsidR="001F19EC" w:rsidRPr="001F19EC" w:rsidRDefault="001F19EC" w:rsidP="001F19EC">
      <w:r w:rsidRPr="001F19EC">
        <w:rPr>
          <w:b/>
          <w:bCs/>
        </w:rPr>
        <w:t>Response 5: Inadequate Context for Decision-Makers / Montana-Specific Impacts</w:t>
      </w:r>
    </w:p>
    <w:p w14:paraId="2E378739" w14:textId="77777777" w:rsidR="001F19EC" w:rsidRPr="001F19EC" w:rsidRDefault="001F19EC" w:rsidP="001F19EC">
      <w:r w:rsidRPr="001F19EC">
        <w:rPr>
          <w:b/>
          <w:bCs/>
        </w:rPr>
        <w:t xml:space="preserve">Comment Theme: </w:t>
      </w:r>
      <w:r w:rsidRPr="001F19EC">
        <w:t>Commenters argue emissions are presented as abstract numbers without Montana-specific impacts; demand specific quantification of days over 90°F, snowpack loss, wildfire risk.</w:t>
      </w:r>
    </w:p>
    <w:p w14:paraId="234B4FDA" w14:textId="77777777" w:rsidR="001F19EC" w:rsidRPr="001F19EC" w:rsidRDefault="001F19EC" w:rsidP="001F19EC">
      <w:pPr>
        <w:rPr>
          <w:b/>
          <w:bCs/>
        </w:rPr>
      </w:pPr>
    </w:p>
    <w:p w14:paraId="1B43363D" w14:textId="77777777" w:rsidR="001F19EC" w:rsidRPr="001F19EC" w:rsidRDefault="001F19EC" w:rsidP="001F19EC">
      <w:r w:rsidRPr="001F19EC">
        <w:rPr>
          <w:b/>
          <w:bCs/>
        </w:rPr>
        <w:t>Comment Text:</w:t>
      </w:r>
      <w:r w:rsidRPr="001F19EC">
        <w:t xml:space="preserve"> “In addition to misstating the actual GHG impacts of the proposed action, the Supplemental EA further renders meaningless the emissions it does calculate by providing only abstract numbers– 337 metric tons of CO2e from transport– without translating what these emissions mean for Montana’s environment, public health, or communities. To the average member of the public, a legislator, or a decisionmaker, these figures are meaningless without context.”</w:t>
      </w:r>
    </w:p>
    <w:p w14:paraId="7C84860B" w14:textId="77777777" w:rsidR="001F19EC" w:rsidRPr="001F19EC" w:rsidRDefault="001F19EC" w:rsidP="001F19EC">
      <w:r w:rsidRPr="001F19EC">
        <w:t>“The Draft Supplemental EA includes a general discussion noting that climate impacts “include increased flooding and drought, rising temperatures, and the spread of invasive species,” and that Montana may experience “decreases in snowpack, drier forests resulting in increased likelihood of forest fires.” . . . But DEQ makes no effort to connect these observations to the project. How many more days over 90°F? How much additional snowpack loss or wildfire risk? The Draft Supplemental EA is silent.”</w:t>
      </w:r>
    </w:p>
    <w:p w14:paraId="03174392" w14:textId="77777777" w:rsidR="001F19EC" w:rsidRPr="001F19EC" w:rsidRDefault="001F19EC" w:rsidP="001F19EC">
      <w:r w:rsidRPr="001F19EC">
        <w:t xml:space="preserve">“This failure violates MEPA’s core informational purpose: to “assist the legislature in determining whether environmental regulations are adequate to address impacts to Montana’s environment and to inform the public and public officials of potential impacts.” . . . Abstract emission numbers, particularly when </w:t>
      </w:r>
      <w:r w:rsidRPr="001F19EC">
        <w:lastRenderedPageBreak/>
        <w:t>artificially minimized by excluding combustion, do not inform. The public cannot meaningfully participate when they cannot understand what these additional metric tons of CO2e means for their communities, health, or water supply.”</w:t>
      </w:r>
    </w:p>
    <w:p w14:paraId="2E87D6FC" w14:textId="77777777" w:rsidR="001F19EC" w:rsidRPr="001F19EC" w:rsidRDefault="001F19EC" w:rsidP="001F19EC"/>
    <w:p w14:paraId="2C4F5C10" w14:textId="77777777" w:rsidR="001F19EC" w:rsidRPr="001F19EC" w:rsidRDefault="001F19EC" w:rsidP="001F19EC">
      <w:r w:rsidRPr="001F19EC">
        <w:t>Commenters assert that the Supplemental EA must translate the project's 337 metric tons of CO₂e into specific, Montana-localized physical impacts (additional days over 90°F, snowpack loss, wildfire-risk increments).</w:t>
      </w:r>
    </w:p>
    <w:p w14:paraId="7B8BAC79" w14:textId="77777777" w:rsidR="001F19EC" w:rsidRPr="001F19EC" w:rsidRDefault="001F19EC" w:rsidP="001F19EC"/>
    <w:p w14:paraId="386495EB" w14:textId="77777777" w:rsidR="001F19EC" w:rsidRPr="001F19EC" w:rsidRDefault="001F19EC" w:rsidP="001F19EC">
      <w:r w:rsidRPr="001F19EC">
        <w:t>Again, as stated above, current climate science does not support attributing discrete, localized physical impacts to a single project's emissions. Climate impacts result from the cumulative effect of all global GHG sources rather than from any individual project. The 13</w:t>
      </w:r>
      <w:r w:rsidRPr="001F19EC">
        <w:rPr>
          <w:vertAlign w:val="superscript"/>
        </w:rPr>
        <w:t>th</w:t>
      </w:r>
      <w:r w:rsidRPr="001F19EC">
        <w:t xml:space="preserve"> Judicial District reached this same conclusion, finding DEQ's climate analysis adequate where DEQ relied on BLM and other assessments to describe regional climate impacts qualitatively, without attributing specific physical effects to the project alone. Order at 18.</w:t>
      </w:r>
    </w:p>
    <w:p w14:paraId="05D82ADF" w14:textId="77777777" w:rsidR="001F19EC" w:rsidRPr="001F19EC" w:rsidRDefault="001F19EC" w:rsidP="001F19EC"/>
    <w:p w14:paraId="50F15FF6" w14:textId="77777777" w:rsidR="001F19EC" w:rsidRPr="001F19EC" w:rsidRDefault="001F19EC" w:rsidP="001F19EC">
      <w:r w:rsidRPr="001F19EC">
        <w:t>Nevertheless, in response to public comment, DEQ expanded the Supplemental EA's climate-context discussion to summarize key findings from the IPCC and regional assessments, including: human influence on the climate system is unequivocal; current warming is approximately 1.1°C above pre-industrial levels; the Northern Great Plains, including Montana, is expected to experience continued warming, altered hydrology, decreased snowpack, more frequent and severe drought, increased wildfire risk, and longer fire seasons; and Montana has already experienced 2–3°F of historical warming with associated public-health risks. The Supplemental EA recognizes that the project's emissions incrementally add to the cumulative atmospheric conditions driving these impacts.</w:t>
      </w:r>
    </w:p>
    <w:p w14:paraId="56FB4DFC" w14:textId="77777777" w:rsidR="001F19EC" w:rsidRPr="001F19EC" w:rsidRDefault="001F19EC" w:rsidP="001F19EC"/>
    <w:p w14:paraId="01EBB2CA" w14:textId="77777777" w:rsidR="001F19EC" w:rsidRPr="001F19EC" w:rsidRDefault="001F19EC" w:rsidP="001F19EC">
      <w:r w:rsidRPr="001F19EC">
        <w:t xml:space="preserve">This approach satisfies MEPA's requirement to "make an adequate compilation of relevant information," rather than gather </w:t>
      </w:r>
      <w:r w:rsidRPr="001F19EC">
        <w:rPr>
          <w:i/>
          <w:iCs/>
        </w:rPr>
        <w:t>all</w:t>
      </w:r>
      <w:r w:rsidRPr="001F19EC">
        <w:t xml:space="preserve"> relevant data, and analyze it reasonably, while remaining within the bounds of what current science can support for a 337 metric ton/year transport-emission source.</w:t>
      </w:r>
    </w:p>
    <w:p w14:paraId="13070A82" w14:textId="77777777" w:rsidR="004D02AC" w:rsidRDefault="004D02AC" w:rsidP="001F19EC">
      <w:pPr>
        <w:rPr>
          <w:b/>
          <w:bCs/>
        </w:rPr>
      </w:pPr>
    </w:p>
    <w:p w14:paraId="4A36949F" w14:textId="46BE7122" w:rsidR="001F19EC" w:rsidRPr="001F19EC" w:rsidRDefault="001F19EC" w:rsidP="001F19EC">
      <w:r w:rsidRPr="001F19EC">
        <w:rPr>
          <w:b/>
          <w:bCs/>
        </w:rPr>
        <w:t>Response 6: ARM 17.4.608 Significance Criteria</w:t>
      </w:r>
    </w:p>
    <w:p w14:paraId="2AF07C2B" w14:textId="77777777" w:rsidR="001F19EC" w:rsidRPr="001F19EC" w:rsidRDefault="001F19EC" w:rsidP="001F19EC">
      <w:r w:rsidRPr="001F19EC">
        <w:rPr>
          <w:b/>
          <w:bCs/>
        </w:rPr>
        <w:t xml:space="preserve">Comment Theme: </w:t>
      </w:r>
      <w:r w:rsidRPr="001F19EC">
        <w:t>Commenters systematically challenge all seven ARM 17.4.608 factors.</w:t>
      </w:r>
    </w:p>
    <w:p w14:paraId="66D85762" w14:textId="77777777" w:rsidR="001F19EC" w:rsidRPr="001F19EC" w:rsidRDefault="001F19EC" w:rsidP="001F19EC">
      <w:pPr>
        <w:rPr>
          <w:b/>
          <w:bCs/>
        </w:rPr>
      </w:pPr>
    </w:p>
    <w:p w14:paraId="149D3BAC" w14:textId="77777777" w:rsidR="001F19EC" w:rsidRPr="001F19EC" w:rsidRDefault="001F19EC" w:rsidP="001F19EC">
      <w:r w:rsidRPr="001F19EC">
        <w:rPr>
          <w:b/>
          <w:bCs/>
        </w:rPr>
        <w:t>Comment Text:</w:t>
      </w:r>
      <w:r w:rsidRPr="001F19EC">
        <w:t xml:space="preserve"> When determining whether an Environmental Impact Statement is required, DEQ must consider seven significance criteria under ARM 17.4.608: severity, duration, geographic extent, frequency, cumulative impacts, importance of affected resources, and potential regulatory conflicts. The Supplemental EA addresses each criterion and concludes that none warrant further environmental review. . . . These findings rest entirely on DEQ’s limited emissions accounting—the 337 tons of transport emissions rather than the project’s actual 1,200,000 tons of combustion emissions. When the analysis is corrected to reflect the project’s true climate impact, each significance finding fails.”</w:t>
      </w:r>
    </w:p>
    <w:p w14:paraId="6F06ECA1" w14:textId="77777777" w:rsidR="001F19EC" w:rsidRPr="001F19EC" w:rsidRDefault="001F19EC" w:rsidP="001F19EC">
      <w:r w:rsidRPr="001F19EC">
        <w:t>“Severity: DEQ finds that “[t]he Proposed Action’s contribution of GHG emissions would not be distinguishable on a global or local scale.” . . . This finding is based entirely on the faulty emission accounting that excludes 99.97% of the project’s actual emissions. In reality, 1,200,000 metric tons of CO2e per year is substantial, not negligible. . . . A project contributing 2.4% of Montana’s total annual GHG emissions cannot be characterized as having negligible severity.”</w:t>
      </w:r>
    </w:p>
    <w:p w14:paraId="77B0D0B3" w14:textId="77777777" w:rsidR="001F19EC" w:rsidRPr="001F19EC" w:rsidRDefault="001F19EC" w:rsidP="001F19EC">
      <w:r w:rsidRPr="001F19EC">
        <w:t xml:space="preserve">“Duration: DEQ acknowledges that “GHG impacts are long-term (over decades and centuries)” but concludes the impact “would not be permanent.” . . . Carbon dioxide </w:t>
      </w:r>
      <w:proofErr w:type="gramStart"/>
      <w:r w:rsidRPr="001F19EC">
        <w:t>persists</w:t>
      </w:r>
      <w:proofErr w:type="gramEnd"/>
      <w:r w:rsidRPr="001F19EC">
        <w:t xml:space="preserve"> in the atmosphere for centuries</w:t>
      </w:r>
      <w:proofErr w:type="gramStart"/>
      <w:r w:rsidRPr="001F19EC">
        <w:t>. . . .</w:t>
      </w:r>
      <w:proofErr w:type="gramEnd"/>
      <w:r w:rsidRPr="001F19EC">
        <w:t xml:space="preserve"> The project’s finite operational life does not make its climate impacts temporary; it makes them effectively permanent.”</w:t>
      </w:r>
    </w:p>
    <w:p w14:paraId="554358BD" w14:textId="77777777" w:rsidR="001F19EC" w:rsidRPr="001F19EC" w:rsidRDefault="001F19EC" w:rsidP="001F19EC">
      <w:r w:rsidRPr="001F19EC">
        <w:t xml:space="preserve">“Geographic Extent: DEQ reasons that “because the impacts are not concentrated in the immediate Bull </w:t>
      </w:r>
      <w:r w:rsidRPr="001F19EC">
        <w:lastRenderedPageBreak/>
        <w:t>Mountain Mine area, or within the State of Montana, the project’s contribution of GHGs would be indistinguishable from the background.” . . . This analysis conflates the dispersed nature of GHGs mixing in the atmosphere with the concentrated, distinguishable impacts those gases cause in Montana.”</w:t>
      </w:r>
    </w:p>
    <w:p w14:paraId="13B0324A" w14:textId="77777777" w:rsidR="001F19EC" w:rsidRPr="001F19EC" w:rsidRDefault="001F19EC" w:rsidP="001F19EC">
      <w:r w:rsidRPr="001F19EC">
        <w:t>“Cumulative Impacts: DEQ concludes the project “would not have any growth-inducing or growth inhibiting aspects, or significant contribution to cumulative impacts” because the project’s 337 tons represent only 0.000664%. . . . If Montana approved just 42 similar projects using this methodology, the state’s emissions would double. This is precisely the tyranny of small decisions that cumulative impacts analysis exists to prevent.”</w:t>
      </w:r>
    </w:p>
    <w:p w14:paraId="6985FC60" w14:textId="77777777" w:rsidR="001F19EC" w:rsidRPr="001F19EC" w:rsidRDefault="001F19EC" w:rsidP="001F19EC">
      <w:r w:rsidRPr="001F19EC">
        <w:t>“Importance of Resource: DEQ acknowledges that “the value of a stable climate system is of the highest importance to the state and society” but dismisses the project’s impact as negligible. . . . When a project will contribute additional metric tons of CO2e annually to a problem that threatens this fundamental constitutional right, the agency cannot dismiss that impact as insignificant merely because other sources also contribute to the problem.”</w:t>
      </w:r>
    </w:p>
    <w:p w14:paraId="542FD141" w14:textId="77777777" w:rsidR="001F19EC" w:rsidRPr="001F19EC" w:rsidRDefault="001F19EC" w:rsidP="001F19EC"/>
    <w:p w14:paraId="497B9769" w14:textId="77777777" w:rsidR="001F19EC" w:rsidRPr="001F19EC" w:rsidRDefault="001F19EC" w:rsidP="001F19EC">
      <w:r w:rsidRPr="001F19EC">
        <w:t>Commenters assert that when the analysis is "corrected" to include combustion emissions, each ARM 17.4.608 factor warrants an EIS. This argument depends on the premise—addressed in Response 2—that DEQ must attribute downstream combustion emissions to this air-quality transport permit. For the reasons stated there, DEQ's scope of analysis is appropriate: DEQ is not required to consider downstream combustion that is a separate project beyond the scope of its authority.</w:t>
      </w:r>
    </w:p>
    <w:p w14:paraId="256C6718" w14:textId="77777777" w:rsidR="001F19EC" w:rsidRPr="001F19EC" w:rsidRDefault="001F19EC" w:rsidP="001F19EC"/>
    <w:p w14:paraId="4ABBD64A" w14:textId="77777777" w:rsidR="001F19EC" w:rsidRPr="001F19EC" w:rsidRDefault="001F19EC" w:rsidP="001F19EC">
      <w:r w:rsidRPr="001F19EC">
        <w:t>The Supplemental EA evaluates each of the seven ARM 17.4.608 criteria based on the emissions actually attributable to this permit action (337 metric tons CO₂e/yr from on-site diesel combustion for coal handling and transport). The significance finding considers the magnitude and duration of those emissions, their proportional contribution to Montana's annual total (</w:t>
      </w:r>
      <w:r w:rsidRPr="001F19EC">
        <w:rPr>
          <w:rFonts w:ascii="Cambria Math" w:hAnsi="Cambria Math" w:cs="Cambria Math"/>
        </w:rPr>
        <w:t>∼</w:t>
      </w:r>
      <w:r w:rsidRPr="001F19EC">
        <w:t>0.000664%), the cumulative climate context, and the scope of DEQ's air-quality permit decision.</w:t>
      </w:r>
    </w:p>
    <w:p w14:paraId="2318B52B" w14:textId="77777777" w:rsidR="001F19EC" w:rsidRPr="001F19EC" w:rsidRDefault="001F19EC" w:rsidP="001F19EC"/>
    <w:p w14:paraId="05EAF5C3" w14:textId="77777777" w:rsidR="001F19EC" w:rsidRDefault="001F19EC" w:rsidP="001F19EC">
      <w:r w:rsidRPr="001F19EC">
        <w:t>In response to public comments, DEQ has revised the significance section of the Supplemental EA to include additional climate-impact considerations and better explain how each ARM 17.4.608 factor was evaluated.</w:t>
      </w:r>
    </w:p>
    <w:p w14:paraId="2F8BEB3F" w14:textId="77777777" w:rsidR="001F19EC" w:rsidRPr="001F19EC" w:rsidRDefault="001F19EC" w:rsidP="001F19EC"/>
    <w:p w14:paraId="21E2E3BA" w14:textId="77777777" w:rsidR="001F19EC" w:rsidRPr="001F19EC" w:rsidRDefault="001F19EC" w:rsidP="001F19EC">
      <w:r w:rsidRPr="001F19EC">
        <w:rPr>
          <w:b/>
          <w:bCs/>
        </w:rPr>
        <w:t>Response 7: Alternatives Analysis – Renewables Alternative</w:t>
      </w:r>
    </w:p>
    <w:p w14:paraId="18471EA7" w14:textId="77777777" w:rsidR="001F19EC" w:rsidRPr="001F19EC" w:rsidRDefault="001F19EC" w:rsidP="001F19EC">
      <w:r w:rsidRPr="001F19EC">
        <w:rPr>
          <w:b/>
          <w:bCs/>
        </w:rPr>
        <w:t xml:space="preserve">Comment Theme: </w:t>
      </w:r>
      <w:r w:rsidRPr="001F19EC">
        <w:t xml:space="preserve">Commenters demand analysis of 100% renewables alternative; argue </w:t>
      </w:r>
      <w:r w:rsidRPr="001F19EC">
        <w:rPr>
          <w:i/>
          <w:iCs/>
        </w:rPr>
        <w:t>Held</w:t>
      </w:r>
      <w:r w:rsidRPr="001F19EC">
        <w:t xml:space="preserve"> findings on renewable feasibility obligate DEQ to analyze renewables.</w:t>
      </w:r>
    </w:p>
    <w:p w14:paraId="7B6FBC77" w14:textId="77777777" w:rsidR="001F19EC" w:rsidRPr="001F19EC" w:rsidRDefault="001F19EC" w:rsidP="001F19EC"/>
    <w:p w14:paraId="089E0C3B" w14:textId="77777777" w:rsidR="001F19EC" w:rsidRPr="001F19EC" w:rsidRDefault="001F19EC" w:rsidP="001F19EC">
      <w:r w:rsidRPr="001F19EC">
        <w:rPr>
          <w:b/>
          <w:bCs/>
        </w:rPr>
        <w:t>Comment Text</w:t>
      </w:r>
      <w:r w:rsidRPr="001F19EC">
        <w:t>: “The Supplemental EA’s alternatives analysis consists of a single paragraph presenting two options: approve or deny. . . . This cursory treatment fails to satisfy MEPA’s requirement for “a meaningful no-action alternative analysis” that “must include the projected beneficial and adverse environmental, social, and economic impact of the project’s noncompletion.” § 75-1-201(1)(a)(iv)(C), MCA. DEQ provides no analysis of what the avoided emission burden means for Montana’s climate.”</w:t>
      </w:r>
    </w:p>
    <w:p w14:paraId="3247F599" w14:textId="77777777" w:rsidR="001F19EC" w:rsidRPr="001F19EC" w:rsidRDefault="001F19EC" w:rsidP="001F19EC">
      <w:r w:rsidRPr="001F19EC">
        <w:t>“MEPA implicates more than a binary choice between approval and denial. An alternatives analysis must include “an evaluation of different parameters, mitigation measures, or control measures that would accomplish the same objectives as those included in the proposed action by the applicant.” § 75-1-220(1), MCA. . . . The Supplemental EA contains no discussion of alternative parameters that might reduce the project’s emissions (i.e., phased implementation, reduced transportation volumes, alternative transportation methods with lower emissions, or operational modifications). It includes no mitigation measures whatsoever.”</w:t>
      </w:r>
    </w:p>
    <w:p w14:paraId="0DA5B0F9" w14:textId="77777777" w:rsidR="001F19EC" w:rsidRPr="001F19EC" w:rsidRDefault="001F19EC" w:rsidP="001F19EC">
      <w:r w:rsidRPr="001F19EC">
        <w:t xml:space="preserve">“MEPA explicitly directs agencies to “disclose proposed actions to avoid, minimize, or mitigate environmental impacts in accordance with existing regulations.” § 75-1-102(2), MCA. Yet DEQ identifies </w:t>
      </w:r>
      <w:r w:rsidRPr="001F19EC">
        <w:lastRenderedPageBreak/>
        <w:t>no measures to avoid, minimize, or offset the emissions this project will generate.”</w:t>
      </w:r>
    </w:p>
    <w:p w14:paraId="2882F163" w14:textId="77777777" w:rsidR="001F19EC" w:rsidRPr="001F19EC" w:rsidRDefault="001F19EC" w:rsidP="001F19EC"/>
    <w:p w14:paraId="42732DE5" w14:textId="77777777" w:rsidR="001F19EC" w:rsidRPr="001F19EC" w:rsidRDefault="001F19EC" w:rsidP="001F19EC">
      <w:r w:rsidRPr="001F19EC">
        <w:t xml:space="preserve">Commenters assert that DEQ must evaluate a 100% renewables alternative, citing </w:t>
      </w:r>
      <w:r w:rsidRPr="001F19EC">
        <w:rPr>
          <w:i/>
          <w:iCs/>
        </w:rPr>
        <w:t>Held</w:t>
      </w:r>
      <w:r w:rsidRPr="001F19EC">
        <w:t>'s findings on renewable-energy feasibility in Montana.</w:t>
      </w:r>
    </w:p>
    <w:p w14:paraId="57B4763E" w14:textId="77777777" w:rsidR="001F19EC" w:rsidRPr="001F19EC" w:rsidRDefault="001F19EC" w:rsidP="001F19EC"/>
    <w:p w14:paraId="41291060" w14:textId="77777777" w:rsidR="001F19EC" w:rsidRPr="001F19EC" w:rsidRDefault="001F19EC" w:rsidP="001F19EC">
      <w:r w:rsidRPr="001F19EC">
        <w:t xml:space="preserve">Commenters are mistaken on the scope of assessing no action alternatives and mitigation measures. Mitigation measures are required to be discussed in preparing an EA if the action would otherwise rise to the level of significance but for the mitigation measures employed. ARM 17.4.609(2)(d), (3)(g). Additionally, even when appropriate, mitigation measures must be enforceable by DEQ. </w:t>
      </w:r>
      <w:r w:rsidRPr="001F19EC">
        <w:rPr>
          <w:i/>
          <w:iCs/>
        </w:rPr>
        <w:t xml:space="preserve">Id. </w:t>
      </w:r>
      <w:r w:rsidRPr="001F19EC">
        <w:t xml:space="preserve">DEQ’s significance finding is not dependent on mitigation measures; DEQ determined that there wouldn’t be significant impacts in preparing its Supplemental EA. </w:t>
      </w:r>
    </w:p>
    <w:p w14:paraId="5F660345" w14:textId="77777777" w:rsidR="001F19EC" w:rsidRPr="001F19EC" w:rsidRDefault="001F19EC" w:rsidP="001F19EC"/>
    <w:p w14:paraId="67986A72" w14:textId="77777777" w:rsidR="001F19EC" w:rsidRPr="001F19EC" w:rsidRDefault="001F19EC" w:rsidP="001F19EC">
      <w:r w:rsidRPr="001F19EC">
        <w:t xml:space="preserve">Commenters are also mistaken that DEQ must account for “meaningful alternatives” beyond a no-action alternative. This approval, notably, is not a “state-sponsored” project. In such instances, “MEPA does not require DEQ to attempt to define an applicant’s objective and raise alternatives to the applicant’s proposed project” under § 75-1-220(1), MCA. </w:t>
      </w:r>
      <w:r w:rsidRPr="001F19EC">
        <w:rPr>
          <w:i/>
          <w:iCs/>
        </w:rPr>
        <w:t xml:space="preserve">Park </w:t>
      </w:r>
      <w:proofErr w:type="spellStart"/>
      <w:r w:rsidRPr="001F19EC">
        <w:rPr>
          <w:i/>
          <w:iCs/>
        </w:rPr>
        <w:t>Cnty</w:t>
      </w:r>
      <w:proofErr w:type="spellEnd"/>
      <w:r w:rsidRPr="001F19EC">
        <w:rPr>
          <w:i/>
          <w:iCs/>
        </w:rPr>
        <w:t>. Envtl. Council v. DEQ</w:t>
      </w:r>
      <w:r w:rsidRPr="001F19EC">
        <w:t xml:space="preserve">, 2020 MT 303, ¶ 50 (stating it would be a “strained interpretation” of § 75-1-220(1) and “obviously impractical[]” to “require[e] DEQ to put itself in the shoes of each applicant to not only determine whether a proposed project will actually be feasible but also raise alternative approaches”).  MEPA does not require DEQ to redefine an applicant’s project objectives or substitute renewable-energy generation for a coal-transport activity. The </w:t>
      </w:r>
      <w:r w:rsidRPr="001F19EC">
        <w:rPr>
          <w:i/>
          <w:iCs/>
        </w:rPr>
        <w:t>Held</w:t>
      </w:r>
      <w:r w:rsidRPr="001F19EC">
        <w:t xml:space="preserve"> findings demonstrate that renewable-energy futures are plausible at a statewide system level; they do not require DEQ, in every individual permit review, to treat renewable-energy generation as an alternative to a specific coal-transport air-quality permit, nor do they expand DEQ’s jurisdiction to direct Montana’s power system. DEQ has evaluated the no-action alternative, which is reflected in the Supplemental EA.</w:t>
      </w:r>
    </w:p>
    <w:p w14:paraId="5D388555" w14:textId="77777777" w:rsidR="001F19EC" w:rsidRPr="001F19EC" w:rsidRDefault="001F19EC" w:rsidP="001F19EC"/>
    <w:p w14:paraId="5C5FF9A0" w14:textId="77777777" w:rsidR="001F19EC" w:rsidRPr="001F19EC" w:rsidRDefault="001F19EC" w:rsidP="001F19EC">
      <w:r w:rsidRPr="001F19EC">
        <w:t xml:space="preserve">Under MEPA, the range of alternatives in an EA is tailored to the nature, complexity, and scope of the agency decision. ARM 17.4.609(3); ARM 17.4.610(1). This Supplemental EA was prepared on voluntary remand for the limited purpose of supplementing the MEPA record with a GHG analysis for an existing air-quality permit authorizing coal transport. The purpose and need </w:t>
      </w:r>
      <w:proofErr w:type="gramStart"/>
      <w:r w:rsidRPr="001F19EC">
        <w:t>is</w:t>
      </w:r>
      <w:proofErr w:type="gramEnd"/>
      <w:r w:rsidRPr="001F19EC">
        <w:t xml:space="preserve"> to evaluate GHG emissions from coal-handling and transport under MAQP 3179-13—not to plan Montana’s energy future.</w:t>
      </w:r>
    </w:p>
    <w:p w14:paraId="199BEDB3" w14:textId="77777777" w:rsidR="00B3415D" w:rsidRPr="00CA41EC" w:rsidRDefault="00B3415D" w:rsidP="000F1937"/>
    <w:p w14:paraId="0DFAB131" w14:textId="77777777" w:rsidR="00B3415D" w:rsidRPr="00CA41EC" w:rsidRDefault="00B3415D" w:rsidP="000F1937"/>
    <w:p w14:paraId="656C4B03" w14:textId="77777777" w:rsidR="00B3415D" w:rsidRPr="00CA41EC" w:rsidRDefault="00B3415D" w:rsidP="00B3415D">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cstheme="minorHAnsi"/>
        </w:rPr>
      </w:pPr>
    </w:p>
    <w:p w14:paraId="5C28CD3B" w14:textId="77777777" w:rsidR="00561B86" w:rsidRDefault="00561B86"/>
    <w:sectPr w:rsidR="00561B86" w:rsidSect="00E01923">
      <w:pgSz w:w="12240" w:h="15840" w:code="1"/>
      <w:pgMar w:top="1354"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F0603" w14:textId="77777777" w:rsidR="001363FF" w:rsidRDefault="001363FF">
      <w:r>
        <w:separator/>
      </w:r>
    </w:p>
  </w:endnote>
  <w:endnote w:type="continuationSeparator" w:id="0">
    <w:p w14:paraId="1C7CBDA3" w14:textId="77777777" w:rsidR="001363FF" w:rsidRDefault="001363FF">
      <w:r>
        <w:continuationSeparator/>
      </w:r>
    </w:p>
  </w:endnote>
  <w:endnote w:type="continuationNotice" w:id="1">
    <w:p w14:paraId="76EB0E48" w14:textId="77777777" w:rsidR="001363FF" w:rsidRDefault="00136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5C87" w14:textId="67C91633" w:rsidR="00CA5B84" w:rsidRPr="00627AA8" w:rsidRDefault="27F276F4" w:rsidP="27F276F4">
    <w:pPr>
      <w:widowControl/>
      <w:tabs>
        <w:tab w:val="center" w:pos="4680"/>
        <w:tab w:val="right" w:pos="9360"/>
      </w:tabs>
      <w:autoSpaceDE/>
      <w:autoSpaceDN/>
      <w:rPr>
        <w:rFonts w:cstheme="minorBidi"/>
        <w:sz w:val="16"/>
        <w:szCs w:val="16"/>
        <w:lang w:bidi="ar-SA"/>
      </w:rPr>
    </w:pPr>
    <w:r w:rsidRPr="00627AA8">
      <w:rPr>
        <w:rFonts w:cstheme="minorBidi"/>
        <w:sz w:val="16"/>
        <w:szCs w:val="16"/>
        <w:lang w:bidi="ar-SA"/>
      </w:rPr>
      <w:t>3179-13</w:t>
    </w:r>
    <w:r w:rsidR="00CA5B84" w:rsidRPr="00627AA8">
      <w:rPr>
        <w:rFonts w:cstheme="minorHAnsi"/>
        <w:sz w:val="16"/>
        <w:szCs w:val="16"/>
        <w:lang w:bidi="ar-SA"/>
      </w:rPr>
      <w:ptab w:relativeTo="margin" w:alignment="center" w:leader="none"/>
    </w:r>
    <w:r w:rsidR="00CA5B84" w:rsidRPr="00627AA8">
      <w:rPr>
        <w:rFonts w:cstheme="minorBidi"/>
        <w:sz w:val="16"/>
        <w:szCs w:val="16"/>
        <w:lang w:bidi="ar-SA"/>
      </w:rPr>
      <w:fldChar w:fldCharType="begin"/>
    </w:r>
    <w:r w:rsidR="00CA5B84" w:rsidRPr="00627AA8">
      <w:rPr>
        <w:rFonts w:cstheme="minorBidi"/>
        <w:sz w:val="16"/>
        <w:szCs w:val="16"/>
        <w:lang w:bidi="ar-SA"/>
      </w:rPr>
      <w:instrText xml:space="preserve"> PAGE  \* Arabic  \* MERGEFORMAT </w:instrText>
    </w:r>
    <w:r w:rsidR="00CA5B84" w:rsidRPr="00627AA8">
      <w:rPr>
        <w:rFonts w:cstheme="minorBidi"/>
        <w:sz w:val="16"/>
        <w:szCs w:val="16"/>
        <w:lang w:bidi="ar-SA"/>
      </w:rPr>
      <w:fldChar w:fldCharType="separate"/>
    </w:r>
    <w:r w:rsidRPr="00627AA8">
      <w:rPr>
        <w:rFonts w:cstheme="minorBidi"/>
        <w:sz w:val="16"/>
        <w:szCs w:val="16"/>
        <w:lang w:bidi="ar-SA"/>
      </w:rPr>
      <w:t>3</w:t>
    </w:r>
    <w:r w:rsidR="00CA5B84" w:rsidRPr="00627AA8">
      <w:rPr>
        <w:rFonts w:cstheme="minorBidi"/>
        <w:sz w:val="16"/>
        <w:szCs w:val="16"/>
        <w:lang w:bidi="ar-SA"/>
      </w:rPr>
      <w:fldChar w:fldCharType="end"/>
    </w:r>
    <w:r w:rsidR="00CA5B84" w:rsidRPr="00627AA8">
      <w:rPr>
        <w:rFonts w:cstheme="minorHAnsi"/>
        <w:sz w:val="16"/>
        <w:szCs w:val="16"/>
        <w:lang w:bidi="ar-SA"/>
      </w:rPr>
      <w:ptab w:relativeTo="margin" w:alignment="right" w:leader="none"/>
    </w:r>
    <w:r w:rsidR="001F14F5">
      <w:rPr>
        <w:rFonts w:cstheme="minorBidi"/>
        <w:sz w:val="16"/>
        <w:szCs w:val="16"/>
        <w:lang w:bidi="ar-SA"/>
      </w:rPr>
      <w:t>Final</w:t>
    </w:r>
    <w:r w:rsidRPr="00627AA8">
      <w:rPr>
        <w:rFonts w:cstheme="minorBidi"/>
        <w:sz w:val="16"/>
        <w:szCs w:val="16"/>
        <w:lang w:bidi="ar-SA"/>
      </w:rPr>
      <w:t xml:space="preserve"> EA: </w:t>
    </w:r>
    <w:r w:rsidR="00E0370E">
      <w:rPr>
        <w:rFonts w:cstheme="minorBidi"/>
        <w:sz w:val="16"/>
        <w:szCs w:val="16"/>
        <w:lang w:bidi="ar-SA"/>
      </w:rPr>
      <w:t>04/16</w:t>
    </w:r>
    <w:r w:rsidRPr="00627AA8">
      <w:rPr>
        <w:rFonts w:cstheme="minorBidi"/>
        <w:sz w:val="16"/>
        <w:szCs w:val="16"/>
        <w:lang w:bidi="ar-SA"/>
      </w:rPr>
      <w:t>/202</w:t>
    </w:r>
    <w:r w:rsidR="001F14F5">
      <w:rPr>
        <w:rFonts w:cstheme="minorBidi"/>
        <w:sz w:val="16"/>
        <w:szCs w:val="16"/>
        <w:lang w:bidi="ar-SA"/>
      </w:rPr>
      <w:t>6</w:t>
    </w:r>
  </w:p>
  <w:p w14:paraId="41107C03" w14:textId="77777777" w:rsidR="00CA5B84" w:rsidRDefault="00CA5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5C7E4" w14:textId="725378CC" w:rsidR="00CA5B84" w:rsidRPr="00627AA8" w:rsidRDefault="27F276F4" w:rsidP="27F276F4">
    <w:pPr>
      <w:widowControl/>
      <w:tabs>
        <w:tab w:val="center" w:pos="4680"/>
        <w:tab w:val="right" w:pos="9360"/>
      </w:tabs>
      <w:autoSpaceDE/>
      <w:autoSpaceDN/>
      <w:rPr>
        <w:rFonts w:cstheme="minorBidi"/>
        <w:sz w:val="16"/>
        <w:szCs w:val="16"/>
        <w:lang w:bidi="ar-SA"/>
      </w:rPr>
    </w:pPr>
    <w:r w:rsidRPr="00627AA8">
      <w:rPr>
        <w:rFonts w:cstheme="minorBidi"/>
        <w:sz w:val="16"/>
        <w:szCs w:val="16"/>
        <w:lang w:bidi="ar-SA"/>
      </w:rPr>
      <w:t>3179-13</w:t>
    </w:r>
    <w:r w:rsidR="00CA5B84" w:rsidRPr="00627AA8">
      <w:rPr>
        <w:rFonts w:cstheme="minorHAnsi"/>
        <w:sz w:val="16"/>
        <w:szCs w:val="16"/>
        <w:lang w:bidi="ar-SA"/>
      </w:rPr>
      <w:ptab w:relativeTo="margin" w:alignment="center" w:leader="none"/>
    </w:r>
    <w:r w:rsidR="00CA5B84" w:rsidRPr="00627AA8">
      <w:rPr>
        <w:rFonts w:cstheme="minorBidi"/>
        <w:sz w:val="16"/>
        <w:szCs w:val="16"/>
        <w:lang w:bidi="ar-SA"/>
      </w:rPr>
      <w:fldChar w:fldCharType="begin"/>
    </w:r>
    <w:r w:rsidR="00CA5B84" w:rsidRPr="00627AA8">
      <w:rPr>
        <w:rFonts w:cstheme="minorBidi"/>
        <w:sz w:val="16"/>
        <w:szCs w:val="16"/>
        <w:lang w:bidi="ar-SA"/>
      </w:rPr>
      <w:instrText xml:space="preserve"> PAGE  \* Arabic  \* MERGEFORMAT </w:instrText>
    </w:r>
    <w:r w:rsidR="00CA5B84" w:rsidRPr="00627AA8">
      <w:rPr>
        <w:rFonts w:cstheme="minorBidi"/>
        <w:sz w:val="16"/>
        <w:szCs w:val="16"/>
        <w:lang w:bidi="ar-SA"/>
      </w:rPr>
      <w:fldChar w:fldCharType="separate"/>
    </w:r>
    <w:r w:rsidRPr="00627AA8">
      <w:rPr>
        <w:rFonts w:cstheme="minorBidi"/>
        <w:sz w:val="16"/>
        <w:szCs w:val="16"/>
        <w:lang w:bidi="ar-SA"/>
      </w:rPr>
      <w:t>2</w:t>
    </w:r>
    <w:r w:rsidR="00CA5B84" w:rsidRPr="00627AA8">
      <w:rPr>
        <w:rFonts w:cstheme="minorBidi"/>
        <w:sz w:val="16"/>
        <w:szCs w:val="16"/>
        <w:lang w:bidi="ar-SA"/>
      </w:rPr>
      <w:fldChar w:fldCharType="end"/>
    </w:r>
    <w:r w:rsidR="00CA5B84" w:rsidRPr="00627AA8">
      <w:rPr>
        <w:rFonts w:cstheme="minorHAnsi"/>
        <w:sz w:val="16"/>
        <w:szCs w:val="16"/>
        <w:lang w:bidi="ar-SA"/>
      </w:rPr>
      <w:ptab w:relativeTo="margin" w:alignment="right" w:leader="none"/>
    </w:r>
    <w:r w:rsidR="00A56271">
      <w:rPr>
        <w:rFonts w:cstheme="minorBidi"/>
        <w:sz w:val="16"/>
        <w:szCs w:val="16"/>
        <w:lang w:bidi="ar-SA"/>
      </w:rPr>
      <w:t xml:space="preserve">Final </w:t>
    </w:r>
    <w:r w:rsidRPr="00627AA8">
      <w:rPr>
        <w:rFonts w:cstheme="minorBidi"/>
        <w:sz w:val="16"/>
        <w:szCs w:val="16"/>
        <w:lang w:bidi="ar-SA"/>
      </w:rPr>
      <w:t xml:space="preserve">EA: </w:t>
    </w:r>
    <w:r w:rsidR="00E0370E">
      <w:rPr>
        <w:rFonts w:cstheme="minorBidi"/>
        <w:sz w:val="16"/>
        <w:szCs w:val="16"/>
        <w:lang w:bidi="ar-SA"/>
      </w:rPr>
      <w:t>04/16</w:t>
    </w:r>
    <w:r w:rsidR="00A56271">
      <w:rPr>
        <w:rFonts w:cstheme="minorBidi"/>
        <w:sz w:val="16"/>
        <w:szCs w:val="16"/>
        <w:lang w:bidi="ar-SA"/>
      </w:rPr>
      <w:t>/2026</w:t>
    </w:r>
  </w:p>
  <w:p w14:paraId="0E325B5C" w14:textId="77777777" w:rsidR="00CA5B84" w:rsidRPr="001568EB" w:rsidRDefault="00CA5B84" w:rsidP="00E01923">
    <w:pPr>
      <w:pStyle w:val="Footer"/>
      <w:tabs>
        <w:tab w:val="clear" w:pos="4680"/>
        <w:tab w:val="clear" w:pos="9360"/>
        <w:tab w:val="left" w:pos="5174"/>
      </w:tabs>
      <w:rPr>
        <w:color w:val="009A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7889D" w14:textId="77777777" w:rsidR="001363FF" w:rsidRDefault="001363FF">
      <w:r>
        <w:separator/>
      </w:r>
    </w:p>
  </w:footnote>
  <w:footnote w:type="continuationSeparator" w:id="0">
    <w:p w14:paraId="3689071E" w14:textId="77777777" w:rsidR="001363FF" w:rsidRDefault="001363FF">
      <w:r>
        <w:continuationSeparator/>
      </w:r>
    </w:p>
  </w:footnote>
  <w:footnote w:type="continuationNotice" w:id="1">
    <w:p w14:paraId="34B86454" w14:textId="77777777" w:rsidR="001363FF" w:rsidRDefault="001363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7D7D"/>
    <w:multiLevelType w:val="multilevel"/>
    <w:tmpl w:val="74D0AE3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i w:val="0"/>
        <w:iCs/>
      </w:rPr>
    </w:lvl>
    <w:lvl w:ilvl="2">
      <w:start w:val="1"/>
      <w:numFmt w:val="lowerLetter"/>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6F6165"/>
    <w:multiLevelType w:val="hybridMultilevel"/>
    <w:tmpl w:val="49F2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1D15"/>
    <w:multiLevelType w:val="hybridMultilevel"/>
    <w:tmpl w:val="EC86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B32C0"/>
    <w:multiLevelType w:val="hybridMultilevel"/>
    <w:tmpl w:val="03C4D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523A6"/>
    <w:multiLevelType w:val="hybridMultilevel"/>
    <w:tmpl w:val="5338083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19940159"/>
    <w:multiLevelType w:val="hybridMultilevel"/>
    <w:tmpl w:val="2DAA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01F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F34A10"/>
    <w:multiLevelType w:val="hybridMultilevel"/>
    <w:tmpl w:val="50344DDA"/>
    <w:lvl w:ilvl="0" w:tplc="FAB6CB44">
      <w:start w:val="1"/>
      <w:numFmt w:val="lowerLetter"/>
      <w:lvlText w:val="%1."/>
      <w:lvlJc w:val="left"/>
      <w:pPr>
        <w:ind w:left="360" w:hanging="360"/>
      </w:pPr>
      <w:rPr>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83725D"/>
    <w:multiLevelType w:val="hybridMultilevel"/>
    <w:tmpl w:val="99A02F64"/>
    <w:lvl w:ilvl="0" w:tplc="37F40A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06750"/>
    <w:multiLevelType w:val="hybridMultilevel"/>
    <w:tmpl w:val="6D16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85C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532217"/>
    <w:multiLevelType w:val="hybridMultilevel"/>
    <w:tmpl w:val="D62AB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9374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D1CBC"/>
    <w:multiLevelType w:val="hybridMultilevel"/>
    <w:tmpl w:val="30D8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0211E"/>
    <w:multiLevelType w:val="hybridMultilevel"/>
    <w:tmpl w:val="BCFEE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2EB68A9"/>
    <w:multiLevelType w:val="hybridMultilevel"/>
    <w:tmpl w:val="CC0C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956C7"/>
    <w:multiLevelType w:val="multilevel"/>
    <w:tmpl w:val="B81C893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88010730">
    <w:abstractNumId w:val="7"/>
  </w:num>
  <w:num w:numId="2" w16cid:durableId="777457237">
    <w:abstractNumId w:val="4"/>
  </w:num>
  <w:num w:numId="3" w16cid:durableId="1464273582">
    <w:abstractNumId w:val="5"/>
  </w:num>
  <w:num w:numId="4" w16cid:durableId="1424913669">
    <w:abstractNumId w:val="1"/>
  </w:num>
  <w:num w:numId="5" w16cid:durableId="899440451">
    <w:abstractNumId w:val="14"/>
  </w:num>
  <w:num w:numId="6" w16cid:durableId="2042168828">
    <w:abstractNumId w:val="8"/>
  </w:num>
  <w:num w:numId="7" w16cid:durableId="680160238">
    <w:abstractNumId w:val="12"/>
  </w:num>
  <w:num w:numId="8" w16cid:durableId="568543483">
    <w:abstractNumId w:val="3"/>
  </w:num>
  <w:num w:numId="9" w16cid:durableId="1000348308">
    <w:abstractNumId w:val="18"/>
  </w:num>
  <w:num w:numId="10" w16cid:durableId="641272695">
    <w:abstractNumId w:val="0"/>
  </w:num>
  <w:num w:numId="11" w16cid:durableId="1318728973">
    <w:abstractNumId w:val="0"/>
    <w:lvlOverride w:ilvl="0">
      <w:startOverride w:val="1"/>
    </w:lvlOverride>
  </w:num>
  <w:num w:numId="12" w16cid:durableId="657423723">
    <w:abstractNumId w:val="10"/>
  </w:num>
  <w:num w:numId="13" w16cid:durableId="128399751">
    <w:abstractNumId w:val="6"/>
  </w:num>
  <w:num w:numId="14" w16cid:durableId="1812014394">
    <w:abstractNumId w:val="13"/>
  </w:num>
  <w:num w:numId="15" w16cid:durableId="230820523">
    <w:abstractNumId w:val="16"/>
  </w:num>
  <w:num w:numId="16" w16cid:durableId="220798429">
    <w:abstractNumId w:val="15"/>
  </w:num>
  <w:num w:numId="17" w16cid:durableId="159080360">
    <w:abstractNumId w:val="2"/>
  </w:num>
  <w:num w:numId="18" w16cid:durableId="1096249280">
    <w:abstractNumId w:val="17"/>
  </w:num>
  <w:num w:numId="19" w16cid:durableId="2033608249">
    <w:abstractNumId w:val="11"/>
  </w:num>
  <w:num w:numId="20" w16cid:durableId="1172595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readOnly" w:enforcement="1" w:cryptProviderType="rsaAES" w:cryptAlgorithmClass="hash" w:cryptAlgorithmType="typeAny" w:cryptAlgorithmSid="14" w:cryptSpinCount="100000" w:hash="2kjVVHLIVdS04HL1VcaWecvzG2QuDEsqTtJuxAzhm8cUExyJ+3LnnLFUhUL7FgxRGL6WhOaioJMhMddbSaV0Fg==" w:salt="m3oFrdEfWf/SihuVfp3a0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391"/>
    <w:rsid w:val="000012A6"/>
    <w:rsid w:val="000025FF"/>
    <w:rsid w:val="00002CAA"/>
    <w:rsid w:val="00003063"/>
    <w:rsid w:val="0000379F"/>
    <w:rsid w:val="0000398B"/>
    <w:rsid w:val="00006956"/>
    <w:rsid w:val="0000778C"/>
    <w:rsid w:val="000101A6"/>
    <w:rsid w:val="00011362"/>
    <w:rsid w:val="000119C9"/>
    <w:rsid w:val="00011E96"/>
    <w:rsid w:val="000120F7"/>
    <w:rsid w:val="0001217D"/>
    <w:rsid w:val="00013C33"/>
    <w:rsid w:val="00013EBE"/>
    <w:rsid w:val="000148F1"/>
    <w:rsid w:val="00014BBB"/>
    <w:rsid w:val="00014F21"/>
    <w:rsid w:val="00016378"/>
    <w:rsid w:val="00017239"/>
    <w:rsid w:val="000173DA"/>
    <w:rsid w:val="00017F27"/>
    <w:rsid w:val="00017F35"/>
    <w:rsid w:val="00017F6B"/>
    <w:rsid w:val="00020000"/>
    <w:rsid w:val="00020286"/>
    <w:rsid w:val="00022261"/>
    <w:rsid w:val="000227C5"/>
    <w:rsid w:val="000232AE"/>
    <w:rsid w:val="00023DA5"/>
    <w:rsid w:val="00023F09"/>
    <w:rsid w:val="00024506"/>
    <w:rsid w:val="00024F54"/>
    <w:rsid w:val="00025085"/>
    <w:rsid w:val="0002659D"/>
    <w:rsid w:val="0003021C"/>
    <w:rsid w:val="00031AC4"/>
    <w:rsid w:val="00032BEF"/>
    <w:rsid w:val="000335FA"/>
    <w:rsid w:val="00033746"/>
    <w:rsid w:val="00033D93"/>
    <w:rsid w:val="00034041"/>
    <w:rsid w:val="00034562"/>
    <w:rsid w:val="00034CDD"/>
    <w:rsid w:val="000363D0"/>
    <w:rsid w:val="00036AF3"/>
    <w:rsid w:val="00037895"/>
    <w:rsid w:val="00037D69"/>
    <w:rsid w:val="00043C12"/>
    <w:rsid w:val="000446EE"/>
    <w:rsid w:val="000447B6"/>
    <w:rsid w:val="00046059"/>
    <w:rsid w:val="000466FC"/>
    <w:rsid w:val="00046E17"/>
    <w:rsid w:val="0004712C"/>
    <w:rsid w:val="00047B17"/>
    <w:rsid w:val="00051307"/>
    <w:rsid w:val="000514B6"/>
    <w:rsid w:val="000518A9"/>
    <w:rsid w:val="00052BE3"/>
    <w:rsid w:val="00053CF3"/>
    <w:rsid w:val="00054266"/>
    <w:rsid w:val="00054A24"/>
    <w:rsid w:val="000550D0"/>
    <w:rsid w:val="0005552E"/>
    <w:rsid w:val="00056DA2"/>
    <w:rsid w:val="00056FD1"/>
    <w:rsid w:val="000574A6"/>
    <w:rsid w:val="00061162"/>
    <w:rsid w:val="00061B42"/>
    <w:rsid w:val="00062EBE"/>
    <w:rsid w:val="0006362B"/>
    <w:rsid w:val="00063B6A"/>
    <w:rsid w:val="00064F55"/>
    <w:rsid w:val="00064FAC"/>
    <w:rsid w:val="000660E8"/>
    <w:rsid w:val="000663A1"/>
    <w:rsid w:val="00066651"/>
    <w:rsid w:val="00070A4D"/>
    <w:rsid w:val="000711FC"/>
    <w:rsid w:val="00072036"/>
    <w:rsid w:val="00072724"/>
    <w:rsid w:val="00072C3C"/>
    <w:rsid w:val="00073AA9"/>
    <w:rsid w:val="0007574A"/>
    <w:rsid w:val="00075C59"/>
    <w:rsid w:val="00076394"/>
    <w:rsid w:val="0007649B"/>
    <w:rsid w:val="00076E64"/>
    <w:rsid w:val="00080049"/>
    <w:rsid w:val="000806F6"/>
    <w:rsid w:val="0008084B"/>
    <w:rsid w:val="000813D5"/>
    <w:rsid w:val="000818D8"/>
    <w:rsid w:val="000824F0"/>
    <w:rsid w:val="0008266B"/>
    <w:rsid w:val="000829E2"/>
    <w:rsid w:val="00083085"/>
    <w:rsid w:val="00083AD8"/>
    <w:rsid w:val="00084F28"/>
    <w:rsid w:val="00085220"/>
    <w:rsid w:val="0008587F"/>
    <w:rsid w:val="000864D1"/>
    <w:rsid w:val="00086DDF"/>
    <w:rsid w:val="00087117"/>
    <w:rsid w:val="000873D5"/>
    <w:rsid w:val="00090214"/>
    <w:rsid w:val="000907C5"/>
    <w:rsid w:val="00090AA8"/>
    <w:rsid w:val="00090B8B"/>
    <w:rsid w:val="00090C1B"/>
    <w:rsid w:val="00090FC0"/>
    <w:rsid w:val="00091669"/>
    <w:rsid w:val="00091CCD"/>
    <w:rsid w:val="000929FF"/>
    <w:rsid w:val="000937EC"/>
    <w:rsid w:val="00093B76"/>
    <w:rsid w:val="00093D2E"/>
    <w:rsid w:val="00093D87"/>
    <w:rsid w:val="000946E4"/>
    <w:rsid w:val="00094EC2"/>
    <w:rsid w:val="0009506B"/>
    <w:rsid w:val="00097D14"/>
    <w:rsid w:val="000A059B"/>
    <w:rsid w:val="000A2C07"/>
    <w:rsid w:val="000A346F"/>
    <w:rsid w:val="000A388C"/>
    <w:rsid w:val="000A4C5D"/>
    <w:rsid w:val="000A4D83"/>
    <w:rsid w:val="000A536D"/>
    <w:rsid w:val="000A5F80"/>
    <w:rsid w:val="000A65D0"/>
    <w:rsid w:val="000A717C"/>
    <w:rsid w:val="000A7E65"/>
    <w:rsid w:val="000B0448"/>
    <w:rsid w:val="000B12EA"/>
    <w:rsid w:val="000B3545"/>
    <w:rsid w:val="000B3879"/>
    <w:rsid w:val="000B4351"/>
    <w:rsid w:val="000B46AB"/>
    <w:rsid w:val="000B483B"/>
    <w:rsid w:val="000B5061"/>
    <w:rsid w:val="000B599F"/>
    <w:rsid w:val="000C0B25"/>
    <w:rsid w:val="000C156E"/>
    <w:rsid w:val="000C1C87"/>
    <w:rsid w:val="000C1CF4"/>
    <w:rsid w:val="000C1D16"/>
    <w:rsid w:val="000C201C"/>
    <w:rsid w:val="000C29EA"/>
    <w:rsid w:val="000C2B7D"/>
    <w:rsid w:val="000C3B60"/>
    <w:rsid w:val="000C4785"/>
    <w:rsid w:val="000C51E3"/>
    <w:rsid w:val="000C5329"/>
    <w:rsid w:val="000C5B4A"/>
    <w:rsid w:val="000C66FE"/>
    <w:rsid w:val="000C6A3F"/>
    <w:rsid w:val="000C7B99"/>
    <w:rsid w:val="000D0BFC"/>
    <w:rsid w:val="000D0D8C"/>
    <w:rsid w:val="000D0F48"/>
    <w:rsid w:val="000D3FDC"/>
    <w:rsid w:val="000D4388"/>
    <w:rsid w:val="000D4C17"/>
    <w:rsid w:val="000D4D72"/>
    <w:rsid w:val="000E00EE"/>
    <w:rsid w:val="000E019D"/>
    <w:rsid w:val="000E037D"/>
    <w:rsid w:val="000E0986"/>
    <w:rsid w:val="000E14BF"/>
    <w:rsid w:val="000E1848"/>
    <w:rsid w:val="000E208E"/>
    <w:rsid w:val="000E2B01"/>
    <w:rsid w:val="000E36DE"/>
    <w:rsid w:val="000E3B1C"/>
    <w:rsid w:val="000E44E1"/>
    <w:rsid w:val="000E5F9E"/>
    <w:rsid w:val="000E61BD"/>
    <w:rsid w:val="000E76B3"/>
    <w:rsid w:val="000E7C2E"/>
    <w:rsid w:val="000E7C87"/>
    <w:rsid w:val="000E7D8C"/>
    <w:rsid w:val="000F02D0"/>
    <w:rsid w:val="000F04DF"/>
    <w:rsid w:val="000F04F5"/>
    <w:rsid w:val="000F07DC"/>
    <w:rsid w:val="000F13E3"/>
    <w:rsid w:val="000F18C3"/>
    <w:rsid w:val="000F1937"/>
    <w:rsid w:val="000F222E"/>
    <w:rsid w:val="000F2AF9"/>
    <w:rsid w:val="000F37E1"/>
    <w:rsid w:val="000F433F"/>
    <w:rsid w:val="000F46BE"/>
    <w:rsid w:val="000F4CDE"/>
    <w:rsid w:val="000F4F9A"/>
    <w:rsid w:val="000F5431"/>
    <w:rsid w:val="000F6333"/>
    <w:rsid w:val="000F7D07"/>
    <w:rsid w:val="00100215"/>
    <w:rsid w:val="001028E9"/>
    <w:rsid w:val="00103933"/>
    <w:rsid w:val="0010467D"/>
    <w:rsid w:val="00105C11"/>
    <w:rsid w:val="001061B2"/>
    <w:rsid w:val="001061B6"/>
    <w:rsid w:val="0010652B"/>
    <w:rsid w:val="00111295"/>
    <w:rsid w:val="00111E69"/>
    <w:rsid w:val="0011327A"/>
    <w:rsid w:val="00114933"/>
    <w:rsid w:val="001157D4"/>
    <w:rsid w:val="00115ED1"/>
    <w:rsid w:val="0011600B"/>
    <w:rsid w:val="00116BA5"/>
    <w:rsid w:val="00116C3D"/>
    <w:rsid w:val="00116F26"/>
    <w:rsid w:val="001175F2"/>
    <w:rsid w:val="00117F3D"/>
    <w:rsid w:val="00120463"/>
    <w:rsid w:val="00120A86"/>
    <w:rsid w:val="00120EB1"/>
    <w:rsid w:val="00121966"/>
    <w:rsid w:val="00122000"/>
    <w:rsid w:val="0012278C"/>
    <w:rsid w:val="0012292B"/>
    <w:rsid w:val="00122C06"/>
    <w:rsid w:val="00123125"/>
    <w:rsid w:val="00124371"/>
    <w:rsid w:val="001254E5"/>
    <w:rsid w:val="00126359"/>
    <w:rsid w:val="00130094"/>
    <w:rsid w:val="00130C10"/>
    <w:rsid w:val="00131D92"/>
    <w:rsid w:val="00132904"/>
    <w:rsid w:val="00135011"/>
    <w:rsid w:val="001354F1"/>
    <w:rsid w:val="001363FF"/>
    <w:rsid w:val="00136A76"/>
    <w:rsid w:val="00136C8E"/>
    <w:rsid w:val="00137540"/>
    <w:rsid w:val="00137EC1"/>
    <w:rsid w:val="00140EB2"/>
    <w:rsid w:val="001411A1"/>
    <w:rsid w:val="00142EF3"/>
    <w:rsid w:val="00145F9E"/>
    <w:rsid w:val="00146814"/>
    <w:rsid w:val="00146E8D"/>
    <w:rsid w:val="00147B66"/>
    <w:rsid w:val="00150212"/>
    <w:rsid w:val="001508D7"/>
    <w:rsid w:val="00150CB5"/>
    <w:rsid w:val="00150FCF"/>
    <w:rsid w:val="001514F5"/>
    <w:rsid w:val="00151780"/>
    <w:rsid w:val="00151E53"/>
    <w:rsid w:val="00151FFB"/>
    <w:rsid w:val="00152594"/>
    <w:rsid w:val="001527ED"/>
    <w:rsid w:val="00152D52"/>
    <w:rsid w:val="001537BE"/>
    <w:rsid w:val="00153C53"/>
    <w:rsid w:val="00155729"/>
    <w:rsid w:val="001562B2"/>
    <w:rsid w:val="001566DB"/>
    <w:rsid w:val="00157F14"/>
    <w:rsid w:val="0016015B"/>
    <w:rsid w:val="00160194"/>
    <w:rsid w:val="00160764"/>
    <w:rsid w:val="00162463"/>
    <w:rsid w:val="00163F00"/>
    <w:rsid w:val="001640B1"/>
    <w:rsid w:val="0016476C"/>
    <w:rsid w:val="00164ADC"/>
    <w:rsid w:val="00165488"/>
    <w:rsid w:val="001657DA"/>
    <w:rsid w:val="00166C9D"/>
    <w:rsid w:val="00166DC7"/>
    <w:rsid w:val="0016739F"/>
    <w:rsid w:val="00170DCB"/>
    <w:rsid w:val="0017255B"/>
    <w:rsid w:val="001727C5"/>
    <w:rsid w:val="00172C4D"/>
    <w:rsid w:val="001732B9"/>
    <w:rsid w:val="00173EAA"/>
    <w:rsid w:val="00174B98"/>
    <w:rsid w:val="00175D7E"/>
    <w:rsid w:val="0017627C"/>
    <w:rsid w:val="00176ECF"/>
    <w:rsid w:val="00177B2A"/>
    <w:rsid w:val="00177C02"/>
    <w:rsid w:val="00180C25"/>
    <w:rsid w:val="00181157"/>
    <w:rsid w:val="00181714"/>
    <w:rsid w:val="001826AB"/>
    <w:rsid w:val="00182E10"/>
    <w:rsid w:val="0018562D"/>
    <w:rsid w:val="00185A1B"/>
    <w:rsid w:val="00185E43"/>
    <w:rsid w:val="00185F71"/>
    <w:rsid w:val="0018640D"/>
    <w:rsid w:val="001866E9"/>
    <w:rsid w:val="001923DD"/>
    <w:rsid w:val="0019302C"/>
    <w:rsid w:val="001937B2"/>
    <w:rsid w:val="00194A5D"/>
    <w:rsid w:val="00194CC0"/>
    <w:rsid w:val="00194EAE"/>
    <w:rsid w:val="001950E3"/>
    <w:rsid w:val="00195437"/>
    <w:rsid w:val="00195519"/>
    <w:rsid w:val="00195D07"/>
    <w:rsid w:val="00196234"/>
    <w:rsid w:val="00196D4C"/>
    <w:rsid w:val="00196FB7"/>
    <w:rsid w:val="001970A9"/>
    <w:rsid w:val="001A0126"/>
    <w:rsid w:val="001A11C5"/>
    <w:rsid w:val="001A14F9"/>
    <w:rsid w:val="001A179F"/>
    <w:rsid w:val="001A2306"/>
    <w:rsid w:val="001A28ED"/>
    <w:rsid w:val="001A2D1B"/>
    <w:rsid w:val="001A3078"/>
    <w:rsid w:val="001A35D9"/>
    <w:rsid w:val="001A39A2"/>
    <w:rsid w:val="001A522D"/>
    <w:rsid w:val="001A5CDC"/>
    <w:rsid w:val="001A7628"/>
    <w:rsid w:val="001B08C1"/>
    <w:rsid w:val="001B0B6C"/>
    <w:rsid w:val="001B0BE6"/>
    <w:rsid w:val="001B12EB"/>
    <w:rsid w:val="001B1680"/>
    <w:rsid w:val="001B1FAD"/>
    <w:rsid w:val="001B240A"/>
    <w:rsid w:val="001B26F8"/>
    <w:rsid w:val="001B2BFC"/>
    <w:rsid w:val="001B3137"/>
    <w:rsid w:val="001B3561"/>
    <w:rsid w:val="001B38E4"/>
    <w:rsid w:val="001B4AF5"/>
    <w:rsid w:val="001B4DE2"/>
    <w:rsid w:val="001B5DEA"/>
    <w:rsid w:val="001B6DEB"/>
    <w:rsid w:val="001B76ED"/>
    <w:rsid w:val="001B788B"/>
    <w:rsid w:val="001C0797"/>
    <w:rsid w:val="001C09B9"/>
    <w:rsid w:val="001C103E"/>
    <w:rsid w:val="001C1FC1"/>
    <w:rsid w:val="001C24B7"/>
    <w:rsid w:val="001C35D6"/>
    <w:rsid w:val="001C392C"/>
    <w:rsid w:val="001C4954"/>
    <w:rsid w:val="001C51E2"/>
    <w:rsid w:val="001C5CBD"/>
    <w:rsid w:val="001C6254"/>
    <w:rsid w:val="001C6821"/>
    <w:rsid w:val="001C6826"/>
    <w:rsid w:val="001C720B"/>
    <w:rsid w:val="001C77E1"/>
    <w:rsid w:val="001D1126"/>
    <w:rsid w:val="001D235E"/>
    <w:rsid w:val="001D2551"/>
    <w:rsid w:val="001D2AA1"/>
    <w:rsid w:val="001D2AE6"/>
    <w:rsid w:val="001D2BAE"/>
    <w:rsid w:val="001D310A"/>
    <w:rsid w:val="001D321A"/>
    <w:rsid w:val="001D3C29"/>
    <w:rsid w:val="001D3F15"/>
    <w:rsid w:val="001D60EA"/>
    <w:rsid w:val="001E0488"/>
    <w:rsid w:val="001E0F3D"/>
    <w:rsid w:val="001E1072"/>
    <w:rsid w:val="001E1263"/>
    <w:rsid w:val="001E1876"/>
    <w:rsid w:val="001E1BAE"/>
    <w:rsid w:val="001E290B"/>
    <w:rsid w:val="001E2974"/>
    <w:rsid w:val="001E29CE"/>
    <w:rsid w:val="001E2C56"/>
    <w:rsid w:val="001E5248"/>
    <w:rsid w:val="001E5A57"/>
    <w:rsid w:val="001E7587"/>
    <w:rsid w:val="001E77F1"/>
    <w:rsid w:val="001E7871"/>
    <w:rsid w:val="001E7B88"/>
    <w:rsid w:val="001E7C1B"/>
    <w:rsid w:val="001E7FE7"/>
    <w:rsid w:val="001F14F5"/>
    <w:rsid w:val="001F162F"/>
    <w:rsid w:val="001F19EC"/>
    <w:rsid w:val="001F1BE5"/>
    <w:rsid w:val="001F22A9"/>
    <w:rsid w:val="001F3332"/>
    <w:rsid w:val="001F4086"/>
    <w:rsid w:val="001F4CEE"/>
    <w:rsid w:val="001F4E94"/>
    <w:rsid w:val="001F52BB"/>
    <w:rsid w:val="001F613A"/>
    <w:rsid w:val="001F6B29"/>
    <w:rsid w:val="001F6CF5"/>
    <w:rsid w:val="001F7386"/>
    <w:rsid w:val="001F75BC"/>
    <w:rsid w:val="002006FA"/>
    <w:rsid w:val="00200B91"/>
    <w:rsid w:val="002010C4"/>
    <w:rsid w:val="0020128E"/>
    <w:rsid w:val="00201FC1"/>
    <w:rsid w:val="0020417C"/>
    <w:rsid w:val="00204438"/>
    <w:rsid w:val="0020470D"/>
    <w:rsid w:val="00204C72"/>
    <w:rsid w:val="002054AB"/>
    <w:rsid w:val="0020598D"/>
    <w:rsid w:val="00205F45"/>
    <w:rsid w:val="002060DB"/>
    <w:rsid w:val="0021098E"/>
    <w:rsid w:val="002118DD"/>
    <w:rsid w:val="00211D2B"/>
    <w:rsid w:val="00211F71"/>
    <w:rsid w:val="00212074"/>
    <w:rsid w:val="002125A9"/>
    <w:rsid w:val="002125AB"/>
    <w:rsid w:val="0021264C"/>
    <w:rsid w:val="00212803"/>
    <w:rsid w:val="00212AA8"/>
    <w:rsid w:val="00212EB5"/>
    <w:rsid w:val="00215133"/>
    <w:rsid w:val="00216A7D"/>
    <w:rsid w:val="0021772A"/>
    <w:rsid w:val="002205E1"/>
    <w:rsid w:val="00220718"/>
    <w:rsid w:val="002212ED"/>
    <w:rsid w:val="00221DDA"/>
    <w:rsid w:val="0022264C"/>
    <w:rsid w:val="00222FB6"/>
    <w:rsid w:val="00222FFB"/>
    <w:rsid w:val="00223A50"/>
    <w:rsid w:val="00223C90"/>
    <w:rsid w:val="00224286"/>
    <w:rsid w:val="0022463F"/>
    <w:rsid w:val="002246BB"/>
    <w:rsid w:val="00224B66"/>
    <w:rsid w:val="0022514C"/>
    <w:rsid w:val="00225EBF"/>
    <w:rsid w:val="00225EDD"/>
    <w:rsid w:val="00226123"/>
    <w:rsid w:val="002266AD"/>
    <w:rsid w:val="0022679A"/>
    <w:rsid w:val="00227E35"/>
    <w:rsid w:val="00230D40"/>
    <w:rsid w:val="00233650"/>
    <w:rsid w:val="002343B8"/>
    <w:rsid w:val="00234753"/>
    <w:rsid w:val="0023641B"/>
    <w:rsid w:val="00236DDD"/>
    <w:rsid w:val="00237DC3"/>
    <w:rsid w:val="002411F2"/>
    <w:rsid w:val="00243CEE"/>
    <w:rsid w:val="00244208"/>
    <w:rsid w:val="00244497"/>
    <w:rsid w:val="0024556D"/>
    <w:rsid w:val="00245C72"/>
    <w:rsid w:val="00246FAF"/>
    <w:rsid w:val="00247380"/>
    <w:rsid w:val="00247B88"/>
    <w:rsid w:val="0025260A"/>
    <w:rsid w:val="002529C1"/>
    <w:rsid w:val="002537A2"/>
    <w:rsid w:val="0025488B"/>
    <w:rsid w:val="00254BCE"/>
    <w:rsid w:val="0025522F"/>
    <w:rsid w:val="00255A07"/>
    <w:rsid w:val="00256104"/>
    <w:rsid w:val="00256155"/>
    <w:rsid w:val="00256305"/>
    <w:rsid w:val="0025632A"/>
    <w:rsid w:val="00256434"/>
    <w:rsid w:val="00256857"/>
    <w:rsid w:val="00261683"/>
    <w:rsid w:val="00261FD2"/>
    <w:rsid w:val="0026201F"/>
    <w:rsid w:val="002620C8"/>
    <w:rsid w:val="002632FA"/>
    <w:rsid w:val="00263617"/>
    <w:rsid w:val="00265096"/>
    <w:rsid w:val="00265CBB"/>
    <w:rsid w:val="00266018"/>
    <w:rsid w:val="00267710"/>
    <w:rsid w:val="00270035"/>
    <w:rsid w:val="002704DB"/>
    <w:rsid w:val="002704F4"/>
    <w:rsid w:val="002708FD"/>
    <w:rsid w:val="00270A66"/>
    <w:rsid w:val="00271559"/>
    <w:rsid w:val="00271808"/>
    <w:rsid w:val="00271D86"/>
    <w:rsid w:val="00271DFB"/>
    <w:rsid w:val="002721DE"/>
    <w:rsid w:val="002734CE"/>
    <w:rsid w:val="00273CC8"/>
    <w:rsid w:val="0027418E"/>
    <w:rsid w:val="002748C0"/>
    <w:rsid w:val="00274C1B"/>
    <w:rsid w:val="00274E9A"/>
    <w:rsid w:val="002754B0"/>
    <w:rsid w:val="00275513"/>
    <w:rsid w:val="0027553D"/>
    <w:rsid w:val="00275989"/>
    <w:rsid w:val="00276240"/>
    <w:rsid w:val="00276822"/>
    <w:rsid w:val="0027732C"/>
    <w:rsid w:val="00277842"/>
    <w:rsid w:val="00280875"/>
    <w:rsid w:val="00280C88"/>
    <w:rsid w:val="0028225A"/>
    <w:rsid w:val="00282994"/>
    <w:rsid w:val="0028390B"/>
    <w:rsid w:val="00283D0D"/>
    <w:rsid w:val="00284BD2"/>
    <w:rsid w:val="00284E53"/>
    <w:rsid w:val="0028556B"/>
    <w:rsid w:val="00286F60"/>
    <w:rsid w:val="00287744"/>
    <w:rsid w:val="002877FE"/>
    <w:rsid w:val="002878F6"/>
    <w:rsid w:val="0028799A"/>
    <w:rsid w:val="002879AB"/>
    <w:rsid w:val="00292590"/>
    <w:rsid w:val="00293258"/>
    <w:rsid w:val="00293AB0"/>
    <w:rsid w:val="00293C37"/>
    <w:rsid w:val="002942C3"/>
    <w:rsid w:val="002948E1"/>
    <w:rsid w:val="00294C5E"/>
    <w:rsid w:val="00294DDF"/>
    <w:rsid w:val="00294E7D"/>
    <w:rsid w:val="00295A40"/>
    <w:rsid w:val="002972CC"/>
    <w:rsid w:val="00297652"/>
    <w:rsid w:val="002A0197"/>
    <w:rsid w:val="002A162E"/>
    <w:rsid w:val="002A1BC8"/>
    <w:rsid w:val="002A1C96"/>
    <w:rsid w:val="002A201B"/>
    <w:rsid w:val="002A2EEB"/>
    <w:rsid w:val="002A446E"/>
    <w:rsid w:val="002A579F"/>
    <w:rsid w:val="002A5D89"/>
    <w:rsid w:val="002A671D"/>
    <w:rsid w:val="002A6C17"/>
    <w:rsid w:val="002A6D3E"/>
    <w:rsid w:val="002A7387"/>
    <w:rsid w:val="002A77A0"/>
    <w:rsid w:val="002A7A08"/>
    <w:rsid w:val="002A7FAB"/>
    <w:rsid w:val="002B0D82"/>
    <w:rsid w:val="002B111C"/>
    <w:rsid w:val="002B1BBA"/>
    <w:rsid w:val="002B2DD3"/>
    <w:rsid w:val="002B308E"/>
    <w:rsid w:val="002B4759"/>
    <w:rsid w:val="002B4842"/>
    <w:rsid w:val="002B5973"/>
    <w:rsid w:val="002B6692"/>
    <w:rsid w:val="002B6D06"/>
    <w:rsid w:val="002B71CF"/>
    <w:rsid w:val="002B744C"/>
    <w:rsid w:val="002C0815"/>
    <w:rsid w:val="002C0ACB"/>
    <w:rsid w:val="002C0F71"/>
    <w:rsid w:val="002C128E"/>
    <w:rsid w:val="002C144D"/>
    <w:rsid w:val="002C1890"/>
    <w:rsid w:val="002C1A12"/>
    <w:rsid w:val="002C1C20"/>
    <w:rsid w:val="002C2B6C"/>
    <w:rsid w:val="002C2C32"/>
    <w:rsid w:val="002C3771"/>
    <w:rsid w:val="002C4066"/>
    <w:rsid w:val="002C448E"/>
    <w:rsid w:val="002C4736"/>
    <w:rsid w:val="002C56F8"/>
    <w:rsid w:val="002C721E"/>
    <w:rsid w:val="002C73F6"/>
    <w:rsid w:val="002C7622"/>
    <w:rsid w:val="002D09C8"/>
    <w:rsid w:val="002D13BE"/>
    <w:rsid w:val="002D1DB5"/>
    <w:rsid w:val="002D21BF"/>
    <w:rsid w:val="002D2A83"/>
    <w:rsid w:val="002D3D61"/>
    <w:rsid w:val="002D407C"/>
    <w:rsid w:val="002D4EE2"/>
    <w:rsid w:val="002D512C"/>
    <w:rsid w:val="002D5D2B"/>
    <w:rsid w:val="002D6069"/>
    <w:rsid w:val="002D60E7"/>
    <w:rsid w:val="002D7036"/>
    <w:rsid w:val="002D70AA"/>
    <w:rsid w:val="002E0766"/>
    <w:rsid w:val="002E0BA6"/>
    <w:rsid w:val="002E10CC"/>
    <w:rsid w:val="002E14A3"/>
    <w:rsid w:val="002E2330"/>
    <w:rsid w:val="002E2846"/>
    <w:rsid w:val="002E30B4"/>
    <w:rsid w:val="002E3DBC"/>
    <w:rsid w:val="002E46CC"/>
    <w:rsid w:val="002E6014"/>
    <w:rsid w:val="002E69CD"/>
    <w:rsid w:val="002E72B4"/>
    <w:rsid w:val="002F07D0"/>
    <w:rsid w:val="002F09FD"/>
    <w:rsid w:val="002F1260"/>
    <w:rsid w:val="002F1436"/>
    <w:rsid w:val="002F313F"/>
    <w:rsid w:val="002F32E1"/>
    <w:rsid w:val="002F4742"/>
    <w:rsid w:val="002F561B"/>
    <w:rsid w:val="002F65A2"/>
    <w:rsid w:val="002F7267"/>
    <w:rsid w:val="002F7285"/>
    <w:rsid w:val="002F730A"/>
    <w:rsid w:val="002F77EC"/>
    <w:rsid w:val="0030024A"/>
    <w:rsid w:val="0030112D"/>
    <w:rsid w:val="0030417A"/>
    <w:rsid w:val="0030491B"/>
    <w:rsid w:val="003066E1"/>
    <w:rsid w:val="00307CE4"/>
    <w:rsid w:val="003100EF"/>
    <w:rsid w:val="003121EE"/>
    <w:rsid w:val="003129BC"/>
    <w:rsid w:val="00312BB7"/>
    <w:rsid w:val="003140FB"/>
    <w:rsid w:val="0031443E"/>
    <w:rsid w:val="00314BE7"/>
    <w:rsid w:val="00314E15"/>
    <w:rsid w:val="00315E8C"/>
    <w:rsid w:val="00315F21"/>
    <w:rsid w:val="00316C17"/>
    <w:rsid w:val="00317E12"/>
    <w:rsid w:val="00320245"/>
    <w:rsid w:val="0032035B"/>
    <w:rsid w:val="00320CC3"/>
    <w:rsid w:val="00322490"/>
    <w:rsid w:val="003247A1"/>
    <w:rsid w:val="00324F27"/>
    <w:rsid w:val="00325626"/>
    <w:rsid w:val="00325EFC"/>
    <w:rsid w:val="003273F6"/>
    <w:rsid w:val="00327870"/>
    <w:rsid w:val="00327BD2"/>
    <w:rsid w:val="00327CE1"/>
    <w:rsid w:val="0033148B"/>
    <w:rsid w:val="00331EAA"/>
    <w:rsid w:val="00332206"/>
    <w:rsid w:val="003326C6"/>
    <w:rsid w:val="003338D0"/>
    <w:rsid w:val="00335705"/>
    <w:rsid w:val="00335765"/>
    <w:rsid w:val="00335BEB"/>
    <w:rsid w:val="00335DDD"/>
    <w:rsid w:val="00335DE0"/>
    <w:rsid w:val="00336780"/>
    <w:rsid w:val="00337A97"/>
    <w:rsid w:val="003400D5"/>
    <w:rsid w:val="0034064E"/>
    <w:rsid w:val="0034071A"/>
    <w:rsid w:val="003409C3"/>
    <w:rsid w:val="003419C5"/>
    <w:rsid w:val="0034226E"/>
    <w:rsid w:val="003426E0"/>
    <w:rsid w:val="00342939"/>
    <w:rsid w:val="003441DE"/>
    <w:rsid w:val="00344A4E"/>
    <w:rsid w:val="00344CEF"/>
    <w:rsid w:val="00345EE3"/>
    <w:rsid w:val="003462B0"/>
    <w:rsid w:val="00347361"/>
    <w:rsid w:val="00350B8A"/>
    <w:rsid w:val="003517CA"/>
    <w:rsid w:val="00352231"/>
    <w:rsid w:val="00353236"/>
    <w:rsid w:val="00353250"/>
    <w:rsid w:val="0035419E"/>
    <w:rsid w:val="0035483C"/>
    <w:rsid w:val="00355428"/>
    <w:rsid w:val="00355DFF"/>
    <w:rsid w:val="00357133"/>
    <w:rsid w:val="0036287A"/>
    <w:rsid w:val="00363155"/>
    <w:rsid w:val="003639EE"/>
    <w:rsid w:val="00363CBF"/>
    <w:rsid w:val="003652F3"/>
    <w:rsid w:val="00365801"/>
    <w:rsid w:val="00366BEF"/>
    <w:rsid w:val="0036788D"/>
    <w:rsid w:val="0037026C"/>
    <w:rsid w:val="0037033C"/>
    <w:rsid w:val="0037168F"/>
    <w:rsid w:val="00371E9A"/>
    <w:rsid w:val="00373320"/>
    <w:rsid w:val="003760FF"/>
    <w:rsid w:val="003766C6"/>
    <w:rsid w:val="003769A8"/>
    <w:rsid w:val="00376C19"/>
    <w:rsid w:val="00377695"/>
    <w:rsid w:val="003801BC"/>
    <w:rsid w:val="00380255"/>
    <w:rsid w:val="00380CFF"/>
    <w:rsid w:val="00382F09"/>
    <w:rsid w:val="00384B67"/>
    <w:rsid w:val="00384F5C"/>
    <w:rsid w:val="00385A34"/>
    <w:rsid w:val="00385CEB"/>
    <w:rsid w:val="00387C46"/>
    <w:rsid w:val="00387C6E"/>
    <w:rsid w:val="00390118"/>
    <w:rsid w:val="0039048F"/>
    <w:rsid w:val="00390798"/>
    <w:rsid w:val="00390AE6"/>
    <w:rsid w:val="00390DA0"/>
    <w:rsid w:val="00391E31"/>
    <w:rsid w:val="003926B1"/>
    <w:rsid w:val="00394999"/>
    <w:rsid w:val="00395D06"/>
    <w:rsid w:val="00396007"/>
    <w:rsid w:val="0039763E"/>
    <w:rsid w:val="00397820"/>
    <w:rsid w:val="00397C3B"/>
    <w:rsid w:val="003A000C"/>
    <w:rsid w:val="003A04E2"/>
    <w:rsid w:val="003A0ABA"/>
    <w:rsid w:val="003A13C8"/>
    <w:rsid w:val="003A1432"/>
    <w:rsid w:val="003A1B09"/>
    <w:rsid w:val="003A2965"/>
    <w:rsid w:val="003A2DD5"/>
    <w:rsid w:val="003A2E39"/>
    <w:rsid w:val="003A32D5"/>
    <w:rsid w:val="003A3764"/>
    <w:rsid w:val="003A3AB8"/>
    <w:rsid w:val="003A3EDD"/>
    <w:rsid w:val="003A4C9C"/>
    <w:rsid w:val="003A4F97"/>
    <w:rsid w:val="003A5634"/>
    <w:rsid w:val="003A5D9D"/>
    <w:rsid w:val="003A744A"/>
    <w:rsid w:val="003B13B2"/>
    <w:rsid w:val="003B192D"/>
    <w:rsid w:val="003B213A"/>
    <w:rsid w:val="003B2E8F"/>
    <w:rsid w:val="003B3C8B"/>
    <w:rsid w:val="003B3DE8"/>
    <w:rsid w:val="003B59C6"/>
    <w:rsid w:val="003B5E60"/>
    <w:rsid w:val="003B61A4"/>
    <w:rsid w:val="003B6906"/>
    <w:rsid w:val="003B7473"/>
    <w:rsid w:val="003C08DE"/>
    <w:rsid w:val="003C0CEF"/>
    <w:rsid w:val="003C0FEF"/>
    <w:rsid w:val="003C20A0"/>
    <w:rsid w:val="003C230B"/>
    <w:rsid w:val="003C256E"/>
    <w:rsid w:val="003C3F60"/>
    <w:rsid w:val="003C478F"/>
    <w:rsid w:val="003C5621"/>
    <w:rsid w:val="003C5FFF"/>
    <w:rsid w:val="003C624E"/>
    <w:rsid w:val="003C651D"/>
    <w:rsid w:val="003C6520"/>
    <w:rsid w:val="003C6DA1"/>
    <w:rsid w:val="003C7C4D"/>
    <w:rsid w:val="003D0015"/>
    <w:rsid w:val="003D0DFD"/>
    <w:rsid w:val="003D17FE"/>
    <w:rsid w:val="003D1989"/>
    <w:rsid w:val="003D1A5B"/>
    <w:rsid w:val="003D2322"/>
    <w:rsid w:val="003D295E"/>
    <w:rsid w:val="003D35C4"/>
    <w:rsid w:val="003D3823"/>
    <w:rsid w:val="003D416E"/>
    <w:rsid w:val="003D5302"/>
    <w:rsid w:val="003D542B"/>
    <w:rsid w:val="003D595A"/>
    <w:rsid w:val="003D5C51"/>
    <w:rsid w:val="003D5EB9"/>
    <w:rsid w:val="003D71B9"/>
    <w:rsid w:val="003D7417"/>
    <w:rsid w:val="003D7442"/>
    <w:rsid w:val="003D74B4"/>
    <w:rsid w:val="003D7BD9"/>
    <w:rsid w:val="003E0CAE"/>
    <w:rsid w:val="003E283C"/>
    <w:rsid w:val="003E2DE8"/>
    <w:rsid w:val="003E2F03"/>
    <w:rsid w:val="003E3766"/>
    <w:rsid w:val="003E3AB7"/>
    <w:rsid w:val="003E4D78"/>
    <w:rsid w:val="003E65CF"/>
    <w:rsid w:val="003E6BB6"/>
    <w:rsid w:val="003E743B"/>
    <w:rsid w:val="003E7D8F"/>
    <w:rsid w:val="003F0044"/>
    <w:rsid w:val="003F1019"/>
    <w:rsid w:val="003F19A8"/>
    <w:rsid w:val="003F1B50"/>
    <w:rsid w:val="003F3372"/>
    <w:rsid w:val="003F3D9A"/>
    <w:rsid w:val="003F5121"/>
    <w:rsid w:val="003F64E9"/>
    <w:rsid w:val="003F64EF"/>
    <w:rsid w:val="003F660A"/>
    <w:rsid w:val="003F673B"/>
    <w:rsid w:val="003F6BBE"/>
    <w:rsid w:val="003F7A29"/>
    <w:rsid w:val="003F7B0A"/>
    <w:rsid w:val="003F7D5E"/>
    <w:rsid w:val="0040073A"/>
    <w:rsid w:val="00400991"/>
    <w:rsid w:val="0040183E"/>
    <w:rsid w:val="004018BA"/>
    <w:rsid w:val="00402582"/>
    <w:rsid w:val="004037A8"/>
    <w:rsid w:val="004037C8"/>
    <w:rsid w:val="0040391C"/>
    <w:rsid w:val="00404C60"/>
    <w:rsid w:val="004050A6"/>
    <w:rsid w:val="004052D7"/>
    <w:rsid w:val="00405C07"/>
    <w:rsid w:val="004068A3"/>
    <w:rsid w:val="0040690D"/>
    <w:rsid w:val="00411A2E"/>
    <w:rsid w:val="004122A2"/>
    <w:rsid w:val="00412E53"/>
    <w:rsid w:val="004142D1"/>
    <w:rsid w:val="00414A25"/>
    <w:rsid w:val="00416A75"/>
    <w:rsid w:val="004170BE"/>
    <w:rsid w:val="004208EC"/>
    <w:rsid w:val="004208F0"/>
    <w:rsid w:val="00420DF4"/>
    <w:rsid w:val="004217A3"/>
    <w:rsid w:val="00422402"/>
    <w:rsid w:val="00422AB4"/>
    <w:rsid w:val="00422B71"/>
    <w:rsid w:val="00423C69"/>
    <w:rsid w:val="00423D6C"/>
    <w:rsid w:val="00424A15"/>
    <w:rsid w:val="00424CC7"/>
    <w:rsid w:val="00425321"/>
    <w:rsid w:val="00425A7A"/>
    <w:rsid w:val="004261F6"/>
    <w:rsid w:val="00426247"/>
    <w:rsid w:val="004263FB"/>
    <w:rsid w:val="00430E09"/>
    <w:rsid w:val="004315EB"/>
    <w:rsid w:val="00431608"/>
    <w:rsid w:val="00431F2E"/>
    <w:rsid w:val="004330F7"/>
    <w:rsid w:val="004367BE"/>
    <w:rsid w:val="00436833"/>
    <w:rsid w:val="004369F9"/>
    <w:rsid w:val="00436E10"/>
    <w:rsid w:val="004377D1"/>
    <w:rsid w:val="004407BE"/>
    <w:rsid w:val="0044124F"/>
    <w:rsid w:val="00441BE8"/>
    <w:rsid w:val="004433FF"/>
    <w:rsid w:val="004436B7"/>
    <w:rsid w:val="00443792"/>
    <w:rsid w:val="004437CE"/>
    <w:rsid w:val="004449F7"/>
    <w:rsid w:val="00444A9D"/>
    <w:rsid w:val="00444F99"/>
    <w:rsid w:val="00444FEA"/>
    <w:rsid w:val="004458D6"/>
    <w:rsid w:val="004473A2"/>
    <w:rsid w:val="00447F4D"/>
    <w:rsid w:val="00450038"/>
    <w:rsid w:val="00450B06"/>
    <w:rsid w:val="00451032"/>
    <w:rsid w:val="0045194F"/>
    <w:rsid w:val="004533FE"/>
    <w:rsid w:val="004543AB"/>
    <w:rsid w:val="00454944"/>
    <w:rsid w:val="00454AF6"/>
    <w:rsid w:val="00454B32"/>
    <w:rsid w:val="0045610F"/>
    <w:rsid w:val="0045691B"/>
    <w:rsid w:val="0045691C"/>
    <w:rsid w:val="00456E17"/>
    <w:rsid w:val="00457E67"/>
    <w:rsid w:val="00460DA9"/>
    <w:rsid w:val="00460F84"/>
    <w:rsid w:val="00461A44"/>
    <w:rsid w:val="00462B54"/>
    <w:rsid w:val="0046326D"/>
    <w:rsid w:val="004633D5"/>
    <w:rsid w:val="00463A44"/>
    <w:rsid w:val="00463C6E"/>
    <w:rsid w:val="004650CF"/>
    <w:rsid w:val="00465A6C"/>
    <w:rsid w:val="00465DDA"/>
    <w:rsid w:val="00466129"/>
    <w:rsid w:val="00466857"/>
    <w:rsid w:val="00466A3F"/>
    <w:rsid w:val="0047098C"/>
    <w:rsid w:val="00471D1F"/>
    <w:rsid w:val="00472823"/>
    <w:rsid w:val="00472B40"/>
    <w:rsid w:val="00473A71"/>
    <w:rsid w:val="00474261"/>
    <w:rsid w:val="00474F36"/>
    <w:rsid w:val="00475B48"/>
    <w:rsid w:val="004760E1"/>
    <w:rsid w:val="00476AC5"/>
    <w:rsid w:val="00476B1A"/>
    <w:rsid w:val="00476B3B"/>
    <w:rsid w:val="004778A9"/>
    <w:rsid w:val="00477E8F"/>
    <w:rsid w:val="00477EEC"/>
    <w:rsid w:val="00477FF2"/>
    <w:rsid w:val="004800E8"/>
    <w:rsid w:val="00480133"/>
    <w:rsid w:val="00480775"/>
    <w:rsid w:val="0048314A"/>
    <w:rsid w:val="00483B4D"/>
    <w:rsid w:val="00484353"/>
    <w:rsid w:val="004855F9"/>
    <w:rsid w:val="004862FF"/>
    <w:rsid w:val="0048656F"/>
    <w:rsid w:val="0048671B"/>
    <w:rsid w:val="00486FA0"/>
    <w:rsid w:val="00490DB6"/>
    <w:rsid w:val="004915E0"/>
    <w:rsid w:val="00492CA4"/>
    <w:rsid w:val="0049389C"/>
    <w:rsid w:val="00493E82"/>
    <w:rsid w:val="00494243"/>
    <w:rsid w:val="0049454B"/>
    <w:rsid w:val="00494594"/>
    <w:rsid w:val="00494C32"/>
    <w:rsid w:val="00494C90"/>
    <w:rsid w:val="004964D6"/>
    <w:rsid w:val="00496AAC"/>
    <w:rsid w:val="00496AC0"/>
    <w:rsid w:val="00497C81"/>
    <w:rsid w:val="004A070F"/>
    <w:rsid w:val="004A10A3"/>
    <w:rsid w:val="004A13A5"/>
    <w:rsid w:val="004A1C27"/>
    <w:rsid w:val="004A2407"/>
    <w:rsid w:val="004A2D63"/>
    <w:rsid w:val="004A3940"/>
    <w:rsid w:val="004A3B4B"/>
    <w:rsid w:val="004A4CE6"/>
    <w:rsid w:val="004A52CF"/>
    <w:rsid w:val="004A6D93"/>
    <w:rsid w:val="004A70DE"/>
    <w:rsid w:val="004A7736"/>
    <w:rsid w:val="004B0013"/>
    <w:rsid w:val="004B0C01"/>
    <w:rsid w:val="004B2383"/>
    <w:rsid w:val="004B2517"/>
    <w:rsid w:val="004B264B"/>
    <w:rsid w:val="004B289E"/>
    <w:rsid w:val="004B3202"/>
    <w:rsid w:val="004B499F"/>
    <w:rsid w:val="004B4DDF"/>
    <w:rsid w:val="004B5226"/>
    <w:rsid w:val="004B53F5"/>
    <w:rsid w:val="004B5AEA"/>
    <w:rsid w:val="004B68AD"/>
    <w:rsid w:val="004B76E7"/>
    <w:rsid w:val="004C03EA"/>
    <w:rsid w:val="004C2040"/>
    <w:rsid w:val="004C2D9C"/>
    <w:rsid w:val="004C3862"/>
    <w:rsid w:val="004C3C0E"/>
    <w:rsid w:val="004C408F"/>
    <w:rsid w:val="004C5237"/>
    <w:rsid w:val="004C5E0F"/>
    <w:rsid w:val="004C625B"/>
    <w:rsid w:val="004D02AC"/>
    <w:rsid w:val="004D103C"/>
    <w:rsid w:val="004D1A1B"/>
    <w:rsid w:val="004D20EC"/>
    <w:rsid w:val="004D28D4"/>
    <w:rsid w:val="004D2DDC"/>
    <w:rsid w:val="004D3650"/>
    <w:rsid w:val="004D3769"/>
    <w:rsid w:val="004D40DA"/>
    <w:rsid w:val="004D467F"/>
    <w:rsid w:val="004D4992"/>
    <w:rsid w:val="004D4CB5"/>
    <w:rsid w:val="004D620F"/>
    <w:rsid w:val="004D6C06"/>
    <w:rsid w:val="004D7B21"/>
    <w:rsid w:val="004E0FCB"/>
    <w:rsid w:val="004E1221"/>
    <w:rsid w:val="004E18F5"/>
    <w:rsid w:val="004E33F8"/>
    <w:rsid w:val="004E3973"/>
    <w:rsid w:val="004E5184"/>
    <w:rsid w:val="004E622D"/>
    <w:rsid w:val="004E6809"/>
    <w:rsid w:val="004E777A"/>
    <w:rsid w:val="004F0479"/>
    <w:rsid w:val="004F214F"/>
    <w:rsid w:val="004F298F"/>
    <w:rsid w:val="004F45FB"/>
    <w:rsid w:val="004F5D72"/>
    <w:rsid w:val="004F6485"/>
    <w:rsid w:val="004F6934"/>
    <w:rsid w:val="0050004E"/>
    <w:rsid w:val="00500695"/>
    <w:rsid w:val="00500A39"/>
    <w:rsid w:val="00500BBF"/>
    <w:rsid w:val="00501552"/>
    <w:rsid w:val="00501D60"/>
    <w:rsid w:val="005024BE"/>
    <w:rsid w:val="00503C7E"/>
    <w:rsid w:val="00504182"/>
    <w:rsid w:val="00504D6A"/>
    <w:rsid w:val="00504EE2"/>
    <w:rsid w:val="00505CAC"/>
    <w:rsid w:val="00505D12"/>
    <w:rsid w:val="00506605"/>
    <w:rsid w:val="00507041"/>
    <w:rsid w:val="0050706E"/>
    <w:rsid w:val="0051191F"/>
    <w:rsid w:val="00512D0C"/>
    <w:rsid w:val="0051427D"/>
    <w:rsid w:val="005144DA"/>
    <w:rsid w:val="0051464D"/>
    <w:rsid w:val="005148DA"/>
    <w:rsid w:val="005159D9"/>
    <w:rsid w:val="0051605E"/>
    <w:rsid w:val="005172EB"/>
    <w:rsid w:val="005175B8"/>
    <w:rsid w:val="0052029B"/>
    <w:rsid w:val="00521041"/>
    <w:rsid w:val="00521881"/>
    <w:rsid w:val="00523C72"/>
    <w:rsid w:val="005246E8"/>
    <w:rsid w:val="00524997"/>
    <w:rsid w:val="00524C4B"/>
    <w:rsid w:val="00524F3C"/>
    <w:rsid w:val="005256AB"/>
    <w:rsid w:val="0052620A"/>
    <w:rsid w:val="00526DF6"/>
    <w:rsid w:val="005305F8"/>
    <w:rsid w:val="00531BE8"/>
    <w:rsid w:val="00531E0A"/>
    <w:rsid w:val="00531EAE"/>
    <w:rsid w:val="005327AF"/>
    <w:rsid w:val="005333BB"/>
    <w:rsid w:val="00533B16"/>
    <w:rsid w:val="00534805"/>
    <w:rsid w:val="00535FF8"/>
    <w:rsid w:val="005361C4"/>
    <w:rsid w:val="0053634F"/>
    <w:rsid w:val="005372F1"/>
    <w:rsid w:val="00537EBB"/>
    <w:rsid w:val="005407D4"/>
    <w:rsid w:val="0054194C"/>
    <w:rsid w:val="00541D7C"/>
    <w:rsid w:val="00542182"/>
    <w:rsid w:val="0054238D"/>
    <w:rsid w:val="00545344"/>
    <w:rsid w:val="00545E78"/>
    <w:rsid w:val="00546265"/>
    <w:rsid w:val="0054686E"/>
    <w:rsid w:val="00547F7F"/>
    <w:rsid w:val="005504E6"/>
    <w:rsid w:val="005507CF"/>
    <w:rsid w:val="00550A1B"/>
    <w:rsid w:val="00553629"/>
    <w:rsid w:val="00554201"/>
    <w:rsid w:val="00554457"/>
    <w:rsid w:val="00555831"/>
    <w:rsid w:val="00555D0C"/>
    <w:rsid w:val="0055640B"/>
    <w:rsid w:val="00556C7F"/>
    <w:rsid w:val="00557B86"/>
    <w:rsid w:val="00561B86"/>
    <w:rsid w:val="00561ECA"/>
    <w:rsid w:val="005626E3"/>
    <w:rsid w:val="00562939"/>
    <w:rsid w:val="00562B97"/>
    <w:rsid w:val="00562BDA"/>
    <w:rsid w:val="00566BD0"/>
    <w:rsid w:val="005673C2"/>
    <w:rsid w:val="00567980"/>
    <w:rsid w:val="005700A2"/>
    <w:rsid w:val="005704CB"/>
    <w:rsid w:val="00571231"/>
    <w:rsid w:val="00572169"/>
    <w:rsid w:val="00573B3A"/>
    <w:rsid w:val="00573B7A"/>
    <w:rsid w:val="00577751"/>
    <w:rsid w:val="00580BA2"/>
    <w:rsid w:val="0058238D"/>
    <w:rsid w:val="00582B4F"/>
    <w:rsid w:val="00582D53"/>
    <w:rsid w:val="00582F0D"/>
    <w:rsid w:val="00582FD3"/>
    <w:rsid w:val="005835F8"/>
    <w:rsid w:val="005839CF"/>
    <w:rsid w:val="00583BE3"/>
    <w:rsid w:val="00583CEB"/>
    <w:rsid w:val="00583F8F"/>
    <w:rsid w:val="00584A1E"/>
    <w:rsid w:val="00585469"/>
    <w:rsid w:val="00585AC9"/>
    <w:rsid w:val="00590964"/>
    <w:rsid w:val="00590ACD"/>
    <w:rsid w:val="00590F46"/>
    <w:rsid w:val="00591D76"/>
    <w:rsid w:val="00592A62"/>
    <w:rsid w:val="0059341F"/>
    <w:rsid w:val="00593467"/>
    <w:rsid w:val="00594572"/>
    <w:rsid w:val="005950FB"/>
    <w:rsid w:val="00595C1A"/>
    <w:rsid w:val="00595FA4"/>
    <w:rsid w:val="00596ACC"/>
    <w:rsid w:val="00597B5D"/>
    <w:rsid w:val="005A0187"/>
    <w:rsid w:val="005A088D"/>
    <w:rsid w:val="005A1273"/>
    <w:rsid w:val="005A1299"/>
    <w:rsid w:val="005A1AB5"/>
    <w:rsid w:val="005A1C03"/>
    <w:rsid w:val="005A1E7D"/>
    <w:rsid w:val="005A22E2"/>
    <w:rsid w:val="005A2CFC"/>
    <w:rsid w:val="005A3DFA"/>
    <w:rsid w:val="005A4332"/>
    <w:rsid w:val="005A4ACD"/>
    <w:rsid w:val="005A562F"/>
    <w:rsid w:val="005A57E5"/>
    <w:rsid w:val="005A5D2F"/>
    <w:rsid w:val="005A64F7"/>
    <w:rsid w:val="005A700B"/>
    <w:rsid w:val="005A73BA"/>
    <w:rsid w:val="005B2CC3"/>
    <w:rsid w:val="005B3E95"/>
    <w:rsid w:val="005B3FF2"/>
    <w:rsid w:val="005B4B22"/>
    <w:rsid w:val="005B4D72"/>
    <w:rsid w:val="005B52D7"/>
    <w:rsid w:val="005B530B"/>
    <w:rsid w:val="005B5364"/>
    <w:rsid w:val="005B568E"/>
    <w:rsid w:val="005B5E51"/>
    <w:rsid w:val="005B637E"/>
    <w:rsid w:val="005B6ABC"/>
    <w:rsid w:val="005B771F"/>
    <w:rsid w:val="005C0E6F"/>
    <w:rsid w:val="005C176C"/>
    <w:rsid w:val="005C26ED"/>
    <w:rsid w:val="005C2744"/>
    <w:rsid w:val="005C3800"/>
    <w:rsid w:val="005C492E"/>
    <w:rsid w:val="005C4F15"/>
    <w:rsid w:val="005C57AB"/>
    <w:rsid w:val="005C64F5"/>
    <w:rsid w:val="005C6B90"/>
    <w:rsid w:val="005D11C7"/>
    <w:rsid w:val="005D2484"/>
    <w:rsid w:val="005D2DB8"/>
    <w:rsid w:val="005D3018"/>
    <w:rsid w:val="005D4801"/>
    <w:rsid w:val="005D489C"/>
    <w:rsid w:val="005D6341"/>
    <w:rsid w:val="005D664B"/>
    <w:rsid w:val="005D7250"/>
    <w:rsid w:val="005E0A65"/>
    <w:rsid w:val="005E1285"/>
    <w:rsid w:val="005E137D"/>
    <w:rsid w:val="005E2294"/>
    <w:rsid w:val="005E2679"/>
    <w:rsid w:val="005E2E96"/>
    <w:rsid w:val="005E2F55"/>
    <w:rsid w:val="005E3F3B"/>
    <w:rsid w:val="005E4CA0"/>
    <w:rsid w:val="005E5404"/>
    <w:rsid w:val="005E56F8"/>
    <w:rsid w:val="005E580E"/>
    <w:rsid w:val="005E5C1E"/>
    <w:rsid w:val="005E63DA"/>
    <w:rsid w:val="005E72D4"/>
    <w:rsid w:val="005E73EE"/>
    <w:rsid w:val="005E79B5"/>
    <w:rsid w:val="005F033F"/>
    <w:rsid w:val="005F1B60"/>
    <w:rsid w:val="005F2A19"/>
    <w:rsid w:val="005F31B1"/>
    <w:rsid w:val="005F63FD"/>
    <w:rsid w:val="005F670E"/>
    <w:rsid w:val="005F68BE"/>
    <w:rsid w:val="005F6B04"/>
    <w:rsid w:val="005F7B62"/>
    <w:rsid w:val="00600297"/>
    <w:rsid w:val="00601940"/>
    <w:rsid w:val="00601F0D"/>
    <w:rsid w:val="00602626"/>
    <w:rsid w:val="0060284D"/>
    <w:rsid w:val="006033BB"/>
    <w:rsid w:val="00604729"/>
    <w:rsid w:val="00604D2F"/>
    <w:rsid w:val="006050E7"/>
    <w:rsid w:val="00606861"/>
    <w:rsid w:val="00606D6B"/>
    <w:rsid w:val="00606E74"/>
    <w:rsid w:val="00607063"/>
    <w:rsid w:val="006075A2"/>
    <w:rsid w:val="00607BB6"/>
    <w:rsid w:val="006101A6"/>
    <w:rsid w:val="00610C3A"/>
    <w:rsid w:val="006112ED"/>
    <w:rsid w:val="00611B6A"/>
    <w:rsid w:val="0061337F"/>
    <w:rsid w:val="00614273"/>
    <w:rsid w:val="006147BB"/>
    <w:rsid w:val="00614C67"/>
    <w:rsid w:val="00615BDE"/>
    <w:rsid w:val="00617D97"/>
    <w:rsid w:val="006207D3"/>
    <w:rsid w:val="00620998"/>
    <w:rsid w:val="00620D0D"/>
    <w:rsid w:val="006215B4"/>
    <w:rsid w:val="00623D70"/>
    <w:rsid w:val="0062404C"/>
    <w:rsid w:val="006245AE"/>
    <w:rsid w:val="00624E65"/>
    <w:rsid w:val="0062632A"/>
    <w:rsid w:val="0062686C"/>
    <w:rsid w:val="00627538"/>
    <w:rsid w:val="00627AA8"/>
    <w:rsid w:val="00627B32"/>
    <w:rsid w:val="00630BB5"/>
    <w:rsid w:val="00631D83"/>
    <w:rsid w:val="00631F24"/>
    <w:rsid w:val="00632946"/>
    <w:rsid w:val="0063354B"/>
    <w:rsid w:val="0063429B"/>
    <w:rsid w:val="00635C53"/>
    <w:rsid w:val="006367EC"/>
    <w:rsid w:val="0063691F"/>
    <w:rsid w:val="00636CF1"/>
    <w:rsid w:val="006373FA"/>
    <w:rsid w:val="0063748C"/>
    <w:rsid w:val="00637E2A"/>
    <w:rsid w:val="00640157"/>
    <w:rsid w:val="00640185"/>
    <w:rsid w:val="00640528"/>
    <w:rsid w:val="0064054C"/>
    <w:rsid w:val="006408F3"/>
    <w:rsid w:val="0064297F"/>
    <w:rsid w:val="0064327E"/>
    <w:rsid w:val="00643592"/>
    <w:rsid w:val="0064382D"/>
    <w:rsid w:val="00643F84"/>
    <w:rsid w:val="00644598"/>
    <w:rsid w:val="006465B9"/>
    <w:rsid w:val="00646F45"/>
    <w:rsid w:val="00647288"/>
    <w:rsid w:val="006500A9"/>
    <w:rsid w:val="00650536"/>
    <w:rsid w:val="0065076C"/>
    <w:rsid w:val="00650907"/>
    <w:rsid w:val="00650F6A"/>
    <w:rsid w:val="006516AA"/>
    <w:rsid w:val="00651949"/>
    <w:rsid w:val="00651D61"/>
    <w:rsid w:val="006524B6"/>
    <w:rsid w:val="00652FA2"/>
    <w:rsid w:val="006531A3"/>
    <w:rsid w:val="00653690"/>
    <w:rsid w:val="00653D1F"/>
    <w:rsid w:val="00653FD7"/>
    <w:rsid w:val="0065491A"/>
    <w:rsid w:val="006554B7"/>
    <w:rsid w:val="0065711E"/>
    <w:rsid w:val="006602B4"/>
    <w:rsid w:val="0066055B"/>
    <w:rsid w:val="0066106A"/>
    <w:rsid w:val="0066193D"/>
    <w:rsid w:val="00663092"/>
    <w:rsid w:val="006644CD"/>
    <w:rsid w:val="00664DA9"/>
    <w:rsid w:val="00665783"/>
    <w:rsid w:val="00665FC1"/>
    <w:rsid w:val="00666011"/>
    <w:rsid w:val="006674F3"/>
    <w:rsid w:val="006700CC"/>
    <w:rsid w:val="00670180"/>
    <w:rsid w:val="00670D02"/>
    <w:rsid w:val="0067130B"/>
    <w:rsid w:val="00671510"/>
    <w:rsid w:val="006718A5"/>
    <w:rsid w:val="00671EE8"/>
    <w:rsid w:val="006725DE"/>
    <w:rsid w:val="006730F8"/>
    <w:rsid w:val="00673BE4"/>
    <w:rsid w:val="00674608"/>
    <w:rsid w:val="0067503D"/>
    <w:rsid w:val="0067594C"/>
    <w:rsid w:val="00675E49"/>
    <w:rsid w:val="00676039"/>
    <w:rsid w:val="00676883"/>
    <w:rsid w:val="00676FC8"/>
    <w:rsid w:val="006770BF"/>
    <w:rsid w:val="0068099F"/>
    <w:rsid w:val="00681344"/>
    <w:rsid w:val="00681398"/>
    <w:rsid w:val="0068189E"/>
    <w:rsid w:val="00681A11"/>
    <w:rsid w:val="00681B58"/>
    <w:rsid w:val="00681EDA"/>
    <w:rsid w:val="00682251"/>
    <w:rsid w:val="006822E7"/>
    <w:rsid w:val="00682BA7"/>
    <w:rsid w:val="0068358A"/>
    <w:rsid w:val="0068453E"/>
    <w:rsid w:val="00684A24"/>
    <w:rsid w:val="00685174"/>
    <w:rsid w:val="006864AF"/>
    <w:rsid w:val="00687D16"/>
    <w:rsid w:val="006902B1"/>
    <w:rsid w:val="006903D3"/>
    <w:rsid w:val="0069118E"/>
    <w:rsid w:val="0069123E"/>
    <w:rsid w:val="00691D0A"/>
    <w:rsid w:val="00692801"/>
    <w:rsid w:val="00692E3E"/>
    <w:rsid w:val="0069383F"/>
    <w:rsid w:val="00693EDA"/>
    <w:rsid w:val="0069450C"/>
    <w:rsid w:val="00694BDD"/>
    <w:rsid w:val="006959AE"/>
    <w:rsid w:val="00695C34"/>
    <w:rsid w:val="00696ECF"/>
    <w:rsid w:val="00697FF9"/>
    <w:rsid w:val="006A1B1B"/>
    <w:rsid w:val="006A1E87"/>
    <w:rsid w:val="006A2613"/>
    <w:rsid w:val="006A32E7"/>
    <w:rsid w:val="006A3D40"/>
    <w:rsid w:val="006A43F8"/>
    <w:rsid w:val="006A4AF2"/>
    <w:rsid w:val="006A4FED"/>
    <w:rsid w:val="006A5412"/>
    <w:rsid w:val="006A5EBB"/>
    <w:rsid w:val="006A6101"/>
    <w:rsid w:val="006A6284"/>
    <w:rsid w:val="006A7091"/>
    <w:rsid w:val="006A7B46"/>
    <w:rsid w:val="006A7E26"/>
    <w:rsid w:val="006A7FE1"/>
    <w:rsid w:val="006B0456"/>
    <w:rsid w:val="006B055E"/>
    <w:rsid w:val="006B0896"/>
    <w:rsid w:val="006B0EF0"/>
    <w:rsid w:val="006B1742"/>
    <w:rsid w:val="006B22AC"/>
    <w:rsid w:val="006B2737"/>
    <w:rsid w:val="006B2E2F"/>
    <w:rsid w:val="006B3158"/>
    <w:rsid w:val="006B352E"/>
    <w:rsid w:val="006B461B"/>
    <w:rsid w:val="006B4FF1"/>
    <w:rsid w:val="006B6951"/>
    <w:rsid w:val="006B6BC1"/>
    <w:rsid w:val="006B6D1F"/>
    <w:rsid w:val="006B77F9"/>
    <w:rsid w:val="006B7C32"/>
    <w:rsid w:val="006B7D26"/>
    <w:rsid w:val="006C01FF"/>
    <w:rsid w:val="006C034C"/>
    <w:rsid w:val="006C0473"/>
    <w:rsid w:val="006C1C1A"/>
    <w:rsid w:val="006C22E2"/>
    <w:rsid w:val="006C26CD"/>
    <w:rsid w:val="006C279A"/>
    <w:rsid w:val="006C323A"/>
    <w:rsid w:val="006C40A5"/>
    <w:rsid w:val="006C51FC"/>
    <w:rsid w:val="006C63E5"/>
    <w:rsid w:val="006C65A0"/>
    <w:rsid w:val="006C7C32"/>
    <w:rsid w:val="006D03D7"/>
    <w:rsid w:val="006D1EED"/>
    <w:rsid w:val="006D30C0"/>
    <w:rsid w:val="006D3495"/>
    <w:rsid w:val="006D3748"/>
    <w:rsid w:val="006D41EB"/>
    <w:rsid w:val="006D4F1C"/>
    <w:rsid w:val="006D5C6F"/>
    <w:rsid w:val="006D66D3"/>
    <w:rsid w:val="006D673F"/>
    <w:rsid w:val="006D6AC3"/>
    <w:rsid w:val="006D7564"/>
    <w:rsid w:val="006E02D7"/>
    <w:rsid w:val="006E0CB7"/>
    <w:rsid w:val="006E1032"/>
    <w:rsid w:val="006E1404"/>
    <w:rsid w:val="006E17DF"/>
    <w:rsid w:val="006E33D6"/>
    <w:rsid w:val="006E3786"/>
    <w:rsid w:val="006E3E0D"/>
    <w:rsid w:val="006E4052"/>
    <w:rsid w:val="006E4055"/>
    <w:rsid w:val="006E43A4"/>
    <w:rsid w:val="006E4A25"/>
    <w:rsid w:val="006E5729"/>
    <w:rsid w:val="006E6362"/>
    <w:rsid w:val="006E70BD"/>
    <w:rsid w:val="006E7FEC"/>
    <w:rsid w:val="006F09DC"/>
    <w:rsid w:val="006F30E0"/>
    <w:rsid w:val="006F333E"/>
    <w:rsid w:val="006F38E7"/>
    <w:rsid w:val="006F46A3"/>
    <w:rsid w:val="006F5896"/>
    <w:rsid w:val="006F703E"/>
    <w:rsid w:val="006F70CE"/>
    <w:rsid w:val="006F7976"/>
    <w:rsid w:val="00700A73"/>
    <w:rsid w:val="007010FD"/>
    <w:rsid w:val="007018B6"/>
    <w:rsid w:val="00701A27"/>
    <w:rsid w:val="007023EE"/>
    <w:rsid w:val="0070367E"/>
    <w:rsid w:val="00703C7B"/>
    <w:rsid w:val="007041ED"/>
    <w:rsid w:val="00704E0E"/>
    <w:rsid w:val="00705804"/>
    <w:rsid w:val="00705A6B"/>
    <w:rsid w:val="00705C02"/>
    <w:rsid w:val="00710226"/>
    <w:rsid w:val="00710261"/>
    <w:rsid w:val="00710679"/>
    <w:rsid w:val="007107EE"/>
    <w:rsid w:val="00710A84"/>
    <w:rsid w:val="007111DF"/>
    <w:rsid w:val="007112A9"/>
    <w:rsid w:val="00711DAB"/>
    <w:rsid w:val="007127FA"/>
    <w:rsid w:val="00712BB6"/>
    <w:rsid w:val="00712F4E"/>
    <w:rsid w:val="007136CC"/>
    <w:rsid w:val="007138A8"/>
    <w:rsid w:val="0071397A"/>
    <w:rsid w:val="00713A23"/>
    <w:rsid w:val="00714845"/>
    <w:rsid w:val="00714D2C"/>
    <w:rsid w:val="0071587F"/>
    <w:rsid w:val="00715ACE"/>
    <w:rsid w:val="00715F7E"/>
    <w:rsid w:val="0071674C"/>
    <w:rsid w:val="00716A37"/>
    <w:rsid w:val="0071727F"/>
    <w:rsid w:val="00717B0A"/>
    <w:rsid w:val="007205F0"/>
    <w:rsid w:val="00721381"/>
    <w:rsid w:val="007219A8"/>
    <w:rsid w:val="0072327B"/>
    <w:rsid w:val="0072540E"/>
    <w:rsid w:val="00725509"/>
    <w:rsid w:val="00725C02"/>
    <w:rsid w:val="0072621C"/>
    <w:rsid w:val="00727340"/>
    <w:rsid w:val="00727938"/>
    <w:rsid w:val="00730E40"/>
    <w:rsid w:val="00731279"/>
    <w:rsid w:val="007318B3"/>
    <w:rsid w:val="00732919"/>
    <w:rsid w:val="00732BB4"/>
    <w:rsid w:val="0073346B"/>
    <w:rsid w:val="007336A1"/>
    <w:rsid w:val="00734A51"/>
    <w:rsid w:val="007362E5"/>
    <w:rsid w:val="007368DE"/>
    <w:rsid w:val="00736990"/>
    <w:rsid w:val="007369C1"/>
    <w:rsid w:val="00737C28"/>
    <w:rsid w:val="007409E5"/>
    <w:rsid w:val="00740EC7"/>
    <w:rsid w:val="0074278A"/>
    <w:rsid w:val="007427D1"/>
    <w:rsid w:val="00742994"/>
    <w:rsid w:val="007429D2"/>
    <w:rsid w:val="007435D2"/>
    <w:rsid w:val="00744168"/>
    <w:rsid w:val="007441E2"/>
    <w:rsid w:val="00744583"/>
    <w:rsid w:val="00745502"/>
    <w:rsid w:val="00745E0D"/>
    <w:rsid w:val="00746081"/>
    <w:rsid w:val="00746BB0"/>
    <w:rsid w:val="00746E22"/>
    <w:rsid w:val="00750037"/>
    <w:rsid w:val="0075004C"/>
    <w:rsid w:val="00750056"/>
    <w:rsid w:val="00750096"/>
    <w:rsid w:val="007507ED"/>
    <w:rsid w:val="00750BF5"/>
    <w:rsid w:val="00750E55"/>
    <w:rsid w:val="00751AF4"/>
    <w:rsid w:val="00753343"/>
    <w:rsid w:val="00753F8F"/>
    <w:rsid w:val="007543DF"/>
    <w:rsid w:val="007556CE"/>
    <w:rsid w:val="00755A6D"/>
    <w:rsid w:val="00756D6D"/>
    <w:rsid w:val="00757493"/>
    <w:rsid w:val="00760248"/>
    <w:rsid w:val="00760892"/>
    <w:rsid w:val="00760ECB"/>
    <w:rsid w:val="00760F2A"/>
    <w:rsid w:val="007612B0"/>
    <w:rsid w:val="00761617"/>
    <w:rsid w:val="00762BB5"/>
    <w:rsid w:val="00762D14"/>
    <w:rsid w:val="00762F9D"/>
    <w:rsid w:val="007632AD"/>
    <w:rsid w:val="00764989"/>
    <w:rsid w:val="00764AC3"/>
    <w:rsid w:val="0076528E"/>
    <w:rsid w:val="007653E0"/>
    <w:rsid w:val="00765854"/>
    <w:rsid w:val="00766BFD"/>
    <w:rsid w:val="00766CE7"/>
    <w:rsid w:val="007671BD"/>
    <w:rsid w:val="00767D23"/>
    <w:rsid w:val="0077202C"/>
    <w:rsid w:val="007720C7"/>
    <w:rsid w:val="00772B07"/>
    <w:rsid w:val="00772C50"/>
    <w:rsid w:val="00773365"/>
    <w:rsid w:val="007739F7"/>
    <w:rsid w:val="00773D40"/>
    <w:rsid w:val="00773E5C"/>
    <w:rsid w:val="007740C7"/>
    <w:rsid w:val="007742A3"/>
    <w:rsid w:val="00774AD6"/>
    <w:rsid w:val="00774FBD"/>
    <w:rsid w:val="00775D78"/>
    <w:rsid w:val="00777BD0"/>
    <w:rsid w:val="00781199"/>
    <w:rsid w:val="0078187F"/>
    <w:rsid w:val="0078195F"/>
    <w:rsid w:val="00782B2A"/>
    <w:rsid w:val="00782E2D"/>
    <w:rsid w:val="00783633"/>
    <w:rsid w:val="007839B9"/>
    <w:rsid w:val="00783AA2"/>
    <w:rsid w:val="00783F9A"/>
    <w:rsid w:val="00784769"/>
    <w:rsid w:val="00786CFE"/>
    <w:rsid w:val="00787C2D"/>
    <w:rsid w:val="007909FF"/>
    <w:rsid w:val="0079101D"/>
    <w:rsid w:val="0079157E"/>
    <w:rsid w:val="00792344"/>
    <w:rsid w:val="0079274B"/>
    <w:rsid w:val="007927A0"/>
    <w:rsid w:val="007937B8"/>
    <w:rsid w:val="00794863"/>
    <w:rsid w:val="007952D0"/>
    <w:rsid w:val="00795DEF"/>
    <w:rsid w:val="00796137"/>
    <w:rsid w:val="00797BC8"/>
    <w:rsid w:val="007A0624"/>
    <w:rsid w:val="007A0B36"/>
    <w:rsid w:val="007A0FCA"/>
    <w:rsid w:val="007A1513"/>
    <w:rsid w:val="007A36CF"/>
    <w:rsid w:val="007A3A05"/>
    <w:rsid w:val="007A62E6"/>
    <w:rsid w:val="007A701E"/>
    <w:rsid w:val="007A737C"/>
    <w:rsid w:val="007A7BFC"/>
    <w:rsid w:val="007B01C5"/>
    <w:rsid w:val="007B0B94"/>
    <w:rsid w:val="007B1DCC"/>
    <w:rsid w:val="007B21CC"/>
    <w:rsid w:val="007B2BEB"/>
    <w:rsid w:val="007B2CE6"/>
    <w:rsid w:val="007B30D1"/>
    <w:rsid w:val="007B30E7"/>
    <w:rsid w:val="007B3234"/>
    <w:rsid w:val="007B3C75"/>
    <w:rsid w:val="007B4EC9"/>
    <w:rsid w:val="007B69DB"/>
    <w:rsid w:val="007B6F09"/>
    <w:rsid w:val="007B713A"/>
    <w:rsid w:val="007B7255"/>
    <w:rsid w:val="007B7282"/>
    <w:rsid w:val="007B78D0"/>
    <w:rsid w:val="007B7AA9"/>
    <w:rsid w:val="007B7E6F"/>
    <w:rsid w:val="007C0541"/>
    <w:rsid w:val="007C0EEB"/>
    <w:rsid w:val="007C2018"/>
    <w:rsid w:val="007C2509"/>
    <w:rsid w:val="007C25B6"/>
    <w:rsid w:val="007C3914"/>
    <w:rsid w:val="007C4298"/>
    <w:rsid w:val="007C42D3"/>
    <w:rsid w:val="007C43FC"/>
    <w:rsid w:val="007C458C"/>
    <w:rsid w:val="007C59E0"/>
    <w:rsid w:val="007C7464"/>
    <w:rsid w:val="007D012F"/>
    <w:rsid w:val="007D0586"/>
    <w:rsid w:val="007D0C4C"/>
    <w:rsid w:val="007D1053"/>
    <w:rsid w:val="007D35E0"/>
    <w:rsid w:val="007D3AAD"/>
    <w:rsid w:val="007D4009"/>
    <w:rsid w:val="007D4897"/>
    <w:rsid w:val="007D5BFB"/>
    <w:rsid w:val="007D6DE3"/>
    <w:rsid w:val="007D7951"/>
    <w:rsid w:val="007D7C9A"/>
    <w:rsid w:val="007E0A0E"/>
    <w:rsid w:val="007E121A"/>
    <w:rsid w:val="007E130E"/>
    <w:rsid w:val="007E1447"/>
    <w:rsid w:val="007E1551"/>
    <w:rsid w:val="007E1794"/>
    <w:rsid w:val="007E3900"/>
    <w:rsid w:val="007E4857"/>
    <w:rsid w:val="007E4927"/>
    <w:rsid w:val="007E4ED4"/>
    <w:rsid w:val="007E5A61"/>
    <w:rsid w:val="007E6418"/>
    <w:rsid w:val="007E6515"/>
    <w:rsid w:val="007E6A47"/>
    <w:rsid w:val="007F31A6"/>
    <w:rsid w:val="007F53ED"/>
    <w:rsid w:val="0080043D"/>
    <w:rsid w:val="00800994"/>
    <w:rsid w:val="00801E9C"/>
    <w:rsid w:val="00802E6A"/>
    <w:rsid w:val="0080352D"/>
    <w:rsid w:val="0080352F"/>
    <w:rsid w:val="00803CA0"/>
    <w:rsid w:val="00803F67"/>
    <w:rsid w:val="00804097"/>
    <w:rsid w:val="00804C2B"/>
    <w:rsid w:val="00804EAD"/>
    <w:rsid w:val="00805EF4"/>
    <w:rsid w:val="00806087"/>
    <w:rsid w:val="00806860"/>
    <w:rsid w:val="00806B20"/>
    <w:rsid w:val="0081017B"/>
    <w:rsid w:val="008118E6"/>
    <w:rsid w:val="008123BD"/>
    <w:rsid w:val="0081417C"/>
    <w:rsid w:val="0081459B"/>
    <w:rsid w:val="00815126"/>
    <w:rsid w:val="00816070"/>
    <w:rsid w:val="00816D63"/>
    <w:rsid w:val="0081712A"/>
    <w:rsid w:val="008203A8"/>
    <w:rsid w:val="0082104C"/>
    <w:rsid w:val="0082386A"/>
    <w:rsid w:val="00823E12"/>
    <w:rsid w:val="00824136"/>
    <w:rsid w:val="008241F5"/>
    <w:rsid w:val="0082427F"/>
    <w:rsid w:val="00824B22"/>
    <w:rsid w:val="00824CD7"/>
    <w:rsid w:val="00825998"/>
    <w:rsid w:val="00827F27"/>
    <w:rsid w:val="0083019D"/>
    <w:rsid w:val="008311CA"/>
    <w:rsid w:val="00831A4A"/>
    <w:rsid w:val="00831AE3"/>
    <w:rsid w:val="0083271D"/>
    <w:rsid w:val="00833726"/>
    <w:rsid w:val="00835D00"/>
    <w:rsid w:val="00836526"/>
    <w:rsid w:val="00836974"/>
    <w:rsid w:val="00836CCB"/>
    <w:rsid w:val="00837657"/>
    <w:rsid w:val="008400F3"/>
    <w:rsid w:val="0084050C"/>
    <w:rsid w:val="00841268"/>
    <w:rsid w:val="00842866"/>
    <w:rsid w:val="008436B5"/>
    <w:rsid w:val="00844067"/>
    <w:rsid w:val="008442B7"/>
    <w:rsid w:val="00844B47"/>
    <w:rsid w:val="0084521E"/>
    <w:rsid w:val="00845AC9"/>
    <w:rsid w:val="00851228"/>
    <w:rsid w:val="00851EC5"/>
    <w:rsid w:val="00852E03"/>
    <w:rsid w:val="008530D2"/>
    <w:rsid w:val="0085333B"/>
    <w:rsid w:val="00853BDB"/>
    <w:rsid w:val="008552DF"/>
    <w:rsid w:val="00855E9B"/>
    <w:rsid w:val="00856056"/>
    <w:rsid w:val="008565E8"/>
    <w:rsid w:val="008612F6"/>
    <w:rsid w:val="00861942"/>
    <w:rsid w:val="00861D6B"/>
    <w:rsid w:val="00862655"/>
    <w:rsid w:val="00862C6E"/>
    <w:rsid w:val="00863345"/>
    <w:rsid w:val="00864527"/>
    <w:rsid w:val="00864D99"/>
    <w:rsid w:val="008663B6"/>
    <w:rsid w:val="00867F54"/>
    <w:rsid w:val="008716D6"/>
    <w:rsid w:val="00871F9A"/>
    <w:rsid w:val="0087291A"/>
    <w:rsid w:val="00873328"/>
    <w:rsid w:val="00873418"/>
    <w:rsid w:val="008738CE"/>
    <w:rsid w:val="008750B4"/>
    <w:rsid w:val="008753A9"/>
    <w:rsid w:val="00875BCC"/>
    <w:rsid w:val="00875C0E"/>
    <w:rsid w:val="00875E09"/>
    <w:rsid w:val="0087630C"/>
    <w:rsid w:val="008765BC"/>
    <w:rsid w:val="00877308"/>
    <w:rsid w:val="0088171E"/>
    <w:rsid w:val="0088452E"/>
    <w:rsid w:val="00885C0B"/>
    <w:rsid w:val="00886FAF"/>
    <w:rsid w:val="008914D3"/>
    <w:rsid w:val="008923AC"/>
    <w:rsid w:val="00892EE2"/>
    <w:rsid w:val="00893409"/>
    <w:rsid w:val="0089396C"/>
    <w:rsid w:val="00893AE7"/>
    <w:rsid w:val="00894383"/>
    <w:rsid w:val="00894A14"/>
    <w:rsid w:val="00894DBF"/>
    <w:rsid w:val="00895777"/>
    <w:rsid w:val="00895AFB"/>
    <w:rsid w:val="00895F6C"/>
    <w:rsid w:val="00896A90"/>
    <w:rsid w:val="00896AD3"/>
    <w:rsid w:val="00896C20"/>
    <w:rsid w:val="008976CF"/>
    <w:rsid w:val="008A07B0"/>
    <w:rsid w:val="008A21BA"/>
    <w:rsid w:val="008A2871"/>
    <w:rsid w:val="008A28B1"/>
    <w:rsid w:val="008A28ED"/>
    <w:rsid w:val="008A2A4E"/>
    <w:rsid w:val="008A5254"/>
    <w:rsid w:val="008A75F7"/>
    <w:rsid w:val="008A77EB"/>
    <w:rsid w:val="008A78BD"/>
    <w:rsid w:val="008A7FB1"/>
    <w:rsid w:val="008B0BA9"/>
    <w:rsid w:val="008B12C7"/>
    <w:rsid w:val="008B154C"/>
    <w:rsid w:val="008B1C1A"/>
    <w:rsid w:val="008B2E05"/>
    <w:rsid w:val="008B4BAC"/>
    <w:rsid w:val="008B4FBF"/>
    <w:rsid w:val="008C01CB"/>
    <w:rsid w:val="008C0B86"/>
    <w:rsid w:val="008C0F23"/>
    <w:rsid w:val="008C1EA0"/>
    <w:rsid w:val="008C22F2"/>
    <w:rsid w:val="008C3B35"/>
    <w:rsid w:val="008C3B80"/>
    <w:rsid w:val="008C46A3"/>
    <w:rsid w:val="008C487F"/>
    <w:rsid w:val="008C4B5D"/>
    <w:rsid w:val="008C6351"/>
    <w:rsid w:val="008C6646"/>
    <w:rsid w:val="008C6FD3"/>
    <w:rsid w:val="008C7BB5"/>
    <w:rsid w:val="008C7C06"/>
    <w:rsid w:val="008D03FE"/>
    <w:rsid w:val="008D1C91"/>
    <w:rsid w:val="008D234B"/>
    <w:rsid w:val="008D2B05"/>
    <w:rsid w:val="008D2C4B"/>
    <w:rsid w:val="008D3D85"/>
    <w:rsid w:val="008D49EA"/>
    <w:rsid w:val="008D4A91"/>
    <w:rsid w:val="008D4B9B"/>
    <w:rsid w:val="008D5210"/>
    <w:rsid w:val="008D591E"/>
    <w:rsid w:val="008D6243"/>
    <w:rsid w:val="008E1139"/>
    <w:rsid w:val="008E1DD3"/>
    <w:rsid w:val="008E434F"/>
    <w:rsid w:val="008E4498"/>
    <w:rsid w:val="008E4960"/>
    <w:rsid w:val="008E4BEC"/>
    <w:rsid w:val="008E4CB3"/>
    <w:rsid w:val="008E4D53"/>
    <w:rsid w:val="008E54A9"/>
    <w:rsid w:val="008E57F4"/>
    <w:rsid w:val="008E59D2"/>
    <w:rsid w:val="008E5FCB"/>
    <w:rsid w:val="008E64E7"/>
    <w:rsid w:val="008E65C9"/>
    <w:rsid w:val="008F113F"/>
    <w:rsid w:val="008F29F2"/>
    <w:rsid w:val="008F2B10"/>
    <w:rsid w:val="008F2B81"/>
    <w:rsid w:val="008F3AE0"/>
    <w:rsid w:val="008F3F82"/>
    <w:rsid w:val="008F49B9"/>
    <w:rsid w:val="008F5475"/>
    <w:rsid w:val="008F57E0"/>
    <w:rsid w:val="008F5A7F"/>
    <w:rsid w:val="008F64FF"/>
    <w:rsid w:val="008F6B34"/>
    <w:rsid w:val="008F753E"/>
    <w:rsid w:val="0090040C"/>
    <w:rsid w:val="0090053B"/>
    <w:rsid w:val="00902EE1"/>
    <w:rsid w:val="009031E7"/>
    <w:rsid w:val="00903DB2"/>
    <w:rsid w:val="00904182"/>
    <w:rsid w:val="009042BF"/>
    <w:rsid w:val="00904F33"/>
    <w:rsid w:val="00905ECB"/>
    <w:rsid w:val="009070F9"/>
    <w:rsid w:val="0091094B"/>
    <w:rsid w:val="0091173B"/>
    <w:rsid w:val="0091197C"/>
    <w:rsid w:val="00912E30"/>
    <w:rsid w:val="0091306C"/>
    <w:rsid w:val="009133B5"/>
    <w:rsid w:val="009149AA"/>
    <w:rsid w:val="00916642"/>
    <w:rsid w:val="00917F61"/>
    <w:rsid w:val="009204FD"/>
    <w:rsid w:val="00920A1F"/>
    <w:rsid w:val="0092142D"/>
    <w:rsid w:val="0092151D"/>
    <w:rsid w:val="00921563"/>
    <w:rsid w:val="009219AC"/>
    <w:rsid w:val="00921F39"/>
    <w:rsid w:val="0092285C"/>
    <w:rsid w:val="00922D11"/>
    <w:rsid w:val="0092322F"/>
    <w:rsid w:val="009249C5"/>
    <w:rsid w:val="00924B5D"/>
    <w:rsid w:val="00925199"/>
    <w:rsid w:val="00925B1A"/>
    <w:rsid w:val="00925D7B"/>
    <w:rsid w:val="00927197"/>
    <w:rsid w:val="0092730B"/>
    <w:rsid w:val="0093020D"/>
    <w:rsid w:val="00931032"/>
    <w:rsid w:val="00931428"/>
    <w:rsid w:val="0093196D"/>
    <w:rsid w:val="00931BF0"/>
    <w:rsid w:val="00932239"/>
    <w:rsid w:val="009323BF"/>
    <w:rsid w:val="009323D4"/>
    <w:rsid w:val="009331DB"/>
    <w:rsid w:val="0093402D"/>
    <w:rsid w:val="00934740"/>
    <w:rsid w:val="00935216"/>
    <w:rsid w:val="009358EC"/>
    <w:rsid w:val="009363D6"/>
    <w:rsid w:val="00936EC1"/>
    <w:rsid w:val="00937148"/>
    <w:rsid w:val="009371CB"/>
    <w:rsid w:val="009376C1"/>
    <w:rsid w:val="00940297"/>
    <w:rsid w:val="0094098E"/>
    <w:rsid w:val="00940D56"/>
    <w:rsid w:val="00940E19"/>
    <w:rsid w:val="00943013"/>
    <w:rsid w:val="00943052"/>
    <w:rsid w:val="00944D45"/>
    <w:rsid w:val="00947A66"/>
    <w:rsid w:val="00947E58"/>
    <w:rsid w:val="00950FC3"/>
    <w:rsid w:val="009521A5"/>
    <w:rsid w:val="00952A46"/>
    <w:rsid w:val="0095334B"/>
    <w:rsid w:val="0095385D"/>
    <w:rsid w:val="00953ED5"/>
    <w:rsid w:val="00954CC5"/>
    <w:rsid w:val="009550CD"/>
    <w:rsid w:val="00955904"/>
    <w:rsid w:val="00955FC6"/>
    <w:rsid w:val="00956B8D"/>
    <w:rsid w:val="009572A6"/>
    <w:rsid w:val="00957B55"/>
    <w:rsid w:val="009603FC"/>
    <w:rsid w:val="009615D5"/>
    <w:rsid w:val="0096195F"/>
    <w:rsid w:val="00961AA0"/>
    <w:rsid w:val="00961CCA"/>
    <w:rsid w:val="009629BA"/>
    <w:rsid w:val="00962D4B"/>
    <w:rsid w:val="0096325E"/>
    <w:rsid w:val="00963C56"/>
    <w:rsid w:val="009649A5"/>
    <w:rsid w:val="00965889"/>
    <w:rsid w:val="00966221"/>
    <w:rsid w:val="009663A0"/>
    <w:rsid w:val="00966A21"/>
    <w:rsid w:val="00966C5A"/>
    <w:rsid w:val="00966DE4"/>
    <w:rsid w:val="00967B83"/>
    <w:rsid w:val="00971154"/>
    <w:rsid w:val="00972A33"/>
    <w:rsid w:val="00973488"/>
    <w:rsid w:val="00974181"/>
    <w:rsid w:val="009759D9"/>
    <w:rsid w:val="009764E0"/>
    <w:rsid w:val="009768AC"/>
    <w:rsid w:val="00976EBA"/>
    <w:rsid w:val="009807FF"/>
    <w:rsid w:val="00980EE3"/>
    <w:rsid w:val="009817D0"/>
    <w:rsid w:val="00981845"/>
    <w:rsid w:val="00981D25"/>
    <w:rsid w:val="009820A0"/>
    <w:rsid w:val="009826AB"/>
    <w:rsid w:val="00983044"/>
    <w:rsid w:val="0098321E"/>
    <w:rsid w:val="0098324C"/>
    <w:rsid w:val="009836F4"/>
    <w:rsid w:val="00983A6A"/>
    <w:rsid w:val="0098431A"/>
    <w:rsid w:val="0098477E"/>
    <w:rsid w:val="00986213"/>
    <w:rsid w:val="0098661B"/>
    <w:rsid w:val="00986840"/>
    <w:rsid w:val="00986F90"/>
    <w:rsid w:val="00990237"/>
    <w:rsid w:val="009903D4"/>
    <w:rsid w:val="00990DF6"/>
    <w:rsid w:val="00992360"/>
    <w:rsid w:val="009928DF"/>
    <w:rsid w:val="00993701"/>
    <w:rsid w:val="00994331"/>
    <w:rsid w:val="00994E8A"/>
    <w:rsid w:val="00995272"/>
    <w:rsid w:val="009963AB"/>
    <w:rsid w:val="009972DA"/>
    <w:rsid w:val="009A01A9"/>
    <w:rsid w:val="009A0CF7"/>
    <w:rsid w:val="009A0FC3"/>
    <w:rsid w:val="009A17BC"/>
    <w:rsid w:val="009A21EB"/>
    <w:rsid w:val="009A2E22"/>
    <w:rsid w:val="009A353A"/>
    <w:rsid w:val="009A5124"/>
    <w:rsid w:val="009A607B"/>
    <w:rsid w:val="009A6AB6"/>
    <w:rsid w:val="009B0FA4"/>
    <w:rsid w:val="009B1303"/>
    <w:rsid w:val="009B26BB"/>
    <w:rsid w:val="009B2DC3"/>
    <w:rsid w:val="009B3E58"/>
    <w:rsid w:val="009B3FAF"/>
    <w:rsid w:val="009B474E"/>
    <w:rsid w:val="009B5393"/>
    <w:rsid w:val="009B5593"/>
    <w:rsid w:val="009B5E83"/>
    <w:rsid w:val="009B60F6"/>
    <w:rsid w:val="009B6953"/>
    <w:rsid w:val="009B6E8D"/>
    <w:rsid w:val="009B7831"/>
    <w:rsid w:val="009B79D6"/>
    <w:rsid w:val="009C18C0"/>
    <w:rsid w:val="009C34C5"/>
    <w:rsid w:val="009C36EA"/>
    <w:rsid w:val="009C3705"/>
    <w:rsid w:val="009C415E"/>
    <w:rsid w:val="009C44D9"/>
    <w:rsid w:val="009C5D71"/>
    <w:rsid w:val="009C6783"/>
    <w:rsid w:val="009C6BDF"/>
    <w:rsid w:val="009C7A38"/>
    <w:rsid w:val="009C7C08"/>
    <w:rsid w:val="009D0BD0"/>
    <w:rsid w:val="009D0CE3"/>
    <w:rsid w:val="009D1264"/>
    <w:rsid w:val="009D15FD"/>
    <w:rsid w:val="009D1C41"/>
    <w:rsid w:val="009D2BBB"/>
    <w:rsid w:val="009D35C2"/>
    <w:rsid w:val="009D3A08"/>
    <w:rsid w:val="009D4223"/>
    <w:rsid w:val="009D4446"/>
    <w:rsid w:val="009D4B9C"/>
    <w:rsid w:val="009D58D5"/>
    <w:rsid w:val="009D6D90"/>
    <w:rsid w:val="009D7147"/>
    <w:rsid w:val="009D77B2"/>
    <w:rsid w:val="009E05C7"/>
    <w:rsid w:val="009E0E0D"/>
    <w:rsid w:val="009E3487"/>
    <w:rsid w:val="009E38F9"/>
    <w:rsid w:val="009E3C72"/>
    <w:rsid w:val="009E6117"/>
    <w:rsid w:val="009E62A5"/>
    <w:rsid w:val="009E64EE"/>
    <w:rsid w:val="009E7473"/>
    <w:rsid w:val="009F0848"/>
    <w:rsid w:val="009F214A"/>
    <w:rsid w:val="009F250C"/>
    <w:rsid w:val="009F25AB"/>
    <w:rsid w:val="009F3276"/>
    <w:rsid w:val="009F367A"/>
    <w:rsid w:val="009F48AF"/>
    <w:rsid w:val="009F5018"/>
    <w:rsid w:val="009F53EA"/>
    <w:rsid w:val="009F7462"/>
    <w:rsid w:val="009F7500"/>
    <w:rsid w:val="009F7A84"/>
    <w:rsid w:val="00A000AD"/>
    <w:rsid w:val="00A00586"/>
    <w:rsid w:val="00A00E01"/>
    <w:rsid w:val="00A01625"/>
    <w:rsid w:val="00A01D83"/>
    <w:rsid w:val="00A020DA"/>
    <w:rsid w:val="00A024CF"/>
    <w:rsid w:val="00A02761"/>
    <w:rsid w:val="00A02C51"/>
    <w:rsid w:val="00A03239"/>
    <w:rsid w:val="00A035FC"/>
    <w:rsid w:val="00A03613"/>
    <w:rsid w:val="00A064AF"/>
    <w:rsid w:val="00A067C7"/>
    <w:rsid w:val="00A06FDB"/>
    <w:rsid w:val="00A07A81"/>
    <w:rsid w:val="00A1017E"/>
    <w:rsid w:val="00A107B7"/>
    <w:rsid w:val="00A10C82"/>
    <w:rsid w:val="00A10DE7"/>
    <w:rsid w:val="00A1173E"/>
    <w:rsid w:val="00A117B0"/>
    <w:rsid w:val="00A130B3"/>
    <w:rsid w:val="00A13108"/>
    <w:rsid w:val="00A14040"/>
    <w:rsid w:val="00A144C1"/>
    <w:rsid w:val="00A14844"/>
    <w:rsid w:val="00A158A4"/>
    <w:rsid w:val="00A165CE"/>
    <w:rsid w:val="00A17573"/>
    <w:rsid w:val="00A17F3D"/>
    <w:rsid w:val="00A20DD0"/>
    <w:rsid w:val="00A217E6"/>
    <w:rsid w:val="00A2182C"/>
    <w:rsid w:val="00A21CBB"/>
    <w:rsid w:val="00A23016"/>
    <w:rsid w:val="00A240BD"/>
    <w:rsid w:val="00A241FA"/>
    <w:rsid w:val="00A24976"/>
    <w:rsid w:val="00A24B22"/>
    <w:rsid w:val="00A24FC8"/>
    <w:rsid w:val="00A254AC"/>
    <w:rsid w:val="00A25CAA"/>
    <w:rsid w:val="00A300A0"/>
    <w:rsid w:val="00A30E16"/>
    <w:rsid w:val="00A31119"/>
    <w:rsid w:val="00A31281"/>
    <w:rsid w:val="00A329BE"/>
    <w:rsid w:val="00A33827"/>
    <w:rsid w:val="00A34161"/>
    <w:rsid w:val="00A342DA"/>
    <w:rsid w:val="00A36288"/>
    <w:rsid w:val="00A37141"/>
    <w:rsid w:val="00A37783"/>
    <w:rsid w:val="00A40628"/>
    <w:rsid w:val="00A40FD6"/>
    <w:rsid w:val="00A41798"/>
    <w:rsid w:val="00A41B9F"/>
    <w:rsid w:val="00A421C6"/>
    <w:rsid w:val="00A42D19"/>
    <w:rsid w:val="00A42E54"/>
    <w:rsid w:val="00A43A02"/>
    <w:rsid w:val="00A4496E"/>
    <w:rsid w:val="00A44B2E"/>
    <w:rsid w:val="00A44B3D"/>
    <w:rsid w:val="00A44E9B"/>
    <w:rsid w:val="00A46556"/>
    <w:rsid w:val="00A46AE3"/>
    <w:rsid w:val="00A476AD"/>
    <w:rsid w:val="00A47890"/>
    <w:rsid w:val="00A50EAD"/>
    <w:rsid w:val="00A510FB"/>
    <w:rsid w:val="00A51197"/>
    <w:rsid w:val="00A518EF"/>
    <w:rsid w:val="00A519FD"/>
    <w:rsid w:val="00A51E88"/>
    <w:rsid w:val="00A522E4"/>
    <w:rsid w:val="00A53073"/>
    <w:rsid w:val="00A53186"/>
    <w:rsid w:val="00A53893"/>
    <w:rsid w:val="00A540EE"/>
    <w:rsid w:val="00A54977"/>
    <w:rsid w:val="00A54E69"/>
    <w:rsid w:val="00A5621B"/>
    <w:rsid w:val="00A56271"/>
    <w:rsid w:val="00A568E6"/>
    <w:rsid w:val="00A56D85"/>
    <w:rsid w:val="00A619B4"/>
    <w:rsid w:val="00A62375"/>
    <w:rsid w:val="00A62471"/>
    <w:rsid w:val="00A62E67"/>
    <w:rsid w:val="00A6311B"/>
    <w:rsid w:val="00A6312E"/>
    <w:rsid w:val="00A63457"/>
    <w:rsid w:val="00A6377A"/>
    <w:rsid w:val="00A64F9A"/>
    <w:rsid w:val="00A651B5"/>
    <w:rsid w:val="00A65498"/>
    <w:rsid w:val="00A65BFD"/>
    <w:rsid w:val="00A65F7C"/>
    <w:rsid w:val="00A67836"/>
    <w:rsid w:val="00A678F5"/>
    <w:rsid w:val="00A67E1C"/>
    <w:rsid w:val="00A70260"/>
    <w:rsid w:val="00A7027A"/>
    <w:rsid w:val="00A70322"/>
    <w:rsid w:val="00A718B8"/>
    <w:rsid w:val="00A71F26"/>
    <w:rsid w:val="00A71F64"/>
    <w:rsid w:val="00A738A5"/>
    <w:rsid w:val="00A73E6A"/>
    <w:rsid w:val="00A73EEE"/>
    <w:rsid w:val="00A742EA"/>
    <w:rsid w:val="00A7488F"/>
    <w:rsid w:val="00A814C9"/>
    <w:rsid w:val="00A819EF"/>
    <w:rsid w:val="00A820A2"/>
    <w:rsid w:val="00A821D2"/>
    <w:rsid w:val="00A83124"/>
    <w:rsid w:val="00A83BDC"/>
    <w:rsid w:val="00A8436E"/>
    <w:rsid w:val="00A8493C"/>
    <w:rsid w:val="00A84C4E"/>
    <w:rsid w:val="00A864DF"/>
    <w:rsid w:val="00A86E72"/>
    <w:rsid w:val="00A86F11"/>
    <w:rsid w:val="00A87A8B"/>
    <w:rsid w:val="00A8D196"/>
    <w:rsid w:val="00A90F9E"/>
    <w:rsid w:val="00A91690"/>
    <w:rsid w:val="00A93C4F"/>
    <w:rsid w:val="00A94498"/>
    <w:rsid w:val="00A9473B"/>
    <w:rsid w:val="00A953A4"/>
    <w:rsid w:val="00A959C0"/>
    <w:rsid w:val="00A959CD"/>
    <w:rsid w:val="00A9625B"/>
    <w:rsid w:val="00A97576"/>
    <w:rsid w:val="00AA0446"/>
    <w:rsid w:val="00AA3433"/>
    <w:rsid w:val="00AA3D5F"/>
    <w:rsid w:val="00AA5A4C"/>
    <w:rsid w:val="00AA5C0F"/>
    <w:rsid w:val="00AA6C00"/>
    <w:rsid w:val="00AA702F"/>
    <w:rsid w:val="00AA7438"/>
    <w:rsid w:val="00AB0499"/>
    <w:rsid w:val="00AB1D32"/>
    <w:rsid w:val="00AB1F61"/>
    <w:rsid w:val="00AB27D0"/>
    <w:rsid w:val="00AB2C51"/>
    <w:rsid w:val="00AB3141"/>
    <w:rsid w:val="00AB36B3"/>
    <w:rsid w:val="00AB3EC3"/>
    <w:rsid w:val="00AB42BF"/>
    <w:rsid w:val="00AB4C7A"/>
    <w:rsid w:val="00AB507D"/>
    <w:rsid w:val="00AB6082"/>
    <w:rsid w:val="00AB61E0"/>
    <w:rsid w:val="00AB74AB"/>
    <w:rsid w:val="00AB7C32"/>
    <w:rsid w:val="00AC06A1"/>
    <w:rsid w:val="00AC0C84"/>
    <w:rsid w:val="00AC2246"/>
    <w:rsid w:val="00AC2982"/>
    <w:rsid w:val="00AC37D7"/>
    <w:rsid w:val="00AC4350"/>
    <w:rsid w:val="00AC4C1F"/>
    <w:rsid w:val="00AC4C5E"/>
    <w:rsid w:val="00AC5DCD"/>
    <w:rsid w:val="00AC7427"/>
    <w:rsid w:val="00AD0269"/>
    <w:rsid w:val="00AD17B0"/>
    <w:rsid w:val="00AD1D11"/>
    <w:rsid w:val="00AD1DCE"/>
    <w:rsid w:val="00AD394B"/>
    <w:rsid w:val="00AD52E7"/>
    <w:rsid w:val="00AD657A"/>
    <w:rsid w:val="00AD6D53"/>
    <w:rsid w:val="00AD6DC7"/>
    <w:rsid w:val="00AD6ED2"/>
    <w:rsid w:val="00AD70D7"/>
    <w:rsid w:val="00AD72F1"/>
    <w:rsid w:val="00AD7A17"/>
    <w:rsid w:val="00AE0BA2"/>
    <w:rsid w:val="00AE1789"/>
    <w:rsid w:val="00AE307F"/>
    <w:rsid w:val="00AE3338"/>
    <w:rsid w:val="00AE4498"/>
    <w:rsid w:val="00AE458E"/>
    <w:rsid w:val="00AE55BE"/>
    <w:rsid w:val="00AE577A"/>
    <w:rsid w:val="00AE6E86"/>
    <w:rsid w:val="00AE7D17"/>
    <w:rsid w:val="00AF0AF6"/>
    <w:rsid w:val="00AF3316"/>
    <w:rsid w:val="00AF338E"/>
    <w:rsid w:val="00AF46C4"/>
    <w:rsid w:val="00AF4752"/>
    <w:rsid w:val="00AF49BE"/>
    <w:rsid w:val="00AF4A83"/>
    <w:rsid w:val="00AF4D95"/>
    <w:rsid w:val="00AF542F"/>
    <w:rsid w:val="00AF5C30"/>
    <w:rsid w:val="00AF6494"/>
    <w:rsid w:val="00AF6A88"/>
    <w:rsid w:val="00AF72D6"/>
    <w:rsid w:val="00AF7343"/>
    <w:rsid w:val="00B02126"/>
    <w:rsid w:val="00B02479"/>
    <w:rsid w:val="00B03661"/>
    <w:rsid w:val="00B03801"/>
    <w:rsid w:val="00B04EB2"/>
    <w:rsid w:val="00B06F4E"/>
    <w:rsid w:val="00B07E5E"/>
    <w:rsid w:val="00B10D3F"/>
    <w:rsid w:val="00B11841"/>
    <w:rsid w:val="00B12548"/>
    <w:rsid w:val="00B12FAA"/>
    <w:rsid w:val="00B1375A"/>
    <w:rsid w:val="00B13C94"/>
    <w:rsid w:val="00B14327"/>
    <w:rsid w:val="00B146D7"/>
    <w:rsid w:val="00B15615"/>
    <w:rsid w:val="00B16BB1"/>
    <w:rsid w:val="00B20080"/>
    <w:rsid w:val="00B20DDB"/>
    <w:rsid w:val="00B22852"/>
    <w:rsid w:val="00B22A0A"/>
    <w:rsid w:val="00B230F1"/>
    <w:rsid w:val="00B232ED"/>
    <w:rsid w:val="00B234CE"/>
    <w:rsid w:val="00B235F3"/>
    <w:rsid w:val="00B2381F"/>
    <w:rsid w:val="00B23B64"/>
    <w:rsid w:val="00B23E47"/>
    <w:rsid w:val="00B23EDD"/>
    <w:rsid w:val="00B245BC"/>
    <w:rsid w:val="00B24AC8"/>
    <w:rsid w:val="00B25207"/>
    <w:rsid w:val="00B266BD"/>
    <w:rsid w:val="00B26F98"/>
    <w:rsid w:val="00B277AA"/>
    <w:rsid w:val="00B27C48"/>
    <w:rsid w:val="00B27EAE"/>
    <w:rsid w:val="00B3012C"/>
    <w:rsid w:val="00B3043F"/>
    <w:rsid w:val="00B30732"/>
    <w:rsid w:val="00B30A56"/>
    <w:rsid w:val="00B31466"/>
    <w:rsid w:val="00B314AE"/>
    <w:rsid w:val="00B316AD"/>
    <w:rsid w:val="00B3177D"/>
    <w:rsid w:val="00B31A0B"/>
    <w:rsid w:val="00B3271C"/>
    <w:rsid w:val="00B330A2"/>
    <w:rsid w:val="00B33477"/>
    <w:rsid w:val="00B338FC"/>
    <w:rsid w:val="00B33AE6"/>
    <w:rsid w:val="00B3415D"/>
    <w:rsid w:val="00B34A2B"/>
    <w:rsid w:val="00B34FE4"/>
    <w:rsid w:val="00B35151"/>
    <w:rsid w:val="00B3553F"/>
    <w:rsid w:val="00B356A9"/>
    <w:rsid w:val="00B3577C"/>
    <w:rsid w:val="00B35CBA"/>
    <w:rsid w:val="00B36087"/>
    <w:rsid w:val="00B361FE"/>
    <w:rsid w:val="00B379DF"/>
    <w:rsid w:val="00B40004"/>
    <w:rsid w:val="00B40198"/>
    <w:rsid w:val="00B40D0B"/>
    <w:rsid w:val="00B42326"/>
    <w:rsid w:val="00B4263B"/>
    <w:rsid w:val="00B43251"/>
    <w:rsid w:val="00B4410B"/>
    <w:rsid w:val="00B44CD3"/>
    <w:rsid w:val="00B45AF1"/>
    <w:rsid w:val="00B45DE6"/>
    <w:rsid w:val="00B46339"/>
    <w:rsid w:val="00B46CB5"/>
    <w:rsid w:val="00B46F32"/>
    <w:rsid w:val="00B47C58"/>
    <w:rsid w:val="00B47D1F"/>
    <w:rsid w:val="00B503EE"/>
    <w:rsid w:val="00B5052A"/>
    <w:rsid w:val="00B52534"/>
    <w:rsid w:val="00B52AB0"/>
    <w:rsid w:val="00B54137"/>
    <w:rsid w:val="00B56120"/>
    <w:rsid w:val="00B56BC1"/>
    <w:rsid w:val="00B6000D"/>
    <w:rsid w:val="00B604D0"/>
    <w:rsid w:val="00B60AF2"/>
    <w:rsid w:val="00B60B4B"/>
    <w:rsid w:val="00B61CE2"/>
    <w:rsid w:val="00B62A5D"/>
    <w:rsid w:val="00B6313C"/>
    <w:rsid w:val="00B634E8"/>
    <w:rsid w:val="00B63B93"/>
    <w:rsid w:val="00B64279"/>
    <w:rsid w:val="00B6447B"/>
    <w:rsid w:val="00B65541"/>
    <w:rsid w:val="00B65B4D"/>
    <w:rsid w:val="00B67934"/>
    <w:rsid w:val="00B67EE5"/>
    <w:rsid w:val="00B7088E"/>
    <w:rsid w:val="00B70A83"/>
    <w:rsid w:val="00B70CE8"/>
    <w:rsid w:val="00B72FEC"/>
    <w:rsid w:val="00B73057"/>
    <w:rsid w:val="00B7470E"/>
    <w:rsid w:val="00B74CB9"/>
    <w:rsid w:val="00B7506C"/>
    <w:rsid w:val="00B7702A"/>
    <w:rsid w:val="00B80237"/>
    <w:rsid w:val="00B81128"/>
    <w:rsid w:val="00B813E5"/>
    <w:rsid w:val="00B81999"/>
    <w:rsid w:val="00B8202C"/>
    <w:rsid w:val="00B8256B"/>
    <w:rsid w:val="00B829FA"/>
    <w:rsid w:val="00B82E68"/>
    <w:rsid w:val="00B8375B"/>
    <w:rsid w:val="00B8385C"/>
    <w:rsid w:val="00B84072"/>
    <w:rsid w:val="00B848A2"/>
    <w:rsid w:val="00B84A09"/>
    <w:rsid w:val="00B86C11"/>
    <w:rsid w:val="00B86C57"/>
    <w:rsid w:val="00B87914"/>
    <w:rsid w:val="00B87AD1"/>
    <w:rsid w:val="00B916B9"/>
    <w:rsid w:val="00B94204"/>
    <w:rsid w:val="00B94A73"/>
    <w:rsid w:val="00B95DDD"/>
    <w:rsid w:val="00B97BB0"/>
    <w:rsid w:val="00BA0603"/>
    <w:rsid w:val="00BA2380"/>
    <w:rsid w:val="00BA274B"/>
    <w:rsid w:val="00BA2BF4"/>
    <w:rsid w:val="00BA3043"/>
    <w:rsid w:val="00BA3202"/>
    <w:rsid w:val="00BA3B0F"/>
    <w:rsid w:val="00BA3F7E"/>
    <w:rsid w:val="00BA4460"/>
    <w:rsid w:val="00BA4B22"/>
    <w:rsid w:val="00BA5C62"/>
    <w:rsid w:val="00BA5EE2"/>
    <w:rsid w:val="00BA6CC5"/>
    <w:rsid w:val="00BA7AEA"/>
    <w:rsid w:val="00BA7D6F"/>
    <w:rsid w:val="00BB03EB"/>
    <w:rsid w:val="00BB0809"/>
    <w:rsid w:val="00BB1DCF"/>
    <w:rsid w:val="00BB200D"/>
    <w:rsid w:val="00BB2310"/>
    <w:rsid w:val="00BB2844"/>
    <w:rsid w:val="00BB2E29"/>
    <w:rsid w:val="00BB3638"/>
    <w:rsid w:val="00BB3871"/>
    <w:rsid w:val="00BB3E2F"/>
    <w:rsid w:val="00BB4239"/>
    <w:rsid w:val="00BB622E"/>
    <w:rsid w:val="00BC0EC2"/>
    <w:rsid w:val="00BC178B"/>
    <w:rsid w:val="00BC1DC8"/>
    <w:rsid w:val="00BC1F6A"/>
    <w:rsid w:val="00BC28B0"/>
    <w:rsid w:val="00BC430B"/>
    <w:rsid w:val="00BC4EC9"/>
    <w:rsid w:val="00BC57BA"/>
    <w:rsid w:val="00BC5D0E"/>
    <w:rsid w:val="00BC69E4"/>
    <w:rsid w:val="00BC6C64"/>
    <w:rsid w:val="00BC6EC5"/>
    <w:rsid w:val="00BD1C21"/>
    <w:rsid w:val="00BD2955"/>
    <w:rsid w:val="00BD4307"/>
    <w:rsid w:val="00BD52BE"/>
    <w:rsid w:val="00BD53CC"/>
    <w:rsid w:val="00BD5461"/>
    <w:rsid w:val="00BD5FA2"/>
    <w:rsid w:val="00BD60B8"/>
    <w:rsid w:val="00BD69F6"/>
    <w:rsid w:val="00BD6D1D"/>
    <w:rsid w:val="00BD7563"/>
    <w:rsid w:val="00BE17ED"/>
    <w:rsid w:val="00BE32DB"/>
    <w:rsid w:val="00BE330A"/>
    <w:rsid w:val="00BE3A74"/>
    <w:rsid w:val="00BE42DF"/>
    <w:rsid w:val="00BE4337"/>
    <w:rsid w:val="00BE5327"/>
    <w:rsid w:val="00BE5B98"/>
    <w:rsid w:val="00BE5C3F"/>
    <w:rsid w:val="00BE773E"/>
    <w:rsid w:val="00BE7758"/>
    <w:rsid w:val="00BF013B"/>
    <w:rsid w:val="00BF0394"/>
    <w:rsid w:val="00BF0C08"/>
    <w:rsid w:val="00BF0D83"/>
    <w:rsid w:val="00BF0EE7"/>
    <w:rsid w:val="00BF1B54"/>
    <w:rsid w:val="00BF25B0"/>
    <w:rsid w:val="00BF2AD1"/>
    <w:rsid w:val="00BF31C5"/>
    <w:rsid w:val="00BF3246"/>
    <w:rsid w:val="00BF3919"/>
    <w:rsid w:val="00BF4DAD"/>
    <w:rsid w:val="00BF5494"/>
    <w:rsid w:val="00BF666D"/>
    <w:rsid w:val="00C00BBA"/>
    <w:rsid w:val="00C011E3"/>
    <w:rsid w:val="00C021D0"/>
    <w:rsid w:val="00C02CDC"/>
    <w:rsid w:val="00C0362B"/>
    <w:rsid w:val="00C039A2"/>
    <w:rsid w:val="00C03E19"/>
    <w:rsid w:val="00C04BF3"/>
    <w:rsid w:val="00C04F5C"/>
    <w:rsid w:val="00C06801"/>
    <w:rsid w:val="00C06E73"/>
    <w:rsid w:val="00C074C9"/>
    <w:rsid w:val="00C10B2B"/>
    <w:rsid w:val="00C10E8B"/>
    <w:rsid w:val="00C1115A"/>
    <w:rsid w:val="00C12148"/>
    <w:rsid w:val="00C127CD"/>
    <w:rsid w:val="00C12D54"/>
    <w:rsid w:val="00C1305C"/>
    <w:rsid w:val="00C13A9A"/>
    <w:rsid w:val="00C14E6D"/>
    <w:rsid w:val="00C151EC"/>
    <w:rsid w:val="00C15F36"/>
    <w:rsid w:val="00C160F6"/>
    <w:rsid w:val="00C16B33"/>
    <w:rsid w:val="00C16F6F"/>
    <w:rsid w:val="00C1704D"/>
    <w:rsid w:val="00C178B5"/>
    <w:rsid w:val="00C17A1F"/>
    <w:rsid w:val="00C17C38"/>
    <w:rsid w:val="00C17DC9"/>
    <w:rsid w:val="00C20A0B"/>
    <w:rsid w:val="00C22C51"/>
    <w:rsid w:val="00C233B3"/>
    <w:rsid w:val="00C23E68"/>
    <w:rsid w:val="00C24282"/>
    <w:rsid w:val="00C27F66"/>
    <w:rsid w:val="00C30F28"/>
    <w:rsid w:val="00C3163D"/>
    <w:rsid w:val="00C31DF2"/>
    <w:rsid w:val="00C32260"/>
    <w:rsid w:val="00C32EF4"/>
    <w:rsid w:val="00C3336E"/>
    <w:rsid w:val="00C33DAC"/>
    <w:rsid w:val="00C3469C"/>
    <w:rsid w:val="00C34A2D"/>
    <w:rsid w:val="00C35BD3"/>
    <w:rsid w:val="00C36FAA"/>
    <w:rsid w:val="00C37B6A"/>
    <w:rsid w:val="00C4087E"/>
    <w:rsid w:val="00C415A1"/>
    <w:rsid w:val="00C416A0"/>
    <w:rsid w:val="00C41D6A"/>
    <w:rsid w:val="00C430B7"/>
    <w:rsid w:val="00C454AF"/>
    <w:rsid w:val="00C460C4"/>
    <w:rsid w:val="00C46835"/>
    <w:rsid w:val="00C46A16"/>
    <w:rsid w:val="00C47199"/>
    <w:rsid w:val="00C47491"/>
    <w:rsid w:val="00C507FE"/>
    <w:rsid w:val="00C50D33"/>
    <w:rsid w:val="00C51C89"/>
    <w:rsid w:val="00C52172"/>
    <w:rsid w:val="00C523D9"/>
    <w:rsid w:val="00C5258E"/>
    <w:rsid w:val="00C52705"/>
    <w:rsid w:val="00C5277B"/>
    <w:rsid w:val="00C52787"/>
    <w:rsid w:val="00C52C01"/>
    <w:rsid w:val="00C5372F"/>
    <w:rsid w:val="00C54820"/>
    <w:rsid w:val="00C54899"/>
    <w:rsid w:val="00C54F13"/>
    <w:rsid w:val="00C5502F"/>
    <w:rsid w:val="00C55372"/>
    <w:rsid w:val="00C5539E"/>
    <w:rsid w:val="00C56109"/>
    <w:rsid w:val="00C5750D"/>
    <w:rsid w:val="00C57DC7"/>
    <w:rsid w:val="00C60B50"/>
    <w:rsid w:val="00C6209F"/>
    <w:rsid w:val="00C63CE3"/>
    <w:rsid w:val="00C63D28"/>
    <w:rsid w:val="00C64C63"/>
    <w:rsid w:val="00C64FAF"/>
    <w:rsid w:val="00C65160"/>
    <w:rsid w:val="00C651A0"/>
    <w:rsid w:val="00C655D3"/>
    <w:rsid w:val="00C65F4B"/>
    <w:rsid w:val="00C666EE"/>
    <w:rsid w:val="00C66C95"/>
    <w:rsid w:val="00C67053"/>
    <w:rsid w:val="00C70A0B"/>
    <w:rsid w:val="00C72A2E"/>
    <w:rsid w:val="00C72E15"/>
    <w:rsid w:val="00C73055"/>
    <w:rsid w:val="00C734C1"/>
    <w:rsid w:val="00C7437B"/>
    <w:rsid w:val="00C74E98"/>
    <w:rsid w:val="00C75F75"/>
    <w:rsid w:val="00C76550"/>
    <w:rsid w:val="00C7660B"/>
    <w:rsid w:val="00C76A23"/>
    <w:rsid w:val="00C770BD"/>
    <w:rsid w:val="00C778BB"/>
    <w:rsid w:val="00C779D6"/>
    <w:rsid w:val="00C77B9C"/>
    <w:rsid w:val="00C77CF5"/>
    <w:rsid w:val="00C80A1F"/>
    <w:rsid w:val="00C80DD8"/>
    <w:rsid w:val="00C80EC6"/>
    <w:rsid w:val="00C8142E"/>
    <w:rsid w:val="00C81705"/>
    <w:rsid w:val="00C820DE"/>
    <w:rsid w:val="00C82318"/>
    <w:rsid w:val="00C82A8B"/>
    <w:rsid w:val="00C846D9"/>
    <w:rsid w:val="00C84814"/>
    <w:rsid w:val="00C84E0C"/>
    <w:rsid w:val="00C84FF0"/>
    <w:rsid w:val="00C85623"/>
    <w:rsid w:val="00C8610A"/>
    <w:rsid w:val="00C861C7"/>
    <w:rsid w:val="00C9014E"/>
    <w:rsid w:val="00C928F4"/>
    <w:rsid w:val="00C92BA9"/>
    <w:rsid w:val="00C935E0"/>
    <w:rsid w:val="00C94255"/>
    <w:rsid w:val="00C944B6"/>
    <w:rsid w:val="00C948E4"/>
    <w:rsid w:val="00C95355"/>
    <w:rsid w:val="00C95736"/>
    <w:rsid w:val="00C95E4F"/>
    <w:rsid w:val="00C967C0"/>
    <w:rsid w:val="00C97134"/>
    <w:rsid w:val="00CA05D5"/>
    <w:rsid w:val="00CA35C1"/>
    <w:rsid w:val="00CA4564"/>
    <w:rsid w:val="00CA4CCC"/>
    <w:rsid w:val="00CA5517"/>
    <w:rsid w:val="00CA5B84"/>
    <w:rsid w:val="00CA6A5D"/>
    <w:rsid w:val="00CA6A62"/>
    <w:rsid w:val="00CA6C81"/>
    <w:rsid w:val="00CA6CA1"/>
    <w:rsid w:val="00CA6D27"/>
    <w:rsid w:val="00CA7E7D"/>
    <w:rsid w:val="00CB0E8B"/>
    <w:rsid w:val="00CB1196"/>
    <w:rsid w:val="00CB2659"/>
    <w:rsid w:val="00CB26E5"/>
    <w:rsid w:val="00CB2B60"/>
    <w:rsid w:val="00CB2BB9"/>
    <w:rsid w:val="00CB3190"/>
    <w:rsid w:val="00CB3323"/>
    <w:rsid w:val="00CB36CC"/>
    <w:rsid w:val="00CB3911"/>
    <w:rsid w:val="00CB42C4"/>
    <w:rsid w:val="00CB44E2"/>
    <w:rsid w:val="00CB6A5E"/>
    <w:rsid w:val="00CB7872"/>
    <w:rsid w:val="00CC0AC4"/>
    <w:rsid w:val="00CC1353"/>
    <w:rsid w:val="00CC17D5"/>
    <w:rsid w:val="00CC1BAA"/>
    <w:rsid w:val="00CC1BAF"/>
    <w:rsid w:val="00CC2034"/>
    <w:rsid w:val="00CC2193"/>
    <w:rsid w:val="00CC29D4"/>
    <w:rsid w:val="00CC38A6"/>
    <w:rsid w:val="00CC39B7"/>
    <w:rsid w:val="00CC3D48"/>
    <w:rsid w:val="00CC40F3"/>
    <w:rsid w:val="00CC485F"/>
    <w:rsid w:val="00CC5A75"/>
    <w:rsid w:val="00CC63DE"/>
    <w:rsid w:val="00CC7106"/>
    <w:rsid w:val="00CD0361"/>
    <w:rsid w:val="00CD0B7C"/>
    <w:rsid w:val="00CD0EF3"/>
    <w:rsid w:val="00CD1078"/>
    <w:rsid w:val="00CD1EB2"/>
    <w:rsid w:val="00CD20C1"/>
    <w:rsid w:val="00CD23C0"/>
    <w:rsid w:val="00CD393E"/>
    <w:rsid w:val="00CD39BA"/>
    <w:rsid w:val="00CD3AFF"/>
    <w:rsid w:val="00CD3CC1"/>
    <w:rsid w:val="00CD4389"/>
    <w:rsid w:val="00CD463B"/>
    <w:rsid w:val="00CD798A"/>
    <w:rsid w:val="00CD7C23"/>
    <w:rsid w:val="00CE078C"/>
    <w:rsid w:val="00CE15B4"/>
    <w:rsid w:val="00CE3AD2"/>
    <w:rsid w:val="00CE41AC"/>
    <w:rsid w:val="00CE4DA9"/>
    <w:rsid w:val="00CE4E24"/>
    <w:rsid w:val="00CE524D"/>
    <w:rsid w:val="00CE6049"/>
    <w:rsid w:val="00CE67AE"/>
    <w:rsid w:val="00CE6DDC"/>
    <w:rsid w:val="00CF0127"/>
    <w:rsid w:val="00CF0150"/>
    <w:rsid w:val="00CF11B6"/>
    <w:rsid w:val="00CF138E"/>
    <w:rsid w:val="00CF1DDF"/>
    <w:rsid w:val="00CF2082"/>
    <w:rsid w:val="00CF263C"/>
    <w:rsid w:val="00CF3856"/>
    <w:rsid w:val="00CF3FB8"/>
    <w:rsid w:val="00CF4A12"/>
    <w:rsid w:val="00CF4B2D"/>
    <w:rsid w:val="00CF4B67"/>
    <w:rsid w:val="00CF4F02"/>
    <w:rsid w:val="00CF53D1"/>
    <w:rsid w:val="00CF555F"/>
    <w:rsid w:val="00CF6711"/>
    <w:rsid w:val="00CF7A69"/>
    <w:rsid w:val="00CF7BF9"/>
    <w:rsid w:val="00D000A4"/>
    <w:rsid w:val="00D009DC"/>
    <w:rsid w:val="00D00FA6"/>
    <w:rsid w:val="00D0123C"/>
    <w:rsid w:val="00D01510"/>
    <w:rsid w:val="00D0193D"/>
    <w:rsid w:val="00D01C09"/>
    <w:rsid w:val="00D02E9F"/>
    <w:rsid w:val="00D03F3C"/>
    <w:rsid w:val="00D04F1F"/>
    <w:rsid w:val="00D04FC2"/>
    <w:rsid w:val="00D0528E"/>
    <w:rsid w:val="00D05723"/>
    <w:rsid w:val="00D05B06"/>
    <w:rsid w:val="00D05BAD"/>
    <w:rsid w:val="00D06C40"/>
    <w:rsid w:val="00D06E25"/>
    <w:rsid w:val="00D07685"/>
    <w:rsid w:val="00D07868"/>
    <w:rsid w:val="00D114B8"/>
    <w:rsid w:val="00D13597"/>
    <w:rsid w:val="00D14A22"/>
    <w:rsid w:val="00D16231"/>
    <w:rsid w:val="00D16A8E"/>
    <w:rsid w:val="00D16F06"/>
    <w:rsid w:val="00D176BA"/>
    <w:rsid w:val="00D20CBC"/>
    <w:rsid w:val="00D215BB"/>
    <w:rsid w:val="00D216B1"/>
    <w:rsid w:val="00D219E5"/>
    <w:rsid w:val="00D21AF6"/>
    <w:rsid w:val="00D223DF"/>
    <w:rsid w:val="00D22572"/>
    <w:rsid w:val="00D22F2E"/>
    <w:rsid w:val="00D23507"/>
    <w:rsid w:val="00D238C1"/>
    <w:rsid w:val="00D23C86"/>
    <w:rsid w:val="00D23E7D"/>
    <w:rsid w:val="00D247D5"/>
    <w:rsid w:val="00D279A7"/>
    <w:rsid w:val="00D30751"/>
    <w:rsid w:val="00D30B48"/>
    <w:rsid w:val="00D31783"/>
    <w:rsid w:val="00D3208B"/>
    <w:rsid w:val="00D3238C"/>
    <w:rsid w:val="00D32584"/>
    <w:rsid w:val="00D32941"/>
    <w:rsid w:val="00D333A8"/>
    <w:rsid w:val="00D342FD"/>
    <w:rsid w:val="00D356EC"/>
    <w:rsid w:val="00D40B0C"/>
    <w:rsid w:val="00D4110C"/>
    <w:rsid w:val="00D411F9"/>
    <w:rsid w:val="00D415A8"/>
    <w:rsid w:val="00D418AC"/>
    <w:rsid w:val="00D41A43"/>
    <w:rsid w:val="00D41EB8"/>
    <w:rsid w:val="00D435FF"/>
    <w:rsid w:val="00D447A3"/>
    <w:rsid w:val="00D4493A"/>
    <w:rsid w:val="00D4599B"/>
    <w:rsid w:val="00D46346"/>
    <w:rsid w:val="00D47F4B"/>
    <w:rsid w:val="00D504EE"/>
    <w:rsid w:val="00D50A34"/>
    <w:rsid w:val="00D50E79"/>
    <w:rsid w:val="00D5138A"/>
    <w:rsid w:val="00D52572"/>
    <w:rsid w:val="00D543BE"/>
    <w:rsid w:val="00D54958"/>
    <w:rsid w:val="00D55052"/>
    <w:rsid w:val="00D55784"/>
    <w:rsid w:val="00D5639B"/>
    <w:rsid w:val="00D5694F"/>
    <w:rsid w:val="00D603D9"/>
    <w:rsid w:val="00D606A4"/>
    <w:rsid w:val="00D610F0"/>
    <w:rsid w:val="00D63DFA"/>
    <w:rsid w:val="00D65674"/>
    <w:rsid w:val="00D65B9A"/>
    <w:rsid w:val="00D6712E"/>
    <w:rsid w:val="00D67701"/>
    <w:rsid w:val="00D709D5"/>
    <w:rsid w:val="00D727F7"/>
    <w:rsid w:val="00D72F15"/>
    <w:rsid w:val="00D73347"/>
    <w:rsid w:val="00D73682"/>
    <w:rsid w:val="00D7381D"/>
    <w:rsid w:val="00D73E13"/>
    <w:rsid w:val="00D74BF7"/>
    <w:rsid w:val="00D74FB3"/>
    <w:rsid w:val="00D7524C"/>
    <w:rsid w:val="00D754DF"/>
    <w:rsid w:val="00D7672B"/>
    <w:rsid w:val="00D77773"/>
    <w:rsid w:val="00D8049F"/>
    <w:rsid w:val="00D80E45"/>
    <w:rsid w:val="00D81C6F"/>
    <w:rsid w:val="00D82082"/>
    <w:rsid w:val="00D8381B"/>
    <w:rsid w:val="00D841A8"/>
    <w:rsid w:val="00D85DBF"/>
    <w:rsid w:val="00D868BB"/>
    <w:rsid w:val="00D86CB1"/>
    <w:rsid w:val="00D87802"/>
    <w:rsid w:val="00D90715"/>
    <w:rsid w:val="00D90DC4"/>
    <w:rsid w:val="00D91ACC"/>
    <w:rsid w:val="00D953D5"/>
    <w:rsid w:val="00D95A4F"/>
    <w:rsid w:val="00D95B65"/>
    <w:rsid w:val="00D95DC5"/>
    <w:rsid w:val="00D96F90"/>
    <w:rsid w:val="00DA18B3"/>
    <w:rsid w:val="00DA1BB3"/>
    <w:rsid w:val="00DA2271"/>
    <w:rsid w:val="00DA22DC"/>
    <w:rsid w:val="00DA28CB"/>
    <w:rsid w:val="00DA4D75"/>
    <w:rsid w:val="00DA5689"/>
    <w:rsid w:val="00DA5A7F"/>
    <w:rsid w:val="00DA74C7"/>
    <w:rsid w:val="00DB05A5"/>
    <w:rsid w:val="00DB1046"/>
    <w:rsid w:val="00DB1AA0"/>
    <w:rsid w:val="00DB1B79"/>
    <w:rsid w:val="00DB2053"/>
    <w:rsid w:val="00DB2383"/>
    <w:rsid w:val="00DB23EB"/>
    <w:rsid w:val="00DB2B3D"/>
    <w:rsid w:val="00DB4F56"/>
    <w:rsid w:val="00DB618E"/>
    <w:rsid w:val="00DB62A3"/>
    <w:rsid w:val="00DB6430"/>
    <w:rsid w:val="00DB68F4"/>
    <w:rsid w:val="00DB6BB4"/>
    <w:rsid w:val="00DC0423"/>
    <w:rsid w:val="00DC154C"/>
    <w:rsid w:val="00DC1DDA"/>
    <w:rsid w:val="00DC2420"/>
    <w:rsid w:val="00DC2E56"/>
    <w:rsid w:val="00DC3166"/>
    <w:rsid w:val="00DC378E"/>
    <w:rsid w:val="00DC3F03"/>
    <w:rsid w:val="00DC4C7C"/>
    <w:rsid w:val="00DC73D7"/>
    <w:rsid w:val="00DD07B2"/>
    <w:rsid w:val="00DD173A"/>
    <w:rsid w:val="00DD1C2E"/>
    <w:rsid w:val="00DD2465"/>
    <w:rsid w:val="00DD3242"/>
    <w:rsid w:val="00DD36C3"/>
    <w:rsid w:val="00DD4126"/>
    <w:rsid w:val="00DD55AA"/>
    <w:rsid w:val="00DD5B58"/>
    <w:rsid w:val="00DD6461"/>
    <w:rsid w:val="00DD7486"/>
    <w:rsid w:val="00DD7B65"/>
    <w:rsid w:val="00DD7E7F"/>
    <w:rsid w:val="00DE03C4"/>
    <w:rsid w:val="00DE0874"/>
    <w:rsid w:val="00DE2A9F"/>
    <w:rsid w:val="00DE2FF7"/>
    <w:rsid w:val="00DE31F0"/>
    <w:rsid w:val="00DE3777"/>
    <w:rsid w:val="00DE423A"/>
    <w:rsid w:val="00DE5287"/>
    <w:rsid w:val="00DE54B7"/>
    <w:rsid w:val="00DE56FD"/>
    <w:rsid w:val="00DE580C"/>
    <w:rsid w:val="00DE5F68"/>
    <w:rsid w:val="00DE6722"/>
    <w:rsid w:val="00DE6971"/>
    <w:rsid w:val="00DE6AF9"/>
    <w:rsid w:val="00DE71A8"/>
    <w:rsid w:val="00DE7644"/>
    <w:rsid w:val="00DE7F4A"/>
    <w:rsid w:val="00DF0335"/>
    <w:rsid w:val="00DF06AD"/>
    <w:rsid w:val="00DF1411"/>
    <w:rsid w:val="00DF2098"/>
    <w:rsid w:val="00DF25EC"/>
    <w:rsid w:val="00DF2771"/>
    <w:rsid w:val="00DF3315"/>
    <w:rsid w:val="00DF4385"/>
    <w:rsid w:val="00DF466D"/>
    <w:rsid w:val="00DF4910"/>
    <w:rsid w:val="00DF4CDE"/>
    <w:rsid w:val="00DF5F0E"/>
    <w:rsid w:val="00DF640F"/>
    <w:rsid w:val="00DF6C13"/>
    <w:rsid w:val="00DF6D2E"/>
    <w:rsid w:val="00DF7241"/>
    <w:rsid w:val="00DF7A3D"/>
    <w:rsid w:val="00E00A81"/>
    <w:rsid w:val="00E0113A"/>
    <w:rsid w:val="00E0164A"/>
    <w:rsid w:val="00E01923"/>
    <w:rsid w:val="00E01D55"/>
    <w:rsid w:val="00E01D61"/>
    <w:rsid w:val="00E0242A"/>
    <w:rsid w:val="00E0370E"/>
    <w:rsid w:val="00E03CDA"/>
    <w:rsid w:val="00E04BF3"/>
    <w:rsid w:val="00E04F07"/>
    <w:rsid w:val="00E053A3"/>
    <w:rsid w:val="00E05599"/>
    <w:rsid w:val="00E0684E"/>
    <w:rsid w:val="00E0688D"/>
    <w:rsid w:val="00E0703D"/>
    <w:rsid w:val="00E07222"/>
    <w:rsid w:val="00E07F52"/>
    <w:rsid w:val="00E10C18"/>
    <w:rsid w:val="00E1138E"/>
    <w:rsid w:val="00E11C9F"/>
    <w:rsid w:val="00E12A81"/>
    <w:rsid w:val="00E13231"/>
    <w:rsid w:val="00E15A97"/>
    <w:rsid w:val="00E15E9D"/>
    <w:rsid w:val="00E16210"/>
    <w:rsid w:val="00E16852"/>
    <w:rsid w:val="00E16F10"/>
    <w:rsid w:val="00E17EEC"/>
    <w:rsid w:val="00E2312E"/>
    <w:rsid w:val="00E2340D"/>
    <w:rsid w:val="00E23CBE"/>
    <w:rsid w:val="00E24369"/>
    <w:rsid w:val="00E24A53"/>
    <w:rsid w:val="00E250C0"/>
    <w:rsid w:val="00E251EC"/>
    <w:rsid w:val="00E25BA6"/>
    <w:rsid w:val="00E25FFC"/>
    <w:rsid w:val="00E265B7"/>
    <w:rsid w:val="00E2674A"/>
    <w:rsid w:val="00E31251"/>
    <w:rsid w:val="00E3136E"/>
    <w:rsid w:val="00E31BFC"/>
    <w:rsid w:val="00E32E5B"/>
    <w:rsid w:val="00E338D8"/>
    <w:rsid w:val="00E34004"/>
    <w:rsid w:val="00E346DC"/>
    <w:rsid w:val="00E34D89"/>
    <w:rsid w:val="00E35877"/>
    <w:rsid w:val="00E35DC1"/>
    <w:rsid w:val="00E37B6E"/>
    <w:rsid w:val="00E41565"/>
    <w:rsid w:val="00E41DA0"/>
    <w:rsid w:val="00E42154"/>
    <w:rsid w:val="00E42757"/>
    <w:rsid w:val="00E42BE3"/>
    <w:rsid w:val="00E42C3D"/>
    <w:rsid w:val="00E4322E"/>
    <w:rsid w:val="00E43367"/>
    <w:rsid w:val="00E43F18"/>
    <w:rsid w:val="00E4464B"/>
    <w:rsid w:val="00E45B7F"/>
    <w:rsid w:val="00E45D9A"/>
    <w:rsid w:val="00E50159"/>
    <w:rsid w:val="00E50452"/>
    <w:rsid w:val="00E507BC"/>
    <w:rsid w:val="00E50B72"/>
    <w:rsid w:val="00E5159A"/>
    <w:rsid w:val="00E51F09"/>
    <w:rsid w:val="00E537CC"/>
    <w:rsid w:val="00E54BD3"/>
    <w:rsid w:val="00E555E2"/>
    <w:rsid w:val="00E57ACF"/>
    <w:rsid w:val="00E60164"/>
    <w:rsid w:val="00E60ECF"/>
    <w:rsid w:val="00E6164E"/>
    <w:rsid w:val="00E62565"/>
    <w:rsid w:val="00E62693"/>
    <w:rsid w:val="00E626CA"/>
    <w:rsid w:val="00E62C14"/>
    <w:rsid w:val="00E6350C"/>
    <w:rsid w:val="00E64AB8"/>
    <w:rsid w:val="00E66391"/>
    <w:rsid w:val="00E66B66"/>
    <w:rsid w:val="00E66D4A"/>
    <w:rsid w:val="00E67B75"/>
    <w:rsid w:val="00E71A82"/>
    <w:rsid w:val="00E73478"/>
    <w:rsid w:val="00E73660"/>
    <w:rsid w:val="00E740BF"/>
    <w:rsid w:val="00E75901"/>
    <w:rsid w:val="00E76EDA"/>
    <w:rsid w:val="00E80D10"/>
    <w:rsid w:val="00E8159B"/>
    <w:rsid w:val="00E81F23"/>
    <w:rsid w:val="00E8326D"/>
    <w:rsid w:val="00E84AE4"/>
    <w:rsid w:val="00E91347"/>
    <w:rsid w:val="00E9159E"/>
    <w:rsid w:val="00E93555"/>
    <w:rsid w:val="00E93F70"/>
    <w:rsid w:val="00E947F9"/>
    <w:rsid w:val="00E96796"/>
    <w:rsid w:val="00E97A36"/>
    <w:rsid w:val="00E97E4E"/>
    <w:rsid w:val="00EA0008"/>
    <w:rsid w:val="00EA024E"/>
    <w:rsid w:val="00EA16E3"/>
    <w:rsid w:val="00EA17B5"/>
    <w:rsid w:val="00EA1858"/>
    <w:rsid w:val="00EA1B54"/>
    <w:rsid w:val="00EA1B63"/>
    <w:rsid w:val="00EA1BC1"/>
    <w:rsid w:val="00EA1EB6"/>
    <w:rsid w:val="00EA1F1E"/>
    <w:rsid w:val="00EA22D9"/>
    <w:rsid w:val="00EA2729"/>
    <w:rsid w:val="00EA2C38"/>
    <w:rsid w:val="00EA3E93"/>
    <w:rsid w:val="00EA4D41"/>
    <w:rsid w:val="00EA4D60"/>
    <w:rsid w:val="00EA5508"/>
    <w:rsid w:val="00EB0CBE"/>
    <w:rsid w:val="00EB1274"/>
    <w:rsid w:val="00EB277E"/>
    <w:rsid w:val="00EB2F79"/>
    <w:rsid w:val="00EB34C0"/>
    <w:rsid w:val="00EB3E4D"/>
    <w:rsid w:val="00EB4628"/>
    <w:rsid w:val="00EB58A1"/>
    <w:rsid w:val="00EB62A5"/>
    <w:rsid w:val="00EB6320"/>
    <w:rsid w:val="00EB65AE"/>
    <w:rsid w:val="00EB6796"/>
    <w:rsid w:val="00EB7592"/>
    <w:rsid w:val="00EC0617"/>
    <w:rsid w:val="00EC1D69"/>
    <w:rsid w:val="00EC2256"/>
    <w:rsid w:val="00EC22A7"/>
    <w:rsid w:val="00EC22E7"/>
    <w:rsid w:val="00EC3147"/>
    <w:rsid w:val="00EC3505"/>
    <w:rsid w:val="00EC38BA"/>
    <w:rsid w:val="00EC4065"/>
    <w:rsid w:val="00EC42BF"/>
    <w:rsid w:val="00EC5D3B"/>
    <w:rsid w:val="00ECD516"/>
    <w:rsid w:val="00ED11EB"/>
    <w:rsid w:val="00ED1701"/>
    <w:rsid w:val="00ED1B5C"/>
    <w:rsid w:val="00ED46AE"/>
    <w:rsid w:val="00ED531A"/>
    <w:rsid w:val="00ED6566"/>
    <w:rsid w:val="00ED734B"/>
    <w:rsid w:val="00ED779D"/>
    <w:rsid w:val="00ED7B67"/>
    <w:rsid w:val="00EE06E8"/>
    <w:rsid w:val="00EE0C22"/>
    <w:rsid w:val="00EE2160"/>
    <w:rsid w:val="00EE2E73"/>
    <w:rsid w:val="00EE4627"/>
    <w:rsid w:val="00EE5312"/>
    <w:rsid w:val="00EE6040"/>
    <w:rsid w:val="00EE68D5"/>
    <w:rsid w:val="00EE6F79"/>
    <w:rsid w:val="00EE7282"/>
    <w:rsid w:val="00EF0131"/>
    <w:rsid w:val="00EF09B7"/>
    <w:rsid w:val="00EF0D71"/>
    <w:rsid w:val="00EF1046"/>
    <w:rsid w:val="00EF11F9"/>
    <w:rsid w:val="00EF3136"/>
    <w:rsid w:val="00EF379B"/>
    <w:rsid w:val="00EF441B"/>
    <w:rsid w:val="00EF5772"/>
    <w:rsid w:val="00EF625D"/>
    <w:rsid w:val="00EF6B68"/>
    <w:rsid w:val="00EF7FDC"/>
    <w:rsid w:val="00F00011"/>
    <w:rsid w:val="00F0089D"/>
    <w:rsid w:val="00F027F3"/>
    <w:rsid w:val="00F03804"/>
    <w:rsid w:val="00F04C82"/>
    <w:rsid w:val="00F05A74"/>
    <w:rsid w:val="00F05EA2"/>
    <w:rsid w:val="00F06103"/>
    <w:rsid w:val="00F06DCC"/>
    <w:rsid w:val="00F07076"/>
    <w:rsid w:val="00F079FF"/>
    <w:rsid w:val="00F07B54"/>
    <w:rsid w:val="00F07BF4"/>
    <w:rsid w:val="00F07EE6"/>
    <w:rsid w:val="00F10252"/>
    <w:rsid w:val="00F1106D"/>
    <w:rsid w:val="00F124A0"/>
    <w:rsid w:val="00F135EA"/>
    <w:rsid w:val="00F13D49"/>
    <w:rsid w:val="00F147DF"/>
    <w:rsid w:val="00F157F9"/>
    <w:rsid w:val="00F15958"/>
    <w:rsid w:val="00F15BD9"/>
    <w:rsid w:val="00F163D0"/>
    <w:rsid w:val="00F16E38"/>
    <w:rsid w:val="00F20EC2"/>
    <w:rsid w:val="00F210A7"/>
    <w:rsid w:val="00F213DC"/>
    <w:rsid w:val="00F22586"/>
    <w:rsid w:val="00F23973"/>
    <w:rsid w:val="00F24434"/>
    <w:rsid w:val="00F24574"/>
    <w:rsid w:val="00F25AE6"/>
    <w:rsid w:val="00F2651A"/>
    <w:rsid w:val="00F27022"/>
    <w:rsid w:val="00F30E16"/>
    <w:rsid w:val="00F318B3"/>
    <w:rsid w:val="00F32274"/>
    <w:rsid w:val="00F32566"/>
    <w:rsid w:val="00F32B22"/>
    <w:rsid w:val="00F33325"/>
    <w:rsid w:val="00F35582"/>
    <w:rsid w:val="00F363E1"/>
    <w:rsid w:val="00F36798"/>
    <w:rsid w:val="00F406C5"/>
    <w:rsid w:val="00F40F0E"/>
    <w:rsid w:val="00F42015"/>
    <w:rsid w:val="00F420FE"/>
    <w:rsid w:val="00F4237F"/>
    <w:rsid w:val="00F42AEA"/>
    <w:rsid w:val="00F439B1"/>
    <w:rsid w:val="00F44AFA"/>
    <w:rsid w:val="00F44E76"/>
    <w:rsid w:val="00F45A2F"/>
    <w:rsid w:val="00F45C4A"/>
    <w:rsid w:val="00F45D47"/>
    <w:rsid w:val="00F463D4"/>
    <w:rsid w:val="00F47F38"/>
    <w:rsid w:val="00F51A83"/>
    <w:rsid w:val="00F52774"/>
    <w:rsid w:val="00F52778"/>
    <w:rsid w:val="00F534E3"/>
    <w:rsid w:val="00F559D1"/>
    <w:rsid w:val="00F55CED"/>
    <w:rsid w:val="00F55D18"/>
    <w:rsid w:val="00F55FD3"/>
    <w:rsid w:val="00F60A31"/>
    <w:rsid w:val="00F62165"/>
    <w:rsid w:val="00F6292D"/>
    <w:rsid w:val="00F63833"/>
    <w:rsid w:val="00F63AE5"/>
    <w:rsid w:val="00F63C89"/>
    <w:rsid w:val="00F642FD"/>
    <w:rsid w:val="00F65465"/>
    <w:rsid w:val="00F6573A"/>
    <w:rsid w:val="00F65895"/>
    <w:rsid w:val="00F6675D"/>
    <w:rsid w:val="00F6754E"/>
    <w:rsid w:val="00F7008B"/>
    <w:rsid w:val="00F7049D"/>
    <w:rsid w:val="00F706D0"/>
    <w:rsid w:val="00F709F0"/>
    <w:rsid w:val="00F70F34"/>
    <w:rsid w:val="00F71A16"/>
    <w:rsid w:val="00F72617"/>
    <w:rsid w:val="00F72C6A"/>
    <w:rsid w:val="00F72D2C"/>
    <w:rsid w:val="00F72D6F"/>
    <w:rsid w:val="00F72FE2"/>
    <w:rsid w:val="00F73437"/>
    <w:rsid w:val="00F7385D"/>
    <w:rsid w:val="00F73CDC"/>
    <w:rsid w:val="00F74A0E"/>
    <w:rsid w:val="00F74D33"/>
    <w:rsid w:val="00F7597B"/>
    <w:rsid w:val="00F764EF"/>
    <w:rsid w:val="00F771FF"/>
    <w:rsid w:val="00F77D52"/>
    <w:rsid w:val="00F77FEA"/>
    <w:rsid w:val="00F8048C"/>
    <w:rsid w:val="00F805FD"/>
    <w:rsid w:val="00F80CFE"/>
    <w:rsid w:val="00F80E13"/>
    <w:rsid w:val="00F817BD"/>
    <w:rsid w:val="00F81D4C"/>
    <w:rsid w:val="00F82002"/>
    <w:rsid w:val="00F82249"/>
    <w:rsid w:val="00F83299"/>
    <w:rsid w:val="00F83B20"/>
    <w:rsid w:val="00F84BBB"/>
    <w:rsid w:val="00F8522C"/>
    <w:rsid w:val="00F85C21"/>
    <w:rsid w:val="00F87210"/>
    <w:rsid w:val="00F87E2C"/>
    <w:rsid w:val="00F90127"/>
    <w:rsid w:val="00F90168"/>
    <w:rsid w:val="00F90555"/>
    <w:rsid w:val="00F930CD"/>
    <w:rsid w:val="00F93158"/>
    <w:rsid w:val="00F936F8"/>
    <w:rsid w:val="00F93D46"/>
    <w:rsid w:val="00F946CA"/>
    <w:rsid w:val="00F94898"/>
    <w:rsid w:val="00F9555B"/>
    <w:rsid w:val="00F95824"/>
    <w:rsid w:val="00F95A29"/>
    <w:rsid w:val="00F96337"/>
    <w:rsid w:val="00F96B67"/>
    <w:rsid w:val="00F97613"/>
    <w:rsid w:val="00FA1548"/>
    <w:rsid w:val="00FA471D"/>
    <w:rsid w:val="00FA5203"/>
    <w:rsid w:val="00FA5671"/>
    <w:rsid w:val="00FA6F7B"/>
    <w:rsid w:val="00FB0C50"/>
    <w:rsid w:val="00FB1C79"/>
    <w:rsid w:val="00FB1C8D"/>
    <w:rsid w:val="00FB259E"/>
    <w:rsid w:val="00FB30B9"/>
    <w:rsid w:val="00FB3E6F"/>
    <w:rsid w:val="00FB4C6B"/>
    <w:rsid w:val="00FB4DCA"/>
    <w:rsid w:val="00FB5C77"/>
    <w:rsid w:val="00FB6AED"/>
    <w:rsid w:val="00FB72F3"/>
    <w:rsid w:val="00FB733D"/>
    <w:rsid w:val="00FB7545"/>
    <w:rsid w:val="00FB7D16"/>
    <w:rsid w:val="00FC1545"/>
    <w:rsid w:val="00FC1E52"/>
    <w:rsid w:val="00FC365B"/>
    <w:rsid w:val="00FC4783"/>
    <w:rsid w:val="00FC598F"/>
    <w:rsid w:val="00FC5D84"/>
    <w:rsid w:val="00FC6484"/>
    <w:rsid w:val="00FC6E70"/>
    <w:rsid w:val="00FC7B3F"/>
    <w:rsid w:val="00FC7EDE"/>
    <w:rsid w:val="00FD01D0"/>
    <w:rsid w:val="00FD10D5"/>
    <w:rsid w:val="00FD110E"/>
    <w:rsid w:val="00FD12A2"/>
    <w:rsid w:val="00FD1AC3"/>
    <w:rsid w:val="00FD1E2E"/>
    <w:rsid w:val="00FD1FDF"/>
    <w:rsid w:val="00FD2B06"/>
    <w:rsid w:val="00FD2DD8"/>
    <w:rsid w:val="00FD378B"/>
    <w:rsid w:val="00FD3A24"/>
    <w:rsid w:val="00FD441D"/>
    <w:rsid w:val="00FD49CF"/>
    <w:rsid w:val="00FD54D4"/>
    <w:rsid w:val="00FD5A0F"/>
    <w:rsid w:val="00FD5C76"/>
    <w:rsid w:val="00FD665C"/>
    <w:rsid w:val="00FD6947"/>
    <w:rsid w:val="00FD7668"/>
    <w:rsid w:val="00FD7904"/>
    <w:rsid w:val="00FD7DCF"/>
    <w:rsid w:val="00FE0286"/>
    <w:rsid w:val="00FE0520"/>
    <w:rsid w:val="00FE0F23"/>
    <w:rsid w:val="00FE0F38"/>
    <w:rsid w:val="00FE168F"/>
    <w:rsid w:val="00FE2CB8"/>
    <w:rsid w:val="00FE32D0"/>
    <w:rsid w:val="00FE379E"/>
    <w:rsid w:val="00FE3B93"/>
    <w:rsid w:val="00FE4789"/>
    <w:rsid w:val="00FE4E26"/>
    <w:rsid w:val="00FE56A8"/>
    <w:rsid w:val="00FE5FC7"/>
    <w:rsid w:val="00FE7D8A"/>
    <w:rsid w:val="00FF09CB"/>
    <w:rsid w:val="00FF10E6"/>
    <w:rsid w:val="00FF1806"/>
    <w:rsid w:val="00FF2E1D"/>
    <w:rsid w:val="00FF2FA0"/>
    <w:rsid w:val="00FF394E"/>
    <w:rsid w:val="00FF4065"/>
    <w:rsid w:val="00FF6BDE"/>
    <w:rsid w:val="01089D45"/>
    <w:rsid w:val="0121CDE7"/>
    <w:rsid w:val="01C73292"/>
    <w:rsid w:val="01FBB2A6"/>
    <w:rsid w:val="02616CFC"/>
    <w:rsid w:val="02623030"/>
    <w:rsid w:val="02653F2E"/>
    <w:rsid w:val="029B0299"/>
    <w:rsid w:val="037F1380"/>
    <w:rsid w:val="03BEED7C"/>
    <w:rsid w:val="04906058"/>
    <w:rsid w:val="04A50047"/>
    <w:rsid w:val="04FE42E3"/>
    <w:rsid w:val="0500F97C"/>
    <w:rsid w:val="05A47D22"/>
    <w:rsid w:val="0610D69D"/>
    <w:rsid w:val="065B100F"/>
    <w:rsid w:val="069D09C9"/>
    <w:rsid w:val="072EE679"/>
    <w:rsid w:val="0759D3B9"/>
    <w:rsid w:val="07682FAD"/>
    <w:rsid w:val="07FA82C8"/>
    <w:rsid w:val="08640E70"/>
    <w:rsid w:val="086D6C88"/>
    <w:rsid w:val="089AC86D"/>
    <w:rsid w:val="0A673813"/>
    <w:rsid w:val="0A7D30F2"/>
    <w:rsid w:val="0A99B75E"/>
    <w:rsid w:val="0AB62D1A"/>
    <w:rsid w:val="0B804797"/>
    <w:rsid w:val="0B83E73D"/>
    <w:rsid w:val="0BC3CB9F"/>
    <w:rsid w:val="0C2864FD"/>
    <w:rsid w:val="0C66C12B"/>
    <w:rsid w:val="0C90F61E"/>
    <w:rsid w:val="0CDB7B3A"/>
    <w:rsid w:val="0D13003A"/>
    <w:rsid w:val="0D384C4A"/>
    <w:rsid w:val="0D735CBA"/>
    <w:rsid w:val="0F19CB71"/>
    <w:rsid w:val="0F478812"/>
    <w:rsid w:val="0FF614F9"/>
    <w:rsid w:val="100C3E51"/>
    <w:rsid w:val="10244B70"/>
    <w:rsid w:val="1113DB24"/>
    <w:rsid w:val="11BE9CE6"/>
    <w:rsid w:val="11D61779"/>
    <w:rsid w:val="11E6F8AF"/>
    <w:rsid w:val="11E97438"/>
    <w:rsid w:val="1258FB5A"/>
    <w:rsid w:val="128B5C28"/>
    <w:rsid w:val="12BA0346"/>
    <w:rsid w:val="13306C94"/>
    <w:rsid w:val="13734118"/>
    <w:rsid w:val="138EA666"/>
    <w:rsid w:val="142F9C3F"/>
    <w:rsid w:val="14CD5ED4"/>
    <w:rsid w:val="1565AED7"/>
    <w:rsid w:val="15AF28F4"/>
    <w:rsid w:val="15EE5B5C"/>
    <w:rsid w:val="16038A02"/>
    <w:rsid w:val="16791C52"/>
    <w:rsid w:val="16C6F3E2"/>
    <w:rsid w:val="16DD0318"/>
    <w:rsid w:val="1757EE90"/>
    <w:rsid w:val="1799C5A8"/>
    <w:rsid w:val="17CB7AFA"/>
    <w:rsid w:val="187D45E1"/>
    <w:rsid w:val="188938D9"/>
    <w:rsid w:val="18E6CEEF"/>
    <w:rsid w:val="19A2237F"/>
    <w:rsid w:val="19BF5485"/>
    <w:rsid w:val="19D56B5D"/>
    <w:rsid w:val="1A6E3D46"/>
    <w:rsid w:val="1A83C2E3"/>
    <w:rsid w:val="1B69EF75"/>
    <w:rsid w:val="1B7F8B52"/>
    <w:rsid w:val="1C0949D2"/>
    <w:rsid w:val="1C16903C"/>
    <w:rsid w:val="1C837576"/>
    <w:rsid w:val="1CBFA63A"/>
    <w:rsid w:val="1CEEEF81"/>
    <w:rsid w:val="1D02481F"/>
    <w:rsid w:val="1EAA050B"/>
    <w:rsid w:val="1EDC396C"/>
    <w:rsid w:val="1FA4FFAF"/>
    <w:rsid w:val="1FFE2709"/>
    <w:rsid w:val="208D301D"/>
    <w:rsid w:val="21D3E97A"/>
    <w:rsid w:val="21F0142F"/>
    <w:rsid w:val="2207906B"/>
    <w:rsid w:val="220A562A"/>
    <w:rsid w:val="223511E2"/>
    <w:rsid w:val="224910D6"/>
    <w:rsid w:val="2269BA2A"/>
    <w:rsid w:val="22E418DA"/>
    <w:rsid w:val="234860D7"/>
    <w:rsid w:val="23987AAD"/>
    <w:rsid w:val="23EAF318"/>
    <w:rsid w:val="23FFD6B3"/>
    <w:rsid w:val="248C2ADE"/>
    <w:rsid w:val="24DD6D5F"/>
    <w:rsid w:val="24E982DA"/>
    <w:rsid w:val="24F50B57"/>
    <w:rsid w:val="2572024E"/>
    <w:rsid w:val="25A80FE0"/>
    <w:rsid w:val="26A98E8C"/>
    <w:rsid w:val="27A47B01"/>
    <w:rsid w:val="27F276F4"/>
    <w:rsid w:val="28606BDC"/>
    <w:rsid w:val="28ABF90D"/>
    <w:rsid w:val="28E3797D"/>
    <w:rsid w:val="28E430E9"/>
    <w:rsid w:val="29983D93"/>
    <w:rsid w:val="29EAE063"/>
    <w:rsid w:val="2A14078D"/>
    <w:rsid w:val="2A47CBF4"/>
    <w:rsid w:val="2AFBB8FF"/>
    <w:rsid w:val="2B472021"/>
    <w:rsid w:val="2B9ED07C"/>
    <w:rsid w:val="2C305723"/>
    <w:rsid w:val="2C4B6D34"/>
    <w:rsid w:val="2CAB7087"/>
    <w:rsid w:val="2CF87733"/>
    <w:rsid w:val="2DD361A2"/>
    <w:rsid w:val="2F24363B"/>
    <w:rsid w:val="2F468972"/>
    <w:rsid w:val="2F563B5D"/>
    <w:rsid w:val="30729F16"/>
    <w:rsid w:val="309208E3"/>
    <w:rsid w:val="30C84885"/>
    <w:rsid w:val="30ECB9D6"/>
    <w:rsid w:val="315A63D5"/>
    <w:rsid w:val="3180F97E"/>
    <w:rsid w:val="31AE66CF"/>
    <w:rsid w:val="31CFB2EA"/>
    <w:rsid w:val="31FDBC58"/>
    <w:rsid w:val="3222BAF6"/>
    <w:rsid w:val="3242A44D"/>
    <w:rsid w:val="332D8D2E"/>
    <w:rsid w:val="339A958B"/>
    <w:rsid w:val="33E31A1F"/>
    <w:rsid w:val="3420F311"/>
    <w:rsid w:val="34349FFB"/>
    <w:rsid w:val="347BB002"/>
    <w:rsid w:val="351696F1"/>
    <w:rsid w:val="35E76344"/>
    <w:rsid w:val="3604848F"/>
    <w:rsid w:val="3616B6D2"/>
    <w:rsid w:val="365F30C2"/>
    <w:rsid w:val="36E1B384"/>
    <w:rsid w:val="36F32138"/>
    <w:rsid w:val="378D59AD"/>
    <w:rsid w:val="37EB9C29"/>
    <w:rsid w:val="37F13321"/>
    <w:rsid w:val="3816D4D8"/>
    <w:rsid w:val="385B34F4"/>
    <w:rsid w:val="39F90E11"/>
    <w:rsid w:val="3AD24C21"/>
    <w:rsid w:val="3B098779"/>
    <w:rsid w:val="3B8678D2"/>
    <w:rsid w:val="3BB102BB"/>
    <w:rsid w:val="3D50BE25"/>
    <w:rsid w:val="3DF54882"/>
    <w:rsid w:val="3DF6438B"/>
    <w:rsid w:val="3E895F7A"/>
    <w:rsid w:val="3E91C378"/>
    <w:rsid w:val="3EA94728"/>
    <w:rsid w:val="3EBD7A59"/>
    <w:rsid w:val="3EBDBF73"/>
    <w:rsid w:val="3ECB1E3E"/>
    <w:rsid w:val="3ED7ACD7"/>
    <w:rsid w:val="3EEE57C1"/>
    <w:rsid w:val="3F53A883"/>
    <w:rsid w:val="3F5AD9F8"/>
    <w:rsid w:val="3F895673"/>
    <w:rsid w:val="4016E423"/>
    <w:rsid w:val="403EAC8C"/>
    <w:rsid w:val="4040B53E"/>
    <w:rsid w:val="40ABED70"/>
    <w:rsid w:val="41067B76"/>
    <w:rsid w:val="4134BEA1"/>
    <w:rsid w:val="4148761A"/>
    <w:rsid w:val="419EDE09"/>
    <w:rsid w:val="42F562B2"/>
    <w:rsid w:val="431687DE"/>
    <w:rsid w:val="4344A2F1"/>
    <w:rsid w:val="435C04AE"/>
    <w:rsid w:val="446B095D"/>
    <w:rsid w:val="448607B9"/>
    <w:rsid w:val="44D51131"/>
    <w:rsid w:val="453C9B12"/>
    <w:rsid w:val="454C4B3D"/>
    <w:rsid w:val="458A97EB"/>
    <w:rsid w:val="45AFF64D"/>
    <w:rsid w:val="45D11470"/>
    <w:rsid w:val="4644FE48"/>
    <w:rsid w:val="464541D1"/>
    <w:rsid w:val="466F8BAC"/>
    <w:rsid w:val="4873B6A0"/>
    <w:rsid w:val="48A61136"/>
    <w:rsid w:val="48C69A39"/>
    <w:rsid w:val="490A2598"/>
    <w:rsid w:val="49C4D5CD"/>
    <w:rsid w:val="4A0B4715"/>
    <w:rsid w:val="4A15D79C"/>
    <w:rsid w:val="4A51D7CC"/>
    <w:rsid w:val="4AD31CAE"/>
    <w:rsid w:val="4C82201C"/>
    <w:rsid w:val="4CE2813D"/>
    <w:rsid w:val="4D14F346"/>
    <w:rsid w:val="4D398A01"/>
    <w:rsid w:val="4E0625CC"/>
    <w:rsid w:val="4E2D053E"/>
    <w:rsid w:val="4E4017C1"/>
    <w:rsid w:val="4F1DACC2"/>
    <w:rsid w:val="5038DBF2"/>
    <w:rsid w:val="50A4380B"/>
    <w:rsid w:val="50FCC1FA"/>
    <w:rsid w:val="51222B06"/>
    <w:rsid w:val="513FC02D"/>
    <w:rsid w:val="5143FD84"/>
    <w:rsid w:val="51C162CD"/>
    <w:rsid w:val="51DA6E18"/>
    <w:rsid w:val="5264E4D3"/>
    <w:rsid w:val="52C51BEB"/>
    <w:rsid w:val="531B71F8"/>
    <w:rsid w:val="53345FF8"/>
    <w:rsid w:val="53D960AD"/>
    <w:rsid w:val="53E03832"/>
    <w:rsid w:val="53FFFC1D"/>
    <w:rsid w:val="540B8230"/>
    <w:rsid w:val="5414EBC9"/>
    <w:rsid w:val="54205740"/>
    <w:rsid w:val="5457DFA4"/>
    <w:rsid w:val="546FD566"/>
    <w:rsid w:val="551B648C"/>
    <w:rsid w:val="551D55FA"/>
    <w:rsid w:val="5585D967"/>
    <w:rsid w:val="560811A0"/>
    <w:rsid w:val="56699719"/>
    <w:rsid w:val="56E76EB4"/>
    <w:rsid w:val="577BA423"/>
    <w:rsid w:val="57FE9AC0"/>
    <w:rsid w:val="58A2A3C4"/>
    <w:rsid w:val="58EDFC7F"/>
    <w:rsid w:val="590036D7"/>
    <w:rsid w:val="590349C5"/>
    <w:rsid w:val="592D7103"/>
    <w:rsid w:val="59CE04C5"/>
    <w:rsid w:val="5AB09D63"/>
    <w:rsid w:val="5AE204AB"/>
    <w:rsid w:val="5AFE89DA"/>
    <w:rsid w:val="5B03DDB9"/>
    <w:rsid w:val="5B6005C2"/>
    <w:rsid w:val="5BD332FF"/>
    <w:rsid w:val="5C086EF8"/>
    <w:rsid w:val="5C0E99FC"/>
    <w:rsid w:val="5C0ED1C2"/>
    <w:rsid w:val="5C6F51FF"/>
    <w:rsid w:val="5C87B576"/>
    <w:rsid w:val="5CF1670B"/>
    <w:rsid w:val="5E7E3AE3"/>
    <w:rsid w:val="5E833681"/>
    <w:rsid w:val="5E9B7900"/>
    <w:rsid w:val="5EB4D9DF"/>
    <w:rsid w:val="5ED0EADF"/>
    <w:rsid w:val="5EDBC09A"/>
    <w:rsid w:val="5EE33877"/>
    <w:rsid w:val="5F045971"/>
    <w:rsid w:val="601101B7"/>
    <w:rsid w:val="60194990"/>
    <w:rsid w:val="60323DC5"/>
    <w:rsid w:val="611414D9"/>
    <w:rsid w:val="6150D5AB"/>
    <w:rsid w:val="618C9286"/>
    <w:rsid w:val="61A02E80"/>
    <w:rsid w:val="6224D052"/>
    <w:rsid w:val="62975753"/>
    <w:rsid w:val="629ABFF6"/>
    <w:rsid w:val="634E31F0"/>
    <w:rsid w:val="63610172"/>
    <w:rsid w:val="63A05E38"/>
    <w:rsid w:val="63CEA60F"/>
    <w:rsid w:val="642AEB11"/>
    <w:rsid w:val="6453B41E"/>
    <w:rsid w:val="64D700DF"/>
    <w:rsid w:val="65B1FF61"/>
    <w:rsid w:val="65D81B36"/>
    <w:rsid w:val="65DBA510"/>
    <w:rsid w:val="66A4DF72"/>
    <w:rsid w:val="66DD4285"/>
    <w:rsid w:val="67B5AD23"/>
    <w:rsid w:val="67E47C45"/>
    <w:rsid w:val="682C1C9A"/>
    <w:rsid w:val="697C28AA"/>
    <w:rsid w:val="698C79EB"/>
    <w:rsid w:val="69ED8EB5"/>
    <w:rsid w:val="6A1FC019"/>
    <w:rsid w:val="6A889F68"/>
    <w:rsid w:val="6AC73C3A"/>
    <w:rsid w:val="6AFFE3D9"/>
    <w:rsid w:val="6B89C80F"/>
    <w:rsid w:val="6B8B5689"/>
    <w:rsid w:val="6BA1CFFF"/>
    <w:rsid w:val="6CBB592F"/>
    <w:rsid w:val="6D10CE11"/>
    <w:rsid w:val="6D911A69"/>
    <w:rsid w:val="6E0A0109"/>
    <w:rsid w:val="6E9F71EE"/>
    <w:rsid w:val="6ECC5895"/>
    <w:rsid w:val="6F378586"/>
    <w:rsid w:val="6F6FED02"/>
    <w:rsid w:val="6FDA9850"/>
    <w:rsid w:val="6FFEC2CB"/>
    <w:rsid w:val="7042195A"/>
    <w:rsid w:val="7045F94F"/>
    <w:rsid w:val="70FDFD1B"/>
    <w:rsid w:val="724C48CF"/>
    <w:rsid w:val="72592B88"/>
    <w:rsid w:val="72AAB292"/>
    <w:rsid w:val="72B77F90"/>
    <w:rsid w:val="7302A7BC"/>
    <w:rsid w:val="730956B8"/>
    <w:rsid w:val="73C524B9"/>
    <w:rsid w:val="73FDBCCC"/>
    <w:rsid w:val="74037CEF"/>
    <w:rsid w:val="7422183F"/>
    <w:rsid w:val="7557BC88"/>
    <w:rsid w:val="75841168"/>
    <w:rsid w:val="768C4B86"/>
    <w:rsid w:val="7694ACFF"/>
    <w:rsid w:val="7712A2FE"/>
    <w:rsid w:val="7724037C"/>
    <w:rsid w:val="773751AA"/>
    <w:rsid w:val="77CDFAFE"/>
    <w:rsid w:val="77E302D8"/>
    <w:rsid w:val="78425EB0"/>
    <w:rsid w:val="7889D71B"/>
    <w:rsid w:val="788FEAF9"/>
    <w:rsid w:val="7898D1BF"/>
    <w:rsid w:val="7978AE3F"/>
    <w:rsid w:val="79C6EB33"/>
    <w:rsid w:val="79DB4FD5"/>
    <w:rsid w:val="79E0F66B"/>
    <w:rsid w:val="79F0043E"/>
    <w:rsid w:val="7A1E2AEB"/>
    <w:rsid w:val="7A34E73E"/>
    <w:rsid w:val="7A35CE6D"/>
    <w:rsid w:val="7A3618C8"/>
    <w:rsid w:val="7A666836"/>
    <w:rsid w:val="7ACA41FA"/>
    <w:rsid w:val="7B5725A4"/>
    <w:rsid w:val="7B6033E9"/>
    <w:rsid w:val="7C47F605"/>
    <w:rsid w:val="7C652BDE"/>
    <w:rsid w:val="7C8B8AC0"/>
    <w:rsid w:val="7CC99B23"/>
    <w:rsid w:val="7CE8F0D5"/>
    <w:rsid w:val="7CEFA623"/>
    <w:rsid w:val="7D06EB49"/>
    <w:rsid w:val="7D46B5BD"/>
    <w:rsid w:val="7D478BB5"/>
    <w:rsid w:val="7D6239FF"/>
    <w:rsid w:val="7D80BB71"/>
    <w:rsid w:val="7E2894A3"/>
    <w:rsid w:val="7E2FC733"/>
    <w:rsid w:val="7E9AB976"/>
    <w:rsid w:val="7ED4D1E4"/>
    <w:rsid w:val="7ED66262"/>
    <w:rsid w:val="7F589E32"/>
    <w:rsid w:val="7FFAA536"/>
    <w:rsid w:val="7FFB40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127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0F9"/>
    <w:pPr>
      <w:widowControl w:val="0"/>
      <w:autoSpaceDE w:val="0"/>
      <w:autoSpaceDN w:val="0"/>
      <w:spacing w:after="0" w:line="240" w:lineRule="auto"/>
      <w:jc w:val="both"/>
    </w:pPr>
    <w:rPr>
      <w:rFonts w:eastAsia="Times New Roman" w:cs="Times New Roman"/>
      <w:kern w:val="0"/>
      <w:lang w:bidi="en-US"/>
      <w14:ligatures w14:val="none"/>
    </w:rPr>
  </w:style>
  <w:style w:type="paragraph" w:styleId="Heading1">
    <w:name w:val="heading 1"/>
    <w:basedOn w:val="Normal"/>
    <w:next w:val="Normal"/>
    <w:link w:val="Heading1Char"/>
    <w:uiPriority w:val="1"/>
    <w:qFormat/>
    <w:rsid w:val="00756D6D"/>
    <w:pPr>
      <w:spacing w:after="320"/>
      <w:jc w:val="center"/>
      <w:outlineLvl w:val="0"/>
    </w:pPr>
    <w:rPr>
      <w:rFonts w:ascii="Georgia" w:hAnsi="Georgia"/>
      <w:b/>
      <w:bCs/>
      <w:caps/>
      <w:color w:val="004A97"/>
      <w:sz w:val="40"/>
      <w:szCs w:val="24"/>
    </w:rPr>
  </w:style>
  <w:style w:type="paragraph" w:styleId="Heading2">
    <w:name w:val="heading 2"/>
    <w:basedOn w:val="Heading1"/>
    <w:next w:val="Normal"/>
    <w:link w:val="Heading2Char"/>
    <w:uiPriority w:val="2"/>
    <w:qFormat/>
    <w:rsid w:val="00756D6D"/>
    <w:pPr>
      <w:keepNext/>
      <w:keepLines/>
      <w:numPr>
        <w:ilvl w:val="1"/>
      </w:numPr>
      <w:spacing w:after="120"/>
      <w:jc w:val="left"/>
      <w:outlineLvl w:val="1"/>
    </w:pPr>
    <w:rPr>
      <w:rFonts w:ascii="Calibri" w:eastAsiaTheme="majorEastAsia" w:hAnsi="Calibri" w:cstheme="majorBidi"/>
      <w:caps w:val="0"/>
      <w:smallCaps/>
      <w:color w:val="000000" w:themeColor="text1"/>
      <w:sz w:val="32"/>
      <w:szCs w:val="26"/>
    </w:rPr>
  </w:style>
  <w:style w:type="paragraph" w:styleId="Heading3">
    <w:name w:val="heading 3"/>
    <w:basedOn w:val="Heading2"/>
    <w:next w:val="Normal"/>
    <w:link w:val="Heading3Char"/>
    <w:uiPriority w:val="3"/>
    <w:qFormat/>
    <w:rsid w:val="00756D6D"/>
    <w:pPr>
      <w:numPr>
        <w:ilvl w:val="2"/>
      </w:numPr>
      <w:spacing w:after="0"/>
      <w:outlineLvl w:val="2"/>
    </w:pPr>
    <w:rPr>
      <w:smallCaps w:val="0"/>
      <w:sz w:val="28"/>
      <w:szCs w:val="24"/>
    </w:rPr>
  </w:style>
  <w:style w:type="paragraph" w:styleId="Heading4">
    <w:name w:val="heading 4"/>
    <w:aliases w:val="Figure and Table Caption"/>
    <w:basedOn w:val="Normal"/>
    <w:next w:val="Normal"/>
    <w:link w:val="Heading4Char"/>
    <w:uiPriority w:val="4"/>
    <w:unhideWhenUsed/>
    <w:rsid w:val="00B16BB1"/>
    <w:pPr>
      <w:keepNext/>
      <w:keepLines/>
      <w:jc w:val="left"/>
      <w:outlineLvl w:val="3"/>
    </w:pPr>
    <w:rPr>
      <w:rFonts w:eastAsiaTheme="majorEastAsia" w:cstheme="majorBidi"/>
      <w:b/>
      <w:iCs/>
    </w:rPr>
  </w:style>
  <w:style w:type="paragraph" w:styleId="Heading5">
    <w:name w:val="heading 5"/>
    <w:basedOn w:val="Normal"/>
    <w:next w:val="Normal"/>
    <w:link w:val="Heading5Char"/>
    <w:uiPriority w:val="5"/>
    <w:unhideWhenUsed/>
    <w:qFormat/>
    <w:rsid w:val="0027732C"/>
    <w:pPr>
      <w:keepNext/>
      <w:keepLines/>
      <w:spacing w:before="4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6D6D"/>
    <w:rPr>
      <w:rFonts w:ascii="Georgia" w:eastAsia="Times New Roman" w:hAnsi="Georgia" w:cs="Times New Roman"/>
      <w:b/>
      <w:bCs/>
      <w:caps/>
      <w:color w:val="004A97"/>
      <w:kern w:val="0"/>
      <w:sz w:val="40"/>
      <w:szCs w:val="24"/>
      <w:lang w:bidi="en-US"/>
      <w14:ligatures w14:val="none"/>
    </w:rPr>
  </w:style>
  <w:style w:type="character" w:customStyle="1" w:styleId="Heading2Char">
    <w:name w:val="Heading 2 Char"/>
    <w:basedOn w:val="DefaultParagraphFont"/>
    <w:link w:val="Heading2"/>
    <w:uiPriority w:val="2"/>
    <w:rsid w:val="00756D6D"/>
    <w:rPr>
      <w:rFonts w:ascii="Calibri" w:eastAsiaTheme="majorEastAsia" w:hAnsi="Calibri" w:cstheme="majorBidi"/>
      <w:b/>
      <w:bCs/>
      <w:smallCaps/>
      <w:color w:val="000000" w:themeColor="text1"/>
      <w:kern w:val="0"/>
      <w:sz w:val="32"/>
      <w:szCs w:val="26"/>
      <w:lang w:bidi="en-US"/>
      <w14:ligatures w14:val="none"/>
    </w:rPr>
  </w:style>
  <w:style w:type="paragraph" w:styleId="BodyText">
    <w:name w:val="Body Text"/>
    <w:basedOn w:val="Normal"/>
    <w:link w:val="BodyTextChar"/>
    <w:uiPriority w:val="1"/>
    <w:unhideWhenUsed/>
    <w:rsid w:val="00B3415D"/>
    <w:rPr>
      <w:sz w:val="24"/>
      <w:szCs w:val="24"/>
    </w:rPr>
  </w:style>
  <w:style w:type="character" w:customStyle="1" w:styleId="BodyTextChar">
    <w:name w:val="Body Text Char"/>
    <w:basedOn w:val="DefaultParagraphFont"/>
    <w:link w:val="BodyText"/>
    <w:uiPriority w:val="1"/>
    <w:rsid w:val="001F7386"/>
    <w:rPr>
      <w:rFonts w:eastAsia="Times New Roman" w:cs="Times New Roman"/>
      <w:kern w:val="0"/>
      <w:sz w:val="24"/>
      <w:szCs w:val="24"/>
      <w:lang w:bidi="en-US"/>
      <w14:ligatures w14:val="none"/>
    </w:rPr>
  </w:style>
  <w:style w:type="paragraph" w:styleId="ListParagraph">
    <w:name w:val="List Paragraph"/>
    <w:basedOn w:val="Normal"/>
    <w:link w:val="ListParagraphChar"/>
    <w:uiPriority w:val="34"/>
    <w:unhideWhenUsed/>
    <w:qFormat/>
    <w:rsid w:val="00B3415D"/>
    <w:pPr>
      <w:spacing w:line="274" w:lineRule="exact"/>
      <w:ind w:left="840" w:hanging="360"/>
    </w:pPr>
  </w:style>
  <w:style w:type="character" w:styleId="CommentReference">
    <w:name w:val="annotation reference"/>
    <w:basedOn w:val="DefaultParagraphFont"/>
    <w:uiPriority w:val="99"/>
    <w:unhideWhenUsed/>
    <w:rsid w:val="00B3415D"/>
    <w:rPr>
      <w:sz w:val="16"/>
      <w:szCs w:val="16"/>
    </w:rPr>
  </w:style>
  <w:style w:type="paragraph" w:styleId="CommentText">
    <w:name w:val="annotation text"/>
    <w:basedOn w:val="Normal"/>
    <w:link w:val="CommentTextChar"/>
    <w:uiPriority w:val="99"/>
    <w:unhideWhenUsed/>
    <w:rsid w:val="00B3415D"/>
    <w:rPr>
      <w:sz w:val="20"/>
      <w:szCs w:val="20"/>
    </w:rPr>
  </w:style>
  <w:style w:type="character" w:customStyle="1" w:styleId="CommentTextChar">
    <w:name w:val="Comment Text Char"/>
    <w:basedOn w:val="DefaultParagraphFont"/>
    <w:link w:val="CommentText"/>
    <w:uiPriority w:val="99"/>
    <w:rsid w:val="00B3415D"/>
    <w:rPr>
      <w:rFonts w:eastAsia="Times New Roman" w:cs="Times New Roman"/>
      <w:kern w:val="0"/>
      <w:sz w:val="20"/>
      <w:szCs w:val="20"/>
      <w:lang w:bidi="en-US"/>
      <w14:ligatures w14:val="none"/>
    </w:rPr>
  </w:style>
  <w:style w:type="table" w:styleId="TableGrid">
    <w:name w:val="Table Grid"/>
    <w:basedOn w:val="TableNormal"/>
    <w:uiPriority w:val="39"/>
    <w:rsid w:val="00B3415D"/>
    <w:pPr>
      <w:widowControl w:val="0"/>
      <w:autoSpaceDE w:val="0"/>
      <w:autoSpaceDN w:val="0"/>
      <w:spacing w:after="0" w:line="240" w:lineRule="auto"/>
    </w:pPr>
    <w:rPr>
      <w:kern w:val="0"/>
      <w14:ligatures w14:val="none"/>
    </w:rPr>
    <w:tblPr/>
  </w:style>
  <w:style w:type="paragraph" w:styleId="TOCHeading">
    <w:name w:val="TOC Heading"/>
    <w:basedOn w:val="Heading1"/>
    <w:next w:val="Normal"/>
    <w:uiPriority w:val="39"/>
    <w:unhideWhenUsed/>
    <w:qFormat/>
    <w:rsid w:val="00B3415D"/>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B3415D"/>
    <w:pPr>
      <w:tabs>
        <w:tab w:val="right" w:leader="dot" w:pos="9350"/>
      </w:tabs>
      <w:spacing w:after="100"/>
    </w:pPr>
    <w:rPr>
      <w:rFonts w:cstheme="minorHAnsi"/>
      <w:noProof/>
      <w:sz w:val="24"/>
      <w:szCs w:val="24"/>
    </w:rPr>
  </w:style>
  <w:style w:type="character" w:styleId="Hyperlink">
    <w:name w:val="Hyperlink"/>
    <w:basedOn w:val="DefaultParagraphFont"/>
    <w:uiPriority w:val="99"/>
    <w:unhideWhenUsed/>
    <w:rsid w:val="00B3415D"/>
    <w:rPr>
      <w:color w:val="0563C1" w:themeColor="hyperlink"/>
      <w:u w:val="single"/>
    </w:rPr>
  </w:style>
  <w:style w:type="paragraph" w:styleId="TOC2">
    <w:name w:val="toc 2"/>
    <w:basedOn w:val="Normal"/>
    <w:next w:val="Normal"/>
    <w:autoRedefine/>
    <w:uiPriority w:val="39"/>
    <w:unhideWhenUsed/>
    <w:rsid w:val="00AE458E"/>
    <w:pPr>
      <w:tabs>
        <w:tab w:val="right" w:leader="dot" w:pos="9350"/>
      </w:tabs>
      <w:spacing w:after="100"/>
      <w:ind w:left="360"/>
    </w:pPr>
    <w:rPr>
      <w:rFonts w:cstheme="minorHAnsi"/>
      <w:noProof/>
    </w:rPr>
  </w:style>
  <w:style w:type="paragraph" w:styleId="Footer">
    <w:name w:val="footer"/>
    <w:basedOn w:val="Normal"/>
    <w:link w:val="FooterChar"/>
    <w:uiPriority w:val="99"/>
    <w:unhideWhenUsed/>
    <w:rsid w:val="00B3415D"/>
    <w:pPr>
      <w:tabs>
        <w:tab w:val="center" w:pos="4680"/>
        <w:tab w:val="right" w:pos="9360"/>
      </w:tabs>
    </w:pPr>
  </w:style>
  <w:style w:type="character" w:customStyle="1" w:styleId="FooterChar">
    <w:name w:val="Footer Char"/>
    <w:basedOn w:val="DefaultParagraphFont"/>
    <w:link w:val="Footer"/>
    <w:uiPriority w:val="99"/>
    <w:rsid w:val="00B3415D"/>
    <w:rPr>
      <w:rFonts w:eastAsia="Times New Roman" w:cs="Times New Roman"/>
      <w:kern w:val="0"/>
      <w:lang w:bidi="en-US"/>
      <w14:ligatures w14:val="none"/>
    </w:rPr>
  </w:style>
  <w:style w:type="character" w:customStyle="1" w:styleId="ListParagraphChar">
    <w:name w:val="List Paragraph Char"/>
    <w:basedOn w:val="DefaultParagraphFont"/>
    <w:link w:val="ListParagraph"/>
    <w:uiPriority w:val="34"/>
    <w:rsid w:val="00873418"/>
    <w:rPr>
      <w:rFonts w:eastAsia="Times New Roman" w:cs="Times New Roman"/>
      <w:kern w:val="0"/>
      <w:lang w:bidi="en-US"/>
      <w14:ligatures w14:val="none"/>
    </w:rPr>
  </w:style>
  <w:style w:type="character" w:customStyle="1" w:styleId="normaltextrun">
    <w:name w:val="normaltextrun"/>
    <w:basedOn w:val="DefaultParagraphFont"/>
    <w:unhideWhenUsed/>
    <w:rsid w:val="00F027F3"/>
  </w:style>
  <w:style w:type="paragraph" w:customStyle="1" w:styleId="paragraph">
    <w:name w:val="paragraph"/>
    <w:basedOn w:val="Normal"/>
    <w:unhideWhenUsed/>
    <w:rsid w:val="009204FD"/>
    <w:pPr>
      <w:widowControl/>
      <w:autoSpaceDE/>
      <w:autoSpaceDN/>
      <w:spacing w:before="100" w:beforeAutospacing="1" w:after="100" w:afterAutospacing="1"/>
    </w:pPr>
    <w:rPr>
      <w:rFonts w:ascii="Times New Roman" w:hAnsi="Times New Roman"/>
      <w:sz w:val="24"/>
      <w:szCs w:val="24"/>
      <w:lang w:bidi="ar-SA"/>
    </w:rPr>
  </w:style>
  <w:style w:type="character" w:customStyle="1" w:styleId="eop">
    <w:name w:val="eop"/>
    <w:basedOn w:val="DefaultParagraphFont"/>
    <w:rsid w:val="009204FD"/>
  </w:style>
  <w:style w:type="character" w:customStyle="1" w:styleId="superscript">
    <w:name w:val="superscript"/>
    <w:basedOn w:val="DefaultParagraphFont"/>
    <w:unhideWhenUsed/>
    <w:rsid w:val="00211D2B"/>
  </w:style>
  <w:style w:type="paragraph" w:styleId="Header">
    <w:name w:val="header"/>
    <w:basedOn w:val="Normal"/>
    <w:link w:val="HeaderChar"/>
    <w:uiPriority w:val="99"/>
    <w:unhideWhenUsed/>
    <w:rsid w:val="00175D7E"/>
    <w:pPr>
      <w:tabs>
        <w:tab w:val="center" w:pos="4680"/>
        <w:tab w:val="right" w:pos="9360"/>
      </w:tabs>
    </w:pPr>
  </w:style>
  <w:style w:type="character" w:customStyle="1" w:styleId="HeaderChar">
    <w:name w:val="Header Char"/>
    <w:basedOn w:val="DefaultParagraphFont"/>
    <w:link w:val="Header"/>
    <w:uiPriority w:val="99"/>
    <w:rsid w:val="00175D7E"/>
    <w:rPr>
      <w:rFonts w:eastAsia="Times New Roman" w:cs="Times New Roman"/>
      <w:kern w:val="0"/>
      <w:lang w:bidi="en-US"/>
      <w14:ligatures w14:val="none"/>
    </w:rPr>
  </w:style>
  <w:style w:type="character" w:customStyle="1" w:styleId="Heading3Char">
    <w:name w:val="Heading 3 Char"/>
    <w:basedOn w:val="DefaultParagraphFont"/>
    <w:link w:val="Heading3"/>
    <w:uiPriority w:val="3"/>
    <w:rsid w:val="00756D6D"/>
    <w:rPr>
      <w:rFonts w:ascii="Calibri" w:eastAsiaTheme="majorEastAsia" w:hAnsi="Calibri" w:cstheme="majorBidi"/>
      <w:b/>
      <w:bCs/>
      <w:color w:val="000000" w:themeColor="text1"/>
      <w:kern w:val="0"/>
      <w:sz w:val="28"/>
      <w:szCs w:val="24"/>
      <w:lang w:bidi="en-US"/>
      <w14:ligatures w14:val="none"/>
    </w:rPr>
  </w:style>
  <w:style w:type="paragraph" w:styleId="Title">
    <w:name w:val="Title"/>
    <w:basedOn w:val="Normal"/>
    <w:next w:val="Normal"/>
    <w:link w:val="TitleChar"/>
    <w:uiPriority w:val="7"/>
    <w:qFormat/>
    <w:rsid w:val="000F1937"/>
    <w:pPr>
      <w:contextualSpacing/>
      <w:jc w:val="center"/>
    </w:pPr>
    <w:rPr>
      <w:rFonts w:ascii="Georgia" w:eastAsiaTheme="majorEastAsia" w:hAnsi="Georgia" w:cstheme="majorBidi"/>
      <w:b/>
      <w:color w:val="004A97"/>
      <w:spacing w:val="-10"/>
      <w:kern w:val="28"/>
      <w:sz w:val="40"/>
      <w:szCs w:val="56"/>
    </w:rPr>
  </w:style>
  <w:style w:type="character" w:customStyle="1" w:styleId="TitleChar">
    <w:name w:val="Title Char"/>
    <w:basedOn w:val="DefaultParagraphFont"/>
    <w:link w:val="Title"/>
    <w:uiPriority w:val="7"/>
    <w:rsid w:val="00873418"/>
    <w:rPr>
      <w:rFonts w:ascii="Georgia" w:eastAsiaTheme="majorEastAsia" w:hAnsi="Georgia" w:cstheme="majorBidi"/>
      <w:b/>
      <w:color w:val="004A97"/>
      <w:spacing w:val="-10"/>
      <w:kern w:val="28"/>
      <w:sz w:val="40"/>
      <w:szCs w:val="56"/>
      <w:lang w:bidi="en-US"/>
      <w14:ligatures w14:val="none"/>
    </w:rPr>
  </w:style>
  <w:style w:type="paragraph" w:styleId="TOC3">
    <w:name w:val="toc 3"/>
    <w:basedOn w:val="Normal"/>
    <w:next w:val="Normal"/>
    <w:autoRedefine/>
    <w:uiPriority w:val="39"/>
    <w:unhideWhenUsed/>
    <w:rsid w:val="00AE458E"/>
    <w:pPr>
      <w:tabs>
        <w:tab w:val="left" w:pos="1350"/>
        <w:tab w:val="right" w:leader="dot" w:pos="9350"/>
      </w:tabs>
      <w:spacing w:after="100"/>
      <w:ind w:left="446"/>
    </w:pPr>
  </w:style>
  <w:style w:type="character" w:customStyle="1" w:styleId="Heading4Char">
    <w:name w:val="Heading 4 Char"/>
    <w:aliases w:val="Figure and Table Caption Char"/>
    <w:basedOn w:val="DefaultParagraphFont"/>
    <w:link w:val="Heading4"/>
    <w:uiPriority w:val="4"/>
    <w:rsid w:val="00873418"/>
    <w:rPr>
      <w:rFonts w:eastAsiaTheme="majorEastAsia" w:cstheme="majorBidi"/>
      <w:b/>
      <w:iCs/>
      <w:kern w:val="0"/>
      <w:lang w:bidi="en-US"/>
      <w14:ligatures w14:val="none"/>
    </w:rPr>
  </w:style>
  <w:style w:type="paragraph" w:styleId="Caption">
    <w:name w:val="caption"/>
    <w:basedOn w:val="Normal"/>
    <w:next w:val="Normal"/>
    <w:uiPriority w:val="6"/>
    <w:qFormat/>
    <w:rsid w:val="001F7386"/>
    <w:pPr>
      <w:spacing w:after="200"/>
    </w:pPr>
    <w:rPr>
      <w:b/>
      <w:iCs/>
      <w:szCs w:val="18"/>
    </w:rPr>
  </w:style>
  <w:style w:type="paragraph" w:styleId="CommentSubject">
    <w:name w:val="annotation subject"/>
    <w:basedOn w:val="CommentText"/>
    <w:next w:val="CommentText"/>
    <w:link w:val="CommentSubjectChar"/>
    <w:uiPriority w:val="99"/>
    <w:semiHidden/>
    <w:unhideWhenUsed/>
    <w:rsid w:val="002B5973"/>
    <w:rPr>
      <w:b/>
      <w:bCs/>
    </w:rPr>
  </w:style>
  <w:style w:type="character" w:customStyle="1" w:styleId="CommentSubjectChar">
    <w:name w:val="Comment Subject Char"/>
    <w:basedOn w:val="CommentTextChar"/>
    <w:link w:val="CommentSubject"/>
    <w:uiPriority w:val="99"/>
    <w:semiHidden/>
    <w:rsid w:val="002B5973"/>
    <w:rPr>
      <w:rFonts w:eastAsia="Times New Roman" w:cs="Times New Roman"/>
      <w:b/>
      <w:bCs/>
      <w:kern w:val="0"/>
      <w:sz w:val="20"/>
      <w:szCs w:val="20"/>
      <w:lang w:bidi="en-US"/>
      <w14:ligatures w14:val="none"/>
    </w:rPr>
  </w:style>
  <w:style w:type="character" w:styleId="UnresolvedMention">
    <w:name w:val="Unresolved Mention"/>
    <w:basedOn w:val="DefaultParagraphFont"/>
    <w:uiPriority w:val="99"/>
    <w:semiHidden/>
    <w:unhideWhenUsed/>
    <w:rsid w:val="002B5973"/>
    <w:rPr>
      <w:color w:val="605E5C"/>
      <w:shd w:val="clear" w:color="auto" w:fill="E1DFDD"/>
    </w:rPr>
  </w:style>
  <w:style w:type="character" w:customStyle="1" w:styleId="Heading5Char">
    <w:name w:val="Heading 5 Char"/>
    <w:basedOn w:val="DefaultParagraphFont"/>
    <w:link w:val="Heading5"/>
    <w:uiPriority w:val="5"/>
    <w:rsid w:val="0027732C"/>
    <w:rPr>
      <w:rFonts w:asciiTheme="majorHAnsi" w:eastAsiaTheme="majorEastAsia" w:hAnsiTheme="majorHAnsi" w:cstheme="majorBidi"/>
      <w:color w:val="000000" w:themeColor="text1"/>
      <w:kern w:val="0"/>
      <w:lang w:bidi="en-US"/>
      <w14:ligatures w14:val="none"/>
    </w:rPr>
  </w:style>
  <w:style w:type="paragraph" w:styleId="Revision">
    <w:name w:val="Revision"/>
    <w:hidden/>
    <w:uiPriority w:val="99"/>
    <w:semiHidden/>
    <w:rsid w:val="001D3F15"/>
    <w:pPr>
      <w:spacing w:after="0" w:line="240" w:lineRule="auto"/>
    </w:pPr>
    <w:rPr>
      <w:rFonts w:eastAsia="Times New Roman" w:cs="Times New Roman"/>
      <w:kern w:val="0"/>
      <w:lang w:bidi="en-US"/>
      <w14:ligatures w14:val="none"/>
    </w:rPr>
  </w:style>
  <w:style w:type="character" w:customStyle="1" w:styleId="cf01">
    <w:name w:val="cf01"/>
    <w:basedOn w:val="DefaultParagraphFont"/>
    <w:rsid w:val="00B67EE5"/>
    <w:rPr>
      <w:rFonts w:ascii="Segoe UI" w:hAnsi="Segoe UI" w:cs="Segoe UI" w:hint="default"/>
      <w:sz w:val="18"/>
      <w:szCs w:val="18"/>
    </w:rPr>
  </w:style>
  <w:style w:type="character" w:customStyle="1" w:styleId="cf11">
    <w:name w:val="cf11"/>
    <w:basedOn w:val="DefaultParagraphFont"/>
    <w:rsid w:val="00B67EE5"/>
    <w:rPr>
      <w:rFonts w:ascii="Segoe UI" w:hAnsi="Segoe UI" w:cs="Segoe UI" w:hint="default"/>
      <w:sz w:val="18"/>
      <w:szCs w:val="18"/>
    </w:rPr>
  </w:style>
  <w:style w:type="character" w:styleId="Mention">
    <w:name w:val="Mention"/>
    <w:basedOn w:val="DefaultParagraphFont"/>
    <w:uiPriority w:val="99"/>
    <w:unhideWhenUsed/>
    <w:rsid w:val="00DB1A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49976">
      <w:bodyDiv w:val="1"/>
      <w:marLeft w:val="0"/>
      <w:marRight w:val="0"/>
      <w:marTop w:val="0"/>
      <w:marBottom w:val="0"/>
      <w:divBdr>
        <w:top w:val="none" w:sz="0" w:space="0" w:color="auto"/>
        <w:left w:val="none" w:sz="0" w:space="0" w:color="auto"/>
        <w:bottom w:val="none" w:sz="0" w:space="0" w:color="auto"/>
        <w:right w:val="none" w:sz="0" w:space="0" w:color="auto"/>
      </w:divBdr>
      <w:divsChild>
        <w:div w:id="233004931">
          <w:marLeft w:val="0"/>
          <w:marRight w:val="0"/>
          <w:marTop w:val="0"/>
          <w:marBottom w:val="0"/>
          <w:divBdr>
            <w:top w:val="none" w:sz="0" w:space="0" w:color="auto"/>
            <w:left w:val="none" w:sz="0" w:space="0" w:color="auto"/>
            <w:bottom w:val="none" w:sz="0" w:space="0" w:color="auto"/>
            <w:right w:val="none" w:sz="0" w:space="0" w:color="auto"/>
          </w:divBdr>
        </w:div>
        <w:div w:id="252248447">
          <w:marLeft w:val="0"/>
          <w:marRight w:val="0"/>
          <w:marTop w:val="0"/>
          <w:marBottom w:val="0"/>
          <w:divBdr>
            <w:top w:val="none" w:sz="0" w:space="0" w:color="auto"/>
            <w:left w:val="none" w:sz="0" w:space="0" w:color="auto"/>
            <w:bottom w:val="none" w:sz="0" w:space="0" w:color="auto"/>
            <w:right w:val="none" w:sz="0" w:space="0" w:color="auto"/>
          </w:divBdr>
        </w:div>
        <w:div w:id="599990104">
          <w:marLeft w:val="0"/>
          <w:marRight w:val="0"/>
          <w:marTop w:val="0"/>
          <w:marBottom w:val="0"/>
          <w:divBdr>
            <w:top w:val="none" w:sz="0" w:space="0" w:color="auto"/>
            <w:left w:val="none" w:sz="0" w:space="0" w:color="auto"/>
            <w:bottom w:val="none" w:sz="0" w:space="0" w:color="auto"/>
            <w:right w:val="none" w:sz="0" w:space="0" w:color="auto"/>
          </w:divBdr>
        </w:div>
        <w:div w:id="691418554">
          <w:marLeft w:val="0"/>
          <w:marRight w:val="0"/>
          <w:marTop w:val="0"/>
          <w:marBottom w:val="0"/>
          <w:divBdr>
            <w:top w:val="none" w:sz="0" w:space="0" w:color="auto"/>
            <w:left w:val="none" w:sz="0" w:space="0" w:color="auto"/>
            <w:bottom w:val="none" w:sz="0" w:space="0" w:color="auto"/>
            <w:right w:val="none" w:sz="0" w:space="0" w:color="auto"/>
          </w:divBdr>
        </w:div>
        <w:div w:id="1056050116">
          <w:marLeft w:val="0"/>
          <w:marRight w:val="0"/>
          <w:marTop w:val="0"/>
          <w:marBottom w:val="0"/>
          <w:divBdr>
            <w:top w:val="none" w:sz="0" w:space="0" w:color="auto"/>
            <w:left w:val="none" w:sz="0" w:space="0" w:color="auto"/>
            <w:bottom w:val="none" w:sz="0" w:space="0" w:color="auto"/>
            <w:right w:val="none" w:sz="0" w:space="0" w:color="auto"/>
          </w:divBdr>
        </w:div>
        <w:div w:id="1150172925">
          <w:marLeft w:val="0"/>
          <w:marRight w:val="0"/>
          <w:marTop w:val="0"/>
          <w:marBottom w:val="0"/>
          <w:divBdr>
            <w:top w:val="none" w:sz="0" w:space="0" w:color="auto"/>
            <w:left w:val="none" w:sz="0" w:space="0" w:color="auto"/>
            <w:bottom w:val="none" w:sz="0" w:space="0" w:color="auto"/>
            <w:right w:val="none" w:sz="0" w:space="0" w:color="auto"/>
          </w:divBdr>
        </w:div>
        <w:div w:id="1205210728">
          <w:marLeft w:val="0"/>
          <w:marRight w:val="0"/>
          <w:marTop w:val="0"/>
          <w:marBottom w:val="0"/>
          <w:divBdr>
            <w:top w:val="none" w:sz="0" w:space="0" w:color="auto"/>
            <w:left w:val="none" w:sz="0" w:space="0" w:color="auto"/>
            <w:bottom w:val="none" w:sz="0" w:space="0" w:color="auto"/>
            <w:right w:val="none" w:sz="0" w:space="0" w:color="auto"/>
          </w:divBdr>
        </w:div>
        <w:div w:id="1623803253">
          <w:marLeft w:val="0"/>
          <w:marRight w:val="0"/>
          <w:marTop w:val="0"/>
          <w:marBottom w:val="0"/>
          <w:divBdr>
            <w:top w:val="none" w:sz="0" w:space="0" w:color="auto"/>
            <w:left w:val="none" w:sz="0" w:space="0" w:color="auto"/>
            <w:bottom w:val="none" w:sz="0" w:space="0" w:color="auto"/>
            <w:right w:val="none" w:sz="0" w:space="0" w:color="auto"/>
          </w:divBdr>
        </w:div>
        <w:div w:id="1697459400">
          <w:marLeft w:val="0"/>
          <w:marRight w:val="0"/>
          <w:marTop w:val="0"/>
          <w:marBottom w:val="0"/>
          <w:divBdr>
            <w:top w:val="none" w:sz="0" w:space="0" w:color="auto"/>
            <w:left w:val="none" w:sz="0" w:space="0" w:color="auto"/>
            <w:bottom w:val="none" w:sz="0" w:space="0" w:color="auto"/>
            <w:right w:val="none" w:sz="0" w:space="0" w:color="auto"/>
          </w:divBdr>
        </w:div>
        <w:div w:id="1934119029">
          <w:marLeft w:val="0"/>
          <w:marRight w:val="0"/>
          <w:marTop w:val="0"/>
          <w:marBottom w:val="0"/>
          <w:divBdr>
            <w:top w:val="none" w:sz="0" w:space="0" w:color="auto"/>
            <w:left w:val="none" w:sz="0" w:space="0" w:color="auto"/>
            <w:bottom w:val="none" w:sz="0" w:space="0" w:color="auto"/>
            <w:right w:val="none" w:sz="0" w:space="0" w:color="auto"/>
          </w:divBdr>
        </w:div>
      </w:divsChild>
    </w:div>
    <w:div w:id="842282173">
      <w:bodyDiv w:val="1"/>
      <w:marLeft w:val="0"/>
      <w:marRight w:val="0"/>
      <w:marTop w:val="0"/>
      <w:marBottom w:val="0"/>
      <w:divBdr>
        <w:top w:val="none" w:sz="0" w:space="0" w:color="auto"/>
        <w:left w:val="none" w:sz="0" w:space="0" w:color="auto"/>
        <w:bottom w:val="none" w:sz="0" w:space="0" w:color="auto"/>
        <w:right w:val="none" w:sz="0" w:space="0" w:color="auto"/>
      </w:divBdr>
      <w:divsChild>
        <w:div w:id="93207347">
          <w:marLeft w:val="0"/>
          <w:marRight w:val="0"/>
          <w:marTop w:val="0"/>
          <w:marBottom w:val="0"/>
          <w:divBdr>
            <w:top w:val="none" w:sz="0" w:space="0" w:color="auto"/>
            <w:left w:val="none" w:sz="0" w:space="0" w:color="auto"/>
            <w:bottom w:val="none" w:sz="0" w:space="0" w:color="auto"/>
            <w:right w:val="none" w:sz="0" w:space="0" w:color="auto"/>
          </w:divBdr>
          <w:divsChild>
            <w:div w:id="2017800602">
              <w:marLeft w:val="0"/>
              <w:marRight w:val="0"/>
              <w:marTop w:val="0"/>
              <w:marBottom w:val="0"/>
              <w:divBdr>
                <w:top w:val="none" w:sz="0" w:space="0" w:color="auto"/>
                <w:left w:val="none" w:sz="0" w:space="0" w:color="auto"/>
                <w:bottom w:val="none" w:sz="0" w:space="0" w:color="auto"/>
                <w:right w:val="none" w:sz="0" w:space="0" w:color="auto"/>
              </w:divBdr>
            </w:div>
          </w:divsChild>
        </w:div>
        <w:div w:id="167253048">
          <w:marLeft w:val="0"/>
          <w:marRight w:val="0"/>
          <w:marTop w:val="0"/>
          <w:marBottom w:val="0"/>
          <w:divBdr>
            <w:top w:val="none" w:sz="0" w:space="0" w:color="auto"/>
            <w:left w:val="none" w:sz="0" w:space="0" w:color="auto"/>
            <w:bottom w:val="none" w:sz="0" w:space="0" w:color="auto"/>
            <w:right w:val="none" w:sz="0" w:space="0" w:color="auto"/>
          </w:divBdr>
          <w:divsChild>
            <w:div w:id="1209879274">
              <w:marLeft w:val="0"/>
              <w:marRight w:val="0"/>
              <w:marTop w:val="0"/>
              <w:marBottom w:val="0"/>
              <w:divBdr>
                <w:top w:val="none" w:sz="0" w:space="0" w:color="auto"/>
                <w:left w:val="none" w:sz="0" w:space="0" w:color="auto"/>
                <w:bottom w:val="none" w:sz="0" w:space="0" w:color="auto"/>
                <w:right w:val="none" w:sz="0" w:space="0" w:color="auto"/>
              </w:divBdr>
            </w:div>
          </w:divsChild>
        </w:div>
        <w:div w:id="251201482">
          <w:marLeft w:val="0"/>
          <w:marRight w:val="0"/>
          <w:marTop w:val="0"/>
          <w:marBottom w:val="0"/>
          <w:divBdr>
            <w:top w:val="none" w:sz="0" w:space="0" w:color="auto"/>
            <w:left w:val="none" w:sz="0" w:space="0" w:color="auto"/>
            <w:bottom w:val="none" w:sz="0" w:space="0" w:color="auto"/>
            <w:right w:val="none" w:sz="0" w:space="0" w:color="auto"/>
          </w:divBdr>
          <w:divsChild>
            <w:div w:id="346718188">
              <w:marLeft w:val="0"/>
              <w:marRight w:val="0"/>
              <w:marTop w:val="0"/>
              <w:marBottom w:val="0"/>
              <w:divBdr>
                <w:top w:val="none" w:sz="0" w:space="0" w:color="auto"/>
                <w:left w:val="none" w:sz="0" w:space="0" w:color="auto"/>
                <w:bottom w:val="none" w:sz="0" w:space="0" w:color="auto"/>
                <w:right w:val="none" w:sz="0" w:space="0" w:color="auto"/>
              </w:divBdr>
            </w:div>
            <w:div w:id="876696699">
              <w:marLeft w:val="0"/>
              <w:marRight w:val="0"/>
              <w:marTop w:val="0"/>
              <w:marBottom w:val="0"/>
              <w:divBdr>
                <w:top w:val="none" w:sz="0" w:space="0" w:color="auto"/>
                <w:left w:val="none" w:sz="0" w:space="0" w:color="auto"/>
                <w:bottom w:val="none" w:sz="0" w:space="0" w:color="auto"/>
                <w:right w:val="none" w:sz="0" w:space="0" w:color="auto"/>
              </w:divBdr>
            </w:div>
          </w:divsChild>
        </w:div>
        <w:div w:id="281420374">
          <w:marLeft w:val="0"/>
          <w:marRight w:val="0"/>
          <w:marTop w:val="0"/>
          <w:marBottom w:val="0"/>
          <w:divBdr>
            <w:top w:val="none" w:sz="0" w:space="0" w:color="auto"/>
            <w:left w:val="none" w:sz="0" w:space="0" w:color="auto"/>
            <w:bottom w:val="none" w:sz="0" w:space="0" w:color="auto"/>
            <w:right w:val="none" w:sz="0" w:space="0" w:color="auto"/>
          </w:divBdr>
          <w:divsChild>
            <w:div w:id="1567766726">
              <w:marLeft w:val="0"/>
              <w:marRight w:val="0"/>
              <w:marTop w:val="0"/>
              <w:marBottom w:val="0"/>
              <w:divBdr>
                <w:top w:val="none" w:sz="0" w:space="0" w:color="auto"/>
                <w:left w:val="none" w:sz="0" w:space="0" w:color="auto"/>
                <w:bottom w:val="none" w:sz="0" w:space="0" w:color="auto"/>
                <w:right w:val="none" w:sz="0" w:space="0" w:color="auto"/>
              </w:divBdr>
            </w:div>
          </w:divsChild>
        </w:div>
        <w:div w:id="389578324">
          <w:marLeft w:val="0"/>
          <w:marRight w:val="0"/>
          <w:marTop w:val="0"/>
          <w:marBottom w:val="0"/>
          <w:divBdr>
            <w:top w:val="none" w:sz="0" w:space="0" w:color="auto"/>
            <w:left w:val="none" w:sz="0" w:space="0" w:color="auto"/>
            <w:bottom w:val="none" w:sz="0" w:space="0" w:color="auto"/>
            <w:right w:val="none" w:sz="0" w:space="0" w:color="auto"/>
          </w:divBdr>
          <w:divsChild>
            <w:div w:id="1095633951">
              <w:marLeft w:val="0"/>
              <w:marRight w:val="0"/>
              <w:marTop w:val="0"/>
              <w:marBottom w:val="0"/>
              <w:divBdr>
                <w:top w:val="none" w:sz="0" w:space="0" w:color="auto"/>
                <w:left w:val="none" w:sz="0" w:space="0" w:color="auto"/>
                <w:bottom w:val="none" w:sz="0" w:space="0" w:color="auto"/>
                <w:right w:val="none" w:sz="0" w:space="0" w:color="auto"/>
              </w:divBdr>
            </w:div>
          </w:divsChild>
        </w:div>
        <w:div w:id="414475395">
          <w:marLeft w:val="0"/>
          <w:marRight w:val="0"/>
          <w:marTop w:val="0"/>
          <w:marBottom w:val="0"/>
          <w:divBdr>
            <w:top w:val="none" w:sz="0" w:space="0" w:color="auto"/>
            <w:left w:val="none" w:sz="0" w:space="0" w:color="auto"/>
            <w:bottom w:val="none" w:sz="0" w:space="0" w:color="auto"/>
            <w:right w:val="none" w:sz="0" w:space="0" w:color="auto"/>
          </w:divBdr>
          <w:divsChild>
            <w:div w:id="1308319758">
              <w:marLeft w:val="0"/>
              <w:marRight w:val="0"/>
              <w:marTop w:val="0"/>
              <w:marBottom w:val="0"/>
              <w:divBdr>
                <w:top w:val="none" w:sz="0" w:space="0" w:color="auto"/>
                <w:left w:val="none" w:sz="0" w:space="0" w:color="auto"/>
                <w:bottom w:val="none" w:sz="0" w:space="0" w:color="auto"/>
                <w:right w:val="none" w:sz="0" w:space="0" w:color="auto"/>
              </w:divBdr>
            </w:div>
          </w:divsChild>
        </w:div>
        <w:div w:id="468016335">
          <w:marLeft w:val="0"/>
          <w:marRight w:val="0"/>
          <w:marTop w:val="0"/>
          <w:marBottom w:val="0"/>
          <w:divBdr>
            <w:top w:val="none" w:sz="0" w:space="0" w:color="auto"/>
            <w:left w:val="none" w:sz="0" w:space="0" w:color="auto"/>
            <w:bottom w:val="none" w:sz="0" w:space="0" w:color="auto"/>
            <w:right w:val="none" w:sz="0" w:space="0" w:color="auto"/>
          </w:divBdr>
          <w:divsChild>
            <w:div w:id="1960991087">
              <w:marLeft w:val="0"/>
              <w:marRight w:val="0"/>
              <w:marTop w:val="0"/>
              <w:marBottom w:val="0"/>
              <w:divBdr>
                <w:top w:val="none" w:sz="0" w:space="0" w:color="auto"/>
                <w:left w:val="none" w:sz="0" w:space="0" w:color="auto"/>
                <w:bottom w:val="none" w:sz="0" w:space="0" w:color="auto"/>
                <w:right w:val="none" w:sz="0" w:space="0" w:color="auto"/>
              </w:divBdr>
            </w:div>
          </w:divsChild>
        </w:div>
        <w:div w:id="469782411">
          <w:marLeft w:val="0"/>
          <w:marRight w:val="0"/>
          <w:marTop w:val="0"/>
          <w:marBottom w:val="0"/>
          <w:divBdr>
            <w:top w:val="none" w:sz="0" w:space="0" w:color="auto"/>
            <w:left w:val="none" w:sz="0" w:space="0" w:color="auto"/>
            <w:bottom w:val="none" w:sz="0" w:space="0" w:color="auto"/>
            <w:right w:val="none" w:sz="0" w:space="0" w:color="auto"/>
          </w:divBdr>
          <w:divsChild>
            <w:div w:id="728698101">
              <w:marLeft w:val="0"/>
              <w:marRight w:val="0"/>
              <w:marTop w:val="0"/>
              <w:marBottom w:val="0"/>
              <w:divBdr>
                <w:top w:val="none" w:sz="0" w:space="0" w:color="auto"/>
                <w:left w:val="none" w:sz="0" w:space="0" w:color="auto"/>
                <w:bottom w:val="none" w:sz="0" w:space="0" w:color="auto"/>
                <w:right w:val="none" w:sz="0" w:space="0" w:color="auto"/>
              </w:divBdr>
            </w:div>
          </w:divsChild>
        </w:div>
        <w:div w:id="519469694">
          <w:marLeft w:val="0"/>
          <w:marRight w:val="0"/>
          <w:marTop w:val="0"/>
          <w:marBottom w:val="0"/>
          <w:divBdr>
            <w:top w:val="none" w:sz="0" w:space="0" w:color="auto"/>
            <w:left w:val="none" w:sz="0" w:space="0" w:color="auto"/>
            <w:bottom w:val="none" w:sz="0" w:space="0" w:color="auto"/>
            <w:right w:val="none" w:sz="0" w:space="0" w:color="auto"/>
          </w:divBdr>
          <w:divsChild>
            <w:div w:id="385572174">
              <w:marLeft w:val="0"/>
              <w:marRight w:val="0"/>
              <w:marTop w:val="0"/>
              <w:marBottom w:val="0"/>
              <w:divBdr>
                <w:top w:val="none" w:sz="0" w:space="0" w:color="auto"/>
                <w:left w:val="none" w:sz="0" w:space="0" w:color="auto"/>
                <w:bottom w:val="none" w:sz="0" w:space="0" w:color="auto"/>
                <w:right w:val="none" w:sz="0" w:space="0" w:color="auto"/>
              </w:divBdr>
            </w:div>
          </w:divsChild>
        </w:div>
        <w:div w:id="524251773">
          <w:marLeft w:val="0"/>
          <w:marRight w:val="0"/>
          <w:marTop w:val="0"/>
          <w:marBottom w:val="0"/>
          <w:divBdr>
            <w:top w:val="none" w:sz="0" w:space="0" w:color="auto"/>
            <w:left w:val="none" w:sz="0" w:space="0" w:color="auto"/>
            <w:bottom w:val="none" w:sz="0" w:space="0" w:color="auto"/>
            <w:right w:val="none" w:sz="0" w:space="0" w:color="auto"/>
          </w:divBdr>
          <w:divsChild>
            <w:div w:id="1174417882">
              <w:marLeft w:val="0"/>
              <w:marRight w:val="0"/>
              <w:marTop w:val="0"/>
              <w:marBottom w:val="0"/>
              <w:divBdr>
                <w:top w:val="none" w:sz="0" w:space="0" w:color="auto"/>
                <w:left w:val="none" w:sz="0" w:space="0" w:color="auto"/>
                <w:bottom w:val="none" w:sz="0" w:space="0" w:color="auto"/>
                <w:right w:val="none" w:sz="0" w:space="0" w:color="auto"/>
              </w:divBdr>
            </w:div>
            <w:div w:id="1623070827">
              <w:marLeft w:val="0"/>
              <w:marRight w:val="0"/>
              <w:marTop w:val="0"/>
              <w:marBottom w:val="0"/>
              <w:divBdr>
                <w:top w:val="none" w:sz="0" w:space="0" w:color="auto"/>
                <w:left w:val="none" w:sz="0" w:space="0" w:color="auto"/>
                <w:bottom w:val="none" w:sz="0" w:space="0" w:color="auto"/>
                <w:right w:val="none" w:sz="0" w:space="0" w:color="auto"/>
              </w:divBdr>
            </w:div>
          </w:divsChild>
        </w:div>
        <w:div w:id="728924127">
          <w:marLeft w:val="0"/>
          <w:marRight w:val="0"/>
          <w:marTop w:val="0"/>
          <w:marBottom w:val="0"/>
          <w:divBdr>
            <w:top w:val="none" w:sz="0" w:space="0" w:color="auto"/>
            <w:left w:val="none" w:sz="0" w:space="0" w:color="auto"/>
            <w:bottom w:val="none" w:sz="0" w:space="0" w:color="auto"/>
            <w:right w:val="none" w:sz="0" w:space="0" w:color="auto"/>
          </w:divBdr>
          <w:divsChild>
            <w:div w:id="1963999925">
              <w:marLeft w:val="0"/>
              <w:marRight w:val="0"/>
              <w:marTop w:val="0"/>
              <w:marBottom w:val="0"/>
              <w:divBdr>
                <w:top w:val="none" w:sz="0" w:space="0" w:color="auto"/>
                <w:left w:val="none" w:sz="0" w:space="0" w:color="auto"/>
                <w:bottom w:val="none" w:sz="0" w:space="0" w:color="auto"/>
                <w:right w:val="none" w:sz="0" w:space="0" w:color="auto"/>
              </w:divBdr>
            </w:div>
          </w:divsChild>
        </w:div>
        <w:div w:id="754939329">
          <w:marLeft w:val="0"/>
          <w:marRight w:val="0"/>
          <w:marTop w:val="0"/>
          <w:marBottom w:val="0"/>
          <w:divBdr>
            <w:top w:val="none" w:sz="0" w:space="0" w:color="auto"/>
            <w:left w:val="none" w:sz="0" w:space="0" w:color="auto"/>
            <w:bottom w:val="none" w:sz="0" w:space="0" w:color="auto"/>
            <w:right w:val="none" w:sz="0" w:space="0" w:color="auto"/>
          </w:divBdr>
          <w:divsChild>
            <w:div w:id="1109278659">
              <w:marLeft w:val="0"/>
              <w:marRight w:val="0"/>
              <w:marTop w:val="0"/>
              <w:marBottom w:val="0"/>
              <w:divBdr>
                <w:top w:val="none" w:sz="0" w:space="0" w:color="auto"/>
                <w:left w:val="none" w:sz="0" w:space="0" w:color="auto"/>
                <w:bottom w:val="none" w:sz="0" w:space="0" w:color="auto"/>
                <w:right w:val="none" w:sz="0" w:space="0" w:color="auto"/>
              </w:divBdr>
            </w:div>
          </w:divsChild>
        </w:div>
        <w:div w:id="883563556">
          <w:marLeft w:val="0"/>
          <w:marRight w:val="0"/>
          <w:marTop w:val="0"/>
          <w:marBottom w:val="0"/>
          <w:divBdr>
            <w:top w:val="none" w:sz="0" w:space="0" w:color="auto"/>
            <w:left w:val="none" w:sz="0" w:space="0" w:color="auto"/>
            <w:bottom w:val="none" w:sz="0" w:space="0" w:color="auto"/>
            <w:right w:val="none" w:sz="0" w:space="0" w:color="auto"/>
          </w:divBdr>
          <w:divsChild>
            <w:div w:id="1776365095">
              <w:marLeft w:val="0"/>
              <w:marRight w:val="0"/>
              <w:marTop w:val="0"/>
              <w:marBottom w:val="0"/>
              <w:divBdr>
                <w:top w:val="none" w:sz="0" w:space="0" w:color="auto"/>
                <w:left w:val="none" w:sz="0" w:space="0" w:color="auto"/>
                <w:bottom w:val="none" w:sz="0" w:space="0" w:color="auto"/>
                <w:right w:val="none" w:sz="0" w:space="0" w:color="auto"/>
              </w:divBdr>
            </w:div>
          </w:divsChild>
        </w:div>
        <w:div w:id="947391160">
          <w:marLeft w:val="0"/>
          <w:marRight w:val="0"/>
          <w:marTop w:val="0"/>
          <w:marBottom w:val="0"/>
          <w:divBdr>
            <w:top w:val="none" w:sz="0" w:space="0" w:color="auto"/>
            <w:left w:val="none" w:sz="0" w:space="0" w:color="auto"/>
            <w:bottom w:val="none" w:sz="0" w:space="0" w:color="auto"/>
            <w:right w:val="none" w:sz="0" w:space="0" w:color="auto"/>
          </w:divBdr>
          <w:divsChild>
            <w:div w:id="840900104">
              <w:marLeft w:val="0"/>
              <w:marRight w:val="0"/>
              <w:marTop w:val="0"/>
              <w:marBottom w:val="0"/>
              <w:divBdr>
                <w:top w:val="none" w:sz="0" w:space="0" w:color="auto"/>
                <w:left w:val="none" w:sz="0" w:space="0" w:color="auto"/>
                <w:bottom w:val="none" w:sz="0" w:space="0" w:color="auto"/>
                <w:right w:val="none" w:sz="0" w:space="0" w:color="auto"/>
              </w:divBdr>
            </w:div>
          </w:divsChild>
        </w:div>
        <w:div w:id="1009600156">
          <w:marLeft w:val="0"/>
          <w:marRight w:val="0"/>
          <w:marTop w:val="0"/>
          <w:marBottom w:val="0"/>
          <w:divBdr>
            <w:top w:val="none" w:sz="0" w:space="0" w:color="auto"/>
            <w:left w:val="none" w:sz="0" w:space="0" w:color="auto"/>
            <w:bottom w:val="none" w:sz="0" w:space="0" w:color="auto"/>
            <w:right w:val="none" w:sz="0" w:space="0" w:color="auto"/>
          </w:divBdr>
          <w:divsChild>
            <w:div w:id="649946468">
              <w:marLeft w:val="0"/>
              <w:marRight w:val="0"/>
              <w:marTop w:val="0"/>
              <w:marBottom w:val="0"/>
              <w:divBdr>
                <w:top w:val="none" w:sz="0" w:space="0" w:color="auto"/>
                <w:left w:val="none" w:sz="0" w:space="0" w:color="auto"/>
                <w:bottom w:val="none" w:sz="0" w:space="0" w:color="auto"/>
                <w:right w:val="none" w:sz="0" w:space="0" w:color="auto"/>
              </w:divBdr>
            </w:div>
            <w:div w:id="1628856989">
              <w:marLeft w:val="0"/>
              <w:marRight w:val="0"/>
              <w:marTop w:val="0"/>
              <w:marBottom w:val="0"/>
              <w:divBdr>
                <w:top w:val="none" w:sz="0" w:space="0" w:color="auto"/>
                <w:left w:val="none" w:sz="0" w:space="0" w:color="auto"/>
                <w:bottom w:val="none" w:sz="0" w:space="0" w:color="auto"/>
                <w:right w:val="none" w:sz="0" w:space="0" w:color="auto"/>
              </w:divBdr>
            </w:div>
          </w:divsChild>
        </w:div>
        <w:div w:id="1119295336">
          <w:marLeft w:val="0"/>
          <w:marRight w:val="0"/>
          <w:marTop w:val="0"/>
          <w:marBottom w:val="0"/>
          <w:divBdr>
            <w:top w:val="none" w:sz="0" w:space="0" w:color="auto"/>
            <w:left w:val="none" w:sz="0" w:space="0" w:color="auto"/>
            <w:bottom w:val="none" w:sz="0" w:space="0" w:color="auto"/>
            <w:right w:val="none" w:sz="0" w:space="0" w:color="auto"/>
          </w:divBdr>
          <w:divsChild>
            <w:div w:id="2015067947">
              <w:marLeft w:val="0"/>
              <w:marRight w:val="0"/>
              <w:marTop w:val="0"/>
              <w:marBottom w:val="0"/>
              <w:divBdr>
                <w:top w:val="none" w:sz="0" w:space="0" w:color="auto"/>
                <w:left w:val="none" w:sz="0" w:space="0" w:color="auto"/>
                <w:bottom w:val="none" w:sz="0" w:space="0" w:color="auto"/>
                <w:right w:val="none" w:sz="0" w:space="0" w:color="auto"/>
              </w:divBdr>
            </w:div>
          </w:divsChild>
        </w:div>
        <w:div w:id="1134252508">
          <w:marLeft w:val="0"/>
          <w:marRight w:val="0"/>
          <w:marTop w:val="0"/>
          <w:marBottom w:val="0"/>
          <w:divBdr>
            <w:top w:val="none" w:sz="0" w:space="0" w:color="auto"/>
            <w:left w:val="none" w:sz="0" w:space="0" w:color="auto"/>
            <w:bottom w:val="none" w:sz="0" w:space="0" w:color="auto"/>
            <w:right w:val="none" w:sz="0" w:space="0" w:color="auto"/>
          </w:divBdr>
          <w:divsChild>
            <w:div w:id="2049062420">
              <w:marLeft w:val="0"/>
              <w:marRight w:val="0"/>
              <w:marTop w:val="0"/>
              <w:marBottom w:val="0"/>
              <w:divBdr>
                <w:top w:val="none" w:sz="0" w:space="0" w:color="auto"/>
                <w:left w:val="none" w:sz="0" w:space="0" w:color="auto"/>
                <w:bottom w:val="none" w:sz="0" w:space="0" w:color="auto"/>
                <w:right w:val="none" w:sz="0" w:space="0" w:color="auto"/>
              </w:divBdr>
            </w:div>
          </w:divsChild>
        </w:div>
        <w:div w:id="1216283825">
          <w:marLeft w:val="0"/>
          <w:marRight w:val="0"/>
          <w:marTop w:val="0"/>
          <w:marBottom w:val="0"/>
          <w:divBdr>
            <w:top w:val="none" w:sz="0" w:space="0" w:color="auto"/>
            <w:left w:val="none" w:sz="0" w:space="0" w:color="auto"/>
            <w:bottom w:val="none" w:sz="0" w:space="0" w:color="auto"/>
            <w:right w:val="none" w:sz="0" w:space="0" w:color="auto"/>
          </w:divBdr>
          <w:divsChild>
            <w:div w:id="1202013301">
              <w:marLeft w:val="0"/>
              <w:marRight w:val="0"/>
              <w:marTop w:val="0"/>
              <w:marBottom w:val="0"/>
              <w:divBdr>
                <w:top w:val="none" w:sz="0" w:space="0" w:color="auto"/>
                <w:left w:val="none" w:sz="0" w:space="0" w:color="auto"/>
                <w:bottom w:val="none" w:sz="0" w:space="0" w:color="auto"/>
                <w:right w:val="none" w:sz="0" w:space="0" w:color="auto"/>
              </w:divBdr>
            </w:div>
          </w:divsChild>
        </w:div>
        <w:div w:id="1391732391">
          <w:marLeft w:val="0"/>
          <w:marRight w:val="0"/>
          <w:marTop w:val="0"/>
          <w:marBottom w:val="0"/>
          <w:divBdr>
            <w:top w:val="none" w:sz="0" w:space="0" w:color="auto"/>
            <w:left w:val="none" w:sz="0" w:space="0" w:color="auto"/>
            <w:bottom w:val="none" w:sz="0" w:space="0" w:color="auto"/>
            <w:right w:val="none" w:sz="0" w:space="0" w:color="auto"/>
          </w:divBdr>
          <w:divsChild>
            <w:div w:id="915088555">
              <w:marLeft w:val="0"/>
              <w:marRight w:val="0"/>
              <w:marTop w:val="0"/>
              <w:marBottom w:val="0"/>
              <w:divBdr>
                <w:top w:val="none" w:sz="0" w:space="0" w:color="auto"/>
                <w:left w:val="none" w:sz="0" w:space="0" w:color="auto"/>
                <w:bottom w:val="none" w:sz="0" w:space="0" w:color="auto"/>
                <w:right w:val="none" w:sz="0" w:space="0" w:color="auto"/>
              </w:divBdr>
            </w:div>
          </w:divsChild>
        </w:div>
        <w:div w:id="1440565404">
          <w:marLeft w:val="0"/>
          <w:marRight w:val="0"/>
          <w:marTop w:val="0"/>
          <w:marBottom w:val="0"/>
          <w:divBdr>
            <w:top w:val="none" w:sz="0" w:space="0" w:color="auto"/>
            <w:left w:val="none" w:sz="0" w:space="0" w:color="auto"/>
            <w:bottom w:val="none" w:sz="0" w:space="0" w:color="auto"/>
            <w:right w:val="none" w:sz="0" w:space="0" w:color="auto"/>
          </w:divBdr>
          <w:divsChild>
            <w:div w:id="726221397">
              <w:marLeft w:val="0"/>
              <w:marRight w:val="0"/>
              <w:marTop w:val="0"/>
              <w:marBottom w:val="0"/>
              <w:divBdr>
                <w:top w:val="none" w:sz="0" w:space="0" w:color="auto"/>
                <w:left w:val="none" w:sz="0" w:space="0" w:color="auto"/>
                <w:bottom w:val="none" w:sz="0" w:space="0" w:color="auto"/>
                <w:right w:val="none" w:sz="0" w:space="0" w:color="auto"/>
              </w:divBdr>
            </w:div>
          </w:divsChild>
        </w:div>
        <w:div w:id="1446267511">
          <w:marLeft w:val="0"/>
          <w:marRight w:val="0"/>
          <w:marTop w:val="0"/>
          <w:marBottom w:val="0"/>
          <w:divBdr>
            <w:top w:val="none" w:sz="0" w:space="0" w:color="auto"/>
            <w:left w:val="none" w:sz="0" w:space="0" w:color="auto"/>
            <w:bottom w:val="none" w:sz="0" w:space="0" w:color="auto"/>
            <w:right w:val="none" w:sz="0" w:space="0" w:color="auto"/>
          </w:divBdr>
          <w:divsChild>
            <w:div w:id="1913733974">
              <w:marLeft w:val="0"/>
              <w:marRight w:val="0"/>
              <w:marTop w:val="0"/>
              <w:marBottom w:val="0"/>
              <w:divBdr>
                <w:top w:val="none" w:sz="0" w:space="0" w:color="auto"/>
                <w:left w:val="none" w:sz="0" w:space="0" w:color="auto"/>
                <w:bottom w:val="none" w:sz="0" w:space="0" w:color="auto"/>
                <w:right w:val="none" w:sz="0" w:space="0" w:color="auto"/>
              </w:divBdr>
            </w:div>
          </w:divsChild>
        </w:div>
        <w:div w:id="1493639845">
          <w:marLeft w:val="0"/>
          <w:marRight w:val="0"/>
          <w:marTop w:val="0"/>
          <w:marBottom w:val="0"/>
          <w:divBdr>
            <w:top w:val="none" w:sz="0" w:space="0" w:color="auto"/>
            <w:left w:val="none" w:sz="0" w:space="0" w:color="auto"/>
            <w:bottom w:val="none" w:sz="0" w:space="0" w:color="auto"/>
            <w:right w:val="none" w:sz="0" w:space="0" w:color="auto"/>
          </w:divBdr>
          <w:divsChild>
            <w:div w:id="798183118">
              <w:marLeft w:val="0"/>
              <w:marRight w:val="0"/>
              <w:marTop w:val="0"/>
              <w:marBottom w:val="0"/>
              <w:divBdr>
                <w:top w:val="none" w:sz="0" w:space="0" w:color="auto"/>
                <w:left w:val="none" w:sz="0" w:space="0" w:color="auto"/>
                <w:bottom w:val="none" w:sz="0" w:space="0" w:color="auto"/>
                <w:right w:val="none" w:sz="0" w:space="0" w:color="auto"/>
              </w:divBdr>
            </w:div>
          </w:divsChild>
        </w:div>
        <w:div w:id="1504467329">
          <w:marLeft w:val="0"/>
          <w:marRight w:val="0"/>
          <w:marTop w:val="0"/>
          <w:marBottom w:val="0"/>
          <w:divBdr>
            <w:top w:val="none" w:sz="0" w:space="0" w:color="auto"/>
            <w:left w:val="none" w:sz="0" w:space="0" w:color="auto"/>
            <w:bottom w:val="none" w:sz="0" w:space="0" w:color="auto"/>
            <w:right w:val="none" w:sz="0" w:space="0" w:color="auto"/>
          </w:divBdr>
          <w:divsChild>
            <w:div w:id="592974872">
              <w:marLeft w:val="0"/>
              <w:marRight w:val="0"/>
              <w:marTop w:val="0"/>
              <w:marBottom w:val="0"/>
              <w:divBdr>
                <w:top w:val="none" w:sz="0" w:space="0" w:color="auto"/>
                <w:left w:val="none" w:sz="0" w:space="0" w:color="auto"/>
                <w:bottom w:val="none" w:sz="0" w:space="0" w:color="auto"/>
                <w:right w:val="none" w:sz="0" w:space="0" w:color="auto"/>
              </w:divBdr>
            </w:div>
          </w:divsChild>
        </w:div>
        <w:div w:id="1535724937">
          <w:marLeft w:val="0"/>
          <w:marRight w:val="0"/>
          <w:marTop w:val="0"/>
          <w:marBottom w:val="0"/>
          <w:divBdr>
            <w:top w:val="none" w:sz="0" w:space="0" w:color="auto"/>
            <w:left w:val="none" w:sz="0" w:space="0" w:color="auto"/>
            <w:bottom w:val="none" w:sz="0" w:space="0" w:color="auto"/>
            <w:right w:val="none" w:sz="0" w:space="0" w:color="auto"/>
          </w:divBdr>
          <w:divsChild>
            <w:div w:id="1313365371">
              <w:marLeft w:val="0"/>
              <w:marRight w:val="0"/>
              <w:marTop w:val="0"/>
              <w:marBottom w:val="0"/>
              <w:divBdr>
                <w:top w:val="none" w:sz="0" w:space="0" w:color="auto"/>
                <w:left w:val="none" w:sz="0" w:space="0" w:color="auto"/>
                <w:bottom w:val="none" w:sz="0" w:space="0" w:color="auto"/>
                <w:right w:val="none" w:sz="0" w:space="0" w:color="auto"/>
              </w:divBdr>
            </w:div>
            <w:div w:id="1790203339">
              <w:marLeft w:val="0"/>
              <w:marRight w:val="0"/>
              <w:marTop w:val="0"/>
              <w:marBottom w:val="0"/>
              <w:divBdr>
                <w:top w:val="none" w:sz="0" w:space="0" w:color="auto"/>
                <w:left w:val="none" w:sz="0" w:space="0" w:color="auto"/>
                <w:bottom w:val="none" w:sz="0" w:space="0" w:color="auto"/>
                <w:right w:val="none" w:sz="0" w:space="0" w:color="auto"/>
              </w:divBdr>
            </w:div>
          </w:divsChild>
        </w:div>
        <w:div w:id="1556310839">
          <w:marLeft w:val="0"/>
          <w:marRight w:val="0"/>
          <w:marTop w:val="0"/>
          <w:marBottom w:val="0"/>
          <w:divBdr>
            <w:top w:val="none" w:sz="0" w:space="0" w:color="auto"/>
            <w:left w:val="none" w:sz="0" w:space="0" w:color="auto"/>
            <w:bottom w:val="none" w:sz="0" w:space="0" w:color="auto"/>
            <w:right w:val="none" w:sz="0" w:space="0" w:color="auto"/>
          </w:divBdr>
          <w:divsChild>
            <w:div w:id="1147891439">
              <w:marLeft w:val="0"/>
              <w:marRight w:val="0"/>
              <w:marTop w:val="0"/>
              <w:marBottom w:val="0"/>
              <w:divBdr>
                <w:top w:val="none" w:sz="0" w:space="0" w:color="auto"/>
                <w:left w:val="none" w:sz="0" w:space="0" w:color="auto"/>
                <w:bottom w:val="none" w:sz="0" w:space="0" w:color="auto"/>
                <w:right w:val="none" w:sz="0" w:space="0" w:color="auto"/>
              </w:divBdr>
            </w:div>
          </w:divsChild>
        </w:div>
        <w:div w:id="1556507593">
          <w:marLeft w:val="0"/>
          <w:marRight w:val="0"/>
          <w:marTop w:val="0"/>
          <w:marBottom w:val="0"/>
          <w:divBdr>
            <w:top w:val="none" w:sz="0" w:space="0" w:color="auto"/>
            <w:left w:val="none" w:sz="0" w:space="0" w:color="auto"/>
            <w:bottom w:val="none" w:sz="0" w:space="0" w:color="auto"/>
            <w:right w:val="none" w:sz="0" w:space="0" w:color="auto"/>
          </w:divBdr>
          <w:divsChild>
            <w:div w:id="579294590">
              <w:marLeft w:val="0"/>
              <w:marRight w:val="0"/>
              <w:marTop w:val="0"/>
              <w:marBottom w:val="0"/>
              <w:divBdr>
                <w:top w:val="none" w:sz="0" w:space="0" w:color="auto"/>
                <w:left w:val="none" w:sz="0" w:space="0" w:color="auto"/>
                <w:bottom w:val="none" w:sz="0" w:space="0" w:color="auto"/>
                <w:right w:val="none" w:sz="0" w:space="0" w:color="auto"/>
              </w:divBdr>
            </w:div>
          </w:divsChild>
        </w:div>
        <w:div w:id="1584492210">
          <w:marLeft w:val="0"/>
          <w:marRight w:val="0"/>
          <w:marTop w:val="0"/>
          <w:marBottom w:val="0"/>
          <w:divBdr>
            <w:top w:val="none" w:sz="0" w:space="0" w:color="auto"/>
            <w:left w:val="none" w:sz="0" w:space="0" w:color="auto"/>
            <w:bottom w:val="none" w:sz="0" w:space="0" w:color="auto"/>
            <w:right w:val="none" w:sz="0" w:space="0" w:color="auto"/>
          </w:divBdr>
          <w:divsChild>
            <w:div w:id="288901221">
              <w:marLeft w:val="0"/>
              <w:marRight w:val="0"/>
              <w:marTop w:val="0"/>
              <w:marBottom w:val="0"/>
              <w:divBdr>
                <w:top w:val="none" w:sz="0" w:space="0" w:color="auto"/>
                <w:left w:val="none" w:sz="0" w:space="0" w:color="auto"/>
                <w:bottom w:val="none" w:sz="0" w:space="0" w:color="auto"/>
                <w:right w:val="none" w:sz="0" w:space="0" w:color="auto"/>
              </w:divBdr>
            </w:div>
          </w:divsChild>
        </w:div>
        <w:div w:id="1773622885">
          <w:marLeft w:val="0"/>
          <w:marRight w:val="0"/>
          <w:marTop w:val="0"/>
          <w:marBottom w:val="0"/>
          <w:divBdr>
            <w:top w:val="none" w:sz="0" w:space="0" w:color="auto"/>
            <w:left w:val="none" w:sz="0" w:space="0" w:color="auto"/>
            <w:bottom w:val="none" w:sz="0" w:space="0" w:color="auto"/>
            <w:right w:val="none" w:sz="0" w:space="0" w:color="auto"/>
          </w:divBdr>
          <w:divsChild>
            <w:div w:id="221523060">
              <w:marLeft w:val="0"/>
              <w:marRight w:val="0"/>
              <w:marTop w:val="0"/>
              <w:marBottom w:val="0"/>
              <w:divBdr>
                <w:top w:val="none" w:sz="0" w:space="0" w:color="auto"/>
                <w:left w:val="none" w:sz="0" w:space="0" w:color="auto"/>
                <w:bottom w:val="none" w:sz="0" w:space="0" w:color="auto"/>
                <w:right w:val="none" w:sz="0" w:space="0" w:color="auto"/>
              </w:divBdr>
            </w:div>
          </w:divsChild>
        </w:div>
        <w:div w:id="1872263841">
          <w:marLeft w:val="0"/>
          <w:marRight w:val="0"/>
          <w:marTop w:val="0"/>
          <w:marBottom w:val="0"/>
          <w:divBdr>
            <w:top w:val="none" w:sz="0" w:space="0" w:color="auto"/>
            <w:left w:val="none" w:sz="0" w:space="0" w:color="auto"/>
            <w:bottom w:val="none" w:sz="0" w:space="0" w:color="auto"/>
            <w:right w:val="none" w:sz="0" w:space="0" w:color="auto"/>
          </w:divBdr>
          <w:divsChild>
            <w:div w:id="235212657">
              <w:marLeft w:val="0"/>
              <w:marRight w:val="0"/>
              <w:marTop w:val="0"/>
              <w:marBottom w:val="0"/>
              <w:divBdr>
                <w:top w:val="none" w:sz="0" w:space="0" w:color="auto"/>
                <w:left w:val="none" w:sz="0" w:space="0" w:color="auto"/>
                <w:bottom w:val="none" w:sz="0" w:space="0" w:color="auto"/>
                <w:right w:val="none" w:sz="0" w:space="0" w:color="auto"/>
              </w:divBdr>
            </w:div>
            <w:div w:id="1650750095">
              <w:marLeft w:val="0"/>
              <w:marRight w:val="0"/>
              <w:marTop w:val="0"/>
              <w:marBottom w:val="0"/>
              <w:divBdr>
                <w:top w:val="none" w:sz="0" w:space="0" w:color="auto"/>
                <w:left w:val="none" w:sz="0" w:space="0" w:color="auto"/>
                <w:bottom w:val="none" w:sz="0" w:space="0" w:color="auto"/>
                <w:right w:val="none" w:sz="0" w:space="0" w:color="auto"/>
              </w:divBdr>
            </w:div>
          </w:divsChild>
        </w:div>
        <w:div w:id="2052070901">
          <w:marLeft w:val="0"/>
          <w:marRight w:val="0"/>
          <w:marTop w:val="0"/>
          <w:marBottom w:val="0"/>
          <w:divBdr>
            <w:top w:val="none" w:sz="0" w:space="0" w:color="auto"/>
            <w:left w:val="none" w:sz="0" w:space="0" w:color="auto"/>
            <w:bottom w:val="none" w:sz="0" w:space="0" w:color="auto"/>
            <w:right w:val="none" w:sz="0" w:space="0" w:color="auto"/>
          </w:divBdr>
          <w:divsChild>
            <w:div w:id="1146433696">
              <w:marLeft w:val="0"/>
              <w:marRight w:val="0"/>
              <w:marTop w:val="0"/>
              <w:marBottom w:val="0"/>
              <w:divBdr>
                <w:top w:val="none" w:sz="0" w:space="0" w:color="auto"/>
                <w:left w:val="none" w:sz="0" w:space="0" w:color="auto"/>
                <w:bottom w:val="none" w:sz="0" w:space="0" w:color="auto"/>
                <w:right w:val="none" w:sz="0" w:space="0" w:color="auto"/>
              </w:divBdr>
            </w:div>
            <w:div w:id="16831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5421">
      <w:bodyDiv w:val="1"/>
      <w:marLeft w:val="0"/>
      <w:marRight w:val="0"/>
      <w:marTop w:val="0"/>
      <w:marBottom w:val="0"/>
      <w:divBdr>
        <w:top w:val="none" w:sz="0" w:space="0" w:color="auto"/>
        <w:left w:val="none" w:sz="0" w:space="0" w:color="auto"/>
        <w:bottom w:val="none" w:sz="0" w:space="0" w:color="auto"/>
        <w:right w:val="none" w:sz="0" w:space="0" w:color="auto"/>
      </w:divBdr>
      <w:divsChild>
        <w:div w:id="348989173">
          <w:marLeft w:val="0"/>
          <w:marRight w:val="0"/>
          <w:marTop w:val="0"/>
          <w:marBottom w:val="0"/>
          <w:divBdr>
            <w:top w:val="none" w:sz="0" w:space="0" w:color="auto"/>
            <w:left w:val="none" w:sz="0" w:space="0" w:color="auto"/>
            <w:bottom w:val="none" w:sz="0" w:space="0" w:color="auto"/>
            <w:right w:val="none" w:sz="0" w:space="0" w:color="auto"/>
          </w:divBdr>
        </w:div>
        <w:div w:id="353463119">
          <w:marLeft w:val="0"/>
          <w:marRight w:val="0"/>
          <w:marTop w:val="0"/>
          <w:marBottom w:val="0"/>
          <w:divBdr>
            <w:top w:val="none" w:sz="0" w:space="0" w:color="auto"/>
            <w:left w:val="none" w:sz="0" w:space="0" w:color="auto"/>
            <w:bottom w:val="none" w:sz="0" w:space="0" w:color="auto"/>
            <w:right w:val="none" w:sz="0" w:space="0" w:color="auto"/>
          </w:divBdr>
        </w:div>
        <w:div w:id="444929259">
          <w:marLeft w:val="0"/>
          <w:marRight w:val="0"/>
          <w:marTop w:val="0"/>
          <w:marBottom w:val="0"/>
          <w:divBdr>
            <w:top w:val="none" w:sz="0" w:space="0" w:color="auto"/>
            <w:left w:val="none" w:sz="0" w:space="0" w:color="auto"/>
            <w:bottom w:val="none" w:sz="0" w:space="0" w:color="auto"/>
            <w:right w:val="none" w:sz="0" w:space="0" w:color="auto"/>
          </w:divBdr>
        </w:div>
        <w:div w:id="1032071829">
          <w:marLeft w:val="0"/>
          <w:marRight w:val="0"/>
          <w:marTop w:val="0"/>
          <w:marBottom w:val="0"/>
          <w:divBdr>
            <w:top w:val="none" w:sz="0" w:space="0" w:color="auto"/>
            <w:left w:val="none" w:sz="0" w:space="0" w:color="auto"/>
            <w:bottom w:val="none" w:sz="0" w:space="0" w:color="auto"/>
            <w:right w:val="none" w:sz="0" w:space="0" w:color="auto"/>
          </w:divBdr>
        </w:div>
        <w:div w:id="2016608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icc.org/" TargetMode="External"/><Relationship Id="rId18" Type="http://schemas.openxmlformats.org/officeDocument/2006/relationships/hyperlink" Target="https://northwesternenergy.com/docs/default-source/default-document-library/about-us/erp-irp/2023_montana_irp_final.pdf?Status=Master/2023_Montana_IRP_Final.pdf" TargetMode="External"/><Relationship Id="rId3" Type="http://schemas.openxmlformats.org/officeDocument/2006/relationships/settings" Target="settings.xml"/><Relationship Id="rId21" Type="http://schemas.openxmlformats.org/officeDocument/2006/relationships/hyperlink" Target="https://www.epa.gov/climateleadership/scopes-1-2-and-3-emissions-inventorying-and-guidanc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gml.noaa.gov/ccgg/about.html" TargetMode="External"/><Relationship Id="rId2" Type="http://schemas.openxmlformats.org/officeDocument/2006/relationships/styles" Target="styles.xml"/><Relationship Id="rId16" Type="http://schemas.openxmlformats.org/officeDocument/2006/relationships/hyperlink" Target="https://statesummaries.ncics.org/downloads/Montana-StateClimateSummary2022.pdf" TargetMode="External"/><Relationship Id="rId20" Type="http://schemas.openxmlformats.org/officeDocument/2006/relationships/hyperlink" Target="https://www.epa.gov/air-emissions-factors-and-quantification/ap-42-fifth-edition-volume-i-chapter-13-miscellaneous-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q.mt.gov/files/Air/AirQuality/Documents/ARMpermits/5261-00_Final_EA.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engineeringtoolbox.com/gas-density-d_158.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pa.gov/climateleadership/simplified-ghg-emissions-calculator" TargetMode="External"/><Relationship Id="rId22" Type="http://schemas.openxmlformats.org/officeDocument/2006/relationships/hyperlink" Target="https://www.epa.gov/climate-indicators/greenhouse-g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14077</Words>
  <Characters>80243</Characters>
  <Application>Microsoft Office Word</Application>
  <DocSecurity>8</DocSecurity>
  <Lines>668</Lines>
  <Paragraphs>188</Paragraphs>
  <ScaleCrop>false</ScaleCrop>
  <Company/>
  <LinksUpToDate>false</LinksUpToDate>
  <CharactersWithSpaces>94132</CharactersWithSpaces>
  <SharedDoc>false</SharedDoc>
  <HLinks>
    <vt:vector size="162" baseType="variant">
      <vt:variant>
        <vt:i4>2293794</vt:i4>
      </vt:variant>
      <vt:variant>
        <vt:i4>126</vt:i4>
      </vt:variant>
      <vt:variant>
        <vt:i4>0</vt:i4>
      </vt:variant>
      <vt:variant>
        <vt:i4>5</vt:i4>
      </vt:variant>
      <vt:variant>
        <vt:lpwstr>https://www.epa.gov/climateleadership/scopes-1-2-and-3-emissions-inventorying-and-guidance</vt:lpwstr>
      </vt:variant>
      <vt:variant>
        <vt:lpwstr>:~:text=EPA%27s%20scope%201%20and%20scope,boilers%2C%20furnaces%2C%20vehicles</vt:lpwstr>
      </vt:variant>
      <vt:variant>
        <vt:i4>2949223</vt:i4>
      </vt:variant>
      <vt:variant>
        <vt:i4>123</vt:i4>
      </vt:variant>
      <vt:variant>
        <vt:i4>0</vt:i4>
      </vt:variant>
      <vt:variant>
        <vt:i4>5</vt:i4>
      </vt:variant>
      <vt:variant>
        <vt:lpwstr>https://www.epa.gov/climate-indicators/greenhouse-gases</vt:lpwstr>
      </vt:variant>
      <vt:variant>
        <vt:lpwstr/>
      </vt:variant>
      <vt:variant>
        <vt:i4>3473460</vt:i4>
      </vt:variant>
      <vt:variant>
        <vt:i4>120</vt:i4>
      </vt:variant>
      <vt:variant>
        <vt:i4>0</vt:i4>
      </vt:variant>
      <vt:variant>
        <vt:i4>5</vt:i4>
      </vt:variant>
      <vt:variant>
        <vt:lpwstr>https://www.epa.gov/climateleadership/scopes-1-2-and-3-emissions-inventorying-and-guidance</vt:lpwstr>
      </vt:variant>
      <vt:variant>
        <vt:lpwstr/>
      </vt:variant>
      <vt:variant>
        <vt:i4>917587</vt:i4>
      </vt:variant>
      <vt:variant>
        <vt:i4>117</vt:i4>
      </vt:variant>
      <vt:variant>
        <vt:i4>0</vt:i4>
      </vt:variant>
      <vt:variant>
        <vt:i4>5</vt:i4>
      </vt:variant>
      <vt:variant>
        <vt:lpwstr>https://www.epa.gov/air-emissions-factors-and-quantification/ap-42-fifth-edition-volume-i-chapter-13-miscellaneous-0</vt:lpwstr>
      </vt:variant>
      <vt:variant>
        <vt:lpwstr/>
      </vt:variant>
      <vt:variant>
        <vt:i4>6226038</vt:i4>
      </vt:variant>
      <vt:variant>
        <vt:i4>114</vt:i4>
      </vt:variant>
      <vt:variant>
        <vt:i4>0</vt:i4>
      </vt:variant>
      <vt:variant>
        <vt:i4>5</vt:i4>
      </vt:variant>
      <vt:variant>
        <vt:lpwstr>https://www.engineeringtoolbox.com/gas-density-d_158.html</vt:lpwstr>
      </vt:variant>
      <vt:variant>
        <vt:lpwstr/>
      </vt:variant>
      <vt:variant>
        <vt:i4>3866685</vt:i4>
      </vt:variant>
      <vt:variant>
        <vt:i4>111</vt:i4>
      </vt:variant>
      <vt:variant>
        <vt:i4>0</vt:i4>
      </vt:variant>
      <vt:variant>
        <vt:i4>5</vt:i4>
      </vt:variant>
      <vt:variant>
        <vt:lpwstr>https://northwesternenergy.com/docs/default-source/default-document-library/about-us/erp-irp/2023_montana_irp_final.pdf?Status=Master/2023_Montana_IRP_Final.pdf</vt:lpwstr>
      </vt:variant>
      <vt:variant>
        <vt:lpwstr/>
      </vt:variant>
      <vt:variant>
        <vt:i4>4653137</vt:i4>
      </vt:variant>
      <vt:variant>
        <vt:i4>108</vt:i4>
      </vt:variant>
      <vt:variant>
        <vt:i4>0</vt:i4>
      </vt:variant>
      <vt:variant>
        <vt:i4>5</vt:i4>
      </vt:variant>
      <vt:variant>
        <vt:lpwstr>https://gml.noaa.gov/ccgg/about.html</vt:lpwstr>
      </vt:variant>
      <vt:variant>
        <vt:lpwstr/>
      </vt:variant>
      <vt:variant>
        <vt:i4>7733302</vt:i4>
      </vt:variant>
      <vt:variant>
        <vt:i4>105</vt:i4>
      </vt:variant>
      <vt:variant>
        <vt:i4>0</vt:i4>
      </vt:variant>
      <vt:variant>
        <vt:i4>5</vt:i4>
      </vt:variant>
      <vt:variant>
        <vt:lpwstr>https://statesummaries.ncics.org/downloads/Montana-StateClimateSummary2022.pdf</vt:lpwstr>
      </vt:variant>
      <vt:variant>
        <vt:lpwstr/>
      </vt:variant>
      <vt:variant>
        <vt:i4>2031704</vt:i4>
      </vt:variant>
      <vt:variant>
        <vt:i4>102</vt:i4>
      </vt:variant>
      <vt:variant>
        <vt:i4>0</vt:i4>
      </vt:variant>
      <vt:variant>
        <vt:i4>5</vt:i4>
      </vt:variant>
      <vt:variant>
        <vt:lpwstr>https://deq.mt.gov/files/Air/AirQuality/Documents/ARMpermits/5261-00_Final_EA.pdf</vt:lpwstr>
      </vt:variant>
      <vt:variant>
        <vt:lpwstr/>
      </vt:variant>
      <vt:variant>
        <vt:i4>1310727</vt:i4>
      </vt:variant>
      <vt:variant>
        <vt:i4>99</vt:i4>
      </vt:variant>
      <vt:variant>
        <vt:i4>0</vt:i4>
      </vt:variant>
      <vt:variant>
        <vt:i4>5</vt:i4>
      </vt:variant>
      <vt:variant>
        <vt:lpwstr>https://www.epa.gov/climateleadership/simplified-ghg-emissions-calculator</vt:lpwstr>
      </vt:variant>
      <vt:variant>
        <vt:lpwstr/>
      </vt:variant>
      <vt:variant>
        <vt:i4>7471221</vt:i4>
      </vt:variant>
      <vt:variant>
        <vt:i4>96</vt:i4>
      </vt:variant>
      <vt:variant>
        <vt:i4>0</vt:i4>
      </vt:variant>
      <vt:variant>
        <vt:i4>5</vt:i4>
      </vt:variant>
      <vt:variant>
        <vt:lpwstr>https://magicc.org/</vt:lpwstr>
      </vt:variant>
      <vt:variant>
        <vt:lpwstr/>
      </vt:variant>
      <vt:variant>
        <vt:i4>1507382</vt:i4>
      </vt:variant>
      <vt:variant>
        <vt:i4>80</vt:i4>
      </vt:variant>
      <vt:variant>
        <vt:i4>0</vt:i4>
      </vt:variant>
      <vt:variant>
        <vt:i4>5</vt:i4>
      </vt:variant>
      <vt:variant>
        <vt:lpwstr/>
      </vt:variant>
      <vt:variant>
        <vt:lpwstr>_Toc938878036</vt:lpwstr>
      </vt:variant>
      <vt:variant>
        <vt:i4>2621448</vt:i4>
      </vt:variant>
      <vt:variant>
        <vt:i4>74</vt:i4>
      </vt:variant>
      <vt:variant>
        <vt:i4>0</vt:i4>
      </vt:variant>
      <vt:variant>
        <vt:i4>5</vt:i4>
      </vt:variant>
      <vt:variant>
        <vt:lpwstr/>
      </vt:variant>
      <vt:variant>
        <vt:lpwstr>_Toc1908332984</vt:lpwstr>
      </vt:variant>
      <vt:variant>
        <vt:i4>2293771</vt:i4>
      </vt:variant>
      <vt:variant>
        <vt:i4>68</vt:i4>
      </vt:variant>
      <vt:variant>
        <vt:i4>0</vt:i4>
      </vt:variant>
      <vt:variant>
        <vt:i4>5</vt:i4>
      </vt:variant>
      <vt:variant>
        <vt:lpwstr/>
      </vt:variant>
      <vt:variant>
        <vt:lpwstr>_Toc1711866652</vt:lpwstr>
      </vt:variant>
      <vt:variant>
        <vt:i4>3014657</vt:i4>
      </vt:variant>
      <vt:variant>
        <vt:i4>62</vt:i4>
      </vt:variant>
      <vt:variant>
        <vt:i4>0</vt:i4>
      </vt:variant>
      <vt:variant>
        <vt:i4>5</vt:i4>
      </vt:variant>
      <vt:variant>
        <vt:lpwstr/>
      </vt:variant>
      <vt:variant>
        <vt:lpwstr>_Toc2058886980</vt:lpwstr>
      </vt:variant>
      <vt:variant>
        <vt:i4>3080205</vt:i4>
      </vt:variant>
      <vt:variant>
        <vt:i4>56</vt:i4>
      </vt:variant>
      <vt:variant>
        <vt:i4>0</vt:i4>
      </vt:variant>
      <vt:variant>
        <vt:i4>5</vt:i4>
      </vt:variant>
      <vt:variant>
        <vt:lpwstr/>
      </vt:variant>
      <vt:variant>
        <vt:lpwstr>_Toc1015807924</vt:lpwstr>
      </vt:variant>
      <vt:variant>
        <vt:i4>2686985</vt:i4>
      </vt:variant>
      <vt:variant>
        <vt:i4>50</vt:i4>
      </vt:variant>
      <vt:variant>
        <vt:i4>0</vt:i4>
      </vt:variant>
      <vt:variant>
        <vt:i4>5</vt:i4>
      </vt:variant>
      <vt:variant>
        <vt:lpwstr/>
      </vt:variant>
      <vt:variant>
        <vt:lpwstr>_Toc1479993852</vt:lpwstr>
      </vt:variant>
      <vt:variant>
        <vt:i4>1048626</vt:i4>
      </vt:variant>
      <vt:variant>
        <vt:i4>44</vt:i4>
      </vt:variant>
      <vt:variant>
        <vt:i4>0</vt:i4>
      </vt:variant>
      <vt:variant>
        <vt:i4>5</vt:i4>
      </vt:variant>
      <vt:variant>
        <vt:lpwstr/>
      </vt:variant>
      <vt:variant>
        <vt:lpwstr>_Toc651710456</vt:lpwstr>
      </vt:variant>
      <vt:variant>
        <vt:i4>2752527</vt:i4>
      </vt:variant>
      <vt:variant>
        <vt:i4>38</vt:i4>
      </vt:variant>
      <vt:variant>
        <vt:i4>0</vt:i4>
      </vt:variant>
      <vt:variant>
        <vt:i4>5</vt:i4>
      </vt:variant>
      <vt:variant>
        <vt:lpwstr/>
      </vt:variant>
      <vt:variant>
        <vt:lpwstr>_Toc2038166093</vt:lpwstr>
      </vt:variant>
      <vt:variant>
        <vt:i4>2424842</vt:i4>
      </vt:variant>
      <vt:variant>
        <vt:i4>32</vt:i4>
      </vt:variant>
      <vt:variant>
        <vt:i4>0</vt:i4>
      </vt:variant>
      <vt:variant>
        <vt:i4>5</vt:i4>
      </vt:variant>
      <vt:variant>
        <vt:lpwstr/>
      </vt:variant>
      <vt:variant>
        <vt:lpwstr>_Toc2063640481</vt:lpwstr>
      </vt:variant>
      <vt:variant>
        <vt:i4>2949126</vt:i4>
      </vt:variant>
      <vt:variant>
        <vt:i4>26</vt:i4>
      </vt:variant>
      <vt:variant>
        <vt:i4>0</vt:i4>
      </vt:variant>
      <vt:variant>
        <vt:i4>5</vt:i4>
      </vt:variant>
      <vt:variant>
        <vt:lpwstr/>
      </vt:variant>
      <vt:variant>
        <vt:lpwstr>_Toc2098316784</vt:lpwstr>
      </vt:variant>
      <vt:variant>
        <vt:i4>1966139</vt:i4>
      </vt:variant>
      <vt:variant>
        <vt:i4>20</vt:i4>
      </vt:variant>
      <vt:variant>
        <vt:i4>0</vt:i4>
      </vt:variant>
      <vt:variant>
        <vt:i4>5</vt:i4>
      </vt:variant>
      <vt:variant>
        <vt:lpwstr/>
      </vt:variant>
      <vt:variant>
        <vt:lpwstr>_Toc229801027</vt:lpwstr>
      </vt:variant>
      <vt:variant>
        <vt:i4>1703991</vt:i4>
      </vt:variant>
      <vt:variant>
        <vt:i4>14</vt:i4>
      </vt:variant>
      <vt:variant>
        <vt:i4>0</vt:i4>
      </vt:variant>
      <vt:variant>
        <vt:i4>5</vt:i4>
      </vt:variant>
      <vt:variant>
        <vt:lpwstr/>
      </vt:variant>
      <vt:variant>
        <vt:lpwstr>_Toc147827368</vt:lpwstr>
      </vt:variant>
      <vt:variant>
        <vt:i4>1245234</vt:i4>
      </vt:variant>
      <vt:variant>
        <vt:i4>8</vt:i4>
      </vt:variant>
      <vt:variant>
        <vt:i4>0</vt:i4>
      </vt:variant>
      <vt:variant>
        <vt:i4>5</vt:i4>
      </vt:variant>
      <vt:variant>
        <vt:lpwstr/>
      </vt:variant>
      <vt:variant>
        <vt:lpwstr>_Toc829476446</vt:lpwstr>
      </vt:variant>
      <vt:variant>
        <vt:i4>2293774</vt:i4>
      </vt:variant>
      <vt:variant>
        <vt:i4>2</vt:i4>
      </vt:variant>
      <vt:variant>
        <vt:i4>0</vt:i4>
      </vt:variant>
      <vt:variant>
        <vt:i4>5</vt:i4>
      </vt:variant>
      <vt:variant>
        <vt:lpwstr/>
      </vt:variant>
      <vt:variant>
        <vt:lpwstr>_Toc1673706495</vt:lpwstr>
      </vt:variant>
      <vt:variant>
        <vt:i4>7471105</vt:i4>
      </vt:variant>
      <vt:variant>
        <vt:i4>3</vt:i4>
      </vt:variant>
      <vt:variant>
        <vt:i4>0</vt:i4>
      </vt:variant>
      <vt:variant>
        <vt:i4>5</vt:i4>
      </vt:variant>
      <vt:variant>
        <vt:lpwstr>mailto:CBA673@mt.gov</vt:lpwstr>
      </vt:variant>
      <vt:variant>
        <vt:lpwstr/>
      </vt:variant>
      <vt:variant>
        <vt:i4>7471106</vt:i4>
      </vt:variant>
      <vt:variant>
        <vt:i4>0</vt:i4>
      </vt:variant>
      <vt:variant>
        <vt:i4>0</vt:i4>
      </vt:variant>
      <vt:variant>
        <vt:i4>5</vt:i4>
      </vt:variant>
      <vt:variant>
        <vt:lpwstr>mailto:CBA573@mt.gov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2026-04-16T19:52:00Z</dcterms:created>
  <dcterms:modified xsi:type="dcterms:W3CDTF">2026-04-16T19:52:00Z</dcterms:modified>
</cp:coreProperties>
</file>