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3A" w:rsidRDefault="001E343A" w:rsidP="001E343A">
      <w:r>
        <w:rPr>
          <w:noProof/>
        </w:rPr>
        <w:drawing>
          <wp:anchor distT="0" distB="0" distL="114300" distR="114300" simplePos="0" relativeHeight="251659264" behindDoc="1" locked="0" layoutInCell="1" allowOverlap="1" wp14:anchorId="2B5CE16B" wp14:editId="25408051">
            <wp:simplePos x="0" y="0"/>
            <wp:positionH relativeFrom="column">
              <wp:posOffset>-5025</wp:posOffset>
            </wp:positionH>
            <wp:positionV relativeFrom="paragraph">
              <wp:posOffset>-366395</wp:posOffset>
            </wp:positionV>
            <wp:extent cx="6019800" cy="1138555"/>
            <wp:effectExtent l="0" t="0" r="0" b="4445"/>
            <wp:wrapNone/>
            <wp:docPr id="2" name="Picture 2" descr="DEQLogoBlue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QLogoBlue_Line"/>
                    <pic:cNvPicPr>
                      <a:picLocks noChangeAspect="1" noChangeArrowheads="1"/>
                    </pic:cNvPicPr>
                  </pic:nvPicPr>
                  <pic:blipFill>
                    <a:blip r:embed="rId7" cstate="print"/>
                    <a:srcRect/>
                    <a:stretch>
                      <a:fillRect/>
                    </a:stretch>
                  </pic:blipFill>
                  <pic:spPr bwMode="auto">
                    <a:xfrm>
                      <a:off x="0" y="0"/>
                      <a:ext cx="6019800" cy="1138555"/>
                    </a:xfrm>
                    <a:prstGeom prst="rect">
                      <a:avLst/>
                    </a:prstGeom>
                    <a:noFill/>
                    <a:ln w="9525">
                      <a:noFill/>
                      <a:miter lim="800000"/>
                      <a:headEnd/>
                      <a:tailEnd/>
                    </a:ln>
                  </pic:spPr>
                </pic:pic>
              </a:graphicData>
            </a:graphic>
          </wp:anchor>
        </w:drawing>
      </w:r>
    </w:p>
    <w:p w:rsidR="001E343A" w:rsidRDefault="001E343A" w:rsidP="001E343A"/>
    <w:p w:rsidR="001E343A" w:rsidRDefault="001E343A" w:rsidP="001E343A"/>
    <w:p w:rsidR="001E343A" w:rsidRPr="001E343A" w:rsidRDefault="001E343A" w:rsidP="001E343A"/>
    <w:p w:rsidR="00957F84" w:rsidRPr="0064362B" w:rsidRDefault="00957F84">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Pr="006D2D09" w:rsidRDefault="001E343A" w:rsidP="001E343A">
      <w:pPr>
        <w:rPr>
          <w:b/>
          <w:sz w:val="72"/>
          <w:szCs w:val="72"/>
        </w:rPr>
      </w:pPr>
      <w:r w:rsidRPr="006D2D09">
        <w:rPr>
          <w:b/>
          <w:sz w:val="72"/>
          <w:szCs w:val="72"/>
        </w:rPr>
        <w:t>Translation and Guidance on Application of the Montana Narrative Water Quality Criterion for Sulfate</w:t>
      </w:r>
    </w:p>
    <w:p w:rsidR="001E343A" w:rsidRPr="006D2D09" w:rsidRDefault="001E343A" w:rsidP="001E343A">
      <w:pPr>
        <w:autoSpaceDE w:val="0"/>
        <w:autoSpaceDN w:val="0"/>
        <w:adjustRightInd w:val="0"/>
        <w:rPr>
          <w:b/>
          <w:bCs/>
          <w:sz w:val="32"/>
          <w:szCs w:val="32"/>
        </w:rPr>
      </w:pPr>
    </w:p>
    <w:p w:rsidR="001E343A" w:rsidRPr="006D2D09" w:rsidRDefault="001E343A" w:rsidP="001E343A">
      <w:pPr>
        <w:autoSpaceDE w:val="0"/>
        <w:autoSpaceDN w:val="0"/>
        <w:adjustRightInd w:val="0"/>
        <w:rPr>
          <w:b/>
          <w:bCs/>
          <w:sz w:val="32"/>
          <w:szCs w:val="32"/>
        </w:rPr>
      </w:pPr>
    </w:p>
    <w:p w:rsidR="001E343A" w:rsidRPr="006D2D09" w:rsidRDefault="001E343A" w:rsidP="001E343A">
      <w:pPr>
        <w:autoSpaceDE w:val="0"/>
        <w:autoSpaceDN w:val="0"/>
        <w:adjustRightInd w:val="0"/>
        <w:rPr>
          <w:b/>
          <w:bCs/>
          <w:sz w:val="32"/>
          <w:szCs w:val="32"/>
        </w:rPr>
      </w:pPr>
    </w:p>
    <w:p w:rsidR="001E343A" w:rsidRPr="006D2D09" w:rsidRDefault="001E343A" w:rsidP="001E343A">
      <w:pPr>
        <w:autoSpaceDE w:val="0"/>
        <w:autoSpaceDN w:val="0"/>
        <w:adjustRightInd w:val="0"/>
        <w:rPr>
          <w:b/>
          <w:bCs/>
          <w:sz w:val="32"/>
          <w:szCs w:val="32"/>
        </w:rPr>
      </w:pPr>
    </w:p>
    <w:p w:rsidR="001E343A" w:rsidRPr="006D2D09" w:rsidRDefault="001E343A" w:rsidP="001E343A">
      <w:pPr>
        <w:autoSpaceDE w:val="0"/>
        <w:autoSpaceDN w:val="0"/>
        <w:adjustRightInd w:val="0"/>
        <w:rPr>
          <w:b/>
          <w:bCs/>
          <w:sz w:val="32"/>
          <w:szCs w:val="32"/>
        </w:rPr>
      </w:pPr>
    </w:p>
    <w:p w:rsidR="001E343A" w:rsidRPr="006D2D09" w:rsidRDefault="001E343A" w:rsidP="001E343A">
      <w:pPr>
        <w:autoSpaceDE w:val="0"/>
        <w:autoSpaceDN w:val="0"/>
        <w:adjustRightInd w:val="0"/>
        <w:rPr>
          <w:b/>
          <w:sz w:val="32"/>
          <w:szCs w:val="32"/>
        </w:rPr>
      </w:pPr>
      <w:r w:rsidRPr="006D2D09">
        <w:rPr>
          <w:b/>
          <w:sz w:val="32"/>
          <w:szCs w:val="32"/>
        </w:rPr>
        <w:t>September 2014</w:t>
      </w:r>
    </w:p>
    <w:p w:rsidR="001E343A" w:rsidRPr="00DC12BE" w:rsidRDefault="001E343A" w:rsidP="001E343A">
      <w:pPr>
        <w:pStyle w:val="Default"/>
        <w:jc w:val="right"/>
        <w:rPr>
          <w:rFonts w:ascii="Calibri" w:hAnsi="Calibri"/>
        </w:rPr>
      </w:pPr>
    </w:p>
    <w:p w:rsidR="001E343A" w:rsidRPr="00DC12BE" w:rsidRDefault="001E343A" w:rsidP="001E343A">
      <w:pPr>
        <w:rPr>
          <w:b/>
        </w:rPr>
      </w:pPr>
    </w:p>
    <w:p w:rsidR="001E343A" w:rsidRPr="00DC12BE" w:rsidRDefault="001E343A" w:rsidP="001E343A">
      <w:pPr>
        <w:rPr>
          <w:b/>
        </w:rPr>
      </w:pPr>
    </w:p>
    <w:p w:rsidR="001E343A" w:rsidRPr="00DC12BE" w:rsidRDefault="001E343A" w:rsidP="001E343A">
      <w:pPr>
        <w:rPr>
          <w:b/>
        </w:rPr>
      </w:pPr>
      <w:r>
        <w:rPr>
          <w:noProof/>
        </w:rPr>
        <w:drawing>
          <wp:anchor distT="0" distB="0" distL="114300" distR="114300" simplePos="0" relativeHeight="251661312" behindDoc="1" locked="0" layoutInCell="1" allowOverlap="1" wp14:anchorId="38ED21B8" wp14:editId="7C33554D">
            <wp:simplePos x="0" y="0"/>
            <wp:positionH relativeFrom="column">
              <wp:posOffset>5029200</wp:posOffset>
            </wp:positionH>
            <wp:positionV relativeFrom="paragraph">
              <wp:posOffset>158750</wp:posOffset>
            </wp:positionV>
            <wp:extent cx="1028700" cy="1066800"/>
            <wp:effectExtent l="19050" t="0" r="0" b="0"/>
            <wp:wrapNone/>
            <wp:docPr id="5" name="Picture 5" descr="MTCO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COLSEAL"/>
                    <pic:cNvPicPr>
                      <a:picLocks noChangeAspect="1" noChangeArrowheads="1"/>
                    </pic:cNvPicPr>
                  </pic:nvPicPr>
                  <pic:blipFill>
                    <a:blip r:embed="rId8" cstate="print"/>
                    <a:srcRect/>
                    <a:stretch>
                      <a:fillRect/>
                    </a:stretch>
                  </pic:blipFill>
                  <pic:spPr bwMode="auto">
                    <a:xfrm>
                      <a:off x="0" y="0"/>
                      <a:ext cx="1028700" cy="1066800"/>
                    </a:xfrm>
                    <a:prstGeom prst="rect">
                      <a:avLst/>
                    </a:prstGeom>
                    <a:noFill/>
                    <a:ln w="9525">
                      <a:noFill/>
                      <a:miter lim="800000"/>
                      <a:headEnd/>
                      <a:tailEnd/>
                    </a:ln>
                  </pic:spPr>
                </pic:pic>
              </a:graphicData>
            </a:graphic>
          </wp:anchor>
        </w:drawing>
      </w:r>
      <w:r w:rsidRPr="00DC12BE">
        <w:rPr>
          <w:b/>
        </w:rPr>
        <w:t>Prepared by:</w:t>
      </w:r>
    </w:p>
    <w:p w:rsidR="001E343A" w:rsidRPr="00DC12BE" w:rsidRDefault="001E343A" w:rsidP="001E343A">
      <w:r w:rsidRPr="00DC12BE">
        <w:t>Water Quality Planning Bureau,</w:t>
      </w:r>
      <w:r>
        <w:t xml:space="preserve"> Water Quality Standards Section</w:t>
      </w:r>
    </w:p>
    <w:p w:rsidR="001E343A" w:rsidRPr="00DC12BE" w:rsidRDefault="001E343A" w:rsidP="001E343A">
      <w:r w:rsidRPr="00DC12BE">
        <w:t xml:space="preserve">Montana Department of Environmental Quality </w:t>
      </w:r>
    </w:p>
    <w:p w:rsidR="001E343A" w:rsidRPr="00DC12BE" w:rsidRDefault="001E343A" w:rsidP="001E343A">
      <w:r w:rsidRPr="00DC12BE">
        <w:t xml:space="preserve">Water Quality Planning Bureau </w:t>
      </w:r>
    </w:p>
    <w:p w:rsidR="001E343A" w:rsidRPr="00DC12BE" w:rsidRDefault="001E343A" w:rsidP="001E343A">
      <w:smartTag w:uri="urn:schemas-microsoft-com:office:smarttags" w:element="Street">
        <w:smartTag w:uri="urn:schemas-microsoft-com:office:smarttags" w:element="address">
          <w:r w:rsidRPr="00DC12BE">
            <w:t>1520 E. Sixth Avenue</w:t>
          </w:r>
        </w:smartTag>
      </w:smartTag>
      <w:r w:rsidRPr="00DC12BE">
        <w:t xml:space="preserve"> </w:t>
      </w:r>
    </w:p>
    <w:p w:rsidR="001E343A" w:rsidRPr="00DC12BE" w:rsidRDefault="001E343A" w:rsidP="001E343A">
      <w:smartTag w:uri="urn:schemas-microsoft-com:office:smarttags" w:element="address">
        <w:smartTag w:uri="urn:schemas-microsoft-com:office:smarttags" w:element="Street">
          <w:r w:rsidRPr="00DC12BE">
            <w:t>P.O. Box</w:t>
          </w:r>
        </w:smartTag>
        <w:r w:rsidRPr="00DC12BE">
          <w:t xml:space="preserve"> 200901</w:t>
        </w:r>
      </w:smartTag>
      <w:r w:rsidRPr="00DC12BE">
        <w:t xml:space="preserve"> </w:t>
      </w:r>
    </w:p>
    <w:p w:rsidR="001E343A" w:rsidRDefault="001E343A" w:rsidP="001E343A">
      <w:pPr>
        <w:sectPr w:rsidR="001E343A" w:rsidSect="00F749DD">
          <w:footerReference w:type="default" r:id="rId9"/>
          <w:pgSz w:w="12240" w:h="15840" w:code="1"/>
          <w:pgMar w:top="1440" w:right="1440" w:bottom="1440" w:left="1440" w:header="720" w:footer="720" w:gutter="0"/>
          <w:cols w:space="720"/>
          <w:noEndnote/>
          <w:docGrid w:linePitch="326"/>
        </w:sectPr>
      </w:pPr>
      <w:smartTag w:uri="urn:schemas-microsoft-com:office:smarttags" w:element="City">
        <w:r w:rsidRPr="00DC12BE">
          <w:t>Helena</w:t>
        </w:r>
      </w:smartTag>
      <w:r w:rsidRPr="00DC12BE">
        <w:t xml:space="preserve">, </w:t>
      </w:r>
      <w:smartTag w:uri="urn:schemas-microsoft-com:office:smarttags" w:element="State">
        <w:r w:rsidRPr="00DC12BE">
          <w:t>MT</w:t>
        </w:r>
      </w:smartTag>
      <w:r w:rsidRPr="00DC12BE">
        <w:t xml:space="preserve"> 59620-0901</w:t>
      </w:r>
    </w:p>
    <w:p w:rsidR="001E343A" w:rsidRPr="00DC12BE" w:rsidRDefault="001E343A" w:rsidP="001E343A">
      <w:r>
        <w:rPr>
          <w:b/>
          <w:noProof/>
        </w:rPr>
        <w:lastRenderedPageBreak/>
        <mc:AlternateContent>
          <mc:Choice Requires="wps">
            <w:drawing>
              <wp:anchor distT="0" distB="0" distL="114300" distR="114300" simplePos="0" relativeHeight="251665408" behindDoc="0" locked="0" layoutInCell="1" allowOverlap="1" wp14:anchorId="091884FA" wp14:editId="0CB21875">
                <wp:simplePos x="0" y="0"/>
                <wp:positionH relativeFrom="column">
                  <wp:posOffset>-81000</wp:posOffset>
                </wp:positionH>
                <wp:positionV relativeFrom="paragraph">
                  <wp:posOffset>132156</wp:posOffset>
                </wp:positionV>
                <wp:extent cx="61722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76C8"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0.4pt" to="47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"/>
            </w:pict>
          </mc:Fallback>
        </mc:AlternateContent>
      </w:r>
    </w:p>
    <w:p w:rsidR="001E343A" w:rsidRPr="006D2D09" w:rsidRDefault="001E343A" w:rsidP="001E343A">
      <w:r>
        <w:rPr>
          <w:noProof/>
        </w:rPr>
        <mc:AlternateContent>
          <mc:Choice Requires="wps">
            <w:drawing>
              <wp:anchor distT="0" distB="0" distL="114300" distR="114300" simplePos="0" relativeHeight="251663360" behindDoc="0" locked="0" layoutInCell="1" allowOverlap="1" wp14:anchorId="4C079E5B" wp14:editId="5B52DC61">
                <wp:simplePos x="0" y="0"/>
                <wp:positionH relativeFrom="column">
                  <wp:posOffset>-76200</wp:posOffset>
                </wp:positionH>
                <wp:positionV relativeFrom="paragraph">
                  <wp:posOffset>457200</wp:posOffset>
                </wp:positionV>
                <wp:extent cx="61722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83C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"/>
            </w:pict>
          </mc:Fallback>
        </mc:AlternateContent>
      </w:r>
      <w:r w:rsidRPr="006D2D09">
        <w:rPr>
          <w:b/>
        </w:rPr>
        <w:t>Suggested citation: Steinmetz, Amy</w:t>
      </w:r>
      <w:r w:rsidRPr="006D2D09">
        <w:t>.</w:t>
      </w:r>
      <w:r w:rsidR="00B6326D">
        <w:t xml:space="preserve"> </w:t>
      </w:r>
      <w:r w:rsidRPr="006D2D09">
        <w:t>2014. Translation and Guidance on Application of the Montana Narrative Water Quality Criterion for Sulfate. Helena, MT: Montana Dept. of Environmental Quality.</w:t>
      </w:r>
    </w:p>
    <w:p w:rsidR="001E343A" w:rsidRPr="00DC12BE" w:rsidRDefault="001E343A" w:rsidP="001E343A"/>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Pr="00765933" w:rsidRDefault="00765933">
      <w:pPr>
        <w:rPr>
          <w:rFonts w:asciiTheme="minorHAnsi" w:hAnsiTheme="minorHAnsi" w:cstheme="minorHAnsi"/>
          <w:b/>
          <w:sz w:val="28"/>
          <w:szCs w:val="28"/>
        </w:rPr>
      </w:pPr>
      <w:r w:rsidRPr="00765933">
        <w:rPr>
          <w:rFonts w:asciiTheme="minorHAnsi" w:hAnsiTheme="minorHAnsi" w:cstheme="minorHAnsi"/>
          <w:b/>
          <w:sz w:val="28"/>
          <w:szCs w:val="28"/>
        </w:rPr>
        <w:t>Revision History</w:t>
      </w:r>
    </w:p>
    <w:tbl>
      <w:tblPr>
        <w:tblStyle w:val="TableGrid"/>
        <w:tblW w:w="0" w:type="auto"/>
        <w:tblLook w:val="04A0" w:firstRow="1" w:lastRow="0" w:firstColumn="1" w:lastColumn="0" w:noHBand="0" w:noVBand="1"/>
      </w:tblPr>
      <w:tblGrid>
        <w:gridCol w:w="2337"/>
        <w:gridCol w:w="2337"/>
        <w:gridCol w:w="2338"/>
        <w:gridCol w:w="2338"/>
      </w:tblGrid>
      <w:tr w:rsidR="00765933" w:rsidRPr="00765933" w:rsidTr="00765933">
        <w:tc>
          <w:tcPr>
            <w:tcW w:w="2337" w:type="dxa"/>
          </w:tcPr>
          <w:p w:rsidR="00765933" w:rsidRPr="00765933" w:rsidRDefault="00765933">
            <w:pPr>
              <w:rPr>
                <w:rFonts w:asciiTheme="minorHAnsi" w:hAnsiTheme="minorHAnsi" w:cstheme="minorHAnsi"/>
                <w:b/>
                <w:sz w:val="22"/>
                <w:szCs w:val="22"/>
              </w:rPr>
            </w:pPr>
            <w:r w:rsidRPr="00765933">
              <w:rPr>
                <w:rFonts w:asciiTheme="minorHAnsi" w:hAnsiTheme="minorHAnsi" w:cstheme="minorHAnsi"/>
                <w:b/>
                <w:sz w:val="22"/>
                <w:szCs w:val="22"/>
              </w:rPr>
              <w:t>Version Number</w:t>
            </w:r>
          </w:p>
        </w:tc>
        <w:tc>
          <w:tcPr>
            <w:tcW w:w="2337" w:type="dxa"/>
          </w:tcPr>
          <w:p w:rsidR="00765933" w:rsidRPr="00765933" w:rsidRDefault="00765933">
            <w:pPr>
              <w:rPr>
                <w:rFonts w:asciiTheme="minorHAnsi" w:hAnsiTheme="minorHAnsi" w:cstheme="minorHAnsi"/>
                <w:b/>
                <w:sz w:val="22"/>
                <w:szCs w:val="22"/>
              </w:rPr>
            </w:pPr>
            <w:r w:rsidRPr="00765933">
              <w:rPr>
                <w:rFonts w:asciiTheme="minorHAnsi" w:hAnsiTheme="minorHAnsi" w:cstheme="minorHAnsi"/>
                <w:b/>
                <w:sz w:val="22"/>
                <w:szCs w:val="22"/>
              </w:rPr>
              <w:t>Date</w:t>
            </w:r>
          </w:p>
        </w:tc>
        <w:tc>
          <w:tcPr>
            <w:tcW w:w="2338" w:type="dxa"/>
          </w:tcPr>
          <w:p w:rsidR="00765933" w:rsidRPr="00765933" w:rsidRDefault="00765933">
            <w:pPr>
              <w:rPr>
                <w:rFonts w:asciiTheme="minorHAnsi" w:hAnsiTheme="minorHAnsi" w:cstheme="minorHAnsi"/>
                <w:b/>
                <w:sz w:val="22"/>
                <w:szCs w:val="22"/>
              </w:rPr>
            </w:pPr>
            <w:r w:rsidRPr="00765933">
              <w:rPr>
                <w:rFonts w:asciiTheme="minorHAnsi" w:hAnsiTheme="minorHAnsi" w:cstheme="minorHAnsi"/>
                <w:b/>
                <w:sz w:val="22"/>
                <w:szCs w:val="22"/>
              </w:rPr>
              <w:t>Sections Modified</w:t>
            </w:r>
          </w:p>
        </w:tc>
        <w:tc>
          <w:tcPr>
            <w:tcW w:w="2338" w:type="dxa"/>
          </w:tcPr>
          <w:p w:rsidR="00765933" w:rsidRPr="00765933" w:rsidRDefault="00765933">
            <w:pPr>
              <w:rPr>
                <w:rFonts w:asciiTheme="minorHAnsi" w:hAnsiTheme="minorHAnsi" w:cstheme="minorHAnsi"/>
                <w:b/>
                <w:sz w:val="22"/>
                <w:szCs w:val="22"/>
              </w:rPr>
            </w:pPr>
            <w:r w:rsidRPr="00765933">
              <w:rPr>
                <w:rFonts w:asciiTheme="minorHAnsi" w:hAnsiTheme="minorHAnsi" w:cstheme="minorHAnsi"/>
                <w:b/>
                <w:sz w:val="22"/>
                <w:szCs w:val="22"/>
              </w:rPr>
              <w:t>Description of Changes</w:t>
            </w:r>
          </w:p>
        </w:tc>
      </w:tr>
      <w:tr w:rsidR="00765933" w:rsidRPr="00765933" w:rsidTr="00765933">
        <w:tc>
          <w:tcPr>
            <w:tcW w:w="2337"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1</w:t>
            </w:r>
          </w:p>
        </w:tc>
        <w:tc>
          <w:tcPr>
            <w:tcW w:w="2337" w:type="dxa"/>
          </w:tcPr>
          <w:p w:rsidR="00765933" w:rsidRPr="00765933" w:rsidRDefault="00765933">
            <w:pPr>
              <w:rPr>
                <w:rFonts w:asciiTheme="minorHAnsi" w:hAnsiTheme="minorHAnsi" w:cstheme="minorHAnsi"/>
                <w:sz w:val="22"/>
                <w:szCs w:val="22"/>
              </w:rPr>
            </w:pPr>
            <w:r>
              <w:rPr>
                <w:rFonts w:asciiTheme="minorHAnsi" w:hAnsiTheme="minorHAnsi" w:cstheme="minorHAnsi"/>
                <w:sz w:val="22"/>
                <w:szCs w:val="22"/>
              </w:rPr>
              <w:t>9/26</w:t>
            </w:r>
            <w:r w:rsidRPr="00765933">
              <w:rPr>
                <w:rFonts w:asciiTheme="minorHAnsi" w:hAnsiTheme="minorHAnsi" w:cstheme="minorHAnsi"/>
                <w:sz w:val="22"/>
                <w:szCs w:val="22"/>
              </w:rPr>
              <w:t>/14</w:t>
            </w:r>
          </w:p>
        </w:tc>
        <w:tc>
          <w:tcPr>
            <w:tcW w:w="2338"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All</w:t>
            </w:r>
          </w:p>
        </w:tc>
        <w:tc>
          <w:tcPr>
            <w:tcW w:w="2338"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Initial Document</w:t>
            </w:r>
          </w:p>
        </w:tc>
      </w:tr>
      <w:tr w:rsidR="00765933" w:rsidRPr="00765933" w:rsidTr="00765933">
        <w:tc>
          <w:tcPr>
            <w:tcW w:w="2337"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2</w:t>
            </w:r>
          </w:p>
        </w:tc>
        <w:tc>
          <w:tcPr>
            <w:tcW w:w="2337"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2016</w:t>
            </w:r>
          </w:p>
        </w:tc>
        <w:tc>
          <w:tcPr>
            <w:tcW w:w="2338"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w:t>
            </w:r>
          </w:p>
        </w:tc>
        <w:tc>
          <w:tcPr>
            <w:tcW w:w="2338"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w:t>
            </w:r>
          </w:p>
        </w:tc>
      </w:tr>
      <w:tr w:rsidR="00765933" w:rsidRPr="00765933" w:rsidTr="00765933">
        <w:tc>
          <w:tcPr>
            <w:tcW w:w="2337"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3</w:t>
            </w:r>
          </w:p>
        </w:tc>
        <w:tc>
          <w:tcPr>
            <w:tcW w:w="2337"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1/8/2019</w:t>
            </w:r>
          </w:p>
        </w:tc>
        <w:tc>
          <w:tcPr>
            <w:tcW w:w="2338" w:type="dxa"/>
          </w:tcPr>
          <w:p w:rsidR="00765933" w:rsidRPr="00765933" w:rsidRDefault="00765933">
            <w:pPr>
              <w:rPr>
                <w:rFonts w:asciiTheme="minorHAnsi" w:hAnsiTheme="minorHAnsi" w:cstheme="minorHAnsi"/>
                <w:sz w:val="22"/>
                <w:szCs w:val="22"/>
              </w:rPr>
            </w:pPr>
            <w:r w:rsidRPr="00765933">
              <w:rPr>
                <w:rFonts w:asciiTheme="minorHAnsi" w:hAnsiTheme="minorHAnsi" w:cstheme="minorHAnsi"/>
                <w:sz w:val="22"/>
                <w:szCs w:val="22"/>
              </w:rPr>
              <w:t>Table 1, Reference section</w:t>
            </w:r>
          </w:p>
        </w:tc>
        <w:tc>
          <w:tcPr>
            <w:tcW w:w="2338" w:type="dxa"/>
          </w:tcPr>
          <w:p w:rsidR="00765933" w:rsidRPr="00765933" w:rsidRDefault="00FB2784">
            <w:pPr>
              <w:rPr>
                <w:rFonts w:asciiTheme="minorHAnsi" w:hAnsiTheme="minorHAnsi" w:cstheme="minorHAnsi"/>
                <w:sz w:val="22"/>
                <w:szCs w:val="22"/>
              </w:rPr>
            </w:pPr>
            <w:r>
              <w:rPr>
                <w:rFonts w:asciiTheme="minorHAnsi" w:hAnsiTheme="minorHAnsi" w:cstheme="minorHAnsi"/>
                <w:sz w:val="22"/>
                <w:szCs w:val="22"/>
              </w:rPr>
              <w:t>Minor</w:t>
            </w:r>
            <w:r w:rsidR="00765933">
              <w:rPr>
                <w:rFonts w:asciiTheme="minorHAnsi" w:hAnsiTheme="minorHAnsi" w:cstheme="minorHAnsi"/>
                <w:sz w:val="22"/>
                <w:szCs w:val="22"/>
              </w:rPr>
              <w:t xml:space="preserve"> typo edits to both</w:t>
            </w:r>
            <w:bookmarkStart w:id="0" w:name="_GoBack"/>
            <w:bookmarkEnd w:id="0"/>
          </w:p>
        </w:tc>
      </w:tr>
      <w:tr w:rsidR="00765933" w:rsidRPr="00765933" w:rsidTr="00765933">
        <w:tc>
          <w:tcPr>
            <w:tcW w:w="2337" w:type="dxa"/>
          </w:tcPr>
          <w:p w:rsidR="00765933" w:rsidRPr="00765933" w:rsidRDefault="00765933">
            <w:pPr>
              <w:rPr>
                <w:rFonts w:asciiTheme="minorHAnsi" w:hAnsiTheme="minorHAnsi" w:cstheme="minorHAnsi"/>
                <w:sz w:val="22"/>
                <w:szCs w:val="22"/>
              </w:rPr>
            </w:pPr>
          </w:p>
        </w:tc>
        <w:tc>
          <w:tcPr>
            <w:tcW w:w="2337" w:type="dxa"/>
          </w:tcPr>
          <w:p w:rsidR="00765933" w:rsidRPr="00765933" w:rsidRDefault="00765933">
            <w:pPr>
              <w:rPr>
                <w:rFonts w:asciiTheme="minorHAnsi" w:hAnsiTheme="minorHAnsi" w:cstheme="minorHAnsi"/>
                <w:sz w:val="22"/>
                <w:szCs w:val="22"/>
              </w:rPr>
            </w:pPr>
          </w:p>
        </w:tc>
        <w:tc>
          <w:tcPr>
            <w:tcW w:w="2338" w:type="dxa"/>
          </w:tcPr>
          <w:p w:rsidR="00765933" w:rsidRPr="00765933" w:rsidRDefault="00765933">
            <w:pPr>
              <w:rPr>
                <w:rFonts w:asciiTheme="minorHAnsi" w:hAnsiTheme="minorHAnsi" w:cstheme="minorHAnsi"/>
                <w:sz w:val="22"/>
                <w:szCs w:val="22"/>
              </w:rPr>
            </w:pPr>
          </w:p>
        </w:tc>
        <w:tc>
          <w:tcPr>
            <w:tcW w:w="2338" w:type="dxa"/>
          </w:tcPr>
          <w:p w:rsidR="00765933" w:rsidRPr="00765933" w:rsidRDefault="00765933">
            <w:pPr>
              <w:rPr>
                <w:rFonts w:asciiTheme="minorHAnsi" w:hAnsiTheme="minorHAnsi" w:cstheme="minorHAnsi"/>
                <w:sz w:val="22"/>
                <w:szCs w:val="22"/>
              </w:rPr>
            </w:pPr>
          </w:p>
        </w:tc>
      </w:tr>
      <w:tr w:rsidR="00765933" w:rsidRPr="00765933" w:rsidTr="00765933">
        <w:tc>
          <w:tcPr>
            <w:tcW w:w="2337" w:type="dxa"/>
          </w:tcPr>
          <w:p w:rsidR="00765933" w:rsidRPr="00765933" w:rsidRDefault="00765933">
            <w:pPr>
              <w:rPr>
                <w:rFonts w:asciiTheme="minorHAnsi" w:hAnsiTheme="minorHAnsi" w:cstheme="minorHAnsi"/>
                <w:sz w:val="22"/>
                <w:szCs w:val="22"/>
              </w:rPr>
            </w:pPr>
          </w:p>
        </w:tc>
        <w:tc>
          <w:tcPr>
            <w:tcW w:w="2337" w:type="dxa"/>
          </w:tcPr>
          <w:p w:rsidR="00765933" w:rsidRPr="00765933" w:rsidRDefault="00765933">
            <w:pPr>
              <w:rPr>
                <w:rFonts w:asciiTheme="minorHAnsi" w:hAnsiTheme="minorHAnsi" w:cstheme="minorHAnsi"/>
                <w:sz w:val="22"/>
                <w:szCs w:val="22"/>
              </w:rPr>
            </w:pPr>
          </w:p>
        </w:tc>
        <w:tc>
          <w:tcPr>
            <w:tcW w:w="2338" w:type="dxa"/>
          </w:tcPr>
          <w:p w:rsidR="00765933" w:rsidRPr="00765933" w:rsidRDefault="00765933">
            <w:pPr>
              <w:rPr>
                <w:rFonts w:asciiTheme="minorHAnsi" w:hAnsiTheme="minorHAnsi" w:cstheme="minorHAnsi"/>
                <w:sz w:val="22"/>
                <w:szCs w:val="22"/>
              </w:rPr>
            </w:pPr>
          </w:p>
        </w:tc>
        <w:tc>
          <w:tcPr>
            <w:tcW w:w="2338" w:type="dxa"/>
          </w:tcPr>
          <w:p w:rsidR="00765933" w:rsidRPr="00765933" w:rsidRDefault="00765933">
            <w:pPr>
              <w:rPr>
                <w:rFonts w:asciiTheme="minorHAnsi" w:hAnsiTheme="minorHAnsi" w:cstheme="minorHAnsi"/>
                <w:sz w:val="22"/>
                <w:szCs w:val="22"/>
              </w:rPr>
            </w:pPr>
          </w:p>
        </w:tc>
      </w:tr>
    </w:tbl>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1E343A">
      <w:pPr>
        <w:rPr>
          <w:rFonts w:asciiTheme="minorHAnsi" w:hAnsiTheme="minorHAnsi" w:cstheme="minorHAnsi"/>
        </w:rPr>
      </w:pPr>
    </w:p>
    <w:p w:rsidR="001E343A" w:rsidRDefault="00B6326D" w:rsidP="00B6326D">
      <w:pPr>
        <w:pStyle w:val="Heading1"/>
      </w:pPr>
      <w:r>
        <w:lastRenderedPageBreak/>
        <w:t>Introduction</w:t>
      </w:r>
    </w:p>
    <w:p w:rsidR="0075460E" w:rsidRPr="0064362B" w:rsidRDefault="00B407A4">
      <w:pPr>
        <w:rPr>
          <w:rFonts w:asciiTheme="minorHAnsi" w:hAnsiTheme="minorHAnsi" w:cstheme="minorHAnsi"/>
        </w:rPr>
      </w:pPr>
      <w:r w:rsidRPr="0064362B">
        <w:rPr>
          <w:rFonts w:asciiTheme="minorHAnsi" w:hAnsiTheme="minorHAnsi" w:cstheme="minorHAnsi"/>
        </w:rPr>
        <w:t xml:space="preserve">Neither </w:t>
      </w:r>
      <w:r w:rsidR="00A320E0" w:rsidRPr="0064362B">
        <w:rPr>
          <w:rFonts w:asciiTheme="minorHAnsi" w:hAnsiTheme="minorHAnsi" w:cstheme="minorHAnsi"/>
        </w:rPr>
        <w:t xml:space="preserve">the state of </w:t>
      </w:r>
      <w:r w:rsidR="00AD17C8" w:rsidRPr="0064362B">
        <w:rPr>
          <w:rFonts w:asciiTheme="minorHAnsi" w:hAnsiTheme="minorHAnsi" w:cstheme="minorHAnsi"/>
        </w:rPr>
        <w:t xml:space="preserve">Montana </w:t>
      </w:r>
      <w:r w:rsidRPr="0064362B">
        <w:rPr>
          <w:rFonts w:asciiTheme="minorHAnsi" w:hAnsiTheme="minorHAnsi" w:cstheme="minorHAnsi"/>
        </w:rPr>
        <w:t>nor the United States Environmental Protection Agency (USEPA) has</w:t>
      </w:r>
      <w:r w:rsidR="00AD17C8" w:rsidRPr="0064362B">
        <w:rPr>
          <w:rFonts w:asciiTheme="minorHAnsi" w:hAnsiTheme="minorHAnsi" w:cstheme="minorHAnsi"/>
        </w:rPr>
        <w:t xml:space="preserve"> </w:t>
      </w:r>
      <w:r w:rsidR="0075460E" w:rsidRPr="0064362B">
        <w:rPr>
          <w:rFonts w:asciiTheme="minorHAnsi" w:hAnsiTheme="minorHAnsi" w:cstheme="minorHAnsi"/>
        </w:rPr>
        <w:t xml:space="preserve">established </w:t>
      </w:r>
      <w:r w:rsidR="00AD17C8" w:rsidRPr="0064362B">
        <w:rPr>
          <w:rFonts w:asciiTheme="minorHAnsi" w:hAnsiTheme="minorHAnsi" w:cstheme="minorHAnsi"/>
        </w:rPr>
        <w:t>numeric water quality criteria for sulfate</w:t>
      </w:r>
      <w:r w:rsidR="00301FE3">
        <w:rPr>
          <w:rFonts w:asciiTheme="minorHAnsi" w:hAnsiTheme="minorHAnsi" w:cstheme="minorHAnsi"/>
        </w:rPr>
        <w:t xml:space="preserve">.  However, there are </w:t>
      </w:r>
      <w:r w:rsidR="00A320E0" w:rsidRPr="0064362B">
        <w:rPr>
          <w:rFonts w:asciiTheme="minorHAnsi" w:hAnsiTheme="minorHAnsi" w:cstheme="minorHAnsi"/>
        </w:rPr>
        <w:t xml:space="preserve">numerous studies that demonstrate </w:t>
      </w:r>
      <w:r w:rsidR="00B860B2">
        <w:rPr>
          <w:rFonts w:asciiTheme="minorHAnsi" w:hAnsiTheme="minorHAnsi" w:cstheme="minorHAnsi"/>
        </w:rPr>
        <w:t xml:space="preserve">sulfate’s </w:t>
      </w:r>
      <w:r w:rsidR="00A320E0" w:rsidRPr="0064362B">
        <w:rPr>
          <w:rFonts w:asciiTheme="minorHAnsi" w:hAnsiTheme="minorHAnsi" w:cstheme="minorHAnsi"/>
        </w:rPr>
        <w:t xml:space="preserve">negative health effects to aquatic life </w:t>
      </w:r>
      <w:r w:rsidR="00C71C20">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Agency&lt;/Author&gt;&lt;Year&gt;2014&lt;/Year&gt;&lt;RecNum&gt;12519&lt;/RecNum&gt;&lt;IDText&gt;ECOTOXicology (ECOTOX) Database Release 4.0&lt;/IDText&gt;&lt;MDL Ref_Type="Online Source"&gt;&lt;Ref_Type&gt;Online Source&lt;/Ref_Type&gt;&lt;Ref_ID&gt;12519&lt;/Ref_ID&gt;&lt;Title_Primary&gt;ECOTOXicology (ECOTOX) Database Release 4.0&lt;/Title_Primary&gt;&lt;Authors_Primary&gt;=U.S. Environmental Protection Agency&lt;/Authors_Primary&gt;&lt;Date_Primary&gt;2014/3/19&lt;/Date_Primary&gt;&lt;Reprint&gt;Not in File&lt;/Reprint&gt;&lt;Periodical&gt;U.S.Environmental Protection Agency Website&lt;/Periodical&gt;&lt;Publisher&gt;U.S. Environmental Protection Agency&lt;/Publisher&gt;&lt;Date_Secondary&gt;2014/3/19&lt;/Date_Secondary&gt;&lt;Web_URL&gt;&lt;u&gt;http://cfpub.epa.gov/ecotox/&lt;/u&gt;&lt;/Web_URL&gt;&lt;ZZ_JournalFull&gt;&lt;f name="System"&gt;U.S.Environmental Protection Agency Website&lt;/f&gt;&lt;/ZZ_JournalFull&gt;&lt;ZZ_WorkformID&gt;31&lt;/ZZ_WorkformID&gt;&lt;/MDL&gt;&lt;/Cite&gt;&lt;/Refman&gt;</w:instrText>
      </w:r>
      <w:r w:rsidR="00C71C20">
        <w:rPr>
          <w:rFonts w:asciiTheme="minorHAnsi" w:hAnsiTheme="minorHAnsi" w:cstheme="minorHAnsi"/>
        </w:rPr>
        <w:fldChar w:fldCharType="separate"/>
      </w:r>
      <w:r w:rsidR="00AA35E1">
        <w:rPr>
          <w:rFonts w:asciiTheme="minorHAnsi" w:hAnsiTheme="minorHAnsi" w:cstheme="minorHAnsi"/>
          <w:noProof/>
        </w:rPr>
        <w:t>(U</w:t>
      </w:r>
      <w:r w:rsidR="00827D74">
        <w:rPr>
          <w:rFonts w:asciiTheme="minorHAnsi" w:hAnsiTheme="minorHAnsi" w:cstheme="minorHAnsi"/>
          <w:noProof/>
        </w:rPr>
        <w:t>SEPA</w:t>
      </w:r>
      <w:r w:rsidR="00AA35E1">
        <w:rPr>
          <w:rFonts w:asciiTheme="minorHAnsi" w:hAnsiTheme="minorHAnsi" w:cstheme="minorHAnsi"/>
          <w:noProof/>
        </w:rPr>
        <w:t>, 2014)</w:t>
      </w:r>
      <w:r w:rsidR="00C71C20">
        <w:rPr>
          <w:rFonts w:asciiTheme="minorHAnsi" w:hAnsiTheme="minorHAnsi" w:cstheme="minorHAnsi"/>
        </w:rPr>
        <w:fldChar w:fldCharType="end"/>
      </w:r>
      <w:r w:rsidR="00197740" w:rsidRPr="0064362B">
        <w:rPr>
          <w:rFonts w:asciiTheme="minorHAnsi" w:hAnsiTheme="minorHAnsi" w:cstheme="minorHAnsi"/>
        </w:rPr>
        <w:t>,</w:t>
      </w:r>
      <w:r w:rsidR="0075460E" w:rsidRPr="0064362B">
        <w:rPr>
          <w:rFonts w:asciiTheme="minorHAnsi" w:hAnsiTheme="minorHAnsi" w:cstheme="minorHAnsi"/>
        </w:rPr>
        <w:t xml:space="preserve"> </w:t>
      </w:r>
      <w:r w:rsidR="003930AF" w:rsidRPr="0064362B">
        <w:rPr>
          <w:rFonts w:asciiTheme="minorHAnsi" w:hAnsiTheme="minorHAnsi" w:cstheme="minorHAnsi"/>
        </w:rPr>
        <w:t>humans</w:t>
      </w:r>
      <w:r w:rsidR="00664A23" w:rsidRPr="0064362B">
        <w:rPr>
          <w:rFonts w:asciiTheme="minorHAnsi" w:hAnsiTheme="minorHAnsi" w:cstheme="minorHAnsi"/>
        </w:rPr>
        <w:t xml:space="preserve"> </w:t>
      </w:r>
      <w:r w:rsidR="00C71C20">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 Office of Water&lt;/Author&gt;&lt;Year&gt;2003&lt;/Year&gt;&lt;RecNum&gt;18015&lt;/RecNum&gt;&lt;IDText&gt;Contaminant Candidate List Regulatory Determination Support Document for Sulfate&lt;/IDText&gt;&lt;MDL Ref_Type="Report"&gt;&lt;Ref_Type&gt;Report&lt;/Ref_Type&gt;&lt;Ref_ID&gt;18015&lt;/Ref_ID&gt;&lt;Title_Primary&gt;Contaminant Candidate List Regulatory Determination Support Document for Sulfate&lt;/Title_Primary&gt;&lt;Authors_Primary&gt;=U.S. Environmental Protection Agency, Office of Water&lt;/Authors_Primary&gt;&lt;Date_Primary&gt;2003/7&lt;/Date_Primary&gt;&lt;Keywords&gt;Standards&lt;/Keywords&gt;&lt;Keywords&gt;sulfate&lt;/Keywords&gt;&lt;Keywords&gt;support&lt;/Keywords&gt;&lt;Keywords&gt;Water quality&lt;/Keywords&gt;&lt;Reprint&gt;Not in File&lt;/Reprint&gt;&lt;Publisher&gt;U.S. Environmental Protection Agency, Office of Water&lt;/Publisher&gt;&lt;Date_Secondary&gt;2014/3/19&lt;/Date_Secondary&gt;&lt;Web_URL&gt;&lt;u&gt;http://www.epa.gov/ogwdw/ccl/pdfs/reg_determine1/support_cc1_sulfate_dwreport.pdf&lt;/u&gt;&lt;/Web_URL&gt;&lt;ZZ_WorkformID&gt;24&lt;/ZZ_WorkformID&gt;&lt;/MDL&gt;&lt;/Cite&gt;&lt;/Refman&gt;</w:instrText>
      </w:r>
      <w:r w:rsidR="00C71C20">
        <w:rPr>
          <w:rFonts w:asciiTheme="minorHAnsi" w:hAnsiTheme="minorHAnsi" w:cstheme="minorHAnsi"/>
        </w:rPr>
        <w:fldChar w:fldCharType="separate"/>
      </w:r>
      <w:r w:rsidR="00AA35E1">
        <w:rPr>
          <w:rFonts w:asciiTheme="minorHAnsi" w:hAnsiTheme="minorHAnsi" w:cstheme="minorHAnsi"/>
          <w:noProof/>
        </w:rPr>
        <w:t>(U</w:t>
      </w:r>
      <w:r w:rsidR="00827D74">
        <w:rPr>
          <w:rFonts w:asciiTheme="minorHAnsi" w:hAnsiTheme="minorHAnsi" w:cstheme="minorHAnsi"/>
          <w:noProof/>
        </w:rPr>
        <w:t>SEPA</w:t>
      </w:r>
      <w:r w:rsidR="00AA35E1">
        <w:rPr>
          <w:rFonts w:asciiTheme="minorHAnsi" w:hAnsiTheme="minorHAnsi" w:cstheme="minorHAnsi"/>
          <w:noProof/>
        </w:rPr>
        <w:t>, Office of Water, 2003)</w:t>
      </w:r>
      <w:r w:rsidR="00C71C20">
        <w:rPr>
          <w:rFonts w:asciiTheme="minorHAnsi" w:hAnsiTheme="minorHAnsi" w:cstheme="minorHAnsi"/>
        </w:rPr>
        <w:fldChar w:fldCharType="end"/>
      </w:r>
      <w:r w:rsidR="00197740" w:rsidRPr="0064362B">
        <w:rPr>
          <w:rFonts w:asciiTheme="minorHAnsi" w:hAnsiTheme="minorHAnsi" w:cstheme="minorHAnsi"/>
        </w:rPr>
        <w:t>,</w:t>
      </w:r>
      <w:r w:rsidR="003930AF" w:rsidRPr="0064362B">
        <w:rPr>
          <w:rFonts w:asciiTheme="minorHAnsi" w:hAnsiTheme="minorHAnsi" w:cstheme="minorHAnsi"/>
        </w:rPr>
        <w:t xml:space="preserve"> and animals</w:t>
      </w:r>
      <w:r w:rsidR="00664A23" w:rsidRPr="0064362B">
        <w:rPr>
          <w:rFonts w:asciiTheme="minorHAnsi" w:hAnsiTheme="minorHAnsi" w:cstheme="minorHAnsi"/>
        </w:rPr>
        <w:t xml:space="preserve"> </w:t>
      </w:r>
      <w:r w:rsidR="00C71C20">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&lt;Refman&gt;&lt;Cite&gt;&lt;Author&gt;Illinois Environmental Protection Agency&lt;/Author&gt;&lt;Year&gt;2006&lt;/Year&gt;&lt;RecNum&gt;18018&lt;/RecNum&gt;&lt;IDText&gt;Preliminary Technical Justification for Changing Water Quality Standards for Sulfates, Total Dissolved Solids and Mixing Zones&lt;/IDText&gt;&lt;MDL Ref_Type="Report"&gt;&lt;Ref_Type&gt;Report&lt;/Ref_Type&gt;&lt;Ref_ID&gt;18018&lt;/Ref_ID&gt;&lt;Title_Primary&gt;Preliminary Technical Justification for Changing Water Quality Standards for Sulfates, Total Dissolved Solids and Mixing Zones&lt;/Title_Primary&gt;&lt;Authors_Primary&gt;=Illinois Environmental Protection Agency&lt;/Authors_Primary&gt;&lt;Date_Primary&gt;2006/4&lt;/Date_Primary&gt;&lt;Keywords&gt;Dissolved solids&lt;/Keywords&gt;&lt;Keywords&gt;Mixing&lt;/Keywords&gt;&lt;Keywords&gt;mixing zone&lt;/Keywords&gt;&lt;Keywords&gt;Standards&lt;/Keywords&gt;&lt;Keywords&gt;sulfate&lt;/Keywords&gt;&lt;Keywords&gt;Sulfates&lt;/Keywords&gt;&lt;Keywords&gt;total dissolved solids&lt;/Keywords&gt;&lt;Keywords&gt;Water&lt;/Keywords&gt;&lt;Keywords&gt;Water quality&lt;/Keywords&gt;&lt;Reprint&gt;Not in File&lt;/Reprint&gt;&lt;Start_Page&gt;16&lt;/Start_Page&gt;&lt;End_Page&gt;61&lt;/End_Page&gt;&lt;Periodical&gt;Iowa Department of Natural Resources Water Quality Standards Review: Chloride, Sulfate and Total Dissolved Solids&lt;/Periodical&gt;&lt;Publisher&gt;Iowa Department of Natural Resources&lt;/Publisher&gt;&lt;ZZ_JournalFull&gt;&lt;f name="System"&gt;Iowa Department of Natural Resources Water Quality Standards Review: Chloride, Sulfate and Total Dissolved Solids&lt;/f&gt;&lt;/ZZ_JournalFull&gt;&lt;ZZ_WorkformID&gt;24&lt;/ZZ_WorkformID&gt;&lt;/MDL&gt;&lt;/Cite&gt;&lt;/Refman&gt;</w:instrText>
      </w:r>
      <w:r w:rsidR="00C71C20">
        <w:rPr>
          <w:rFonts w:asciiTheme="minorHAnsi" w:hAnsiTheme="minorHAnsi" w:cstheme="minorHAnsi"/>
        </w:rPr>
        <w:fldChar w:fldCharType="separate"/>
      </w:r>
      <w:r w:rsidR="00C71C20">
        <w:rPr>
          <w:rFonts w:asciiTheme="minorHAnsi" w:hAnsiTheme="minorHAnsi" w:cstheme="minorHAnsi"/>
          <w:noProof/>
        </w:rPr>
        <w:t xml:space="preserve">(Illinois </w:t>
      </w:r>
      <w:r w:rsidR="00827D74">
        <w:rPr>
          <w:rFonts w:asciiTheme="minorHAnsi" w:hAnsiTheme="minorHAnsi" w:cstheme="minorHAnsi"/>
          <w:noProof/>
        </w:rPr>
        <w:t>EPA</w:t>
      </w:r>
      <w:r w:rsidR="00C71C20">
        <w:rPr>
          <w:rFonts w:asciiTheme="minorHAnsi" w:hAnsiTheme="minorHAnsi" w:cstheme="minorHAnsi"/>
          <w:noProof/>
        </w:rPr>
        <w:t>, 2006)</w:t>
      </w:r>
      <w:r w:rsidR="00C71C20">
        <w:rPr>
          <w:rFonts w:asciiTheme="minorHAnsi" w:hAnsiTheme="minorHAnsi" w:cstheme="minorHAnsi"/>
        </w:rPr>
        <w:fldChar w:fldCharType="end"/>
      </w:r>
      <w:r w:rsidR="003930AF" w:rsidRPr="0064362B">
        <w:rPr>
          <w:rFonts w:asciiTheme="minorHAnsi" w:hAnsiTheme="minorHAnsi" w:cstheme="minorHAnsi"/>
        </w:rPr>
        <w:t>.</w:t>
      </w:r>
      <w:r w:rsidR="0075460E" w:rsidRPr="0064362B">
        <w:rPr>
          <w:rFonts w:asciiTheme="minorHAnsi" w:hAnsiTheme="minorHAnsi" w:cstheme="minorHAnsi"/>
        </w:rPr>
        <w:t xml:space="preserve"> </w:t>
      </w:r>
    </w:p>
    <w:p w:rsidR="0075460E" w:rsidRPr="0064362B" w:rsidRDefault="0075460E">
      <w:pPr>
        <w:rPr>
          <w:rFonts w:asciiTheme="minorHAnsi" w:hAnsiTheme="minorHAnsi" w:cstheme="minorHAnsi"/>
        </w:rPr>
      </w:pPr>
    </w:p>
    <w:p w:rsidR="00AD17C8" w:rsidRPr="0064362B" w:rsidRDefault="002237E9">
      <w:pPr>
        <w:rPr>
          <w:rFonts w:asciiTheme="minorHAnsi" w:hAnsiTheme="minorHAnsi" w:cstheme="minorHAnsi"/>
        </w:rPr>
      </w:pPr>
      <w:r>
        <w:rPr>
          <w:rFonts w:asciiTheme="minorHAnsi" w:hAnsiTheme="minorHAnsi" w:cstheme="minorHAnsi"/>
        </w:rPr>
        <w:t>Although</w:t>
      </w:r>
      <w:r w:rsidR="00A320E0" w:rsidRPr="0064362B">
        <w:rPr>
          <w:rFonts w:asciiTheme="minorHAnsi" w:hAnsiTheme="minorHAnsi" w:cstheme="minorHAnsi"/>
        </w:rPr>
        <w:t xml:space="preserve"> there are no numeric water quality criteria for sulfate</w:t>
      </w:r>
      <w:r w:rsidR="00EA6638" w:rsidRPr="0064362B">
        <w:rPr>
          <w:rFonts w:asciiTheme="minorHAnsi" w:hAnsiTheme="minorHAnsi" w:cstheme="minorHAnsi"/>
        </w:rPr>
        <w:t xml:space="preserve"> in Montana</w:t>
      </w:r>
      <w:r w:rsidR="00A320E0" w:rsidRPr="0064362B">
        <w:rPr>
          <w:rFonts w:asciiTheme="minorHAnsi" w:hAnsiTheme="minorHAnsi" w:cstheme="minorHAnsi"/>
        </w:rPr>
        <w:t xml:space="preserve">, surface waters are protected from the harmful effects of toxic substances through narrative water quality criteria.  </w:t>
      </w:r>
      <w:r w:rsidR="00B407A4" w:rsidRPr="0064362B">
        <w:rPr>
          <w:rFonts w:asciiTheme="minorHAnsi" w:hAnsiTheme="minorHAnsi" w:cstheme="minorHAnsi"/>
        </w:rPr>
        <w:t>T</w:t>
      </w:r>
      <w:r w:rsidR="00EA0526" w:rsidRPr="0064362B">
        <w:rPr>
          <w:rFonts w:asciiTheme="minorHAnsi" w:hAnsiTheme="minorHAnsi" w:cstheme="minorHAnsi"/>
        </w:rPr>
        <w:t>he</w:t>
      </w:r>
      <w:r w:rsidR="00F9580D" w:rsidRPr="0064362B">
        <w:rPr>
          <w:rFonts w:asciiTheme="minorHAnsi" w:hAnsiTheme="minorHAnsi" w:cstheme="minorHAnsi"/>
        </w:rPr>
        <w:t xml:space="preserve"> Administrative Rules of Montana</w:t>
      </w:r>
      <w:r w:rsidR="00D92FC5">
        <w:rPr>
          <w:rFonts w:asciiTheme="minorHAnsi" w:hAnsiTheme="minorHAnsi" w:cstheme="minorHAnsi"/>
        </w:rPr>
        <w:t xml:space="preserve"> </w:t>
      </w:r>
      <w:r w:rsidR="00F9580D" w:rsidRPr="0064362B">
        <w:rPr>
          <w:rFonts w:asciiTheme="minorHAnsi" w:hAnsiTheme="minorHAnsi" w:cstheme="minorHAnsi"/>
        </w:rPr>
        <w:t>17</w:t>
      </w:r>
      <w:r w:rsidR="00D92FC5">
        <w:rPr>
          <w:rFonts w:asciiTheme="minorHAnsi" w:hAnsiTheme="minorHAnsi" w:cstheme="minorHAnsi"/>
        </w:rPr>
        <w:t>.</w:t>
      </w:r>
      <w:r w:rsidR="00F9580D" w:rsidRPr="0064362B">
        <w:rPr>
          <w:rFonts w:asciiTheme="minorHAnsi" w:hAnsiTheme="minorHAnsi" w:cstheme="minorHAnsi"/>
        </w:rPr>
        <w:t>30</w:t>
      </w:r>
      <w:r w:rsidR="00D92FC5">
        <w:rPr>
          <w:rFonts w:asciiTheme="minorHAnsi" w:hAnsiTheme="minorHAnsi" w:cstheme="minorHAnsi"/>
        </w:rPr>
        <w:t>.</w:t>
      </w:r>
      <w:r w:rsidR="00F9580D" w:rsidRPr="0064362B">
        <w:rPr>
          <w:rFonts w:asciiTheme="minorHAnsi" w:hAnsiTheme="minorHAnsi" w:cstheme="minorHAnsi"/>
        </w:rPr>
        <w:t>6</w:t>
      </w:r>
      <w:r w:rsidR="00D92FC5">
        <w:rPr>
          <w:rFonts w:asciiTheme="minorHAnsi" w:hAnsiTheme="minorHAnsi" w:cstheme="minorHAnsi"/>
        </w:rPr>
        <w:t>37</w:t>
      </w:r>
      <w:r w:rsidR="00F9580D" w:rsidRPr="0064362B">
        <w:rPr>
          <w:rFonts w:asciiTheme="minorHAnsi" w:hAnsiTheme="minorHAnsi" w:cstheme="minorHAnsi"/>
        </w:rPr>
        <w:t xml:space="preserve"> sets </w:t>
      </w:r>
      <w:r w:rsidR="00A320E0" w:rsidRPr="0064362B">
        <w:rPr>
          <w:rFonts w:asciiTheme="minorHAnsi" w:hAnsiTheme="minorHAnsi" w:cstheme="minorHAnsi"/>
        </w:rPr>
        <w:t xml:space="preserve">a general </w:t>
      </w:r>
      <w:r w:rsidR="00F9580D" w:rsidRPr="0064362B">
        <w:rPr>
          <w:rFonts w:asciiTheme="minorHAnsi" w:hAnsiTheme="minorHAnsi" w:cstheme="minorHAnsi"/>
        </w:rPr>
        <w:t>prohibit</w:t>
      </w:r>
      <w:r w:rsidR="00A320E0" w:rsidRPr="0064362B">
        <w:rPr>
          <w:rFonts w:asciiTheme="minorHAnsi" w:hAnsiTheme="minorHAnsi" w:cstheme="minorHAnsi"/>
        </w:rPr>
        <w:t>ion against</w:t>
      </w:r>
      <w:r w:rsidR="00F9580D" w:rsidRPr="0064362B">
        <w:rPr>
          <w:rFonts w:asciiTheme="minorHAnsi" w:hAnsiTheme="minorHAnsi" w:cstheme="minorHAnsi"/>
        </w:rPr>
        <w:t xml:space="preserve"> </w:t>
      </w:r>
      <w:r w:rsidR="00327A03" w:rsidRPr="0064362B">
        <w:rPr>
          <w:rFonts w:asciiTheme="minorHAnsi" w:hAnsiTheme="minorHAnsi" w:cstheme="minorHAnsi"/>
        </w:rPr>
        <w:t>discharge of substances that will create concentrations or combinations of materials which are toxic or harmful to human, animal, plant, or aquatic life.</w:t>
      </w:r>
      <w:r w:rsidR="00F9580D" w:rsidRPr="0064362B">
        <w:rPr>
          <w:rFonts w:asciiTheme="minorHAnsi" w:hAnsiTheme="minorHAnsi" w:cstheme="minorHAnsi"/>
        </w:rPr>
        <w:t xml:space="preserve"> </w:t>
      </w:r>
    </w:p>
    <w:p w:rsidR="00B407A4" w:rsidRPr="0064362B" w:rsidRDefault="00B407A4">
      <w:pPr>
        <w:rPr>
          <w:rFonts w:asciiTheme="minorHAnsi" w:hAnsiTheme="minorHAnsi" w:cstheme="minorHAnsi"/>
        </w:rPr>
      </w:pPr>
    </w:p>
    <w:p w:rsidR="00B8047B" w:rsidRPr="007B55DD" w:rsidRDefault="00315F74">
      <w:pPr>
        <w:rPr>
          <w:rFonts w:asciiTheme="minorHAnsi" w:hAnsiTheme="minorHAnsi" w:cstheme="minorHAnsi"/>
        </w:rPr>
      </w:pPr>
      <w:r>
        <w:rPr>
          <w:rFonts w:asciiTheme="minorHAnsi" w:hAnsiTheme="minorHAnsi" w:cstheme="minorHAnsi"/>
        </w:rPr>
        <w:t>In t</w:t>
      </w:r>
      <w:r w:rsidR="00B407A4" w:rsidRPr="0064362B">
        <w:rPr>
          <w:rFonts w:asciiTheme="minorHAnsi" w:hAnsiTheme="minorHAnsi" w:cstheme="minorHAnsi"/>
        </w:rPr>
        <w:t>his document</w:t>
      </w:r>
      <w:r>
        <w:rPr>
          <w:rFonts w:asciiTheme="minorHAnsi" w:hAnsiTheme="minorHAnsi" w:cstheme="minorHAnsi"/>
        </w:rPr>
        <w:t>, the Montana Department of Environmental Quality (DEQ)</w:t>
      </w:r>
      <w:r w:rsidR="00B407A4" w:rsidRPr="0064362B">
        <w:rPr>
          <w:rFonts w:asciiTheme="minorHAnsi" w:hAnsiTheme="minorHAnsi" w:cstheme="minorHAnsi"/>
        </w:rPr>
        <w:t xml:space="preserve"> </w:t>
      </w:r>
      <w:r w:rsidR="00E70C50" w:rsidRPr="0064362B">
        <w:rPr>
          <w:rFonts w:asciiTheme="minorHAnsi" w:hAnsiTheme="minorHAnsi" w:cstheme="minorHAnsi"/>
        </w:rPr>
        <w:t>translates Montana’s</w:t>
      </w:r>
      <w:r w:rsidR="00A320E0" w:rsidRPr="0064362B">
        <w:rPr>
          <w:rFonts w:asciiTheme="minorHAnsi" w:hAnsiTheme="minorHAnsi" w:cstheme="minorHAnsi"/>
        </w:rPr>
        <w:t xml:space="preserve"> narrative criteria </w:t>
      </w:r>
      <w:r w:rsidR="00731EC0" w:rsidRPr="0064362B">
        <w:rPr>
          <w:rFonts w:asciiTheme="minorHAnsi" w:hAnsiTheme="minorHAnsi" w:cstheme="minorHAnsi"/>
        </w:rPr>
        <w:t>to</w:t>
      </w:r>
      <w:r w:rsidR="00A320E0" w:rsidRPr="0064362B">
        <w:rPr>
          <w:rFonts w:asciiTheme="minorHAnsi" w:hAnsiTheme="minorHAnsi" w:cstheme="minorHAnsi"/>
        </w:rPr>
        <w:t xml:space="preserve"> establish water quality targets for sulfate in Montana surface waters</w:t>
      </w:r>
      <w:r w:rsidR="009F7AEE" w:rsidRPr="0064362B">
        <w:rPr>
          <w:rFonts w:asciiTheme="minorHAnsi" w:hAnsiTheme="minorHAnsi" w:cstheme="minorHAnsi"/>
        </w:rPr>
        <w:t>.</w:t>
      </w:r>
      <w:r w:rsidR="001F10A3" w:rsidRPr="0064362B">
        <w:rPr>
          <w:rFonts w:asciiTheme="minorHAnsi" w:hAnsiTheme="minorHAnsi" w:cstheme="minorHAnsi"/>
        </w:rPr>
        <w:t xml:space="preserve"> The targets are based on the most recent scientific information available, and may be used in water quality assessments</w:t>
      </w:r>
      <w:r w:rsidR="002F43ED">
        <w:rPr>
          <w:rFonts w:asciiTheme="minorHAnsi" w:hAnsiTheme="minorHAnsi" w:cstheme="minorHAnsi"/>
        </w:rPr>
        <w:t xml:space="preserve"> and </w:t>
      </w:r>
      <w:r w:rsidR="001F10A3" w:rsidRPr="0064362B">
        <w:rPr>
          <w:rFonts w:asciiTheme="minorHAnsi" w:hAnsiTheme="minorHAnsi" w:cstheme="minorHAnsi"/>
        </w:rPr>
        <w:t>total maximum daily load cal</w:t>
      </w:r>
      <w:r w:rsidR="002F43ED">
        <w:rPr>
          <w:rFonts w:asciiTheme="minorHAnsi" w:hAnsiTheme="minorHAnsi" w:cstheme="minorHAnsi"/>
        </w:rPr>
        <w:t>culations</w:t>
      </w:r>
      <w:r w:rsidR="001F10A3" w:rsidRPr="0064362B">
        <w:rPr>
          <w:rFonts w:asciiTheme="minorHAnsi" w:hAnsiTheme="minorHAnsi" w:cstheme="minorHAnsi"/>
        </w:rPr>
        <w:t xml:space="preserve">. </w:t>
      </w:r>
      <w:r w:rsidR="007E2990" w:rsidRPr="007B55DD">
        <w:rPr>
          <w:rFonts w:asciiTheme="minorHAnsi" w:hAnsiTheme="minorHAnsi" w:cstheme="minorHAnsi"/>
        </w:rPr>
        <w:t xml:space="preserve">The targets </w:t>
      </w:r>
      <w:r w:rsidR="0096557A">
        <w:rPr>
          <w:rFonts w:asciiTheme="minorHAnsi" w:hAnsiTheme="minorHAnsi" w:cstheme="minorHAnsi"/>
        </w:rPr>
        <w:t xml:space="preserve">may </w:t>
      </w:r>
      <w:r w:rsidR="007E2990" w:rsidRPr="007B55DD">
        <w:rPr>
          <w:rFonts w:asciiTheme="minorHAnsi" w:hAnsiTheme="minorHAnsi" w:cstheme="minorHAnsi"/>
        </w:rPr>
        <w:t>be applied to A and B class waters in Montana. They may be applied to C class waters on a case by case basis</w:t>
      </w:r>
      <w:r w:rsidR="0052687F">
        <w:rPr>
          <w:rFonts w:asciiTheme="minorHAnsi" w:hAnsiTheme="minorHAnsi" w:cstheme="minorHAnsi"/>
        </w:rPr>
        <w:t>,</w:t>
      </w:r>
      <w:r w:rsidR="007E2990" w:rsidRPr="007B55DD">
        <w:rPr>
          <w:rFonts w:asciiTheme="minorHAnsi" w:hAnsiTheme="minorHAnsi" w:cstheme="minorHAnsi"/>
        </w:rPr>
        <w:t xml:space="preserve"> </w:t>
      </w:r>
      <w:r w:rsidR="0096557A">
        <w:rPr>
          <w:rFonts w:asciiTheme="minorHAnsi" w:hAnsiTheme="minorHAnsi" w:cstheme="minorHAnsi"/>
        </w:rPr>
        <w:t>if appropriate</w:t>
      </w:r>
      <w:r w:rsidR="0052687F">
        <w:rPr>
          <w:rFonts w:asciiTheme="minorHAnsi" w:hAnsiTheme="minorHAnsi" w:cstheme="minorHAnsi"/>
        </w:rPr>
        <w:t>,</w:t>
      </w:r>
      <w:r w:rsidR="0096557A">
        <w:rPr>
          <w:rFonts w:asciiTheme="minorHAnsi" w:hAnsiTheme="minorHAnsi" w:cstheme="minorHAnsi"/>
        </w:rPr>
        <w:t xml:space="preserve"> based upon site-specific information</w:t>
      </w:r>
      <w:r w:rsidR="007E2990" w:rsidRPr="007B55DD">
        <w:rPr>
          <w:rFonts w:asciiTheme="minorHAnsi" w:hAnsiTheme="minorHAnsi" w:cstheme="minorHAnsi"/>
        </w:rPr>
        <w:t>.</w:t>
      </w:r>
      <w:r w:rsidR="00FA74AB">
        <w:rPr>
          <w:rFonts w:asciiTheme="minorHAnsi" w:hAnsiTheme="minorHAnsi" w:cstheme="minorHAnsi"/>
        </w:rPr>
        <w:t xml:space="preserve"> As new sulfate toxicity studies become available, these targets are subject to change to reflect the most current information. </w:t>
      </w:r>
    </w:p>
    <w:p w:rsidR="00BC16F2" w:rsidRPr="007B55DD" w:rsidRDefault="00BC16F2">
      <w:pPr>
        <w:rPr>
          <w:rFonts w:asciiTheme="minorHAnsi" w:hAnsiTheme="minorHAnsi" w:cstheme="minorHAnsi"/>
        </w:rPr>
      </w:pPr>
    </w:p>
    <w:p w:rsidR="00AD17C8" w:rsidRPr="0064362B" w:rsidRDefault="007E2990">
      <w:pPr>
        <w:rPr>
          <w:rFonts w:asciiTheme="minorHAnsi" w:hAnsiTheme="minorHAnsi" w:cstheme="minorHAnsi"/>
        </w:rPr>
      </w:pPr>
      <w:r w:rsidRPr="007B55DD">
        <w:rPr>
          <w:rFonts w:asciiTheme="minorHAnsi" w:hAnsiTheme="minorHAnsi" w:cstheme="minorHAnsi"/>
        </w:rPr>
        <w:t>There are some areas in Montana</w:t>
      </w:r>
      <w:r w:rsidR="006F6B43" w:rsidRPr="007B55DD">
        <w:rPr>
          <w:rFonts w:asciiTheme="minorHAnsi" w:hAnsiTheme="minorHAnsi" w:cstheme="minorHAnsi"/>
        </w:rPr>
        <w:t xml:space="preserve"> that have naturally high levels of sulfate. </w:t>
      </w:r>
      <w:r w:rsidR="00EC0FAB" w:rsidRPr="007B55DD">
        <w:rPr>
          <w:rFonts w:asciiTheme="minorHAnsi" w:hAnsiTheme="minorHAnsi" w:cstheme="minorHAnsi"/>
        </w:rPr>
        <w:t xml:space="preserve">The sulfate targets </w:t>
      </w:r>
      <w:r w:rsidR="00B8047B" w:rsidRPr="007B55DD">
        <w:rPr>
          <w:rFonts w:asciiTheme="minorHAnsi" w:hAnsiTheme="minorHAnsi" w:cstheme="minorHAnsi"/>
        </w:rPr>
        <w:t xml:space="preserve">herein </w:t>
      </w:r>
      <w:r w:rsidR="00EC0FAB" w:rsidRPr="007B55DD">
        <w:rPr>
          <w:rFonts w:asciiTheme="minorHAnsi" w:hAnsiTheme="minorHAnsi" w:cstheme="minorHAnsi"/>
        </w:rPr>
        <w:t>only appl</w:t>
      </w:r>
      <w:r w:rsidR="00805946">
        <w:rPr>
          <w:rFonts w:asciiTheme="minorHAnsi" w:hAnsiTheme="minorHAnsi" w:cstheme="minorHAnsi"/>
        </w:rPr>
        <w:t>y</w:t>
      </w:r>
      <w:r w:rsidR="00EC0FAB" w:rsidRPr="007B55DD">
        <w:rPr>
          <w:rFonts w:asciiTheme="minorHAnsi" w:hAnsiTheme="minorHAnsi" w:cstheme="minorHAnsi"/>
        </w:rPr>
        <w:t xml:space="preserve"> where anthropogenic sources of sulfate are present that have caused or may cause sulfate levels that are potentially toxic or harmful to human, animal, plant, or aquatic life. There may be </w:t>
      </w:r>
      <w:r w:rsidR="0096557A">
        <w:rPr>
          <w:rFonts w:asciiTheme="minorHAnsi" w:hAnsiTheme="minorHAnsi" w:cstheme="minorHAnsi"/>
        </w:rPr>
        <w:t xml:space="preserve">site-specific </w:t>
      </w:r>
      <w:r w:rsidR="00EC0FAB" w:rsidRPr="007B55DD">
        <w:rPr>
          <w:rFonts w:asciiTheme="minorHAnsi" w:hAnsiTheme="minorHAnsi" w:cstheme="minorHAnsi"/>
        </w:rPr>
        <w:t xml:space="preserve">situations where aquatic life, plants, and animals have adapted to the levels of sulfate present. In these situations, </w:t>
      </w:r>
      <w:r w:rsidRPr="007B55DD">
        <w:rPr>
          <w:rFonts w:asciiTheme="minorHAnsi" w:hAnsiTheme="minorHAnsi" w:cstheme="minorHAnsi"/>
        </w:rPr>
        <w:t xml:space="preserve">regardless of use class, </w:t>
      </w:r>
      <w:r w:rsidR="00EC0FAB" w:rsidRPr="007B55DD">
        <w:rPr>
          <w:rFonts w:asciiTheme="minorHAnsi" w:hAnsiTheme="minorHAnsi" w:cstheme="minorHAnsi"/>
        </w:rPr>
        <w:t>sulfate targets may not apply or may be different than those proposed in this document.</w:t>
      </w:r>
      <w:r w:rsidR="00BE1CFE">
        <w:rPr>
          <w:rFonts w:asciiTheme="minorHAnsi" w:hAnsiTheme="minorHAnsi" w:cstheme="minorHAnsi"/>
        </w:rPr>
        <w:t xml:space="preserve"> </w:t>
      </w:r>
    </w:p>
    <w:p w:rsidR="00731EC0" w:rsidRPr="006678C7" w:rsidRDefault="00731EC0">
      <w:pPr>
        <w:rPr>
          <w:rFonts w:asciiTheme="minorHAnsi" w:hAnsiTheme="minorHAnsi" w:cstheme="minorHAnsi"/>
        </w:rPr>
      </w:pPr>
    </w:p>
    <w:p w:rsidR="0075460E" w:rsidRPr="006678C7" w:rsidRDefault="00197740" w:rsidP="00731EC0">
      <w:pPr>
        <w:pStyle w:val="Heading1"/>
        <w:rPr>
          <w:rFonts w:asciiTheme="minorHAnsi" w:hAnsiTheme="minorHAnsi" w:cstheme="minorHAnsi"/>
        </w:rPr>
      </w:pPr>
      <w:r w:rsidRPr="006678C7">
        <w:rPr>
          <w:rFonts w:asciiTheme="minorHAnsi" w:hAnsiTheme="minorHAnsi" w:cstheme="minorHAnsi"/>
        </w:rPr>
        <w:t>Sulfate toxicity to humans</w:t>
      </w:r>
    </w:p>
    <w:p w:rsidR="00AD17C8" w:rsidRPr="006678C7" w:rsidRDefault="00AD17C8" w:rsidP="00731EC0">
      <w:pPr>
        <w:pStyle w:val="Heading2"/>
        <w:rPr>
          <w:rFonts w:asciiTheme="minorHAnsi" w:hAnsiTheme="minorHAnsi" w:cstheme="minorHAnsi"/>
        </w:rPr>
      </w:pPr>
      <w:r w:rsidRPr="006678C7">
        <w:rPr>
          <w:rFonts w:asciiTheme="minorHAnsi" w:hAnsiTheme="minorHAnsi" w:cstheme="minorHAnsi"/>
        </w:rPr>
        <w:t>Drinking water use</w:t>
      </w:r>
    </w:p>
    <w:p w:rsidR="00327A03" w:rsidRPr="0064362B" w:rsidRDefault="003930AF">
      <w:pPr>
        <w:rPr>
          <w:rFonts w:asciiTheme="minorHAnsi" w:hAnsiTheme="minorHAnsi" w:cstheme="minorHAnsi"/>
        </w:rPr>
      </w:pPr>
      <w:r w:rsidRPr="0064362B">
        <w:rPr>
          <w:rFonts w:asciiTheme="minorHAnsi" w:hAnsiTheme="minorHAnsi" w:cstheme="minorHAnsi"/>
        </w:rPr>
        <w:t xml:space="preserve">In 1979, </w:t>
      </w:r>
      <w:r w:rsidR="00941DF4" w:rsidRPr="0064362B">
        <w:rPr>
          <w:rFonts w:asciiTheme="minorHAnsi" w:hAnsiTheme="minorHAnsi" w:cstheme="minorHAnsi"/>
        </w:rPr>
        <w:t>US</w:t>
      </w:r>
      <w:r w:rsidR="00B407A4" w:rsidRPr="0064362B">
        <w:rPr>
          <w:rFonts w:asciiTheme="minorHAnsi" w:hAnsiTheme="minorHAnsi" w:cstheme="minorHAnsi"/>
        </w:rPr>
        <w:t>EPA</w:t>
      </w:r>
      <w:r w:rsidR="00B47E8A" w:rsidRPr="0064362B">
        <w:rPr>
          <w:rFonts w:asciiTheme="minorHAnsi" w:hAnsiTheme="minorHAnsi" w:cstheme="minorHAnsi"/>
        </w:rPr>
        <w:t xml:space="preserve"> set a secondary maximum contaminant limit (SMCL) </w:t>
      </w:r>
      <w:r w:rsidRPr="0064362B">
        <w:rPr>
          <w:rFonts w:asciiTheme="minorHAnsi" w:hAnsiTheme="minorHAnsi" w:cstheme="minorHAnsi"/>
        </w:rPr>
        <w:t xml:space="preserve">for sulfate </w:t>
      </w:r>
      <w:r w:rsidR="00B47E8A" w:rsidRPr="0064362B">
        <w:rPr>
          <w:rFonts w:asciiTheme="minorHAnsi" w:hAnsiTheme="minorHAnsi" w:cstheme="minorHAnsi"/>
        </w:rPr>
        <w:t>of 250 milligrams per liter (mg/L)</w:t>
      </w:r>
      <w:r w:rsidR="00664A23" w:rsidRPr="0064362B">
        <w:rPr>
          <w:rFonts w:asciiTheme="minorHAnsi" w:hAnsiTheme="minorHAnsi" w:cstheme="minorHAnsi"/>
        </w:rPr>
        <w:t xml:space="preserve"> </w:t>
      </w:r>
      <w:r w:rsidR="00C71C20">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 Office of Water&lt;/Author&gt;&lt;Year&gt;2003&lt;/Year&gt;&lt;RecNum&gt;18015&lt;/RecNum&gt;&lt;IDText&gt;Contaminant Candidate List Regulatory Determination Support Document for Sulfate&lt;/IDText&gt;&lt;MDL Ref_Type="Report"&gt;&lt;Ref_Type&gt;Report&lt;/Ref_Type&gt;&lt;Ref_ID&gt;18015&lt;/Ref_ID&gt;&lt;Title_Primary&gt;Contaminant Candidate List Regulatory Determination Support Document for Sulfate&lt;/Title_Primary&gt;&lt;Authors_Primary&gt;=U.S. Environmental Protection Agency, Office of Water&lt;/Authors_Primary&gt;&lt;Date_Primary&gt;2003/7&lt;/Date_Primary&gt;&lt;Keywords&gt;Standards&lt;/Keywords&gt;&lt;Keywords&gt;sulfate&lt;/Keywords&gt;&lt;Keywords&gt;support&lt;/Keywords&gt;&lt;Keywords&gt;Water quality&lt;/Keywords&gt;&lt;Reprint&gt;Not in File&lt;/Reprint&gt;&lt;Publisher&gt;U.S. Environmental Protection Agency, Office of Water&lt;/Publisher&gt;&lt;Date_Secondary&gt;2014/3/19&lt;/Date_Secondary&gt;&lt;Web_URL&gt;&lt;u&gt;http://www.epa.gov/ogwdw/ccl/pdfs/reg_determine1/support_cc1_sulfate_dwreport.pdf&lt;/u&gt;&lt;/Web_URL&gt;&lt;ZZ_WorkformID&gt;24&lt;/ZZ_WorkformID&gt;&lt;/MDL&gt;&lt;/Cite&gt;&lt;/Refman&gt;</w:instrText>
      </w:r>
      <w:r w:rsidR="00C71C20">
        <w:rPr>
          <w:rFonts w:asciiTheme="minorHAnsi" w:hAnsiTheme="minorHAnsi" w:cstheme="minorHAnsi"/>
        </w:rPr>
        <w:fldChar w:fldCharType="separate"/>
      </w:r>
      <w:r w:rsidR="00264FF7">
        <w:rPr>
          <w:rFonts w:asciiTheme="minorHAnsi" w:hAnsiTheme="minorHAnsi" w:cstheme="minorHAnsi"/>
          <w:noProof/>
        </w:rPr>
        <w:t>(USEPA</w:t>
      </w:r>
      <w:r w:rsidR="00AA35E1">
        <w:rPr>
          <w:rFonts w:asciiTheme="minorHAnsi" w:hAnsiTheme="minorHAnsi" w:cstheme="minorHAnsi"/>
          <w:noProof/>
        </w:rPr>
        <w:t>, Office of Water, 2003)</w:t>
      </w:r>
      <w:r w:rsidR="00C71C20">
        <w:rPr>
          <w:rFonts w:asciiTheme="minorHAnsi" w:hAnsiTheme="minorHAnsi" w:cstheme="minorHAnsi"/>
        </w:rPr>
        <w:fldChar w:fldCharType="end"/>
      </w:r>
      <w:r w:rsidR="00B47E8A" w:rsidRPr="0064362B">
        <w:rPr>
          <w:rFonts w:asciiTheme="minorHAnsi" w:hAnsiTheme="minorHAnsi" w:cstheme="minorHAnsi"/>
        </w:rPr>
        <w:t xml:space="preserve">.  </w:t>
      </w:r>
      <w:r w:rsidR="00782301">
        <w:rPr>
          <w:rFonts w:asciiTheme="minorHAnsi" w:hAnsiTheme="minorHAnsi" w:cstheme="minorHAnsi"/>
        </w:rPr>
        <w:t>Unless adopted as a criterion by states, t</w:t>
      </w:r>
      <w:r w:rsidR="00B47E8A" w:rsidRPr="0064362B">
        <w:rPr>
          <w:rFonts w:asciiTheme="minorHAnsi" w:hAnsiTheme="minorHAnsi" w:cstheme="minorHAnsi"/>
        </w:rPr>
        <w:t xml:space="preserve">he SMCL is not an enforceable </w:t>
      </w:r>
      <w:r w:rsidR="00BE6F4D" w:rsidRPr="0064362B">
        <w:rPr>
          <w:rFonts w:asciiTheme="minorHAnsi" w:hAnsiTheme="minorHAnsi" w:cstheme="minorHAnsi"/>
        </w:rPr>
        <w:t>standard</w:t>
      </w:r>
      <w:r w:rsidR="00B47E8A" w:rsidRPr="0064362B">
        <w:rPr>
          <w:rFonts w:asciiTheme="minorHAnsi" w:hAnsiTheme="minorHAnsi" w:cstheme="minorHAnsi"/>
        </w:rPr>
        <w:t xml:space="preserve">, </w:t>
      </w:r>
      <w:r w:rsidR="00782301">
        <w:rPr>
          <w:rFonts w:asciiTheme="minorHAnsi" w:hAnsiTheme="minorHAnsi" w:cstheme="minorHAnsi"/>
        </w:rPr>
        <w:t>and</w:t>
      </w:r>
      <w:r w:rsidR="00B47E8A" w:rsidRPr="0064362B">
        <w:rPr>
          <w:rFonts w:asciiTheme="minorHAnsi" w:hAnsiTheme="minorHAnsi" w:cstheme="minorHAnsi"/>
        </w:rPr>
        <w:t xml:space="preserve"> is set to protect taste and odor thresholds</w:t>
      </w:r>
      <w:r w:rsidR="00985FD2">
        <w:rPr>
          <w:rFonts w:asciiTheme="minorHAnsi" w:hAnsiTheme="minorHAnsi" w:cstheme="minorHAnsi"/>
        </w:rPr>
        <w:t xml:space="preserve"> </w:t>
      </w:r>
      <w:r w:rsidR="00985FD2">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Agency&lt;/Author&gt;&lt;Year&gt;2012&lt;/Year&gt;&lt;RecNum&gt;18017&lt;/RecNum&gt;&lt;IDText&gt;Sulfate in Drinking Water&lt;/IDText&gt;&lt;MDL Ref_Type="Online Source"&gt;&lt;Ref_Type&gt;Online Source&lt;/Ref_Type&gt;&lt;Ref_ID&gt;18017&lt;/Ref_ID&gt;&lt;Title_Primary&gt;Sulfate in Drinking Water&lt;/Title_Primary&gt;&lt;Authors_Primary&gt;=U.S. Environmental Protection Agency&lt;/Authors_Primary&gt;&lt;Date_Primary&gt;2012/3/6&lt;/Date_Primary&gt;&lt;Keywords&gt;Consumptive uses&lt;/Keywords&gt;&lt;Keywords&gt;Drinking water&lt;/Keywords&gt;&lt;Keywords&gt;sulfate&lt;/Keywords&gt;&lt;Keywords&gt;Water&lt;/Keywords&gt;&lt;Reprint&gt;Not in File&lt;/Reprint&gt;&lt;Publisher&gt;U.S. Environmental Protection Agency&lt;/Publisher&gt;&lt;Date_Secondary&gt;2014/3/7&lt;/Date_Secondary&gt;&lt;Web_URL&gt;&lt;u&gt;http://water.epa.gov/drink/contaminants/unregulated/sulfate.cfm&lt;/u&gt;&lt;/Web_URL&gt;&lt;ZZ_WorkformID&gt;31&lt;/ZZ_WorkformID&gt;&lt;/MDL&gt;&lt;/Cite&gt;&lt;/Refman&gt;</w:instrText>
      </w:r>
      <w:r w:rsidR="00985FD2">
        <w:rPr>
          <w:rFonts w:asciiTheme="minorHAnsi" w:hAnsiTheme="minorHAnsi" w:cstheme="minorHAnsi"/>
        </w:rPr>
        <w:fldChar w:fldCharType="separate"/>
      </w:r>
      <w:r w:rsidR="00AA35E1">
        <w:rPr>
          <w:rFonts w:asciiTheme="minorHAnsi" w:hAnsiTheme="minorHAnsi" w:cstheme="minorHAnsi"/>
          <w:noProof/>
        </w:rPr>
        <w:t>(U</w:t>
      </w:r>
      <w:r w:rsidR="00264FF7">
        <w:rPr>
          <w:rFonts w:asciiTheme="minorHAnsi" w:hAnsiTheme="minorHAnsi" w:cstheme="minorHAnsi"/>
          <w:noProof/>
        </w:rPr>
        <w:t>SEPA</w:t>
      </w:r>
      <w:r w:rsidR="00AA35E1">
        <w:rPr>
          <w:rFonts w:asciiTheme="minorHAnsi" w:hAnsiTheme="minorHAnsi" w:cstheme="minorHAnsi"/>
          <w:noProof/>
        </w:rPr>
        <w:t>, 2012)</w:t>
      </w:r>
      <w:r w:rsidR="00985FD2">
        <w:rPr>
          <w:rFonts w:asciiTheme="minorHAnsi" w:hAnsiTheme="minorHAnsi" w:cstheme="minorHAnsi"/>
        </w:rPr>
        <w:fldChar w:fldCharType="end"/>
      </w:r>
      <w:r w:rsidR="00B47E8A" w:rsidRPr="0064362B">
        <w:rPr>
          <w:rFonts w:asciiTheme="minorHAnsi" w:hAnsiTheme="minorHAnsi" w:cstheme="minorHAnsi"/>
        </w:rPr>
        <w:t>.</w:t>
      </w:r>
    </w:p>
    <w:p w:rsidR="00E70C50" w:rsidRPr="0064362B" w:rsidRDefault="00E70C50">
      <w:pPr>
        <w:rPr>
          <w:rFonts w:asciiTheme="minorHAnsi" w:hAnsiTheme="minorHAnsi" w:cstheme="minorHAnsi"/>
        </w:rPr>
      </w:pPr>
    </w:p>
    <w:p w:rsidR="00BE6F4D" w:rsidRPr="0064362B" w:rsidRDefault="00BE6F4D" w:rsidP="00BE6F4D">
      <w:pPr>
        <w:rPr>
          <w:rFonts w:asciiTheme="minorHAnsi" w:hAnsiTheme="minorHAnsi" w:cstheme="minorHAnsi"/>
        </w:rPr>
      </w:pPr>
      <w:r w:rsidRPr="0064362B">
        <w:rPr>
          <w:rFonts w:asciiTheme="minorHAnsi" w:hAnsiTheme="minorHAnsi" w:cstheme="minorHAnsi"/>
        </w:rPr>
        <w:t>A</w:t>
      </w:r>
      <w:r w:rsidR="00B47E8A" w:rsidRPr="0064362B">
        <w:rPr>
          <w:rFonts w:asciiTheme="minorHAnsi" w:hAnsiTheme="minorHAnsi" w:cstheme="minorHAnsi"/>
        </w:rPr>
        <w:t xml:space="preserve"> study conducted by </w:t>
      </w:r>
      <w:r w:rsidR="00941DF4" w:rsidRPr="0064362B">
        <w:rPr>
          <w:rFonts w:asciiTheme="minorHAnsi" w:hAnsiTheme="minorHAnsi" w:cstheme="minorHAnsi"/>
        </w:rPr>
        <w:t>US</w:t>
      </w:r>
      <w:r w:rsidR="00AD17C8" w:rsidRPr="0064362B">
        <w:rPr>
          <w:rFonts w:asciiTheme="minorHAnsi" w:hAnsiTheme="minorHAnsi" w:cstheme="minorHAnsi"/>
        </w:rPr>
        <w:t xml:space="preserve">EPA and </w:t>
      </w:r>
      <w:r w:rsidR="00B47E8A" w:rsidRPr="0064362B">
        <w:rPr>
          <w:rFonts w:asciiTheme="minorHAnsi" w:hAnsiTheme="minorHAnsi" w:cstheme="minorHAnsi"/>
        </w:rPr>
        <w:t>the National Center for Environmental Health Centers for Disease Control an</w:t>
      </w:r>
      <w:r w:rsidRPr="0064362B">
        <w:rPr>
          <w:rFonts w:asciiTheme="minorHAnsi" w:hAnsiTheme="minorHAnsi" w:cstheme="minorHAnsi"/>
        </w:rPr>
        <w:t xml:space="preserve">d Prevention concluded that sulfate concentrations below 600 mg/L would be unlikely to cause diarrhea in adults. </w:t>
      </w:r>
      <w:r w:rsidR="00723864" w:rsidRPr="0064362B">
        <w:rPr>
          <w:rFonts w:asciiTheme="minorHAnsi" w:hAnsiTheme="minorHAnsi" w:cstheme="minorHAnsi"/>
        </w:rPr>
        <w:t>In addition to a focus on adults, t</w:t>
      </w:r>
      <w:r w:rsidRPr="0064362B">
        <w:rPr>
          <w:rFonts w:asciiTheme="minorHAnsi" w:hAnsiTheme="minorHAnsi" w:cstheme="minorHAnsi"/>
        </w:rPr>
        <w:t xml:space="preserve">he study objectives included </w:t>
      </w:r>
      <w:r w:rsidR="00E70C50" w:rsidRPr="0064362B">
        <w:rPr>
          <w:rFonts w:asciiTheme="minorHAnsi" w:hAnsiTheme="minorHAnsi" w:cstheme="minorHAnsi"/>
        </w:rPr>
        <w:t>a focus on infants</w:t>
      </w:r>
      <w:r w:rsidR="00BF5BBC">
        <w:rPr>
          <w:rFonts w:asciiTheme="minorHAnsi" w:hAnsiTheme="minorHAnsi" w:cstheme="minorHAnsi"/>
        </w:rPr>
        <w:t xml:space="preserve"> </w:t>
      </w:r>
      <w:r w:rsidR="00BF5BBC">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Agency&lt;/Author&gt;&lt;Year&gt;1999&lt;/Year&gt;&lt;RecNum&gt;18014&lt;/RecNum&gt;&lt;IDText&gt;Health Effects from Exposure to High Levels of Sulfate in Drinking Water Study&lt;/IDText&gt;&lt;MDL Ref_Type="Report"&gt;&lt;Ref_Type&gt;Report&lt;/Ref_Type&gt;&lt;Ref_ID&gt;18014&lt;/Ref_ID&gt;&lt;Title_Primary&gt;Health Effects from Exposure to High Levels of Sulfate in Drinking Water Study&lt;/Title_Primary&gt;&lt;Authors_Primary&gt;=U.S. Environmental Protection Agency&lt;/Authors_Primary&gt;&lt;Date_Primary&gt;1999/1/21&lt;/Date_Primary&gt;&lt;Keywords&gt;Consumptive uses&lt;/Keywords&gt;&lt;Keywords&gt;Drinking water&lt;/Keywords&gt;&lt;Keywords&gt;Health hazards&lt;/Keywords&gt;&lt;Keywords&gt;sulfate&lt;/Keywords&gt;&lt;Keywords&gt;Water&lt;/Keywords&gt;&lt;Reprint&gt;Not in File&lt;/Reprint&gt;&lt;Volume&gt;EPA 815-R-99-001&lt;/Volume&gt;&lt;Publisher&gt;U.S. Environmental Protection Agency&lt;/Publisher&gt;&lt;Web_URL&gt;&lt;u&gt;http://www.epa.gov/ogwdw/contaminants/unregulated/pdfs/study_sulfate_epa-cdc.pdf&lt;/u&gt;&lt;/Web_URL&gt;&lt;ZZ_WorkformID&gt;24&lt;/ZZ_WorkformID&gt;&lt;/MDL&gt;&lt;/Cite&gt;&lt;/Refman&gt;</w:instrText>
      </w:r>
      <w:r w:rsidR="00BF5BBC">
        <w:rPr>
          <w:rFonts w:asciiTheme="minorHAnsi" w:hAnsiTheme="minorHAnsi" w:cstheme="minorHAnsi"/>
        </w:rPr>
        <w:fldChar w:fldCharType="separate"/>
      </w:r>
      <w:r w:rsidR="00BF5BBC">
        <w:rPr>
          <w:rFonts w:asciiTheme="minorHAnsi" w:hAnsiTheme="minorHAnsi" w:cstheme="minorHAnsi"/>
          <w:noProof/>
        </w:rPr>
        <w:t>(U</w:t>
      </w:r>
      <w:r w:rsidR="00264FF7">
        <w:rPr>
          <w:rFonts w:asciiTheme="minorHAnsi" w:hAnsiTheme="minorHAnsi" w:cstheme="minorHAnsi"/>
          <w:noProof/>
        </w:rPr>
        <w:t>SEPA</w:t>
      </w:r>
      <w:r w:rsidR="00BF5BBC">
        <w:rPr>
          <w:rFonts w:asciiTheme="minorHAnsi" w:hAnsiTheme="minorHAnsi" w:cstheme="minorHAnsi"/>
          <w:noProof/>
        </w:rPr>
        <w:t>, 1999a)</w:t>
      </w:r>
      <w:r w:rsidR="00BF5BBC">
        <w:rPr>
          <w:rFonts w:asciiTheme="minorHAnsi" w:hAnsiTheme="minorHAnsi" w:cstheme="minorHAnsi"/>
        </w:rPr>
        <w:fldChar w:fldCharType="end"/>
      </w:r>
      <w:r w:rsidR="00E70C50" w:rsidRPr="0064362B">
        <w:rPr>
          <w:rFonts w:asciiTheme="minorHAnsi" w:hAnsiTheme="minorHAnsi" w:cstheme="minorHAnsi"/>
        </w:rPr>
        <w:t xml:space="preserve">. </w:t>
      </w:r>
      <w:r w:rsidR="00B8047B">
        <w:rPr>
          <w:rFonts w:asciiTheme="minorHAnsi" w:hAnsiTheme="minorHAnsi" w:cstheme="minorHAnsi"/>
        </w:rPr>
        <w:t>T</w:t>
      </w:r>
      <w:r w:rsidR="00E70C50" w:rsidRPr="0064362B">
        <w:rPr>
          <w:rFonts w:asciiTheme="minorHAnsi" w:hAnsiTheme="minorHAnsi" w:cstheme="minorHAnsi"/>
        </w:rPr>
        <w:t xml:space="preserve">here was </w:t>
      </w:r>
      <w:r w:rsidRPr="0064362B">
        <w:rPr>
          <w:rFonts w:asciiTheme="minorHAnsi" w:hAnsiTheme="minorHAnsi" w:cstheme="minorHAnsi"/>
        </w:rPr>
        <w:t xml:space="preserve">difficulty obtaining subjects for the study, </w:t>
      </w:r>
      <w:r w:rsidR="00E70C50" w:rsidRPr="0064362B">
        <w:rPr>
          <w:rFonts w:asciiTheme="minorHAnsi" w:hAnsiTheme="minorHAnsi" w:cstheme="minorHAnsi"/>
        </w:rPr>
        <w:t xml:space="preserve">so </w:t>
      </w:r>
      <w:r w:rsidRPr="0064362B">
        <w:rPr>
          <w:rFonts w:asciiTheme="minorHAnsi" w:hAnsiTheme="minorHAnsi" w:cstheme="minorHAnsi"/>
        </w:rPr>
        <w:t xml:space="preserve">a panel of experts </w:t>
      </w:r>
      <w:r w:rsidR="00723864" w:rsidRPr="0064362B">
        <w:rPr>
          <w:rFonts w:asciiTheme="minorHAnsi" w:hAnsiTheme="minorHAnsi" w:cstheme="minorHAnsi"/>
        </w:rPr>
        <w:t xml:space="preserve">sponsored by CDC </w:t>
      </w:r>
      <w:r w:rsidRPr="0064362B">
        <w:rPr>
          <w:rFonts w:asciiTheme="minorHAnsi" w:hAnsiTheme="minorHAnsi" w:cstheme="minorHAnsi"/>
        </w:rPr>
        <w:t>reviewed available literature</w:t>
      </w:r>
      <w:r w:rsidR="00E70C50" w:rsidRPr="0064362B">
        <w:rPr>
          <w:rFonts w:asciiTheme="minorHAnsi" w:hAnsiTheme="minorHAnsi" w:cstheme="minorHAnsi"/>
        </w:rPr>
        <w:t>. The experts</w:t>
      </w:r>
      <w:r w:rsidRPr="0064362B">
        <w:rPr>
          <w:rFonts w:asciiTheme="minorHAnsi" w:hAnsiTheme="minorHAnsi" w:cstheme="minorHAnsi"/>
        </w:rPr>
        <w:t xml:space="preserve"> concluded that there was not enough scient</w:t>
      </w:r>
      <w:r w:rsidR="00B8047B">
        <w:rPr>
          <w:rFonts w:asciiTheme="minorHAnsi" w:hAnsiTheme="minorHAnsi" w:cstheme="minorHAnsi"/>
        </w:rPr>
        <w:t xml:space="preserve">ific evidence on which to base </w:t>
      </w:r>
      <w:r w:rsidRPr="0064362B">
        <w:rPr>
          <w:rFonts w:asciiTheme="minorHAnsi" w:hAnsiTheme="minorHAnsi" w:cstheme="minorHAnsi"/>
        </w:rPr>
        <w:t xml:space="preserve">regulation, but </w:t>
      </w:r>
      <w:r w:rsidR="00606F1D" w:rsidRPr="0064362B">
        <w:rPr>
          <w:rFonts w:asciiTheme="minorHAnsi" w:hAnsiTheme="minorHAnsi" w:cstheme="minorHAnsi"/>
        </w:rPr>
        <w:t>suggested</w:t>
      </w:r>
      <w:r w:rsidRPr="0064362B">
        <w:rPr>
          <w:rFonts w:asciiTheme="minorHAnsi" w:hAnsiTheme="minorHAnsi" w:cstheme="minorHAnsi"/>
        </w:rPr>
        <w:t xml:space="preserve"> health advisor</w:t>
      </w:r>
      <w:r w:rsidR="00606F1D" w:rsidRPr="0064362B">
        <w:rPr>
          <w:rFonts w:asciiTheme="minorHAnsi" w:hAnsiTheme="minorHAnsi" w:cstheme="minorHAnsi"/>
        </w:rPr>
        <w:t>ies</w:t>
      </w:r>
      <w:r w:rsidRPr="0064362B">
        <w:rPr>
          <w:rFonts w:asciiTheme="minorHAnsi" w:hAnsiTheme="minorHAnsi" w:cstheme="minorHAnsi"/>
        </w:rPr>
        <w:t xml:space="preserve"> </w:t>
      </w:r>
      <w:r w:rsidR="00606F1D" w:rsidRPr="0064362B">
        <w:rPr>
          <w:rFonts w:asciiTheme="minorHAnsi" w:hAnsiTheme="minorHAnsi" w:cstheme="minorHAnsi"/>
        </w:rPr>
        <w:t xml:space="preserve">for drinking water sources </w:t>
      </w:r>
      <w:r w:rsidRPr="0064362B">
        <w:rPr>
          <w:rFonts w:asciiTheme="minorHAnsi" w:hAnsiTheme="minorHAnsi" w:cstheme="minorHAnsi"/>
        </w:rPr>
        <w:t>with sulfate levels exceeding 500 mg/L</w:t>
      </w:r>
      <w:r w:rsidR="00985FD2">
        <w:rPr>
          <w:rFonts w:asciiTheme="minorHAnsi" w:hAnsiTheme="minorHAnsi" w:cstheme="minorHAnsi"/>
        </w:rPr>
        <w:t xml:space="preserve"> </w:t>
      </w:r>
      <w:r w:rsidR="00985FD2">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Agency&lt;/Author&gt;&lt;Year&gt;1999&lt;/Year&gt;&lt;RecNum&gt;18013&lt;/RecNum&gt;&lt;IDText&gt;Health Effects from Exposure to Sulfate in Drinking Water Workshop&lt;/IDText&gt;&lt;MDL Ref_Type="Conference Proceeding"&gt;&lt;Ref_Type&gt;Conference Proceeding&lt;/Ref_Type&gt;&lt;Ref_ID&gt;18013&lt;/Ref_ID&gt;&lt;Title_Primary&gt;Health Effects from Exposure to Sulfate in Drinking Water Workshop&lt;/Title_Primary&gt;&lt;Authors_Primary&gt;=U.S. Environmental Protection Agency&lt;/Authors_Primary&gt;&lt;Date_Primary&gt;1999/1&lt;/Date_Primary&gt;&lt;Keywords&gt;Consumptive uses&lt;/Keywords&gt;&lt;Keywords&gt;Drinking water&lt;/Keywords&gt;&lt;Keywords&gt;sulfate&lt;/Keywords&gt;&lt;Keywords&gt;Water&lt;/Keywords&gt;&lt;Keywords&gt;Water quality&lt;/Keywords&gt;&lt;Reprint&gt;Not in File&lt;/Reprint&gt;&lt;Title_Secondary&gt;Health Effects from Exposure to Sulfate in Drinking Water Workshop&lt;/Title_Secondary&gt;&lt;Publisher&gt;U.S. Environmental Protection Agency&lt;/Publisher&gt;&lt;Date_Secondary&gt;1998/9/28&lt;/Date_Secondary&gt;&lt;Misc_2&gt;Atlanta, Georgia&lt;/Misc_2&gt;&lt;Web_URL&gt;&lt;u&gt;http://www.epa.gov/ogwdw/contaminants/unregulated/pdfs/summary_sulfate_epa-cdcworkgroup.pdf&lt;/u&gt;&lt;/Web_URL&gt;&lt;ZZ_WorkformID&gt;12&lt;/ZZ_WorkformID&gt;&lt;/MDL&gt;&lt;/Cite&gt;&lt;/Refman&gt;</w:instrText>
      </w:r>
      <w:r w:rsidR="00985FD2">
        <w:rPr>
          <w:rFonts w:asciiTheme="minorHAnsi" w:hAnsiTheme="minorHAnsi" w:cstheme="minorHAnsi"/>
        </w:rPr>
        <w:fldChar w:fldCharType="separate"/>
      </w:r>
      <w:r w:rsidR="00FB4B60">
        <w:rPr>
          <w:rFonts w:asciiTheme="minorHAnsi" w:hAnsiTheme="minorHAnsi" w:cstheme="minorHAnsi"/>
          <w:noProof/>
        </w:rPr>
        <w:t>(U</w:t>
      </w:r>
      <w:r w:rsidR="00264FF7">
        <w:rPr>
          <w:rFonts w:asciiTheme="minorHAnsi" w:hAnsiTheme="minorHAnsi" w:cstheme="minorHAnsi"/>
          <w:noProof/>
        </w:rPr>
        <w:t>SEPA</w:t>
      </w:r>
      <w:r w:rsidR="00FB4B60">
        <w:rPr>
          <w:rFonts w:asciiTheme="minorHAnsi" w:hAnsiTheme="minorHAnsi" w:cstheme="minorHAnsi"/>
          <w:noProof/>
        </w:rPr>
        <w:t>, 1999b)</w:t>
      </w:r>
      <w:r w:rsidR="00985FD2">
        <w:rPr>
          <w:rFonts w:asciiTheme="minorHAnsi" w:hAnsiTheme="minorHAnsi" w:cstheme="minorHAnsi"/>
        </w:rPr>
        <w:fldChar w:fldCharType="end"/>
      </w:r>
      <w:r w:rsidRPr="0064362B">
        <w:rPr>
          <w:rFonts w:asciiTheme="minorHAnsi" w:hAnsiTheme="minorHAnsi" w:cstheme="minorHAnsi"/>
        </w:rPr>
        <w:t>.</w:t>
      </w:r>
    </w:p>
    <w:p w:rsidR="00723864" w:rsidRPr="0064362B" w:rsidRDefault="00723864" w:rsidP="00BE6F4D">
      <w:pPr>
        <w:rPr>
          <w:rFonts w:asciiTheme="minorHAnsi" w:hAnsiTheme="minorHAnsi" w:cstheme="minorHAnsi"/>
        </w:rPr>
      </w:pPr>
    </w:p>
    <w:p w:rsidR="00723864" w:rsidRPr="0064362B" w:rsidRDefault="005B7DF3" w:rsidP="00BE6F4D">
      <w:pPr>
        <w:rPr>
          <w:rFonts w:asciiTheme="minorHAnsi" w:hAnsiTheme="minorHAnsi" w:cstheme="minorHAnsi"/>
        </w:rPr>
      </w:pPr>
      <w:r w:rsidRPr="0064362B">
        <w:rPr>
          <w:rFonts w:asciiTheme="minorHAnsi" w:hAnsiTheme="minorHAnsi" w:cstheme="minorHAnsi"/>
        </w:rPr>
        <w:t xml:space="preserve">Sulfate in drinking water at concentrations greater than 500 mg/L may cause a laxative effect that is limited and acute. </w:t>
      </w:r>
      <w:r w:rsidR="007941B0" w:rsidRPr="0064362B">
        <w:rPr>
          <w:rFonts w:asciiTheme="minorHAnsi" w:hAnsiTheme="minorHAnsi" w:cstheme="minorHAnsi"/>
        </w:rPr>
        <w:t xml:space="preserve">Available data do not indicate developmental or reproductive effects from long-term </w:t>
      </w:r>
      <w:r w:rsidR="007941B0" w:rsidRPr="0064362B">
        <w:rPr>
          <w:rFonts w:asciiTheme="minorHAnsi" w:hAnsiTheme="minorHAnsi" w:cstheme="minorHAnsi"/>
        </w:rPr>
        <w:lastRenderedPageBreak/>
        <w:t>exposure of sulfate, and carcinogenicity cannot be determined from available health effects data</w:t>
      </w:r>
      <w:r w:rsidR="00985FD2">
        <w:rPr>
          <w:rFonts w:asciiTheme="minorHAnsi" w:hAnsiTheme="minorHAnsi" w:cstheme="minorHAnsi"/>
        </w:rPr>
        <w:t xml:space="preserve"> </w:t>
      </w:r>
      <w:r w:rsidR="00985FD2">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 Office of Water&lt;/Author&gt;&lt;Year&gt;2003&lt;/Year&gt;&lt;RecNum&gt;18015&lt;/RecNum&gt;&lt;IDText&gt;Contaminant Candidate List Regulatory Determination Support Document for Sulfate&lt;/IDText&gt;&lt;MDL Ref_Type="Report"&gt;&lt;Ref_Type&gt;Report&lt;/Ref_Type&gt;&lt;Ref_ID&gt;18015&lt;/Ref_ID&gt;&lt;Title_Primary&gt;Contaminant Candidate List Regulatory Determination Support Document for Sulfate&lt;/Title_Primary&gt;&lt;Authors_Primary&gt;=U.S. Environmental Protection Agency, Office of Water&lt;/Authors_Primary&gt;&lt;Date_Primary&gt;2003/7&lt;/Date_Primary&gt;&lt;Keywords&gt;Standards&lt;/Keywords&gt;&lt;Keywords&gt;sulfate&lt;/Keywords&gt;&lt;Keywords&gt;support&lt;/Keywords&gt;&lt;Keywords&gt;Water quality&lt;/Keywords&gt;&lt;Reprint&gt;Not in File&lt;/Reprint&gt;&lt;Publisher&gt;U.S. Environmental Protection Agency, Office of Water&lt;/Publisher&gt;&lt;Date_Secondary&gt;2014/3/19&lt;/Date_Secondary&gt;&lt;Web_URL&gt;&lt;u&gt;http://www.epa.gov/ogwdw/ccl/pdfs/reg_determine1/support_cc1_sulfate_dwreport.pdf&lt;/u&gt;&lt;/Web_URL&gt;&lt;ZZ_WorkformID&gt;24&lt;/ZZ_WorkformID&gt;&lt;/MDL&gt;&lt;/Cite&gt;&lt;/Refman&gt;</w:instrText>
      </w:r>
      <w:r w:rsidR="00985FD2">
        <w:rPr>
          <w:rFonts w:asciiTheme="minorHAnsi" w:hAnsiTheme="minorHAnsi" w:cstheme="minorHAnsi"/>
        </w:rPr>
        <w:fldChar w:fldCharType="separate"/>
      </w:r>
      <w:r w:rsidR="00264FF7">
        <w:rPr>
          <w:rFonts w:asciiTheme="minorHAnsi" w:hAnsiTheme="minorHAnsi" w:cstheme="minorHAnsi"/>
          <w:noProof/>
        </w:rPr>
        <w:t>(USEPA</w:t>
      </w:r>
      <w:r w:rsidR="00AA35E1">
        <w:rPr>
          <w:rFonts w:asciiTheme="minorHAnsi" w:hAnsiTheme="minorHAnsi" w:cstheme="minorHAnsi"/>
          <w:noProof/>
        </w:rPr>
        <w:t>, Office of Water, 2003)</w:t>
      </w:r>
      <w:r w:rsidR="00985FD2">
        <w:rPr>
          <w:rFonts w:asciiTheme="minorHAnsi" w:hAnsiTheme="minorHAnsi" w:cstheme="minorHAnsi"/>
        </w:rPr>
        <w:fldChar w:fldCharType="end"/>
      </w:r>
      <w:r w:rsidR="007941B0" w:rsidRPr="0064362B">
        <w:rPr>
          <w:rFonts w:asciiTheme="minorHAnsi" w:hAnsiTheme="minorHAnsi" w:cstheme="minorHAnsi"/>
        </w:rPr>
        <w:t xml:space="preserve">. </w:t>
      </w:r>
    </w:p>
    <w:p w:rsidR="00AD17C8" w:rsidRPr="0064362B" w:rsidRDefault="00AD17C8" w:rsidP="00BE6F4D">
      <w:pPr>
        <w:rPr>
          <w:rFonts w:asciiTheme="minorHAnsi" w:hAnsiTheme="minorHAnsi" w:cstheme="minorHAnsi"/>
        </w:rPr>
      </w:pPr>
    </w:p>
    <w:p w:rsidR="00715746" w:rsidRDefault="00AA07B5" w:rsidP="00BE6F4D">
      <w:pPr>
        <w:rPr>
          <w:rFonts w:asciiTheme="minorHAnsi" w:hAnsiTheme="minorHAnsi" w:cstheme="minorHAnsi"/>
        </w:rPr>
      </w:pPr>
      <w:r>
        <w:rPr>
          <w:rFonts w:asciiTheme="minorHAnsi" w:hAnsiTheme="minorHAnsi" w:cstheme="minorHAnsi"/>
        </w:rPr>
        <w:t>Most healthy people</w:t>
      </w:r>
      <w:r w:rsidR="00B54EEA" w:rsidRPr="0064362B">
        <w:rPr>
          <w:rFonts w:asciiTheme="minorHAnsi" w:hAnsiTheme="minorHAnsi" w:cstheme="minorHAnsi"/>
        </w:rPr>
        <w:t xml:space="preserve"> exposed chronically to water high in sulfate </w:t>
      </w:r>
      <w:r>
        <w:rPr>
          <w:rFonts w:asciiTheme="minorHAnsi" w:hAnsiTheme="minorHAnsi" w:cstheme="minorHAnsi"/>
        </w:rPr>
        <w:t>typically</w:t>
      </w:r>
      <w:r w:rsidR="00B54EEA" w:rsidRPr="0064362B">
        <w:rPr>
          <w:rFonts w:asciiTheme="minorHAnsi" w:hAnsiTheme="minorHAnsi" w:cstheme="minorHAnsi"/>
        </w:rPr>
        <w:t xml:space="preserve"> adjust within a week of initial exposure, or reduce their intake because of taste in the water</w:t>
      </w:r>
      <w:r w:rsidR="00E70C50" w:rsidRPr="0064362B">
        <w:rPr>
          <w:rFonts w:asciiTheme="minorHAnsi" w:hAnsiTheme="minorHAnsi" w:cstheme="minorHAnsi"/>
        </w:rPr>
        <w:t xml:space="preserve"> </w:t>
      </w:r>
      <w:r w:rsidR="00985FD2">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 Office of Water&lt;/Author&gt;&lt;Year&gt;2003&lt;/Year&gt;&lt;RecNum&gt;18015&lt;/RecNum&gt;&lt;IDText&gt;Contaminant Candidate List Regulatory Determination Support Document for Sulfate&lt;/IDText&gt;&lt;MDL Ref_Type="Report"&gt;&lt;Ref_Type&gt;Report&lt;/Ref_Type&gt;&lt;Ref_ID&gt;18015&lt;/Ref_ID&gt;&lt;Title_Primary&gt;Contaminant Candidate List Regulatory Determination Support Document for Sulfate&lt;/Title_Primary&gt;&lt;Authors_Primary&gt;=U.S. Environmental Protection Agency, Office of Water&lt;/Authors_Primary&gt;&lt;Date_Primary&gt;2003/7&lt;/Date_Primary&gt;&lt;Keywords&gt;Standards&lt;/Keywords&gt;&lt;Keywords&gt;sulfate&lt;/Keywords&gt;&lt;Keywords&gt;support&lt;/Keywords&gt;&lt;Keywords&gt;Water quality&lt;/Keywords&gt;&lt;Reprint&gt;Not in File&lt;/Reprint&gt;&lt;Publisher&gt;U.S. Environmental Protection Agency, Office of Water&lt;/Publisher&gt;&lt;Date_Secondary&gt;2014/3/19&lt;/Date_Secondary&gt;&lt;Web_URL&gt;&lt;u&gt;http://www.epa.gov/ogwdw/ccl/pdfs/reg_determine1/support_cc1_sulfate_dwreport.pdf&lt;/u&gt;&lt;/Web_URL&gt;&lt;ZZ_WorkformID&gt;24&lt;/ZZ_WorkformID&gt;&lt;/MDL&gt;&lt;/Cite&gt;&lt;/Refman&gt;</w:instrText>
      </w:r>
      <w:r w:rsidR="00985FD2">
        <w:rPr>
          <w:rFonts w:asciiTheme="minorHAnsi" w:hAnsiTheme="minorHAnsi" w:cstheme="minorHAnsi"/>
        </w:rPr>
        <w:fldChar w:fldCharType="separate"/>
      </w:r>
      <w:r w:rsidR="00AA35E1">
        <w:rPr>
          <w:rFonts w:asciiTheme="minorHAnsi" w:hAnsiTheme="minorHAnsi" w:cstheme="minorHAnsi"/>
          <w:noProof/>
        </w:rPr>
        <w:t>(U</w:t>
      </w:r>
      <w:r w:rsidR="00264FF7">
        <w:rPr>
          <w:rFonts w:asciiTheme="minorHAnsi" w:hAnsiTheme="minorHAnsi" w:cstheme="minorHAnsi"/>
          <w:noProof/>
        </w:rPr>
        <w:t>SEPA</w:t>
      </w:r>
      <w:r w:rsidR="00AA35E1">
        <w:rPr>
          <w:rFonts w:asciiTheme="minorHAnsi" w:hAnsiTheme="minorHAnsi" w:cstheme="minorHAnsi"/>
          <w:noProof/>
        </w:rPr>
        <w:t>, Office of Water, 2003)</w:t>
      </w:r>
      <w:r w:rsidR="00985FD2">
        <w:rPr>
          <w:rFonts w:asciiTheme="minorHAnsi" w:hAnsiTheme="minorHAnsi" w:cstheme="minorHAnsi"/>
        </w:rPr>
        <w:fldChar w:fldCharType="end"/>
      </w:r>
      <w:r w:rsidR="00B54EEA" w:rsidRPr="0064362B">
        <w:rPr>
          <w:rFonts w:asciiTheme="minorHAnsi" w:hAnsiTheme="minorHAnsi" w:cstheme="minorHAnsi"/>
        </w:rPr>
        <w:t xml:space="preserve">. However, </w:t>
      </w:r>
      <w:r w:rsidR="00E70C50" w:rsidRPr="0064362B">
        <w:rPr>
          <w:rFonts w:asciiTheme="minorHAnsi" w:hAnsiTheme="minorHAnsi" w:cstheme="minorHAnsi"/>
        </w:rPr>
        <w:t>to protect</w:t>
      </w:r>
      <w:r w:rsidR="00B54EEA" w:rsidRPr="0064362B">
        <w:rPr>
          <w:rFonts w:asciiTheme="minorHAnsi" w:hAnsiTheme="minorHAnsi" w:cstheme="minorHAnsi"/>
        </w:rPr>
        <w:t xml:space="preserve"> sensitive populations such as infants, the elderly, and travelers, </w:t>
      </w:r>
      <w:r w:rsidR="003E4E8D">
        <w:rPr>
          <w:rFonts w:asciiTheme="minorHAnsi" w:hAnsiTheme="minorHAnsi" w:cstheme="minorHAnsi"/>
        </w:rPr>
        <w:t xml:space="preserve">DEQ </w:t>
      </w:r>
      <w:r w:rsidR="006D14E5">
        <w:rPr>
          <w:rFonts w:asciiTheme="minorHAnsi" w:hAnsiTheme="minorHAnsi" w:cstheme="minorHAnsi"/>
        </w:rPr>
        <w:t>recommend</w:t>
      </w:r>
      <w:r>
        <w:rPr>
          <w:rFonts w:asciiTheme="minorHAnsi" w:hAnsiTheme="minorHAnsi" w:cstheme="minorHAnsi"/>
        </w:rPr>
        <w:t>s</w:t>
      </w:r>
      <w:r w:rsidR="006D14E5">
        <w:rPr>
          <w:rFonts w:asciiTheme="minorHAnsi" w:hAnsiTheme="minorHAnsi" w:cstheme="minorHAnsi"/>
        </w:rPr>
        <w:t xml:space="preserve"> </w:t>
      </w:r>
      <w:r w:rsidR="00315F74">
        <w:rPr>
          <w:rFonts w:asciiTheme="minorHAnsi" w:hAnsiTheme="minorHAnsi" w:cstheme="minorHAnsi"/>
        </w:rPr>
        <w:t>US</w:t>
      </w:r>
      <w:r>
        <w:rPr>
          <w:rFonts w:asciiTheme="minorHAnsi" w:hAnsiTheme="minorHAnsi" w:cstheme="minorHAnsi"/>
        </w:rPr>
        <w:t xml:space="preserve">EPA’s </w:t>
      </w:r>
      <w:r w:rsidR="006D14E5">
        <w:rPr>
          <w:rFonts w:asciiTheme="minorHAnsi" w:hAnsiTheme="minorHAnsi" w:cstheme="minorHAnsi"/>
        </w:rPr>
        <w:t xml:space="preserve">guidance of </w:t>
      </w:r>
      <w:r w:rsidR="00E70C50" w:rsidRPr="0064362B">
        <w:rPr>
          <w:rFonts w:asciiTheme="minorHAnsi" w:hAnsiTheme="minorHAnsi" w:cstheme="minorHAnsi"/>
        </w:rPr>
        <w:t xml:space="preserve">500 mg/L </w:t>
      </w:r>
      <w:r w:rsidR="006D14E5">
        <w:rPr>
          <w:rFonts w:asciiTheme="minorHAnsi" w:hAnsiTheme="minorHAnsi" w:cstheme="minorHAnsi"/>
        </w:rPr>
        <w:t xml:space="preserve">sulfate </w:t>
      </w:r>
      <w:r w:rsidR="003E4E8D">
        <w:rPr>
          <w:rFonts w:asciiTheme="minorHAnsi" w:hAnsiTheme="minorHAnsi" w:cstheme="minorHAnsi"/>
        </w:rPr>
        <w:t xml:space="preserve">in </w:t>
      </w:r>
      <w:r w:rsidR="007941B0" w:rsidRPr="0064362B">
        <w:rPr>
          <w:rFonts w:asciiTheme="minorHAnsi" w:hAnsiTheme="minorHAnsi" w:cstheme="minorHAnsi"/>
        </w:rPr>
        <w:t xml:space="preserve">drinking water </w:t>
      </w:r>
      <w:r w:rsidR="003E4E8D">
        <w:rPr>
          <w:rFonts w:asciiTheme="minorHAnsi" w:hAnsiTheme="minorHAnsi" w:cstheme="minorHAnsi"/>
        </w:rPr>
        <w:t>as the sulfate t</w:t>
      </w:r>
      <w:r w:rsidR="006D14E5">
        <w:rPr>
          <w:rFonts w:asciiTheme="minorHAnsi" w:hAnsiTheme="minorHAnsi" w:cstheme="minorHAnsi"/>
        </w:rPr>
        <w:t>arget</w:t>
      </w:r>
      <w:r w:rsidR="00616CB9" w:rsidRPr="0064362B">
        <w:rPr>
          <w:rFonts w:asciiTheme="minorHAnsi" w:hAnsiTheme="minorHAnsi" w:cstheme="minorHAnsi"/>
        </w:rPr>
        <w:t>.</w:t>
      </w:r>
      <w:r w:rsidR="003E4E8D">
        <w:rPr>
          <w:rFonts w:asciiTheme="minorHAnsi" w:hAnsiTheme="minorHAnsi" w:cstheme="minorHAnsi"/>
        </w:rPr>
        <w:t xml:space="preserve"> </w:t>
      </w:r>
      <w:r w:rsidR="00B8047B">
        <w:rPr>
          <w:rFonts w:asciiTheme="minorHAnsi" w:hAnsiTheme="minorHAnsi" w:cstheme="minorHAnsi"/>
        </w:rPr>
        <w:t xml:space="preserve">Because </w:t>
      </w:r>
      <w:r w:rsidR="00DD1863">
        <w:rPr>
          <w:rFonts w:asciiTheme="minorHAnsi" w:hAnsiTheme="minorHAnsi" w:cstheme="minorHAnsi"/>
        </w:rPr>
        <w:t>USEPA found insufficient evidence to promulgate a water quality criterion</w:t>
      </w:r>
      <w:r w:rsidR="00B8047B">
        <w:rPr>
          <w:rFonts w:asciiTheme="minorHAnsi" w:hAnsiTheme="minorHAnsi" w:cstheme="minorHAnsi"/>
        </w:rPr>
        <w:t xml:space="preserve">, </w:t>
      </w:r>
      <w:r w:rsidR="00DD1863">
        <w:rPr>
          <w:rFonts w:asciiTheme="minorHAnsi" w:hAnsiTheme="minorHAnsi" w:cstheme="minorHAnsi"/>
        </w:rPr>
        <w:t xml:space="preserve">500 mg/L sulfate </w:t>
      </w:r>
      <w:r w:rsidR="00B8047B">
        <w:rPr>
          <w:rFonts w:asciiTheme="minorHAnsi" w:hAnsiTheme="minorHAnsi" w:cstheme="minorHAnsi"/>
        </w:rPr>
        <w:t xml:space="preserve">is </w:t>
      </w:r>
      <w:r w:rsidR="00DD1863">
        <w:rPr>
          <w:rFonts w:asciiTheme="minorHAnsi" w:hAnsiTheme="minorHAnsi" w:cstheme="minorHAnsi"/>
        </w:rPr>
        <w:t xml:space="preserve">to be used as guidance rather than an </w:t>
      </w:r>
      <w:r w:rsidR="00B8047B">
        <w:rPr>
          <w:rFonts w:asciiTheme="minorHAnsi" w:hAnsiTheme="minorHAnsi" w:cstheme="minorHAnsi"/>
        </w:rPr>
        <w:t xml:space="preserve">enforceable water quality target. </w:t>
      </w:r>
      <w:r>
        <w:rPr>
          <w:rFonts w:asciiTheme="minorHAnsi" w:hAnsiTheme="minorHAnsi" w:cstheme="minorHAnsi"/>
        </w:rPr>
        <w:t xml:space="preserve">For assessment purposes, the recommended frequency and duration of exposure </w:t>
      </w:r>
      <w:r w:rsidR="002538A8">
        <w:rPr>
          <w:rFonts w:asciiTheme="minorHAnsi" w:hAnsiTheme="minorHAnsi" w:cstheme="minorHAnsi"/>
        </w:rPr>
        <w:t>is based on a 96-hour exposure and can be exceeded only on</w:t>
      </w:r>
      <w:r w:rsidR="00E83790">
        <w:rPr>
          <w:rFonts w:asciiTheme="minorHAnsi" w:hAnsiTheme="minorHAnsi" w:cstheme="minorHAnsi"/>
        </w:rPr>
        <w:t>c</w:t>
      </w:r>
      <w:r w:rsidR="002538A8">
        <w:rPr>
          <w:rFonts w:asciiTheme="minorHAnsi" w:hAnsiTheme="minorHAnsi" w:cstheme="minorHAnsi"/>
        </w:rPr>
        <w:t>e, on average, in a three year period.</w:t>
      </w:r>
      <w:r w:rsidR="00E83790">
        <w:rPr>
          <w:rFonts w:asciiTheme="minorHAnsi" w:hAnsiTheme="minorHAnsi" w:cstheme="minorHAnsi"/>
        </w:rPr>
        <w:t xml:space="preserve"> </w:t>
      </w:r>
      <w:r w:rsidR="00BF44A4">
        <w:rPr>
          <w:rFonts w:asciiTheme="minorHAnsi" w:hAnsiTheme="minorHAnsi" w:cstheme="minorHAnsi"/>
        </w:rPr>
        <w:t xml:space="preserve">The “once in a three-year period” exceedance frequency may be translated to a 10% exceedance rate </w:t>
      </w:r>
      <w:r w:rsidR="0052687F">
        <w:rPr>
          <w:rFonts w:asciiTheme="minorHAnsi" w:hAnsiTheme="minorHAnsi" w:cstheme="minorHAnsi"/>
        </w:rPr>
        <w:t>(</w:t>
      </w:r>
      <w:r w:rsidR="00BF44A4">
        <w:rPr>
          <w:rFonts w:asciiTheme="minorHAnsi" w:hAnsiTheme="minorHAnsi" w:cstheme="minorHAnsi"/>
        </w:rPr>
        <w:fldChar w:fldCharType="begin"/>
      </w:r>
      <w:r w:rsidR="00BF44A4">
        <w:rPr>
          <w:rFonts w:asciiTheme="minorHAnsi" w:hAnsiTheme="minorHAnsi" w:cstheme="minorHAnsi"/>
        </w:rPr>
        <w:instrText xml:space="preserve"> ADDIN REFMGR.CITE &lt;Refman&gt;&lt;Cite&gt;&lt;Author&gt;Montana Department of Environmental Quality&lt;/Author&gt;&lt;Year&gt;2011&lt;/Year&gt;&lt;RecNum&gt;2855&lt;/RecNum&gt;&lt;IDText&gt;The Montana Department of Environmental Quality Metals Assessment Method&lt;/IDText&gt;&lt;MDL Ref_Type="Personal Communication"&gt;&lt;Ref_Type&gt;Personal Communication&lt;/Ref_Type&gt;&lt;Ref_ID&gt;2855&lt;/Ref_ID&gt;&lt;Title_Primary&gt;The Montana Department of Environmental Quality Metals Assessment Method&lt;/Title_Primary&gt;&lt;Authors_Primary&gt;=Montana Department of Environmental Quality&lt;/Authors_Primary&gt;&lt;Date_Primary&gt;2011&lt;/Date_Primary&gt;&lt;Keywords&gt;Environmental quality&lt;/Keywords&gt;&lt;Keywords&gt;Montana&lt;/Keywords&gt;&lt;Reprint&gt;Not in File&lt;/Reprint&gt;&lt;Pub_Place&gt;Helena, MT&lt;/Pub_Place&gt;&lt;Publisher&gt;Montana Department of Environmental Quality&lt;/Publisher&gt;&lt;ZZ_WorkformID&gt;23&lt;/ZZ_WorkformID&gt;&lt;/MDL&gt;&lt;/Cite&gt;&lt;/Refman&gt;</w:instrText>
      </w:r>
      <w:r w:rsidR="00BF44A4">
        <w:rPr>
          <w:rFonts w:asciiTheme="minorHAnsi" w:hAnsiTheme="minorHAnsi" w:cstheme="minorHAnsi"/>
        </w:rPr>
        <w:fldChar w:fldCharType="separate"/>
      </w:r>
      <w:r w:rsidR="00315F74">
        <w:rPr>
          <w:rFonts w:asciiTheme="minorHAnsi" w:hAnsiTheme="minorHAnsi" w:cstheme="minorHAnsi"/>
          <w:noProof/>
        </w:rPr>
        <w:t>DEQ</w:t>
      </w:r>
      <w:r w:rsidR="00BF44A4">
        <w:rPr>
          <w:rFonts w:asciiTheme="minorHAnsi" w:hAnsiTheme="minorHAnsi" w:cstheme="minorHAnsi"/>
          <w:noProof/>
        </w:rPr>
        <w:t>, 2012)</w:t>
      </w:r>
      <w:r w:rsidR="00BF44A4">
        <w:rPr>
          <w:rFonts w:asciiTheme="minorHAnsi" w:hAnsiTheme="minorHAnsi" w:cstheme="minorHAnsi"/>
        </w:rPr>
        <w:fldChar w:fldCharType="end"/>
      </w:r>
      <w:r w:rsidR="00BF44A4">
        <w:rPr>
          <w:rFonts w:asciiTheme="minorHAnsi" w:hAnsiTheme="minorHAnsi" w:cstheme="minorHAnsi"/>
        </w:rPr>
        <w:t>.</w:t>
      </w:r>
    </w:p>
    <w:p w:rsidR="003E4E8D" w:rsidRPr="006678C7" w:rsidRDefault="003E4E8D" w:rsidP="00BE6F4D">
      <w:pPr>
        <w:rPr>
          <w:rFonts w:asciiTheme="minorHAnsi" w:hAnsiTheme="minorHAnsi" w:cstheme="minorHAnsi"/>
        </w:rPr>
      </w:pPr>
    </w:p>
    <w:p w:rsidR="00AA03EC" w:rsidRPr="006678C7" w:rsidRDefault="00197740" w:rsidP="00731EC0">
      <w:pPr>
        <w:pStyle w:val="Heading2"/>
        <w:rPr>
          <w:rFonts w:asciiTheme="minorHAnsi" w:hAnsiTheme="minorHAnsi" w:cstheme="minorHAnsi"/>
        </w:rPr>
      </w:pPr>
      <w:r w:rsidRPr="006678C7">
        <w:rPr>
          <w:rFonts w:asciiTheme="minorHAnsi" w:hAnsiTheme="minorHAnsi" w:cstheme="minorHAnsi"/>
        </w:rPr>
        <w:t>Recreational use</w:t>
      </w:r>
    </w:p>
    <w:p w:rsidR="00AA03EC" w:rsidRPr="006678C7" w:rsidRDefault="00731EC0" w:rsidP="00AA03EC">
      <w:pPr>
        <w:rPr>
          <w:rFonts w:asciiTheme="minorHAnsi" w:hAnsiTheme="minorHAnsi" w:cstheme="minorHAnsi"/>
        </w:rPr>
      </w:pPr>
      <w:r w:rsidRPr="006678C7">
        <w:rPr>
          <w:rFonts w:asciiTheme="minorHAnsi" w:hAnsiTheme="minorHAnsi" w:cstheme="minorHAnsi"/>
        </w:rPr>
        <w:t xml:space="preserve">There are no studies available on skin contact with sulfate in water. </w:t>
      </w:r>
    </w:p>
    <w:p w:rsidR="007941B0" w:rsidRPr="006678C7" w:rsidRDefault="00B7620C" w:rsidP="00BE6F4D">
      <w:pPr>
        <w:rPr>
          <w:rFonts w:asciiTheme="minorHAnsi" w:hAnsiTheme="minorHAnsi" w:cstheme="minorHAnsi"/>
        </w:rPr>
      </w:pPr>
      <w:r w:rsidRPr="006678C7">
        <w:rPr>
          <w:rFonts w:asciiTheme="minorHAnsi" w:hAnsiTheme="minorHAnsi" w:cstheme="minorHAnsi"/>
        </w:rPr>
        <w:t xml:space="preserve">                                                                                                           </w:t>
      </w:r>
    </w:p>
    <w:p w:rsidR="009F7AEE" w:rsidRPr="006678C7" w:rsidRDefault="009F7AEE" w:rsidP="009F7AEE">
      <w:pPr>
        <w:pStyle w:val="Heading1"/>
        <w:rPr>
          <w:rFonts w:asciiTheme="minorHAnsi" w:hAnsiTheme="minorHAnsi" w:cstheme="minorHAnsi"/>
        </w:rPr>
      </w:pPr>
      <w:r w:rsidRPr="006678C7">
        <w:rPr>
          <w:rFonts w:asciiTheme="minorHAnsi" w:hAnsiTheme="minorHAnsi" w:cstheme="minorHAnsi"/>
        </w:rPr>
        <w:t xml:space="preserve">Sulfate toxicity to animals </w:t>
      </w:r>
    </w:p>
    <w:p w:rsidR="009F7AEE" w:rsidRPr="006678C7" w:rsidRDefault="009F7AEE" w:rsidP="009F7AEE">
      <w:pPr>
        <w:pStyle w:val="Heading2"/>
        <w:rPr>
          <w:rFonts w:asciiTheme="minorHAnsi" w:hAnsiTheme="minorHAnsi" w:cstheme="minorHAnsi"/>
        </w:rPr>
      </w:pPr>
      <w:r w:rsidRPr="006678C7">
        <w:rPr>
          <w:rFonts w:asciiTheme="minorHAnsi" w:hAnsiTheme="minorHAnsi" w:cstheme="minorHAnsi"/>
        </w:rPr>
        <w:t>agricultural use</w:t>
      </w:r>
    </w:p>
    <w:p w:rsidR="009F7AEE" w:rsidRPr="0064362B" w:rsidRDefault="009F7AEE" w:rsidP="009F7AEE">
      <w:pPr>
        <w:autoSpaceDE w:val="0"/>
        <w:autoSpaceDN w:val="0"/>
        <w:adjustRightInd w:val="0"/>
        <w:rPr>
          <w:rFonts w:asciiTheme="minorHAnsi" w:hAnsiTheme="minorHAnsi" w:cstheme="minorHAnsi"/>
        </w:rPr>
      </w:pPr>
      <w:r w:rsidRPr="0064362B">
        <w:rPr>
          <w:rFonts w:asciiTheme="minorHAnsi" w:hAnsiTheme="minorHAnsi" w:cstheme="minorHAnsi"/>
        </w:rPr>
        <w:t xml:space="preserve">Illinois </w:t>
      </w:r>
      <w:r w:rsidR="00C13B3D" w:rsidRPr="0064362B">
        <w:rPr>
          <w:rFonts w:asciiTheme="minorHAnsi" w:hAnsiTheme="minorHAnsi" w:cstheme="minorHAnsi"/>
        </w:rPr>
        <w:t>Environmental Protection Agency</w:t>
      </w:r>
      <w:r w:rsidRPr="0064362B">
        <w:rPr>
          <w:rFonts w:asciiTheme="minorHAnsi" w:hAnsiTheme="minorHAnsi" w:cstheme="minorHAnsi"/>
        </w:rPr>
        <w:t xml:space="preserve"> </w:t>
      </w:r>
      <w:r w:rsidR="00985FD2">
        <w:rPr>
          <w:rFonts w:asciiTheme="minorHAnsi" w:hAnsiTheme="minorHAnsi" w:cstheme="minorHAnsi"/>
        </w:rPr>
        <w:t xml:space="preserve">(Illinois EPA) </w:t>
      </w:r>
      <w:r w:rsidRPr="0064362B">
        <w:rPr>
          <w:rFonts w:asciiTheme="minorHAnsi" w:hAnsiTheme="minorHAnsi" w:cstheme="minorHAnsi"/>
        </w:rPr>
        <w:t>reviewed literature on sulfate impacts to livestock. Like humans, livestock experience a laxative effect when exposed to high levels of sulfate in their drinking water.  The major concern with livestock is the chronic effects of drinking water with high sulfate levels. Exposure of cattle to water with 2,500 mg/L sulfate results in poor conception, chronic exposure of cattle to water with 2,600 mg/L sulfate can result in weight loss and decreased body condition, and as sulfate concentrations approach 3,000 mg/L, cattle drink less water and become more prone to a neurological disorder that leads to anorexia, blindness, seizures, and eventually death</w:t>
      </w:r>
      <w:r w:rsidR="00985FD2">
        <w:rPr>
          <w:rFonts w:asciiTheme="minorHAnsi" w:hAnsiTheme="minorHAnsi" w:cstheme="minorHAnsi"/>
        </w:rPr>
        <w:t xml:space="preserve"> </w:t>
      </w:r>
      <w:r w:rsidR="00985FD2">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&lt;Refman&gt;&lt;Cite&gt;&lt;Author&gt;Illinois Environmental Protection Agency&lt;/Author&gt;&lt;Year&gt;2006&lt;/Year&gt;&lt;RecNum&gt;18018&lt;/RecNum&gt;&lt;IDText&gt;Preliminary Technical Justification for Changing Water Quality Standards for Sulfates, Total Dissolved Solids and Mixing Zones&lt;/IDText&gt;&lt;MDL Ref_Type="Report"&gt;&lt;Ref_Type&gt;Report&lt;/Ref_Type&gt;&lt;Ref_ID&gt;18018&lt;/Ref_ID&gt;&lt;Title_Primary&gt;Preliminary Technical Justification for Changing Water Quality Standards for Sulfates, Total Dissolved Solids and Mixing Zones&lt;/Title_Primary&gt;&lt;Authors_Primary&gt;=Illinois Environmental Protection Agency&lt;/Authors_Primary&gt;&lt;Date_Primary&gt;2006/4&lt;/Date_Primary&gt;&lt;Keywords&gt;Dissolved solids&lt;/Keywords&gt;&lt;Keywords&gt;Mixing&lt;/Keywords&gt;&lt;Keywords&gt;mixing zone&lt;/Keywords&gt;&lt;Keywords&gt;Standards&lt;/Keywords&gt;&lt;Keywords&gt;sulfate&lt;/Keywords&gt;&lt;Keywords&gt;Sulfates&lt;/Keywords&gt;&lt;Keywords&gt;total dissolved solids&lt;/Keywords&gt;&lt;Keywords&gt;Water&lt;/Keywords&gt;&lt;Keywords&gt;Water quality&lt;/Keywords&gt;&lt;Reprint&gt;Not in File&lt;/Reprint&gt;&lt;Start_Page&gt;16&lt;/Start_Page&gt;&lt;End_Page&gt;61&lt;/End_Page&gt;&lt;Periodical&gt;Iowa Department of Natural Resources Water Quality Standards Review: Chloride, Sulfate and Total Dissolved Solids&lt;/Periodical&gt;&lt;Publisher&gt;Iowa Department of Natural Resources&lt;/Publisher&gt;&lt;ZZ_JournalFull&gt;&lt;f name="System"&gt;Iowa Department of Natural Resources Water Quality Standards Review: Chloride, Sulfate and Total Dissolved Solids&lt;/f&gt;&lt;/ZZ_JournalFull&gt;&lt;ZZ_WorkformID&gt;24&lt;/ZZ_WorkformID&gt;&lt;/MDL&gt;&lt;/Cite&gt;&lt;/Refman&gt;</w:instrText>
      </w:r>
      <w:r w:rsidR="00985FD2">
        <w:rPr>
          <w:rFonts w:asciiTheme="minorHAnsi" w:hAnsiTheme="minorHAnsi" w:cstheme="minorHAnsi"/>
        </w:rPr>
        <w:fldChar w:fldCharType="separate"/>
      </w:r>
      <w:r w:rsidR="00985FD2">
        <w:rPr>
          <w:rFonts w:asciiTheme="minorHAnsi" w:hAnsiTheme="minorHAnsi" w:cstheme="minorHAnsi"/>
          <w:noProof/>
        </w:rPr>
        <w:t>(Illinois</w:t>
      </w:r>
      <w:r w:rsidR="0052687F">
        <w:rPr>
          <w:rFonts w:asciiTheme="minorHAnsi" w:hAnsiTheme="minorHAnsi" w:cstheme="minorHAnsi"/>
          <w:noProof/>
        </w:rPr>
        <w:t xml:space="preserve"> </w:t>
      </w:r>
      <w:r w:rsidR="00045638">
        <w:rPr>
          <w:rFonts w:asciiTheme="minorHAnsi" w:hAnsiTheme="minorHAnsi" w:cstheme="minorHAnsi"/>
          <w:noProof/>
        </w:rPr>
        <w:t>EPA</w:t>
      </w:r>
      <w:r w:rsidR="00985FD2">
        <w:rPr>
          <w:rFonts w:asciiTheme="minorHAnsi" w:hAnsiTheme="minorHAnsi" w:cstheme="minorHAnsi"/>
          <w:noProof/>
        </w:rPr>
        <w:t>, 2006)</w:t>
      </w:r>
      <w:r w:rsidR="00985FD2">
        <w:rPr>
          <w:rFonts w:asciiTheme="minorHAnsi" w:hAnsiTheme="minorHAnsi" w:cstheme="minorHAnsi"/>
        </w:rPr>
        <w:fldChar w:fldCharType="end"/>
      </w:r>
      <w:r w:rsidRPr="0064362B">
        <w:rPr>
          <w:rFonts w:asciiTheme="minorHAnsi" w:hAnsiTheme="minorHAnsi" w:cstheme="minorHAnsi"/>
        </w:rPr>
        <w:t xml:space="preserve">. </w:t>
      </w:r>
    </w:p>
    <w:p w:rsidR="009F7AEE" w:rsidRPr="0064362B" w:rsidRDefault="009F7AEE" w:rsidP="009F7AEE">
      <w:pPr>
        <w:autoSpaceDE w:val="0"/>
        <w:autoSpaceDN w:val="0"/>
        <w:adjustRightInd w:val="0"/>
        <w:rPr>
          <w:rFonts w:asciiTheme="minorHAnsi" w:hAnsiTheme="minorHAnsi" w:cstheme="minorHAnsi"/>
        </w:rPr>
      </w:pPr>
    </w:p>
    <w:p w:rsidR="009F7AEE" w:rsidRPr="0064362B" w:rsidRDefault="009F7AEE" w:rsidP="009F7AEE">
      <w:pPr>
        <w:autoSpaceDE w:val="0"/>
        <w:autoSpaceDN w:val="0"/>
        <w:adjustRightInd w:val="0"/>
        <w:rPr>
          <w:rFonts w:asciiTheme="minorHAnsi" w:hAnsiTheme="minorHAnsi" w:cstheme="minorHAnsi"/>
        </w:rPr>
      </w:pPr>
      <w:r w:rsidRPr="0064362B">
        <w:rPr>
          <w:rFonts w:asciiTheme="minorHAnsi" w:hAnsiTheme="minorHAnsi" w:cstheme="minorHAnsi"/>
        </w:rPr>
        <w:t>Illinois did not find enough studies to calculate a chronic livestock criterion for sulfate, but determined that a chronic standard of 2,000 mg/L is protective of livestock watering, as that level will not lead to adverse effects on livestock or economic effects to livestock operations. We will apply a surface water target of 2,000 mg/L, not to exceed the four-day average more than once in a three-year period, to protect livestock.</w:t>
      </w:r>
      <w:r w:rsidR="00BC16F2">
        <w:rPr>
          <w:rFonts w:asciiTheme="minorHAnsi" w:hAnsiTheme="minorHAnsi" w:cstheme="minorHAnsi"/>
        </w:rPr>
        <w:t xml:space="preserve"> As with the drinking water target, the agricultural target is guidance only.</w:t>
      </w:r>
      <w:r w:rsidR="008B13B5">
        <w:rPr>
          <w:rFonts w:asciiTheme="minorHAnsi" w:hAnsiTheme="minorHAnsi" w:cstheme="minorHAnsi"/>
        </w:rPr>
        <w:t xml:space="preserve"> The</w:t>
      </w:r>
      <w:r w:rsidR="008D17BF">
        <w:rPr>
          <w:rFonts w:asciiTheme="minorHAnsi" w:hAnsiTheme="minorHAnsi" w:cstheme="minorHAnsi"/>
        </w:rPr>
        <w:t xml:space="preserve"> “once in a three-year period”</w:t>
      </w:r>
      <w:r w:rsidR="008B13B5">
        <w:rPr>
          <w:rFonts w:asciiTheme="minorHAnsi" w:hAnsiTheme="minorHAnsi" w:cstheme="minorHAnsi"/>
        </w:rPr>
        <w:t xml:space="preserve"> exceedance frequency may be translated to a 10% exceedance rate</w:t>
      </w:r>
      <w:r w:rsidR="003F6D3F">
        <w:rPr>
          <w:rFonts w:asciiTheme="minorHAnsi" w:hAnsiTheme="minorHAnsi" w:cstheme="minorHAnsi"/>
        </w:rPr>
        <w:t xml:space="preserve"> </w:t>
      </w:r>
      <w:r w:rsidR="0052687F">
        <w:rPr>
          <w:rFonts w:asciiTheme="minorHAnsi" w:hAnsiTheme="minorHAnsi" w:cstheme="minorHAnsi"/>
        </w:rPr>
        <w:t>(</w:t>
      </w:r>
      <w:r w:rsidR="003F6D3F">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&lt;Refman&gt;&lt;Cite&gt;&lt;Author&gt;Montana Department of Environmental Quality&lt;/Author&gt;&lt;Year&gt;2011&lt;/Year&gt;&lt;RecNum&gt;2855&lt;/RecNum&gt;&lt;IDText&gt;The Montana Department of Environmental Quality Metals Assessment Method&lt;/IDText&gt;&lt;MDL Ref_Type="Personal Communication"&gt;&lt;Ref_Type&gt;Personal Communication&lt;/Ref_Type&gt;&lt;Ref_ID&gt;2855&lt;/Ref_ID&gt;&lt;Title_Primary&gt;The Montana Department of Environmental Quality Metals Assessment Method&lt;/Title_Primary&gt;&lt;Authors_Primary&gt;=Montana Department of Environmental Quality&lt;/Authors_Primary&gt;&lt;Date_Primary&gt;2011&lt;/Date_Primary&gt;&lt;Keywords&gt;Environmental quality&lt;/Keywords&gt;&lt;Keywords&gt;Montana&lt;/Keywords&gt;&lt;Reprint&gt;Not in File&lt;/Reprint&gt;&lt;Pub_Place&gt;Helena, MT&lt;/Pub_Place&gt;&lt;Publisher&gt;Montana Department of Environmental Quality&lt;/Publisher&gt;&lt;ZZ_WorkformID&gt;23&lt;/ZZ_WorkformID&gt;&lt;/MDL&gt;&lt;/Cite&gt;&lt;/Refman&gt;</w:instrText>
      </w:r>
      <w:r w:rsidR="003F6D3F">
        <w:rPr>
          <w:rFonts w:asciiTheme="minorHAnsi" w:hAnsiTheme="minorHAnsi" w:cstheme="minorHAnsi"/>
        </w:rPr>
        <w:fldChar w:fldCharType="separate"/>
      </w:r>
      <w:r w:rsidR="00045638">
        <w:rPr>
          <w:rFonts w:asciiTheme="minorHAnsi" w:hAnsiTheme="minorHAnsi" w:cstheme="minorHAnsi"/>
          <w:noProof/>
        </w:rPr>
        <w:t>DEQ</w:t>
      </w:r>
      <w:r w:rsidR="003F6D3F">
        <w:rPr>
          <w:rFonts w:asciiTheme="minorHAnsi" w:hAnsiTheme="minorHAnsi" w:cstheme="minorHAnsi"/>
          <w:noProof/>
        </w:rPr>
        <w:t>, 2012)</w:t>
      </w:r>
      <w:r w:rsidR="003F6D3F">
        <w:rPr>
          <w:rFonts w:asciiTheme="minorHAnsi" w:hAnsiTheme="minorHAnsi" w:cstheme="minorHAnsi"/>
        </w:rPr>
        <w:fldChar w:fldCharType="end"/>
      </w:r>
      <w:r w:rsidR="008B13B5">
        <w:rPr>
          <w:rFonts w:asciiTheme="minorHAnsi" w:hAnsiTheme="minorHAnsi" w:cstheme="minorHAnsi"/>
        </w:rPr>
        <w:t>.</w:t>
      </w:r>
      <w:r w:rsidR="008D17BF">
        <w:rPr>
          <w:rFonts w:asciiTheme="minorHAnsi" w:hAnsiTheme="minorHAnsi" w:cstheme="minorHAnsi"/>
        </w:rPr>
        <w:t xml:space="preserve"> </w:t>
      </w:r>
    </w:p>
    <w:p w:rsidR="009F7AEE" w:rsidRPr="006678C7" w:rsidRDefault="009F7AEE" w:rsidP="009F7AEE">
      <w:pPr>
        <w:rPr>
          <w:rFonts w:asciiTheme="minorHAnsi" w:hAnsiTheme="minorHAnsi" w:cstheme="minorHAnsi"/>
        </w:rPr>
      </w:pPr>
    </w:p>
    <w:p w:rsidR="009F7AEE" w:rsidRPr="006678C7" w:rsidRDefault="009F7AEE" w:rsidP="009F7AEE">
      <w:pPr>
        <w:pStyle w:val="Heading1"/>
        <w:rPr>
          <w:rFonts w:asciiTheme="minorHAnsi" w:hAnsiTheme="minorHAnsi" w:cstheme="minorHAnsi"/>
        </w:rPr>
      </w:pPr>
      <w:r w:rsidRPr="006678C7">
        <w:rPr>
          <w:rFonts w:asciiTheme="minorHAnsi" w:hAnsiTheme="minorHAnsi" w:cstheme="minorHAnsi"/>
        </w:rPr>
        <w:t xml:space="preserve">Sulfate toxicity to plants </w:t>
      </w:r>
    </w:p>
    <w:p w:rsidR="009F7AEE" w:rsidRPr="006678C7" w:rsidRDefault="009F7AEE" w:rsidP="009F7AEE">
      <w:pPr>
        <w:pStyle w:val="Heading2"/>
        <w:rPr>
          <w:rFonts w:asciiTheme="minorHAnsi" w:hAnsiTheme="minorHAnsi" w:cstheme="minorHAnsi"/>
        </w:rPr>
      </w:pPr>
      <w:r w:rsidRPr="006678C7">
        <w:rPr>
          <w:rFonts w:asciiTheme="minorHAnsi" w:hAnsiTheme="minorHAnsi" w:cstheme="minorHAnsi"/>
        </w:rPr>
        <w:t>agricultural use</w:t>
      </w:r>
    </w:p>
    <w:p w:rsidR="00F839F9" w:rsidRPr="0064362B" w:rsidRDefault="009F7AEE" w:rsidP="009F7AEE">
      <w:pPr>
        <w:rPr>
          <w:rFonts w:asciiTheme="minorHAnsi" w:hAnsiTheme="minorHAnsi" w:cstheme="minorHAnsi"/>
        </w:rPr>
      </w:pPr>
      <w:r w:rsidRPr="0064362B">
        <w:rPr>
          <w:rFonts w:asciiTheme="minorHAnsi" w:hAnsiTheme="minorHAnsi" w:cstheme="minorHAnsi"/>
        </w:rPr>
        <w:t>Sulfate is an essential nutrient for plants. Sulfate toxicity in plants is usually is not an issue, except at very high concentrations where high sulfate can interfere with uptake of other nutrients</w:t>
      </w:r>
      <w:r w:rsidR="00985FD2">
        <w:rPr>
          <w:rFonts w:asciiTheme="minorHAnsi" w:hAnsiTheme="minorHAnsi" w:cstheme="minorHAnsi"/>
        </w:rPr>
        <w:t xml:space="preserve"> </w:t>
      </w:r>
      <w:r w:rsidR="00985FD2">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&lt;Refman&gt;&lt;Cite&gt;&lt;Author&gt;Bauder&lt;/Author&gt;&lt;Year&gt;2011&lt;/Year&gt;&lt;RecNum&gt;18019&lt;/RecNum&gt;&lt;IDText&gt;Irrigation Water Quality Criteria&lt;/IDText&gt;&lt;MDL Ref_Type="Online Source"&gt;&lt;Ref_Type&gt;Online Source&lt;/Ref_Type&gt;&lt;Ref_ID&gt;18019&lt;/Ref_ID&gt;&lt;Title_Primary&gt;Irrigation Water Quality Criteria&lt;/Title_Primary&gt;&lt;Authors_Primary&gt;Bauder,T.A.&lt;/Authors_Primary&gt;&lt;Authors_Primary&gt;Waskom,R.M.&lt;/Authors_Primary&gt;&lt;Authors_Primary&gt;Davis,J.G.&lt;/Authors_Primary&gt;&lt;Date_Primary&gt;2011/5&lt;/Date_Primary&gt;&lt;Keywords&gt;criteria&lt;/Keywords&gt;&lt;Keywords&gt;Irrigation&lt;/Keywords&gt;&lt;Keywords&gt;Irrigation water&lt;/Keywords&gt;&lt;Keywords&gt;Water&lt;/Keywords&gt;&lt;Keywords&gt;Water quality&lt;/Keywords&gt;&lt;Reprint&gt;Not in File&lt;/Reprint&gt;&lt;Periodical&gt;Irrigation Crop Series&lt;/Periodical&gt;&lt;Issue&gt;0.506&lt;/Issue&gt;&lt;Date_Secondary&gt;2014/3/19&lt;/Date_Secondary&gt;&lt;Web_URL&gt;&lt;u&gt;http://www.ext.colostate.edu/pubs/crops/00506.html&lt;/u&gt;&lt;/Web_URL&gt;&lt;ZZ_JournalFull&gt;&lt;f name="System"&gt;Irrigation Crop Series&lt;/f&gt;&lt;/ZZ_JournalFull&gt;&lt;ZZ_WorkformID&gt;31&lt;/ZZ_WorkformID&gt;&lt;/MDL&gt;&lt;/Cite&gt;&lt;/Refman&gt;</w:instrText>
      </w:r>
      <w:r w:rsidR="00985FD2">
        <w:rPr>
          <w:rFonts w:asciiTheme="minorHAnsi" w:hAnsiTheme="minorHAnsi" w:cstheme="minorHAnsi"/>
        </w:rPr>
        <w:fldChar w:fldCharType="separate"/>
      </w:r>
      <w:r w:rsidR="00985FD2">
        <w:rPr>
          <w:rFonts w:asciiTheme="minorHAnsi" w:hAnsiTheme="minorHAnsi" w:cstheme="minorHAnsi"/>
          <w:noProof/>
        </w:rPr>
        <w:t>(Bauder et al., 2011)</w:t>
      </w:r>
      <w:r w:rsidR="00985FD2">
        <w:rPr>
          <w:rFonts w:asciiTheme="minorHAnsi" w:hAnsiTheme="minorHAnsi" w:cstheme="minorHAnsi"/>
        </w:rPr>
        <w:fldChar w:fldCharType="end"/>
      </w:r>
      <w:r w:rsidRPr="0064362B">
        <w:rPr>
          <w:rFonts w:asciiTheme="minorHAnsi" w:hAnsiTheme="minorHAnsi" w:cstheme="minorHAnsi"/>
        </w:rPr>
        <w:t>.</w:t>
      </w:r>
      <w:r w:rsidR="00176327" w:rsidRPr="0064362B">
        <w:rPr>
          <w:rFonts w:asciiTheme="minorHAnsi" w:hAnsiTheme="minorHAnsi" w:cstheme="minorHAnsi"/>
        </w:rPr>
        <w:t xml:space="preserve"> </w:t>
      </w:r>
      <w:r w:rsidR="00BF5BBC">
        <w:rPr>
          <w:rFonts w:asciiTheme="minorHAnsi" w:hAnsiTheme="minorHAnsi" w:cstheme="minorHAnsi"/>
        </w:rPr>
        <w:t>S</w:t>
      </w:r>
      <w:r w:rsidR="00176327" w:rsidRPr="0064362B">
        <w:rPr>
          <w:rFonts w:asciiTheme="minorHAnsi" w:hAnsiTheme="minorHAnsi" w:cstheme="minorHAnsi"/>
        </w:rPr>
        <w:t xml:space="preserve">ulfate salts affect sensitive crops by limiting calcium uptake and increasing the absorption of </w:t>
      </w:r>
      <w:r w:rsidR="00F839F9" w:rsidRPr="0064362B">
        <w:rPr>
          <w:rFonts w:asciiTheme="minorHAnsi" w:hAnsiTheme="minorHAnsi" w:cstheme="minorHAnsi"/>
        </w:rPr>
        <w:t>sodium</w:t>
      </w:r>
      <w:r w:rsidR="00176327" w:rsidRPr="0064362B">
        <w:rPr>
          <w:rFonts w:asciiTheme="minorHAnsi" w:hAnsiTheme="minorHAnsi" w:cstheme="minorHAnsi"/>
        </w:rPr>
        <w:t xml:space="preserve"> and potassium</w:t>
      </w:r>
      <w:r w:rsidR="00BF5BBC">
        <w:rPr>
          <w:rFonts w:asciiTheme="minorHAnsi" w:hAnsiTheme="minorHAnsi" w:cstheme="minorHAnsi"/>
        </w:rPr>
        <w:t xml:space="preserve"> </w:t>
      </w:r>
      <w:r w:rsidR="00BF5BBC">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&lt;Refman&gt;&lt;Cite&gt;&lt;Author&gt;Fipps&lt;/Author&gt;&lt;Year&gt;2003&lt;/Year&gt;&lt;RecNum&gt;18021&lt;/RecNum&gt;&lt;IDText&gt;Irrigation Water Quality Standards and Salinity Management Strategies&lt;/IDText&gt;&lt;MDL Ref_Type="Report"&gt;&lt;Ref_Type&gt;Report&lt;/Ref_Type&gt;&lt;Ref_ID&gt;18021&lt;/Ref_ID&gt;&lt;Title_Primary&gt;Irrigation Water Quality Standards and Salinity Management Strategies&lt;/Title_Primary&gt;&lt;Authors_Primary&gt;Fipps,Guy&lt;/Authors_Primary&gt;&lt;Date_Primary&gt;2003/4&lt;/Date_Primary&gt;&lt;Keywords&gt;Irrigation&lt;/Keywords&gt;&lt;Keywords&gt;Irrigation water&lt;/Keywords&gt;&lt;Keywords&gt;Management&lt;/Keywords&gt;&lt;Keywords&gt;Salinity&lt;/Keywords&gt;&lt;Keywords&gt;Standards&lt;/Keywords&gt;&lt;Keywords&gt;Water&lt;/Keywords&gt;&lt;Keywords&gt;Water quality&lt;/Keywords&gt;&lt;Reprint&gt;Not in File&lt;/Reprint&gt;&lt;Publisher&gt;Texas A&amp;amp;M AgriLife Extension Service&lt;/Publisher&gt;&lt;Date_Secondary&gt;2014/3/10&lt;/Date_Secondary&gt;&lt;Web_URL&gt;&lt;u&gt;http://soiltesting.tamu.edu/publications/B-1667.pdf&lt;/u&gt;&lt;/Web_URL&gt;&lt;ZZ_WorkformID&gt;24&lt;/ZZ_WorkformID&gt;&lt;/MDL&gt;&lt;/Cite&gt;&lt;/Refman&gt;</w:instrText>
      </w:r>
      <w:r w:rsidR="00BF5BBC">
        <w:rPr>
          <w:rFonts w:asciiTheme="minorHAnsi" w:hAnsiTheme="minorHAnsi" w:cstheme="minorHAnsi"/>
        </w:rPr>
        <w:fldChar w:fldCharType="separate"/>
      </w:r>
      <w:r w:rsidR="00BF5BBC">
        <w:rPr>
          <w:rFonts w:asciiTheme="minorHAnsi" w:hAnsiTheme="minorHAnsi" w:cstheme="minorHAnsi"/>
          <w:noProof/>
        </w:rPr>
        <w:t>(Fipps, 2003)</w:t>
      </w:r>
      <w:r w:rsidR="00BF5BBC">
        <w:rPr>
          <w:rFonts w:asciiTheme="minorHAnsi" w:hAnsiTheme="minorHAnsi" w:cstheme="minorHAnsi"/>
        </w:rPr>
        <w:fldChar w:fldCharType="end"/>
      </w:r>
      <w:r w:rsidR="00176327" w:rsidRPr="0064362B">
        <w:rPr>
          <w:rFonts w:asciiTheme="minorHAnsi" w:hAnsiTheme="minorHAnsi" w:cstheme="minorHAnsi"/>
        </w:rPr>
        <w:t xml:space="preserve">. </w:t>
      </w:r>
      <w:r w:rsidR="00BF5BBC">
        <w:rPr>
          <w:rFonts w:asciiTheme="minorHAnsi" w:hAnsiTheme="minorHAnsi" w:cstheme="minorHAnsi"/>
        </w:rPr>
        <w:t>B</w:t>
      </w:r>
      <w:r w:rsidR="00F839F9" w:rsidRPr="0064362B">
        <w:rPr>
          <w:rFonts w:asciiTheme="minorHAnsi" w:hAnsiTheme="minorHAnsi" w:cstheme="minorHAnsi"/>
        </w:rPr>
        <w:t xml:space="preserve">ecause of the reduction of calcium uptake and increased sodium </w:t>
      </w:r>
      <w:r w:rsidR="00F839F9" w:rsidRPr="0064362B">
        <w:rPr>
          <w:rFonts w:asciiTheme="minorHAnsi" w:hAnsiTheme="minorHAnsi" w:cstheme="minorHAnsi"/>
        </w:rPr>
        <w:lastRenderedPageBreak/>
        <w:t>and potassium uptake, “the harmful effects of sulfate are likely related to a disturbance in the ionic balance within the plant rather than a direct injury.”</w:t>
      </w:r>
      <w:r w:rsidR="00BF5BBC" w:rsidRPr="00BF5BBC">
        <w:rPr>
          <w:rFonts w:asciiTheme="minorHAnsi" w:hAnsiTheme="minorHAnsi" w:cstheme="minorHAnsi"/>
        </w:rPr>
        <w:t xml:space="preserve"> </w:t>
      </w:r>
      <w:r w:rsidR="00BF5BBC">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&lt;Refman&gt;&lt;Cite&gt;&lt;Author&gt;Pick&lt;/Author&gt;&lt;Year&gt;2008&lt;/Year&gt;&lt;RecNum&gt;12509&lt;/RecNum&gt;&lt;IDText&gt;Assessing Water Quality for Human Consumption, Agriculture, and Aquatic Life Uses&lt;/IDText&gt;&lt;MDL Ref_Type="Report"&gt;&lt;Ref_Type&gt;Report&lt;/Ref_Type&gt;&lt;Ref_ID&gt;12509&lt;/Ref_ID&gt;&lt;Title_Primary&gt;Assessing Water Quality for Human Consumption, Agriculture, and Aquatic Life Uses&lt;/Title_Primary&gt;&lt;Authors_Primary&gt;Pick,Thomas L.&lt;/Authors_Primary&gt;&lt;Date_Primary&gt;2008&lt;/Date_Primary&gt;&lt;Keywords&gt;Aquatic habitats&lt;/Keywords&gt;&lt;Keywords&gt;Consumptive uses&lt;/Keywords&gt;&lt;Keywords&gt;Health hazards&lt;/Keywords&gt;&lt;Keywords&gt;Irrigation water&lt;/Keywords&gt;&lt;Keywords&gt;Pollutants&lt;/Keywords&gt;&lt;Keywords&gt;Recreational use&lt;/Keywords&gt;&lt;Keywords&gt;Standards&lt;/Keywords&gt;&lt;Keywords&gt;Water quality&lt;/Keywords&gt;&lt;Keywords&gt;Water use&lt;/Keywords&gt;&lt;Reprint&gt;In File&lt;/Reprint&gt;&lt;Volume&gt;Environment Technical Note No. MT-1 (Rev. 1)&lt;/Volume&gt;&lt;Pub_Place&gt;MT&lt;/Pub_Place&gt;&lt;Publisher&gt;Natural Resources Conservation Service&lt;/Publisher&gt;&lt;User_Def_1&gt;Common.General.tx076&lt;/User_Def_1&gt;&lt;User_Def_2&gt;12509&lt;/User_Def_2&gt;&lt;ZZ_WorkformID&gt;24&lt;/ZZ_WorkformID&gt;&lt;/MDL&gt;&lt;/Cite&gt;&lt;/Refman&gt;</w:instrText>
      </w:r>
      <w:r w:rsidR="00BF5BBC">
        <w:rPr>
          <w:rFonts w:asciiTheme="minorHAnsi" w:hAnsiTheme="minorHAnsi" w:cstheme="minorHAnsi"/>
        </w:rPr>
        <w:fldChar w:fldCharType="separate"/>
      </w:r>
      <w:r w:rsidR="00BF5BBC">
        <w:rPr>
          <w:rFonts w:asciiTheme="minorHAnsi" w:hAnsiTheme="minorHAnsi" w:cstheme="minorHAnsi"/>
          <w:noProof/>
        </w:rPr>
        <w:t>(Pick, 2008)</w:t>
      </w:r>
      <w:r w:rsidR="00BF5BBC">
        <w:rPr>
          <w:rFonts w:asciiTheme="minorHAnsi" w:hAnsiTheme="minorHAnsi" w:cstheme="minorHAnsi"/>
        </w:rPr>
        <w:fldChar w:fldCharType="end"/>
      </w:r>
    </w:p>
    <w:p w:rsidR="00F839F9" w:rsidRPr="0064362B" w:rsidRDefault="00F839F9" w:rsidP="009F7AEE">
      <w:pPr>
        <w:rPr>
          <w:rFonts w:asciiTheme="minorHAnsi" w:hAnsiTheme="minorHAnsi" w:cstheme="minorHAnsi"/>
        </w:rPr>
      </w:pPr>
    </w:p>
    <w:p w:rsidR="009F7AEE" w:rsidRPr="0064362B" w:rsidRDefault="00176327" w:rsidP="009F7AEE">
      <w:pPr>
        <w:rPr>
          <w:rFonts w:asciiTheme="minorHAnsi" w:hAnsiTheme="minorHAnsi" w:cstheme="minorHAnsi"/>
        </w:rPr>
      </w:pPr>
      <w:r w:rsidRPr="0064362B">
        <w:rPr>
          <w:rFonts w:asciiTheme="minorHAnsi" w:hAnsiTheme="minorHAnsi" w:cstheme="minorHAnsi"/>
        </w:rPr>
        <w:t>N</w:t>
      </w:r>
      <w:r w:rsidR="00422208" w:rsidRPr="0064362B">
        <w:rPr>
          <w:rFonts w:asciiTheme="minorHAnsi" w:hAnsiTheme="minorHAnsi" w:cstheme="minorHAnsi"/>
        </w:rPr>
        <w:t xml:space="preserve">one of </w:t>
      </w:r>
      <w:r w:rsidRPr="0064362B">
        <w:rPr>
          <w:rFonts w:asciiTheme="minorHAnsi" w:hAnsiTheme="minorHAnsi" w:cstheme="minorHAnsi"/>
        </w:rPr>
        <w:t xml:space="preserve">the aforementioned </w:t>
      </w:r>
      <w:r w:rsidR="00422208" w:rsidRPr="0064362B">
        <w:rPr>
          <w:rFonts w:asciiTheme="minorHAnsi" w:hAnsiTheme="minorHAnsi" w:cstheme="minorHAnsi"/>
        </w:rPr>
        <w:t xml:space="preserve">sources </w:t>
      </w:r>
      <w:r w:rsidRPr="0064362B">
        <w:rPr>
          <w:rFonts w:asciiTheme="minorHAnsi" w:hAnsiTheme="minorHAnsi" w:cstheme="minorHAnsi"/>
        </w:rPr>
        <w:t>provided</w:t>
      </w:r>
      <w:r w:rsidR="00422208" w:rsidRPr="0064362B">
        <w:rPr>
          <w:rFonts w:asciiTheme="minorHAnsi" w:hAnsiTheme="minorHAnsi" w:cstheme="minorHAnsi"/>
        </w:rPr>
        <w:t xml:space="preserve"> any </w:t>
      </w:r>
      <w:r w:rsidR="00F839F9" w:rsidRPr="0064362B">
        <w:rPr>
          <w:rFonts w:asciiTheme="minorHAnsi" w:hAnsiTheme="minorHAnsi" w:cstheme="minorHAnsi"/>
        </w:rPr>
        <w:t xml:space="preserve">sulfate </w:t>
      </w:r>
      <w:r w:rsidR="00422208" w:rsidRPr="0064362B">
        <w:rPr>
          <w:rFonts w:asciiTheme="minorHAnsi" w:hAnsiTheme="minorHAnsi" w:cstheme="minorHAnsi"/>
        </w:rPr>
        <w:t xml:space="preserve">toxicity data </w:t>
      </w:r>
      <w:r w:rsidR="00F839F9" w:rsidRPr="0064362B">
        <w:rPr>
          <w:rFonts w:asciiTheme="minorHAnsi" w:hAnsiTheme="minorHAnsi" w:cstheme="minorHAnsi"/>
        </w:rPr>
        <w:t>n</w:t>
      </w:r>
      <w:r w:rsidR="00422208" w:rsidRPr="0064362B">
        <w:rPr>
          <w:rFonts w:asciiTheme="minorHAnsi" w:hAnsiTheme="minorHAnsi" w:cstheme="minorHAnsi"/>
        </w:rPr>
        <w:t xml:space="preserve">or established a </w:t>
      </w:r>
      <w:r w:rsidR="00F839F9" w:rsidRPr="0064362B">
        <w:rPr>
          <w:rFonts w:asciiTheme="minorHAnsi" w:hAnsiTheme="minorHAnsi" w:cstheme="minorHAnsi"/>
        </w:rPr>
        <w:t xml:space="preserve">sulfate </w:t>
      </w:r>
      <w:r w:rsidR="00422208" w:rsidRPr="0064362B">
        <w:rPr>
          <w:rFonts w:asciiTheme="minorHAnsi" w:hAnsiTheme="minorHAnsi" w:cstheme="minorHAnsi"/>
        </w:rPr>
        <w:t>concentration at which undesirable effects are observed</w:t>
      </w:r>
      <w:r w:rsidR="00616CB9" w:rsidRPr="0064362B">
        <w:rPr>
          <w:rFonts w:asciiTheme="minorHAnsi" w:hAnsiTheme="minorHAnsi" w:cstheme="minorHAnsi"/>
        </w:rPr>
        <w:t>, nor were we able to locate studies that have this information.</w:t>
      </w:r>
      <w:r w:rsidR="00422208" w:rsidRPr="0064362B">
        <w:rPr>
          <w:rFonts w:asciiTheme="minorHAnsi" w:hAnsiTheme="minorHAnsi" w:cstheme="minorHAnsi"/>
        </w:rPr>
        <w:t xml:space="preserve">  Because these sources assert that very high concentrations of </w:t>
      </w:r>
      <w:r w:rsidRPr="0064362B">
        <w:rPr>
          <w:rFonts w:asciiTheme="minorHAnsi" w:hAnsiTheme="minorHAnsi" w:cstheme="minorHAnsi"/>
        </w:rPr>
        <w:t>s</w:t>
      </w:r>
      <w:r w:rsidR="00422208" w:rsidRPr="0064362B">
        <w:rPr>
          <w:rFonts w:asciiTheme="minorHAnsi" w:hAnsiTheme="minorHAnsi" w:cstheme="minorHAnsi"/>
        </w:rPr>
        <w:t>ulfate are necessary to cause undesirable effects, we propose that the human health target</w:t>
      </w:r>
      <w:r w:rsidRPr="0064362B">
        <w:rPr>
          <w:rFonts w:asciiTheme="minorHAnsi" w:hAnsiTheme="minorHAnsi" w:cstheme="minorHAnsi"/>
        </w:rPr>
        <w:t>,</w:t>
      </w:r>
      <w:r w:rsidR="00422208" w:rsidRPr="0064362B">
        <w:rPr>
          <w:rFonts w:asciiTheme="minorHAnsi" w:hAnsiTheme="minorHAnsi" w:cstheme="minorHAnsi"/>
        </w:rPr>
        <w:t xml:space="preserve"> aquatic life target</w:t>
      </w:r>
      <w:r w:rsidRPr="0064362B">
        <w:rPr>
          <w:rFonts w:asciiTheme="minorHAnsi" w:hAnsiTheme="minorHAnsi" w:cstheme="minorHAnsi"/>
        </w:rPr>
        <w:t>, or livestock target</w:t>
      </w:r>
      <w:r w:rsidR="00422208" w:rsidRPr="0064362B">
        <w:rPr>
          <w:rFonts w:asciiTheme="minorHAnsi" w:hAnsiTheme="minorHAnsi" w:cstheme="minorHAnsi"/>
        </w:rPr>
        <w:t xml:space="preserve"> for sulfate will </w:t>
      </w:r>
      <w:r w:rsidR="00F839F9" w:rsidRPr="0064362B">
        <w:rPr>
          <w:rFonts w:asciiTheme="minorHAnsi" w:hAnsiTheme="minorHAnsi" w:cstheme="minorHAnsi"/>
        </w:rPr>
        <w:t xml:space="preserve">always or nearly always </w:t>
      </w:r>
      <w:r w:rsidR="00422208" w:rsidRPr="0064362B">
        <w:rPr>
          <w:rFonts w:asciiTheme="minorHAnsi" w:hAnsiTheme="minorHAnsi" w:cstheme="minorHAnsi"/>
        </w:rPr>
        <w:t xml:space="preserve">be protective of plant life. </w:t>
      </w:r>
    </w:p>
    <w:p w:rsidR="009F7AEE" w:rsidRPr="0064362B" w:rsidRDefault="009F7AEE" w:rsidP="009F7AEE">
      <w:pPr>
        <w:rPr>
          <w:rFonts w:asciiTheme="minorHAnsi" w:hAnsiTheme="minorHAnsi" w:cstheme="minorHAnsi"/>
        </w:rPr>
      </w:pPr>
    </w:p>
    <w:p w:rsidR="009F7AEE" w:rsidRPr="006678C7" w:rsidRDefault="009F7AEE" w:rsidP="00731EC0">
      <w:pPr>
        <w:pStyle w:val="Heading1"/>
        <w:rPr>
          <w:rFonts w:asciiTheme="minorHAnsi" w:hAnsiTheme="minorHAnsi" w:cstheme="minorHAnsi"/>
        </w:rPr>
      </w:pPr>
      <w:r w:rsidRPr="006678C7">
        <w:rPr>
          <w:rFonts w:asciiTheme="minorHAnsi" w:hAnsiTheme="minorHAnsi" w:cstheme="minorHAnsi"/>
        </w:rPr>
        <w:t>Sulfate toxicity to a</w:t>
      </w:r>
      <w:r w:rsidR="00197740" w:rsidRPr="006678C7">
        <w:rPr>
          <w:rFonts w:asciiTheme="minorHAnsi" w:hAnsiTheme="minorHAnsi" w:cstheme="minorHAnsi"/>
        </w:rPr>
        <w:t xml:space="preserve">quatic life </w:t>
      </w:r>
    </w:p>
    <w:p w:rsidR="00AD17C8" w:rsidRPr="006678C7" w:rsidRDefault="009F7AEE" w:rsidP="009F7AEE">
      <w:pPr>
        <w:pStyle w:val="Heading2"/>
        <w:rPr>
          <w:rFonts w:asciiTheme="minorHAnsi" w:hAnsiTheme="minorHAnsi" w:cstheme="minorHAnsi"/>
        </w:rPr>
      </w:pPr>
      <w:r w:rsidRPr="006678C7">
        <w:rPr>
          <w:rFonts w:asciiTheme="minorHAnsi" w:hAnsiTheme="minorHAnsi" w:cstheme="minorHAnsi"/>
        </w:rPr>
        <w:t>Salmonid and non-salmonid aquatic life use</w:t>
      </w:r>
    </w:p>
    <w:p w:rsidR="00575519" w:rsidRPr="0064362B" w:rsidRDefault="00615966" w:rsidP="00575519">
      <w:pPr>
        <w:rPr>
          <w:rFonts w:asciiTheme="minorHAnsi" w:hAnsiTheme="minorHAnsi" w:cstheme="minorHAnsi"/>
        </w:rPr>
      </w:pPr>
      <w:r w:rsidRPr="0064362B">
        <w:rPr>
          <w:rFonts w:asciiTheme="minorHAnsi" w:hAnsiTheme="minorHAnsi" w:cstheme="minorHAnsi"/>
        </w:rPr>
        <w:t xml:space="preserve">In 2009, </w:t>
      </w:r>
      <w:r w:rsidR="00941DF4" w:rsidRPr="0064362B">
        <w:rPr>
          <w:rFonts w:asciiTheme="minorHAnsi" w:hAnsiTheme="minorHAnsi" w:cstheme="minorHAnsi"/>
        </w:rPr>
        <w:t>US</w:t>
      </w:r>
      <w:r w:rsidRPr="0064362B">
        <w:rPr>
          <w:rFonts w:asciiTheme="minorHAnsi" w:hAnsiTheme="minorHAnsi" w:cstheme="minorHAnsi"/>
        </w:rPr>
        <w:t>EPA approved sulfate criteria pr</w:t>
      </w:r>
      <w:r w:rsidR="00422208" w:rsidRPr="0064362B">
        <w:rPr>
          <w:rFonts w:asciiTheme="minorHAnsi" w:hAnsiTheme="minorHAnsi" w:cstheme="minorHAnsi"/>
        </w:rPr>
        <w:t>omulgated by the Illinois EPA</w:t>
      </w:r>
      <w:r w:rsidR="00D03313">
        <w:rPr>
          <w:rFonts w:asciiTheme="minorHAnsi" w:hAnsiTheme="minorHAnsi" w:cstheme="minorHAnsi"/>
        </w:rPr>
        <w:t xml:space="preserve"> </w:t>
      </w:r>
      <w:r w:rsidR="00A95C1A">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&lt;Refman&gt;&lt;Cite&gt;&lt;Author&gt;U.S. Environmental Protection Agency&lt;/Author&gt;&lt;Year&gt;2009&lt;/Year&gt;&lt;RecNum&gt;18016&lt;/RecNum&gt;&lt;IDText&gt;EPA&amp;apos;s Rationale for Approval of Amendments to the Existing Illinois Pollution Control Board Regulation, 35 Ill. Adm. Code 302.102, 302.208, 309.103, 405.109, 406.100, 406.203, and 407. Revised Water Quality Criteria for Sulfate and Total Dissolved Solids (WQSTS IL2008-274)&lt;/IDText&gt;&lt;MDL Ref_Type="Online Source"&gt;&lt;Ref_Type&gt;Online Source&lt;/Ref_Type&gt;&lt;Ref_ID&gt;18016&lt;/Ref_ID&gt;&lt;Title_Primary&gt;EPA&amp;apos;s Rationale for Approval of Amendments to the Existing Illinois Pollution Control Board Regulation, 35 Ill. Adm. Code 302.102, 302.208, 309.103, 405.109, 406.100, 406.203, and 407. Revised Water Quality Criteria for Sulfate and Total Dissolved Solids (WQSTS IL2008-274)&lt;/Title_Primary&gt;&lt;Authors_Primary&gt;=U.S. Environmental Protection Agency&lt;/Authors_Primary&gt;&lt;Date_Primary&gt;2009/3/18&lt;/Date_Primary&gt;&lt;Keywords&gt;criteria&lt;/Keywords&gt;&lt;Keywords&gt;Dissolved solids&lt;/Keywords&gt;&lt;Keywords&gt;Pollution&lt;/Keywords&gt;&lt;Keywords&gt;Pollution control&lt;/Keywords&gt;&lt;Keywords&gt;sulfate&lt;/Keywords&gt;&lt;Keywords&gt;total dissolved solids&lt;/Keywords&gt;&lt;Keywords&gt;Water&lt;/Keywords&gt;&lt;Keywords&gt;Water quality&lt;/Keywords&gt;&lt;Reprint&gt;Not in File&lt;/Reprint&gt;&lt;Publisher&gt;U.S. Environmental Protection Agency&lt;/Publisher&gt;&lt;Date_Secondary&gt;2014/3/19&lt;/Date_Secondary&gt;&lt;Web_URL&gt;&lt;u&gt;http://epa.gov/r5water/wqs5/pdfs/IL-Sulfate%20Rationale%20of%20Decision.pdf&lt;/u&gt;&lt;/Web_URL&gt;&lt;ZZ_WorkformID&gt;31&lt;/ZZ_WorkformID&gt;&lt;/MDL&gt;&lt;/Cite&gt;&lt;/Refman&gt;</w:instrText>
      </w:r>
      <w:r w:rsidR="00A95C1A">
        <w:rPr>
          <w:rFonts w:asciiTheme="minorHAnsi" w:hAnsiTheme="minorHAnsi" w:cstheme="minorHAnsi"/>
        </w:rPr>
        <w:fldChar w:fldCharType="separate"/>
      </w:r>
      <w:r w:rsidR="00A95C1A">
        <w:rPr>
          <w:rFonts w:asciiTheme="minorHAnsi" w:hAnsiTheme="minorHAnsi" w:cstheme="minorHAnsi"/>
          <w:noProof/>
        </w:rPr>
        <w:t>(</w:t>
      </w:r>
      <w:r w:rsidR="007B34C3">
        <w:rPr>
          <w:rFonts w:asciiTheme="minorHAnsi" w:hAnsiTheme="minorHAnsi" w:cstheme="minorHAnsi"/>
          <w:noProof/>
        </w:rPr>
        <w:t>USEPA</w:t>
      </w:r>
      <w:r w:rsidR="00A95C1A">
        <w:rPr>
          <w:rFonts w:asciiTheme="minorHAnsi" w:hAnsiTheme="minorHAnsi" w:cstheme="minorHAnsi"/>
          <w:noProof/>
        </w:rPr>
        <w:t>, 2009)</w:t>
      </w:r>
      <w:r w:rsidR="00A95C1A">
        <w:rPr>
          <w:rFonts w:asciiTheme="minorHAnsi" w:hAnsiTheme="minorHAnsi" w:cstheme="minorHAnsi"/>
        </w:rPr>
        <w:fldChar w:fldCharType="end"/>
      </w:r>
      <w:r w:rsidRPr="0064362B">
        <w:rPr>
          <w:rFonts w:asciiTheme="minorHAnsi" w:hAnsiTheme="minorHAnsi" w:cstheme="minorHAnsi"/>
        </w:rPr>
        <w:t xml:space="preserve">. </w:t>
      </w:r>
      <w:r w:rsidR="00AD17C8" w:rsidRPr="0064362B">
        <w:rPr>
          <w:rFonts w:asciiTheme="minorHAnsi" w:hAnsiTheme="minorHAnsi" w:cstheme="minorHAnsi"/>
        </w:rPr>
        <w:t xml:space="preserve"> </w:t>
      </w:r>
      <w:r w:rsidRPr="0064362B">
        <w:rPr>
          <w:rFonts w:asciiTheme="minorHAnsi" w:hAnsiTheme="minorHAnsi" w:cstheme="minorHAnsi"/>
        </w:rPr>
        <w:t>I</w:t>
      </w:r>
      <w:r w:rsidR="00422208" w:rsidRPr="0064362B">
        <w:rPr>
          <w:rFonts w:asciiTheme="minorHAnsi" w:hAnsiTheme="minorHAnsi" w:cstheme="minorHAnsi"/>
        </w:rPr>
        <w:t xml:space="preserve">llinois </w:t>
      </w:r>
      <w:r w:rsidRPr="0064362B">
        <w:rPr>
          <w:rFonts w:asciiTheme="minorHAnsi" w:hAnsiTheme="minorHAnsi" w:cstheme="minorHAnsi"/>
        </w:rPr>
        <w:t xml:space="preserve">EPA had worked with the USEPA Duluth Toxicity Laboratory </w:t>
      </w:r>
      <w:r w:rsidR="0067792E" w:rsidRPr="0064362B">
        <w:rPr>
          <w:rFonts w:asciiTheme="minorHAnsi" w:hAnsiTheme="minorHAnsi" w:cstheme="minorHAnsi"/>
        </w:rPr>
        <w:t xml:space="preserve">over several years </w:t>
      </w:r>
      <w:r w:rsidRPr="0064362B">
        <w:rPr>
          <w:rFonts w:asciiTheme="minorHAnsi" w:hAnsiTheme="minorHAnsi" w:cstheme="minorHAnsi"/>
        </w:rPr>
        <w:t xml:space="preserve">to search and review available </w:t>
      </w:r>
      <w:r w:rsidR="00662C18" w:rsidRPr="0064362B">
        <w:rPr>
          <w:rFonts w:asciiTheme="minorHAnsi" w:hAnsiTheme="minorHAnsi" w:cstheme="minorHAnsi"/>
        </w:rPr>
        <w:t xml:space="preserve">aquatic life </w:t>
      </w:r>
      <w:r w:rsidRPr="0064362B">
        <w:rPr>
          <w:rFonts w:asciiTheme="minorHAnsi" w:hAnsiTheme="minorHAnsi" w:cstheme="minorHAnsi"/>
        </w:rPr>
        <w:t xml:space="preserve">toxicity data </w:t>
      </w:r>
      <w:r w:rsidR="00662C18" w:rsidRPr="0064362B">
        <w:rPr>
          <w:rFonts w:asciiTheme="minorHAnsi" w:hAnsiTheme="minorHAnsi" w:cstheme="minorHAnsi"/>
        </w:rPr>
        <w:t>for</w:t>
      </w:r>
      <w:r w:rsidRPr="0064362B">
        <w:rPr>
          <w:rFonts w:asciiTheme="minorHAnsi" w:hAnsiTheme="minorHAnsi" w:cstheme="minorHAnsi"/>
        </w:rPr>
        <w:t xml:space="preserve"> sulfate. They found about 30 </w:t>
      </w:r>
      <w:r w:rsidR="00662C18" w:rsidRPr="0064362B">
        <w:rPr>
          <w:rFonts w:asciiTheme="minorHAnsi" w:hAnsiTheme="minorHAnsi" w:cstheme="minorHAnsi"/>
        </w:rPr>
        <w:t xml:space="preserve">acute toxicity </w:t>
      </w:r>
      <w:r w:rsidRPr="0064362B">
        <w:rPr>
          <w:rFonts w:asciiTheme="minorHAnsi" w:hAnsiTheme="minorHAnsi" w:cstheme="minorHAnsi"/>
        </w:rPr>
        <w:t xml:space="preserve">studies with data for </w:t>
      </w:r>
      <w:r w:rsidR="0067792E" w:rsidRPr="0064362B">
        <w:rPr>
          <w:rFonts w:asciiTheme="minorHAnsi" w:hAnsiTheme="minorHAnsi" w:cstheme="minorHAnsi"/>
        </w:rPr>
        <w:t>over</w:t>
      </w:r>
      <w:r w:rsidRPr="0064362B">
        <w:rPr>
          <w:rFonts w:asciiTheme="minorHAnsi" w:hAnsiTheme="minorHAnsi" w:cstheme="minorHAnsi"/>
        </w:rPr>
        <w:t xml:space="preserve"> 30 organisms</w:t>
      </w:r>
      <w:r w:rsidR="006F485C" w:rsidRPr="0064362B">
        <w:rPr>
          <w:rFonts w:asciiTheme="minorHAnsi" w:hAnsiTheme="minorHAnsi" w:cstheme="minorHAnsi"/>
        </w:rPr>
        <w:t xml:space="preserve"> in the literature</w:t>
      </w:r>
      <w:r w:rsidRPr="0064362B">
        <w:rPr>
          <w:rFonts w:asciiTheme="minorHAnsi" w:hAnsiTheme="minorHAnsi" w:cstheme="minorHAnsi"/>
        </w:rPr>
        <w:t xml:space="preserve">, but most of those </w:t>
      </w:r>
      <w:r w:rsidR="00422208" w:rsidRPr="0064362B">
        <w:rPr>
          <w:rFonts w:asciiTheme="minorHAnsi" w:hAnsiTheme="minorHAnsi" w:cstheme="minorHAnsi"/>
        </w:rPr>
        <w:t xml:space="preserve">organisms </w:t>
      </w:r>
      <w:r w:rsidRPr="0064362B">
        <w:rPr>
          <w:rFonts w:asciiTheme="minorHAnsi" w:hAnsiTheme="minorHAnsi" w:cstheme="minorHAnsi"/>
        </w:rPr>
        <w:t>were fish and</w:t>
      </w:r>
      <w:r w:rsidR="00941DF4" w:rsidRPr="0064362B">
        <w:rPr>
          <w:rFonts w:asciiTheme="minorHAnsi" w:hAnsiTheme="minorHAnsi" w:cstheme="minorHAnsi"/>
        </w:rPr>
        <w:t xml:space="preserve"> zooplankton crustaceans</w:t>
      </w:r>
      <w:r w:rsidR="00662C18" w:rsidRPr="0064362B">
        <w:rPr>
          <w:rFonts w:asciiTheme="minorHAnsi" w:hAnsiTheme="minorHAnsi" w:cstheme="minorHAnsi"/>
        </w:rPr>
        <w:t xml:space="preserve">. In order to round out the dataset for the aquatic life water quality criteria derivation, </w:t>
      </w:r>
      <w:r w:rsidR="00941DF4" w:rsidRPr="0064362B">
        <w:rPr>
          <w:rFonts w:asciiTheme="minorHAnsi" w:hAnsiTheme="minorHAnsi" w:cstheme="minorHAnsi"/>
        </w:rPr>
        <w:t>I</w:t>
      </w:r>
      <w:r w:rsidR="00422208" w:rsidRPr="0064362B">
        <w:rPr>
          <w:rFonts w:asciiTheme="minorHAnsi" w:hAnsiTheme="minorHAnsi" w:cstheme="minorHAnsi"/>
        </w:rPr>
        <w:t xml:space="preserve">llinois </w:t>
      </w:r>
      <w:r w:rsidR="00941DF4" w:rsidRPr="0064362B">
        <w:rPr>
          <w:rFonts w:asciiTheme="minorHAnsi" w:hAnsiTheme="minorHAnsi" w:cstheme="minorHAnsi"/>
        </w:rPr>
        <w:t>EPA</w:t>
      </w:r>
      <w:r w:rsidR="006F485C" w:rsidRPr="0064362B">
        <w:rPr>
          <w:rFonts w:asciiTheme="minorHAnsi" w:hAnsiTheme="minorHAnsi" w:cstheme="minorHAnsi"/>
        </w:rPr>
        <w:t>, USEPA, and the Illinois Coal Association</w:t>
      </w:r>
      <w:r w:rsidRPr="0064362B">
        <w:rPr>
          <w:rFonts w:asciiTheme="minorHAnsi" w:hAnsiTheme="minorHAnsi" w:cstheme="minorHAnsi"/>
        </w:rPr>
        <w:t xml:space="preserve"> </w:t>
      </w:r>
      <w:r w:rsidR="006F485C" w:rsidRPr="0064362B">
        <w:rPr>
          <w:rFonts w:asciiTheme="minorHAnsi" w:hAnsiTheme="minorHAnsi" w:cstheme="minorHAnsi"/>
        </w:rPr>
        <w:t>sponsore</w:t>
      </w:r>
      <w:r w:rsidRPr="0064362B">
        <w:rPr>
          <w:rFonts w:asciiTheme="minorHAnsi" w:hAnsiTheme="minorHAnsi" w:cstheme="minorHAnsi"/>
        </w:rPr>
        <w:t>d toxicology studies for five additiona</w:t>
      </w:r>
      <w:r w:rsidR="006F485C" w:rsidRPr="0064362B">
        <w:rPr>
          <w:rFonts w:asciiTheme="minorHAnsi" w:hAnsiTheme="minorHAnsi" w:cstheme="minorHAnsi"/>
        </w:rPr>
        <w:t xml:space="preserve">l </w:t>
      </w:r>
      <w:r w:rsidR="00662C18" w:rsidRPr="0064362B">
        <w:rPr>
          <w:rFonts w:asciiTheme="minorHAnsi" w:hAnsiTheme="minorHAnsi" w:cstheme="minorHAnsi"/>
        </w:rPr>
        <w:t xml:space="preserve">aquatic </w:t>
      </w:r>
      <w:r w:rsidR="006F485C" w:rsidRPr="0064362B">
        <w:rPr>
          <w:rFonts w:asciiTheme="minorHAnsi" w:hAnsiTheme="minorHAnsi" w:cstheme="minorHAnsi"/>
        </w:rPr>
        <w:t>organisms</w:t>
      </w:r>
      <w:r w:rsidR="00D03313">
        <w:rPr>
          <w:rFonts w:asciiTheme="minorHAnsi" w:hAnsiTheme="minorHAnsi" w:cstheme="minorHAnsi"/>
        </w:rPr>
        <w:t xml:space="preserve"> </w:t>
      </w:r>
      <w:r w:rsidR="00D03313">
        <w:rPr>
          <w:rFonts w:asciiTheme="minorHAnsi" w:hAnsiTheme="minorHAnsi" w:cstheme="minorHAnsi"/>
        </w:rPr>
        <w:fldChar w:fldCharType="begin"/>
      </w:r>
      <w:r w:rsidR="003F6D3F">
        <w:rPr>
          <w:rFonts w:asciiTheme="minorHAnsi" w:hAnsiTheme="minorHAnsi" w:cstheme="minorHAnsi"/>
        </w:rPr>
        <w:instrText xml:space="preserve"> ADDIN REFMGR.CITE &lt;Refman&gt;&lt;Cite&gt;&lt;Author&gt;Illinois Environmental Protection Agency&lt;/Author&gt;&lt;Year&gt;2006&lt;/Year&gt;&lt;RecNum&gt;18018&lt;/RecNum&gt;&lt;IDText&gt;Preliminary Technical Justification for Changing Water Quality Standards for Sulfates, Total Dissolved Solids and Mixing Zones&lt;/IDText&gt;&lt;MDL Ref_Type="Report"&gt;&lt;Ref_Type&gt;Report&lt;/Ref_Type&gt;&lt;Ref_ID&gt;18018&lt;/Ref_ID&gt;&lt;Title_Primary&gt;Preliminary Technical Justification for Changing Water Quality Standards for Sulfates, Total Dissolved Solids and Mixing Zones&lt;/Title_Primary&gt;&lt;Authors_Primary&gt;=Illinois Environmental Protection Agency&lt;/Authors_Primary&gt;&lt;Date_Primary&gt;2006/4&lt;/Date_Primary&gt;&lt;Keywords&gt;Dissolved solids&lt;/Keywords&gt;&lt;Keywords&gt;Mixing&lt;/Keywords&gt;&lt;Keywords&gt;mixing zone&lt;/Keywords&gt;&lt;Keywords&gt;Standards&lt;/Keywords&gt;&lt;Keywords&gt;sulfate&lt;/Keywords&gt;&lt;Keywords&gt;Sulfates&lt;/Keywords&gt;&lt;Keywords&gt;total dissolved solids&lt;/Keywords&gt;&lt;Keywords&gt;Water&lt;/Keywords&gt;&lt;Keywords&gt;Water quality&lt;/Keywords&gt;&lt;Reprint&gt;Not in File&lt;/Reprint&gt;&lt;Start_Page&gt;16&lt;/Start_Page&gt;&lt;End_Page&gt;61&lt;/End_Page&gt;&lt;Periodical&gt;Iowa Department of Natural Resources Water Quality Standards Review: Chloride, Sulfate and Total Dissolved Solids&lt;/Periodical&gt;&lt;Publisher&gt;Iowa Department of Natural Resources&lt;/Publisher&gt;&lt;ZZ_JournalFull&gt;&lt;f name="System"&gt;Iowa Department of Natural Resources Water Quality Standards Review: Chloride, Sulfate and Total Dissolved Solids&lt;/f&gt;&lt;/ZZ_JournalFull&gt;&lt;ZZ_WorkformID&gt;24&lt;/ZZ_WorkformID&gt;&lt;/MDL&gt;&lt;/Cite&gt;&lt;/Refman&gt;</w:instrText>
      </w:r>
      <w:r w:rsidR="00D03313">
        <w:rPr>
          <w:rFonts w:asciiTheme="minorHAnsi" w:hAnsiTheme="minorHAnsi" w:cstheme="minorHAnsi"/>
        </w:rPr>
        <w:fldChar w:fldCharType="separate"/>
      </w:r>
      <w:r w:rsidR="00D03313">
        <w:rPr>
          <w:rFonts w:asciiTheme="minorHAnsi" w:hAnsiTheme="minorHAnsi" w:cstheme="minorHAnsi"/>
          <w:noProof/>
        </w:rPr>
        <w:t>(Illinois EPA, 2006)</w:t>
      </w:r>
      <w:r w:rsidR="00D03313">
        <w:rPr>
          <w:rFonts w:asciiTheme="minorHAnsi" w:hAnsiTheme="minorHAnsi" w:cstheme="minorHAnsi"/>
        </w:rPr>
        <w:fldChar w:fldCharType="end"/>
      </w:r>
      <w:r w:rsidRPr="0064362B">
        <w:rPr>
          <w:rFonts w:asciiTheme="minorHAnsi" w:hAnsiTheme="minorHAnsi" w:cstheme="minorHAnsi"/>
        </w:rPr>
        <w:t xml:space="preserve">. </w:t>
      </w:r>
    </w:p>
    <w:p w:rsidR="00AD17C8" w:rsidRPr="0064362B" w:rsidRDefault="00AD17C8" w:rsidP="00615966">
      <w:pPr>
        <w:rPr>
          <w:rFonts w:asciiTheme="minorHAnsi" w:hAnsiTheme="minorHAnsi" w:cstheme="minorHAnsi"/>
        </w:rPr>
      </w:pPr>
    </w:p>
    <w:p w:rsidR="00615966" w:rsidRPr="0064362B" w:rsidRDefault="00327A03" w:rsidP="00615966">
      <w:pPr>
        <w:rPr>
          <w:rFonts w:asciiTheme="minorHAnsi" w:hAnsiTheme="minorHAnsi" w:cstheme="minorHAnsi"/>
        </w:rPr>
      </w:pPr>
      <w:r w:rsidRPr="0064362B">
        <w:rPr>
          <w:rFonts w:asciiTheme="minorHAnsi" w:hAnsiTheme="minorHAnsi" w:cstheme="minorHAnsi"/>
        </w:rPr>
        <w:t xml:space="preserve">Because </w:t>
      </w:r>
      <w:r w:rsidR="00B04C52" w:rsidRPr="0064362B">
        <w:rPr>
          <w:rFonts w:asciiTheme="minorHAnsi" w:hAnsiTheme="minorHAnsi" w:cstheme="minorHAnsi"/>
        </w:rPr>
        <w:t>previous studies had shown a</w:t>
      </w:r>
      <w:r w:rsidR="006F485C" w:rsidRPr="0064362B">
        <w:rPr>
          <w:rFonts w:asciiTheme="minorHAnsi" w:hAnsiTheme="minorHAnsi" w:cstheme="minorHAnsi"/>
        </w:rPr>
        <w:t xml:space="preserve"> rela</w:t>
      </w:r>
      <w:r w:rsidR="00B04C52" w:rsidRPr="0064362B">
        <w:rPr>
          <w:rFonts w:asciiTheme="minorHAnsi" w:hAnsiTheme="minorHAnsi" w:cstheme="minorHAnsi"/>
        </w:rPr>
        <w:t>tion</w:t>
      </w:r>
      <w:r w:rsidR="006F485C" w:rsidRPr="0064362B">
        <w:rPr>
          <w:rFonts w:asciiTheme="minorHAnsi" w:hAnsiTheme="minorHAnsi" w:cstheme="minorHAnsi"/>
        </w:rPr>
        <w:t>ship</w:t>
      </w:r>
      <w:r w:rsidR="00B04C52" w:rsidRPr="0064362B">
        <w:rPr>
          <w:rFonts w:asciiTheme="minorHAnsi" w:hAnsiTheme="minorHAnsi" w:cstheme="minorHAnsi"/>
        </w:rPr>
        <w:t xml:space="preserve"> between hardness and chloride concentrations and sulfate toxicity</w:t>
      </w:r>
      <w:r w:rsidRPr="0064362B">
        <w:rPr>
          <w:rFonts w:asciiTheme="minorHAnsi" w:hAnsiTheme="minorHAnsi" w:cstheme="minorHAnsi"/>
        </w:rPr>
        <w:t>, I</w:t>
      </w:r>
      <w:r w:rsidR="00422208" w:rsidRPr="0064362B">
        <w:rPr>
          <w:rFonts w:asciiTheme="minorHAnsi" w:hAnsiTheme="minorHAnsi" w:cstheme="minorHAnsi"/>
        </w:rPr>
        <w:t xml:space="preserve">llinois </w:t>
      </w:r>
      <w:r w:rsidRPr="0064362B">
        <w:rPr>
          <w:rFonts w:asciiTheme="minorHAnsi" w:hAnsiTheme="minorHAnsi" w:cstheme="minorHAnsi"/>
        </w:rPr>
        <w:t>EPA considered hardness and chloride in the derivation of their aquatic life criterion</w:t>
      </w:r>
      <w:r w:rsidR="00B04C52" w:rsidRPr="0064362B">
        <w:rPr>
          <w:rFonts w:asciiTheme="minorHAnsi" w:hAnsiTheme="minorHAnsi" w:cstheme="minorHAnsi"/>
        </w:rPr>
        <w:t xml:space="preserve">. </w:t>
      </w:r>
      <w:r w:rsidR="009634CA" w:rsidRPr="0064362B">
        <w:rPr>
          <w:rFonts w:asciiTheme="minorHAnsi" w:hAnsiTheme="minorHAnsi" w:cstheme="minorHAnsi"/>
        </w:rPr>
        <w:t>The following table shows their derived sulfate acute aquatic life criteria.</w:t>
      </w:r>
    </w:p>
    <w:p w:rsidR="009634CA" w:rsidRPr="0064362B" w:rsidRDefault="009634CA" w:rsidP="00615966">
      <w:pPr>
        <w:rPr>
          <w:rFonts w:asciiTheme="minorHAnsi" w:hAnsiTheme="minorHAnsi" w:cstheme="minorHAnsi"/>
        </w:rPr>
      </w:pPr>
    </w:p>
    <w:p w:rsidR="00606F1D" w:rsidRPr="0064362B" w:rsidRDefault="00606F1D" w:rsidP="00606F1D">
      <w:pPr>
        <w:rPr>
          <w:rFonts w:asciiTheme="minorHAnsi" w:hAnsiTheme="minorHAnsi" w:cstheme="minorHAnsi"/>
        </w:rPr>
      </w:pPr>
      <w:r w:rsidRPr="0064362B">
        <w:rPr>
          <w:rFonts w:asciiTheme="minorHAnsi" w:hAnsiTheme="minorHAnsi" w:cstheme="minorHAnsi"/>
        </w:rPr>
        <w:t xml:space="preserve">Table 1. </w:t>
      </w:r>
      <w:r w:rsidR="00554721">
        <w:rPr>
          <w:rFonts w:asciiTheme="minorHAnsi" w:hAnsiTheme="minorHAnsi" w:cstheme="minorHAnsi"/>
        </w:rPr>
        <w:t>Acute</w:t>
      </w:r>
      <w:r w:rsidRPr="0064362B">
        <w:rPr>
          <w:rFonts w:asciiTheme="minorHAnsi" w:hAnsiTheme="minorHAnsi" w:cstheme="minorHAnsi"/>
        </w:rPr>
        <w:t xml:space="preserve"> Sulfate Criteria </w:t>
      </w:r>
      <w:r w:rsidR="00E53A65">
        <w:rPr>
          <w:rFonts w:asciiTheme="minorHAnsi" w:hAnsiTheme="minorHAnsi" w:cstheme="minorHAnsi"/>
        </w:rPr>
        <w:t xml:space="preserve">in mg/L </w:t>
      </w:r>
      <w:r w:rsidRPr="0064362B">
        <w:rPr>
          <w:rFonts w:asciiTheme="minorHAnsi" w:hAnsiTheme="minorHAnsi" w:cstheme="minorHAnsi"/>
        </w:rPr>
        <w:t>for Illinois Waters</w:t>
      </w:r>
      <w:r w:rsidR="00E53A65">
        <w:rPr>
          <w:rFonts w:asciiTheme="minorHAnsi" w:hAnsiTheme="minorHAnsi" w:cstheme="minorHAnsi"/>
        </w:rPr>
        <w:t xml:space="preserve"> Based on Hardness and Chloride</w:t>
      </w:r>
    </w:p>
    <w:tbl>
      <w:tblPr>
        <w:tblW w:w="8835" w:type="dxa"/>
        <w:tblInd w:w="93" w:type="dxa"/>
        <w:tblLook w:val="04A0" w:firstRow="1" w:lastRow="0" w:firstColumn="1" w:lastColumn="0" w:noHBand="0" w:noVBand="1"/>
      </w:tblPr>
      <w:tblGrid>
        <w:gridCol w:w="3165"/>
        <w:gridCol w:w="1170"/>
        <w:gridCol w:w="2070"/>
        <w:gridCol w:w="2430"/>
      </w:tblGrid>
      <w:tr w:rsidR="00E53A65" w:rsidRPr="00E53A65" w:rsidTr="00E53A65">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b/>
                <w:color w:val="000000"/>
                <w:sz w:val="20"/>
                <w:szCs w:val="20"/>
              </w:rPr>
            </w:pPr>
            <w:r w:rsidRPr="00E53A65">
              <w:rPr>
                <w:rFonts w:eastAsia="Times New Roman" w:cs="Calibri"/>
                <w:b/>
                <w:color w:val="000000"/>
                <w:sz w:val="20"/>
                <w:szCs w:val="20"/>
              </w:rPr>
              <w:t>Cl &lt; 5mg/L</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b/>
                <w:color w:val="000000"/>
                <w:sz w:val="20"/>
                <w:szCs w:val="20"/>
              </w:rPr>
            </w:pPr>
            <w:r w:rsidRPr="00E53A65">
              <w:rPr>
                <w:rFonts w:eastAsia="Times New Roman" w:cs="Calibri"/>
                <w:b/>
                <w:color w:val="000000"/>
                <w:sz w:val="20"/>
                <w:szCs w:val="20"/>
              </w:rPr>
              <w:t>5 mg/L</w:t>
            </w:r>
            <w:r w:rsidR="003B342E">
              <w:rPr>
                <w:rFonts w:eastAsia="Times New Roman" w:cs="Calibri"/>
                <w:b/>
                <w:color w:val="000000"/>
                <w:sz w:val="20"/>
                <w:szCs w:val="20"/>
              </w:rPr>
              <w:t xml:space="preserve"> </w:t>
            </w:r>
            <w:r w:rsidR="003B342E" w:rsidRPr="00E53A65">
              <w:rPr>
                <w:rFonts w:eastAsia="Times New Roman" w:cs="Calibri"/>
                <w:b/>
                <w:color w:val="000000"/>
                <w:sz w:val="20"/>
                <w:szCs w:val="20"/>
              </w:rPr>
              <w:t>≤</w:t>
            </w:r>
            <w:r w:rsidRPr="00E53A65">
              <w:rPr>
                <w:rFonts w:eastAsia="Times New Roman" w:cs="Calibri"/>
                <w:b/>
                <w:color w:val="000000"/>
                <w:sz w:val="20"/>
                <w:szCs w:val="20"/>
              </w:rPr>
              <w:t xml:space="preserve"> </w:t>
            </w:r>
            <w:r w:rsidR="003B342E" w:rsidRPr="00E53A65">
              <w:rPr>
                <w:rFonts w:eastAsia="Times New Roman" w:cs="Calibri"/>
                <w:b/>
                <w:color w:val="000000"/>
                <w:sz w:val="20"/>
                <w:szCs w:val="20"/>
              </w:rPr>
              <w:t>Cl</w:t>
            </w:r>
            <w:r w:rsidR="003B342E">
              <w:rPr>
                <w:rFonts w:eastAsia="Times New Roman" w:cs="Calibri"/>
                <w:b/>
                <w:color w:val="000000"/>
                <w:sz w:val="20"/>
                <w:szCs w:val="20"/>
              </w:rPr>
              <w:t xml:space="preserve"> </w:t>
            </w:r>
            <w:r w:rsidRPr="00E53A65">
              <w:rPr>
                <w:rFonts w:eastAsia="Times New Roman" w:cs="Calibri"/>
                <w:b/>
                <w:color w:val="000000"/>
                <w:sz w:val="20"/>
                <w:szCs w:val="20"/>
              </w:rPr>
              <w:t>&lt; 25 mg/L</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b/>
                <w:color w:val="000000"/>
                <w:sz w:val="20"/>
                <w:szCs w:val="20"/>
              </w:rPr>
            </w:pPr>
            <w:r w:rsidRPr="00E53A65">
              <w:rPr>
                <w:rFonts w:eastAsia="Times New Roman" w:cs="Calibri"/>
                <w:b/>
                <w:color w:val="000000"/>
                <w:sz w:val="20"/>
                <w:szCs w:val="20"/>
              </w:rPr>
              <w:t>25 mg/L ≤ Cl &lt; 500 mg/L</w:t>
            </w:r>
          </w:p>
        </w:tc>
      </w:tr>
      <w:tr w:rsidR="00E53A65" w:rsidRPr="00E53A65" w:rsidTr="00E53A65">
        <w:trPr>
          <w:trHeight w:val="300"/>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b/>
                <w:color w:val="000000"/>
                <w:sz w:val="20"/>
                <w:szCs w:val="20"/>
              </w:rPr>
            </w:pPr>
            <w:r w:rsidRPr="00E53A65">
              <w:rPr>
                <w:rFonts w:eastAsia="Times New Roman" w:cs="Calibri"/>
                <w:b/>
                <w:color w:val="000000"/>
                <w:sz w:val="20"/>
                <w:szCs w:val="20"/>
              </w:rPr>
              <w:t>Hardness &lt; 100 mg/L</w:t>
            </w:r>
          </w:p>
        </w:tc>
        <w:tc>
          <w:tcPr>
            <w:tcW w:w="1170" w:type="dxa"/>
            <w:tcBorders>
              <w:top w:val="nil"/>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500</w:t>
            </w:r>
          </w:p>
        </w:tc>
        <w:tc>
          <w:tcPr>
            <w:tcW w:w="2070" w:type="dxa"/>
            <w:tcBorders>
              <w:top w:val="nil"/>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500</w:t>
            </w:r>
          </w:p>
        </w:tc>
        <w:tc>
          <w:tcPr>
            <w:tcW w:w="2430" w:type="dxa"/>
            <w:tcBorders>
              <w:top w:val="nil"/>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500</w:t>
            </w:r>
          </w:p>
        </w:tc>
      </w:tr>
      <w:tr w:rsidR="00E53A65" w:rsidRPr="00E53A65" w:rsidTr="00E53A65">
        <w:trPr>
          <w:trHeight w:val="960"/>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b/>
                <w:color w:val="000000"/>
                <w:sz w:val="20"/>
                <w:szCs w:val="20"/>
              </w:rPr>
            </w:pPr>
            <w:r w:rsidRPr="00E53A65">
              <w:rPr>
                <w:rFonts w:eastAsia="Times New Roman" w:cs="Calibri"/>
                <w:b/>
                <w:color w:val="000000"/>
                <w:sz w:val="20"/>
                <w:szCs w:val="20"/>
              </w:rPr>
              <w:t>100 mg/L ≤ Hardness ≤ 500 mg/L</w:t>
            </w:r>
          </w:p>
        </w:tc>
        <w:tc>
          <w:tcPr>
            <w:tcW w:w="1170" w:type="dxa"/>
            <w:tcBorders>
              <w:top w:val="nil"/>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500</w:t>
            </w:r>
          </w:p>
        </w:tc>
        <w:tc>
          <w:tcPr>
            <w:tcW w:w="2070" w:type="dxa"/>
            <w:tcBorders>
              <w:top w:val="nil"/>
              <w:left w:val="nil"/>
              <w:bottom w:val="single" w:sz="4" w:space="0" w:color="auto"/>
              <w:right w:val="single" w:sz="4" w:space="0" w:color="auto"/>
            </w:tcBorders>
            <w:shd w:val="clear" w:color="auto" w:fill="auto"/>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[-57.478 + 5.79 (hardness) + 54.163 (chloride)]*0.65</w:t>
            </w:r>
          </w:p>
        </w:tc>
        <w:tc>
          <w:tcPr>
            <w:tcW w:w="2430" w:type="dxa"/>
            <w:tcBorders>
              <w:top w:val="nil"/>
              <w:left w:val="nil"/>
              <w:bottom w:val="single" w:sz="4" w:space="0" w:color="auto"/>
              <w:right w:val="single" w:sz="4" w:space="0" w:color="auto"/>
            </w:tcBorders>
            <w:shd w:val="clear" w:color="auto" w:fill="auto"/>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[1276.7 + 5.508 (hardness) - 1.457 (chloride)] * 0.65</w:t>
            </w:r>
          </w:p>
        </w:tc>
      </w:tr>
      <w:tr w:rsidR="00E53A65" w:rsidRPr="00E53A65" w:rsidTr="00E53A65">
        <w:trPr>
          <w:trHeight w:hRule="exact" w:val="300"/>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b/>
                <w:color w:val="000000"/>
                <w:sz w:val="20"/>
                <w:szCs w:val="20"/>
              </w:rPr>
            </w:pPr>
            <w:r w:rsidRPr="00E53A65">
              <w:rPr>
                <w:rFonts w:eastAsia="Times New Roman" w:cs="Calibri"/>
                <w:b/>
                <w:color w:val="000000"/>
                <w:sz w:val="20"/>
                <w:szCs w:val="20"/>
              </w:rPr>
              <w:t>Hardness &gt; 500 mg/L</w:t>
            </w:r>
          </w:p>
        </w:tc>
        <w:tc>
          <w:tcPr>
            <w:tcW w:w="1170" w:type="dxa"/>
            <w:tcBorders>
              <w:top w:val="nil"/>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500</w:t>
            </w:r>
          </w:p>
        </w:tc>
        <w:tc>
          <w:tcPr>
            <w:tcW w:w="2070" w:type="dxa"/>
            <w:tcBorders>
              <w:top w:val="nil"/>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2,000</w:t>
            </w:r>
          </w:p>
        </w:tc>
        <w:tc>
          <w:tcPr>
            <w:tcW w:w="2430" w:type="dxa"/>
            <w:tcBorders>
              <w:top w:val="nil"/>
              <w:left w:val="nil"/>
              <w:bottom w:val="single" w:sz="4" w:space="0" w:color="auto"/>
              <w:right w:val="single" w:sz="4" w:space="0" w:color="auto"/>
            </w:tcBorders>
            <w:shd w:val="clear" w:color="auto" w:fill="auto"/>
            <w:noWrap/>
            <w:vAlign w:val="center"/>
            <w:hideMark/>
          </w:tcPr>
          <w:p w:rsidR="00E53A65" w:rsidRPr="00E53A65" w:rsidRDefault="00E53A65" w:rsidP="00E53A65">
            <w:pPr>
              <w:jc w:val="center"/>
              <w:rPr>
                <w:rFonts w:eastAsia="Times New Roman" w:cs="Calibri"/>
                <w:color w:val="000000"/>
                <w:sz w:val="20"/>
                <w:szCs w:val="20"/>
              </w:rPr>
            </w:pPr>
            <w:r w:rsidRPr="00E53A65">
              <w:rPr>
                <w:rFonts w:eastAsia="Times New Roman" w:cs="Calibri"/>
                <w:color w:val="000000"/>
                <w:sz w:val="20"/>
                <w:szCs w:val="20"/>
              </w:rPr>
              <w:t>2,000</w:t>
            </w:r>
          </w:p>
        </w:tc>
      </w:tr>
    </w:tbl>
    <w:p w:rsidR="00606F1D" w:rsidRPr="006678C7" w:rsidRDefault="00606F1D" w:rsidP="00615966">
      <w:pPr>
        <w:rPr>
          <w:rFonts w:asciiTheme="minorHAnsi" w:hAnsiTheme="minorHAnsi" w:cstheme="minorHAnsi"/>
        </w:rPr>
      </w:pPr>
    </w:p>
    <w:p w:rsidR="006F485C" w:rsidRPr="006678C7" w:rsidRDefault="00422208" w:rsidP="00615966">
      <w:pPr>
        <w:rPr>
          <w:rFonts w:asciiTheme="minorHAnsi" w:hAnsiTheme="minorHAnsi" w:cstheme="minorHAnsi"/>
        </w:rPr>
      </w:pPr>
      <w:r w:rsidRPr="006678C7">
        <w:rPr>
          <w:rFonts w:asciiTheme="minorHAnsi" w:hAnsiTheme="minorHAnsi" w:cstheme="minorHAnsi"/>
        </w:rPr>
        <w:t>In addition to the acute toxicity testing, l</w:t>
      </w:r>
      <w:r w:rsidR="006F485C" w:rsidRPr="006678C7">
        <w:rPr>
          <w:rFonts w:asciiTheme="minorHAnsi" w:hAnsiTheme="minorHAnsi" w:cstheme="minorHAnsi"/>
        </w:rPr>
        <w:t xml:space="preserve">imited chronic toxicity testing was conducted on </w:t>
      </w:r>
      <w:r w:rsidR="006F485C" w:rsidRPr="006678C7">
        <w:rPr>
          <w:rFonts w:asciiTheme="minorHAnsi" w:hAnsiTheme="minorHAnsi" w:cstheme="minorHAnsi"/>
          <w:i/>
        </w:rPr>
        <w:t>Ceriodaphnia dubia</w:t>
      </w:r>
      <w:r w:rsidR="006F485C" w:rsidRPr="006678C7">
        <w:rPr>
          <w:rFonts w:asciiTheme="minorHAnsi" w:hAnsiTheme="minorHAnsi" w:cstheme="minorHAnsi"/>
        </w:rPr>
        <w:t xml:space="preserve">. These tests showed that a chronic exposure period would not result in reduced survival compared to acute exposures.  </w:t>
      </w:r>
    </w:p>
    <w:p w:rsidR="006F485C" w:rsidRPr="006678C7" w:rsidRDefault="006F485C" w:rsidP="00615966">
      <w:pPr>
        <w:rPr>
          <w:rFonts w:asciiTheme="minorHAnsi" w:hAnsiTheme="minorHAnsi" w:cstheme="minorHAnsi"/>
        </w:rPr>
      </w:pPr>
    </w:p>
    <w:p w:rsidR="00AA6674" w:rsidRPr="006678C7" w:rsidRDefault="00B04C52" w:rsidP="00615966">
      <w:pPr>
        <w:rPr>
          <w:rFonts w:asciiTheme="minorHAnsi" w:hAnsiTheme="minorHAnsi" w:cstheme="minorHAnsi"/>
        </w:rPr>
      </w:pPr>
      <w:r w:rsidRPr="006678C7">
        <w:rPr>
          <w:rFonts w:asciiTheme="minorHAnsi" w:hAnsiTheme="minorHAnsi" w:cstheme="minorHAnsi"/>
        </w:rPr>
        <w:t xml:space="preserve">A 2010 study </w:t>
      </w:r>
      <w:r w:rsidR="009634CA" w:rsidRPr="006678C7">
        <w:rPr>
          <w:rFonts w:asciiTheme="minorHAnsi" w:hAnsiTheme="minorHAnsi" w:cstheme="minorHAnsi"/>
        </w:rPr>
        <w:t xml:space="preserve">conducted by Elphick, et al concluded that </w:t>
      </w:r>
      <w:r w:rsidR="00422208" w:rsidRPr="006678C7">
        <w:rPr>
          <w:rFonts w:asciiTheme="minorHAnsi" w:hAnsiTheme="minorHAnsi" w:cstheme="minorHAnsi"/>
        </w:rPr>
        <w:t xml:space="preserve">the available </w:t>
      </w:r>
      <w:r w:rsidR="009634CA" w:rsidRPr="006678C7">
        <w:rPr>
          <w:rFonts w:asciiTheme="minorHAnsi" w:hAnsiTheme="minorHAnsi" w:cstheme="minorHAnsi"/>
        </w:rPr>
        <w:t>chronic sulfate toxicity studies were insufficient</w:t>
      </w:r>
      <w:r w:rsidR="00422208" w:rsidRPr="006678C7">
        <w:rPr>
          <w:rFonts w:asciiTheme="minorHAnsi" w:hAnsiTheme="minorHAnsi" w:cstheme="minorHAnsi"/>
        </w:rPr>
        <w:t xml:space="preserve">, </w:t>
      </w:r>
      <w:r w:rsidR="002E0D76" w:rsidRPr="006678C7">
        <w:rPr>
          <w:rFonts w:asciiTheme="minorHAnsi" w:hAnsiTheme="minorHAnsi" w:cstheme="minorHAnsi"/>
        </w:rPr>
        <w:t xml:space="preserve">so they carried out their own sulfate </w:t>
      </w:r>
      <w:r w:rsidR="00B518B8" w:rsidRPr="006678C7">
        <w:rPr>
          <w:rFonts w:asciiTheme="minorHAnsi" w:hAnsiTheme="minorHAnsi" w:cstheme="minorHAnsi"/>
        </w:rPr>
        <w:t xml:space="preserve">chronic </w:t>
      </w:r>
      <w:r w:rsidR="002E0D76" w:rsidRPr="006678C7">
        <w:rPr>
          <w:rFonts w:asciiTheme="minorHAnsi" w:hAnsiTheme="minorHAnsi" w:cstheme="minorHAnsi"/>
        </w:rPr>
        <w:t>toxicity studies on multiple species at varying hardness levels.</w:t>
      </w:r>
      <w:r w:rsidR="009634CA" w:rsidRPr="006678C7">
        <w:rPr>
          <w:rFonts w:asciiTheme="minorHAnsi" w:hAnsiTheme="minorHAnsi" w:cstheme="minorHAnsi"/>
        </w:rPr>
        <w:t xml:space="preserve"> </w:t>
      </w:r>
    </w:p>
    <w:p w:rsidR="00AA6674" w:rsidRPr="006678C7" w:rsidRDefault="00AA6674" w:rsidP="00615966">
      <w:pPr>
        <w:rPr>
          <w:rFonts w:asciiTheme="minorHAnsi" w:hAnsiTheme="minorHAnsi" w:cstheme="minorHAnsi"/>
        </w:rPr>
      </w:pPr>
    </w:p>
    <w:p w:rsidR="00B00769" w:rsidRPr="006678C7" w:rsidRDefault="00B00769" w:rsidP="00615966">
      <w:pPr>
        <w:rPr>
          <w:rFonts w:asciiTheme="minorHAnsi" w:hAnsiTheme="minorHAnsi" w:cstheme="minorHAnsi"/>
        </w:rPr>
      </w:pPr>
      <w:r w:rsidRPr="006678C7">
        <w:rPr>
          <w:rFonts w:asciiTheme="minorHAnsi" w:hAnsiTheme="minorHAnsi" w:cstheme="minorHAnsi"/>
        </w:rPr>
        <w:t xml:space="preserve">Among the species tested was </w:t>
      </w:r>
      <w:r w:rsidRPr="006678C7">
        <w:rPr>
          <w:rFonts w:asciiTheme="minorHAnsi" w:hAnsiTheme="minorHAnsi" w:cstheme="minorHAnsi"/>
          <w:i/>
        </w:rPr>
        <w:t>C</w:t>
      </w:r>
      <w:r w:rsidR="00170F98" w:rsidRPr="006678C7">
        <w:rPr>
          <w:rFonts w:asciiTheme="minorHAnsi" w:hAnsiTheme="minorHAnsi" w:cstheme="minorHAnsi"/>
          <w:i/>
        </w:rPr>
        <w:t>.</w:t>
      </w:r>
      <w:r w:rsidRPr="006678C7">
        <w:rPr>
          <w:rFonts w:asciiTheme="minorHAnsi" w:hAnsiTheme="minorHAnsi" w:cstheme="minorHAnsi"/>
          <w:i/>
        </w:rPr>
        <w:t xml:space="preserve"> dubia</w:t>
      </w:r>
      <w:r w:rsidRPr="006678C7">
        <w:rPr>
          <w:rFonts w:asciiTheme="minorHAnsi" w:hAnsiTheme="minorHAnsi" w:cstheme="minorHAnsi"/>
        </w:rPr>
        <w:t xml:space="preserve">. The study found that the levels of sulfate that caused chronic toxicity in reproduction was significantly lower in soft water than in hard water, and was significantly lower than sulfate levels </w:t>
      </w:r>
      <w:r w:rsidR="00422208" w:rsidRPr="006678C7">
        <w:rPr>
          <w:rFonts w:asciiTheme="minorHAnsi" w:hAnsiTheme="minorHAnsi" w:cstheme="minorHAnsi"/>
        </w:rPr>
        <w:t>causing</w:t>
      </w:r>
      <w:r w:rsidRPr="006678C7">
        <w:rPr>
          <w:rFonts w:asciiTheme="minorHAnsi" w:hAnsiTheme="minorHAnsi" w:cstheme="minorHAnsi"/>
        </w:rPr>
        <w:t xml:space="preserve"> reduced survival at the same hardness. The lowest observed effect concentration </w:t>
      </w:r>
      <w:r w:rsidR="00AA6674" w:rsidRPr="006678C7">
        <w:rPr>
          <w:rFonts w:asciiTheme="minorHAnsi" w:hAnsiTheme="minorHAnsi" w:cstheme="minorHAnsi"/>
        </w:rPr>
        <w:t xml:space="preserve">(LOEC) </w:t>
      </w:r>
      <w:r w:rsidRPr="006678C7">
        <w:rPr>
          <w:rFonts w:asciiTheme="minorHAnsi" w:hAnsiTheme="minorHAnsi" w:cstheme="minorHAnsi"/>
        </w:rPr>
        <w:t xml:space="preserve">of sulfate for </w:t>
      </w:r>
      <w:r w:rsidR="00170F98" w:rsidRPr="006678C7">
        <w:rPr>
          <w:rFonts w:asciiTheme="minorHAnsi" w:hAnsiTheme="minorHAnsi" w:cstheme="minorHAnsi"/>
          <w:i/>
        </w:rPr>
        <w:t>C. dubia</w:t>
      </w:r>
      <w:r w:rsidRPr="006678C7">
        <w:rPr>
          <w:rFonts w:asciiTheme="minorHAnsi" w:hAnsiTheme="minorHAnsi" w:cstheme="minorHAnsi"/>
        </w:rPr>
        <w:t xml:space="preserve"> reproduction at a hardness of 40 mg/L was 150 </w:t>
      </w:r>
      <w:r w:rsidR="0044155D" w:rsidRPr="006678C7">
        <w:rPr>
          <w:rFonts w:asciiTheme="minorHAnsi" w:hAnsiTheme="minorHAnsi" w:cstheme="minorHAnsi"/>
        </w:rPr>
        <w:t xml:space="preserve">mg/L. This was the most sensitive </w:t>
      </w:r>
      <w:r w:rsidR="006378EA" w:rsidRPr="006678C7">
        <w:rPr>
          <w:rFonts w:asciiTheme="minorHAnsi" w:hAnsiTheme="minorHAnsi" w:cstheme="minorHAnsi"/>
        </w:rPr>
        <w:t xml:space="preserve">LOEC </w:t>
      </w:r>
      <w:r w:rsidR="0044155D" w:rsidRPr="006678C7">
        <w:rPr>
          <w:rFonts w:asciiTheme="minorHAnsi" w:hAnsiTheme="minorHAnsi" w:cstheme="minorHAnsi"/>
        </w:rPr>
        <w:t xml:space="preserve">of all the organisms tested at </w:t>
      </w:r>
      <w:r w:rsidR="00170F98" w:rsidRPr="006678C7">
        <w:rPr>
          <w:rFonts w:asciiTheme="minorHAnsi" w:hAnsiTheme="minorHAnsi" w:cstheme="minorHAnsi"/>
        </w:rPr>
        <w:t xml:space="preserve">all of the </w:t>
      </w:r>
      <w:r w:rsidR="0044155D" w:rsidRPr="006678C7">
        <w:rPr>
          <w:rFonts w:asciiTheme="minorHAnsi" w:hAnsiTheme="minorHAnsi" w:cstheme="minorHAnsi"/>
        </w:rPr>
        <w:t>different hardness levels.</w:t>
      </w:r>
      <w:r w:rsidR="006378EA" w:rsidRPr="006678C7">
        <w:rPr>
          <w:rFonts w:asciiTheme="minorHAnsi" w:hAnsiTheme="minorHAnsi" w:cstheme="minorHAnsi"/>
        </w:rPr>
        <w:t xml:space="preserve"> With one </w:t>
      </w:r>
      <w:r w:rsidR="006378EA" w:rsidRPr="006678C7">
        <w:rPr>
          <w:rFonts w:asciiTheme="minorHAnsi" w:hAnsiTheme="minorHAnsi" w:cstheme="minorHAnsi"/>
        </w:rPr>
        <w:lastRenderedPageBreak/>
        <w:t>exception (</w:t>
      </w:r>
      <w:r w:rsidR="006378EA" w:rsidRPr="006678C7">
        <w:rPr>
          <w:rFonts w:asciiTheme="minorHAnsi" w:hAnsiTheme="minorHAnsi" w:cstheme="minorHAnsi"/>
          <w:i/>
        </w:rPr>
        <w:t>C. dubia</w:t>
      </w:r>
      <w:r w:rsidR="006378EA" w:rsidRPr="006678C7">
        <w:rPr>
          <w:rFonts w:asciiTheme="minorHAnsi" w:hAnsiTheme="minorHAnsi" w:cstheme="minorHAnsi"/>
        </w:rPr>
        <w:t xml:space="preserve"> at hardness 320 mg/L and LOEC 480 mg/L sulfate), </w:t>
      </w:r>
      <w:r w:rsidR="006678C7" w:rsidRPr="006678C7">
        <w:rPr>
          <w:rFonts w:asciiTheme="minorHAnsi" w:hAnsiTheme="minorHAnsi" w:cstheme="minorHAnsi"/>
        </w:rPr>
        <w:t xml:space="preserve">there were only </w:t>
      </w:r>
      <w:r w:rsidR="006378EA" w:rsidRPr="006678C7">
        <w:rPr>
          <w:rFonts w:asciiTheme="minorHAnsi" w:hAnsiTheme="minorHAnsi" w:cstheme="minorHAnsi"/>
        </w:rPr>
        <w:t>two other LOECs below 500 mg/L</w:t>
      </w:r>
      <w:r w:rsidR="006678C7" w:rsidRPr="006678C7">
        <w:rPr>
          <w:rFonts w:asciiTheme="minorHAnsi" w:hAnsiTheme="minorHAnsi" w:cstheme="minorHAnsi"/>
        </w:rPr>
        <w:t xml:space="preserve">, and </w:t>
      </w:r>
      <w:r w:rsidR="006378EA" w:rsidRPr="006678C7">
        <w:rPr>
          <w:rFonts w:asciiTheme="minorHAnsi" w:hAnsiTheme="minorHAnsi" w:cstheme="minorHAnsi"/>
        </w:rPr>
        <w:t xml:space="preserve">both </w:t>
      </w:r>
      <w:r w:rsidR="006678C7" w:rsidRPr="006678C7">
        <w:rPr>
          <w:rFonts w:asciiTheme="minorHAnsi" w:hAnsiTheme="minorHAnsi" w:cstheme="minorHAnsi"/>
        </w:rPr>
        <w:t xml:space="preserve">were </w:t>
      </w:r>
      <w:r w:rsidR="006378EA" w:rsidRPr="006678C7">
        <w:rPr>
          <w:rFonts w:asciiTheme="minorHAnsi" w:hAnsiTheme="minorHAnsi" w:cstheme="minorHAnsi"/>
        </w:rPr>
        <w:t>at hardness 15 mg/L</w:t>
      </w:r>
      <w:r w:rsidR="006678C7" w:rsidRPr="006678C7">
        <w:rPr>
          <w:rFonts w:asciiTheme="minorHAnsi" w:hAnsiTheme="minorHAnsi" w:cstheme="minorHAnsi"/>
        </w:rPr>
        <w:t>.</w:t>
      </w:r>
      <w:r w:rsidR="006378EA" w:rsidRPr="006678C7">
        <w:rPr>
          <w:rFonts w:asciiTheme="minorHAnsi" w:hAnsiTheme="minorHAnsi" w:cstheme="minorHAnsi"/>
        </w:rPr>
        <w:t xml:space="preserve"> </w:t>
      </w:r>
      <w:r w:rsidR="006678C7" w:rsidRPr="006678C7">
        <w:rPr>
          <w:rFonts w:asciiTheme="minorHAnsi" w:hAnsiTheme="minorHAnsi" w:cstheme="minorHAnsi"/>
        </w:rPr>
        <w:t>A</w:t>
      </w:r>
      <w:r w:rsidR="006378EA" w:rsidRPr="006678C7">
        <w:rPr>
          <w:rFonts w:asciiTheme="minorHAnsi" w:hAnsiTheme="minorHAnsi" w:cstheme="minorHAnsi"/>
        </w:rPr>
        <w:t xml:space="preserve">ll 31 of the other LOECs were above 950 mg/L. </w:t>
      </w:r>
    </w:p>
    <w:p w:rsidR="000A4059" w:rsidRPr="006678C7" w:rsidRDefault="000A4059" w:rsidP="00BE6F4D">
      <w:pPr>
        <w:rPr>
          <w:rFonts w:asciiTheme="minorHAnsi" w:hAnsiTheme="minorHAnsi" w:cstheme="minorHAnsi"/>
        </w:rPr>
      </w:pPr>
    </w:p>
    <w:p w:rsidR="00C3489B" w:rsidRPr="006678C7" w:rsidRDefault="00AA6674" w:rsidP="00BE6F4D">
      <w:pPr>
        <w:rPr>
          <w:rFonts w:asciiTheme="minorHAnsi" w:hAnsiTheme="minorHAnsi" w:cstheme="minorHAnsi"/>
        </w:rPr>
      </w:pPr>
      <w:r w:rsidRPr="006678C7">
        <w:rPr>
          <w:rFonts w:asciiTheme="minorHAnsi" w:hAnsiTheme="minorHAnsi" w:cstheme="minorHAnsi"/>
        </w:rPr>
        <w:t xml:space="preserve">Based on the research conducted by Illinois EPA </w:t>
      </w:r>
      <w:r w:rsidR="00D03313">
        <w:rPr>
          <w:rFonts w:asciiTheme="minorHAnsi" w:hAnsiTheme="minorHAnsi" w:cstheme="minorHAnsi"/>
        </w:rPr>
        <w:fldChar w:fldCharType="begin"/>
      </w:r>
      <w:r w:rsidR="003F6D3F">
        <w:rPr>
          <w:rFonts w:asciiTheme="minorHAnsi" w:hAnsiTheme="minorHAnsi" w:cstheme="minorHAnsi"/>
        </w:rPr>
        <w:instrText xml:space="preserve"> ADDIN REFMGR.CITE &lt;Refman&gt;&lt;Cite ExcludeAuth="1"&gt;&lt;Author&gt;Illinois Environmental Protection Agency&lt;/Author&gt;&lt;Year&gt;2006&lt;/Year&gt;&lt;RecNum&gt;18018&lt;/RecNum&gt;&lt;IDText&gt;Preliminary Technical Justification for Changing Water Quality Standards for Sulfates, Total Dissolved Solids and Mixing Zones&lt;/IDText&gt;&lt;MDL Ref_Type="Report"&gt;&lt;Ref_Type&gt;Report&lt;/Ref_Type&gt;&lt;Ref_ID&gt;18018&lt;/Ref_ID&gt;&lt;Title_Primary&gt;Preliminary Technical Justification for Changing Water Quality Standards for Sulfates, Total Dissolved Solids and Mixing Zones&lt;/Title_Primary&gt;&lt;Authors_Primary&gt;=Illinois Environmental Protection Agency&lt;/Authors_Primary&gt;&lt;Date_Primary&gt;2006/4&lt;/Date_Primary&gt;&lt;Keywords&gt;Dissolved solids&lt;/Keywords&gt;&lt;Keywords&gt;Mixing&lt;/Keywords&gt;&lt;Keywords&gt;mixing zone&lt;/Keywords&gt;&lt;Keywords&gt;Standards&lt;/Keywords&gt;&lt;Keywords&gt;sulfate&lt;/Keywords&gt;&lt;Keywords&gt;Sulfates&lt;/Keywords&gt;&lt;Keywords&gt;total dissolved solids&lt;/Keywords&gt;&lt;Keywords&gt;Water&lt;/Keywords&gt;&lt;Keywords&gt;Water quality&lt;/Keywords&gt;&lt;Reprint&gt;Not in File&lt;/Reprint&gt;&lt;Start_Page&gt;16&lt;/Start_Page&gt;&lt;End_Page&gt;61&lt;/End_Page&gt;&lt;Periodical&gt;Iowa Department of Natural Resources Water Quality Standards Review: Chloride, Sulfate and Total Dissolved Solids&lt;/Periodical&gt;&lt;Publisher&gt;Iowa Department of Natural Resources&lt;/Publisher&gt;&lt;ZZ_JournalFull&gt;&lt;f name="System"&gt;Iowa Department of Natural Resources Water Quality Standards Review: Chloride, Sulfate and Total Dissolved Solids&lt;/f&gt;&lt;/ZZ_JournalFull&gt;&lt;ZZ_WorkformID&gt;24&lt;/ZZ_WorkformID&gt;&lt;/MDL&gt;&lt;/Cite&gt;&lt;/Refman&gt;</w:instrText>
      </w:r>
      <w:r w:rsidR="00D03313">
        <w:rPr>
          <w:rFonts w:asciiTheme="minorHAnsi" w:hAnsiTheme="minorHAnsi" w:cstheme="minorHAnsi"/>
        </w:rPr>
        <w:fldChar w:fldCharType="separate"/>
      </w:r>
      <w:r w:rsidR="00B316D7">
        <w:rPr>
          <w:rFonts w:asciiTheme="minorHAnsi" w:hAnsiTheme="minorHAnsi" w:cstheme="minorHAnsi"/>
          <w:noProof/>
        </w:rPr>
        <w:t>(2006)</w:t>
      </w:r>
      <w:r w:rsidR="00D03313">
        <w:rPr>
          <w:rFonts w:asciiTheme="minorHAnsi" w:hAnsiTheme="minorHAnsi" w:cstheme="minorHAnsi"/>
        </w:rPr>
        <w:fldChar w:fldCharType="end"/>
      </w:r>
      <w:r w:rsidR="00D03313">
        <w:rPr>
          <w:rFonts w:asciiTheme="minorHAnsi" w:hAnsiTheme="minorHAnsi" w:cstheme="minorHAnsi"/>
        </w:rPr>
        <w:t xml:space="preserve"> </w:t>
      </w:r>
      <w:r w:rsidRPr="006678C7">
        <w:rPr>
          <w:rFonts w:asciiTheme="minorHAnsi" w:hAnsiTheme="minorHAnsi" w:cstheme="minorHAnsi"/>
        </w:rPr>
        <w:t>and Elphick et al</w:t>
      </w:r>
      <w:r w:rsidR="0064362B">
        <w:rPr>
          <w:rFonts w:asciiTheme="minorHAnsi" w:hAnsiTheme="minorHAnsi" w:cstheme="minorHAnsi"/>
        </w:rPr>
        <w:t xml:space="preserve"> </w:t>
      </w:r>
      <w:r w:rsidR="00D03313">
        <w:rPr>
          <w:rFonts w:asciiTheme="minorHAnsi" w:hAnsiTheme="minorHAnsi" w:cstheme="minorHAnsi"/>
        </w:rPr>
        <w:fldChar w:fldCharType="begin"/>
      </w:r>
      <w:r w:rsidR="003F6D3F">
        <w:rPr>
          <w:rFonts w:asciiTheme="minorHAnsi" w:hAnsiTheme="minorHAnsi" w:cstheme="minorHAnsi"/>
        </w:rPr>
        <w:instrText xml:space="preserve"> ADDIN REFMGR.CITE &lt;Refman&gt;&lt;Cite ExcludeAuth="1"&gt;&lt;Author&gt;Elphick&lt;/Author&gt;&lt;Year&gt;2011&lt;/Year&gt;&lt;RecNum&gt;17927&lt;/RecNum&gt;&lt;IDText&gt;An aquatic toxicological evaluation of sulfate: the case for considering hardness as a modifying factor in setting water quality guidelines.&lt;/IDText&gt;&lt;MDL Ref_Type="Journal"&gt;&lt;Ref_Type&gt;Journal&lt;/Ref_Type&gt;&lt;Ref_ID&gt;17927&lt;/Ref_ID&gt;&lt;Title_Primary&gt;An aquatic toxicological evaluation of sulfate: the case for considering hardness as a modifying factor in setting water quality guidelines.&lt;/Title_Primary&gt;&lt;Authors_Primary&gt;Elphick,J.R.&lt;/Authors_Primary&gt;&lt;Authors_Primary&gt;Davies,M.&lt;/Authors_Primary&gt;&lt;Authors_Primary&gt;Gilron,G.&lt;/Authors_Primary&gt;&lt;Authors_Primary&gt;Canaria,E.C.&lt;/Authors_Primary&gt;&lt;Authors_Primary&gt;Lo,B.&lt;/Authors_Primary&gt;&lt;Authors_Primary&gt;Bailey,H.C.&lt;/Authors_Primary&gt;&lt;Date_Primary&gt;2011&lt;/Date_Primary&gt;&lt;Keywords&gt;Evaluation&lt;/Keywords&gt;&lt;Keywords&gt;Water&lt;/Keywords&gt;&lt;Keywords&gt;Water quality&lt;/Keywords&gt;&lt;Reprint&gt;In File&lt;/Reprint&gt;&lt;Start_Page&gt;247&lt;/Start_Page&gt;&lt;End_Page&gt;253&lt;/End_Page&gt;&lt;Periodical&gt;Environmental Toxicology and Chemistry&lt;/Periodical&gt;&lt;Volume&gt;30&lt;/Volume&gt;&lt;Issue&gt;1&lt;/Issue&gt;&lt;ZZ_JournalFull&gt;&lt;f name="System"&gt;Environmental Toxicology and Chemistry&lt;/f&gt;&lt;/ZZ_JournalFull&gt;&lt;ZZ_JournalStdAbbrev&gt;&lt;f name="System"&gt;Environ Toxicol Chem&lt;/f&gt;&lt;/ZZ_JournalStdAbbrev&gt;&lt;ZZ_WorkformID&gt;1&lt;/ZZ_WorkformID&gt;&lt;/MDL&gt;&lt;/Cite&gt;&lt;/Refman&gt;</w:instrText>
      </w:r>
      <w:r w:rsidR="00D03313">
        <w:rPr>
          <w:rFonts w:asciiTheme="minorHAnsi" w:hAnsiTheme="minorHAnsi" w:cstheme="minorHAnsi"/>
        </w:rPr>
        <w:fldChar w:fldCharType="separate"/>
      </w:r>
      <w:r w:rsidR="00B316D7">
        <w:rPr>
          <w:rFonts w:asciiTheme="minorHAnsi" w:hAnsiTheme="minorHAnsi" w:cstheme="minorHAnsi"/>
          <w:noProof/>
        </w:rPr>
        <w:t>(2011)</w:t>
      </w:r>
      <w:r w:rsidR="00D03313">
        <w:rPr>
          <w:rFonts w:asciiTheme="minorHAnsi" w:hAnsiTheme="minorHAnsi" w:cstheme="minorHAnsi"/>
        </w:rPr>
        <w:fldChar w:fldCharType="end"/>
      </w:r>
      <w:r w:rsidRPr="006678C7">
        <w:rPr>
          <w:rFonts w:asciiTheme="minorHAnsi" w:hAnsiTheme="minorHAnsi" w:cstheme="minorHAnsi"/>
        </w:rPr>
        <w:t xml:space="preserve">, it </w:t>
      </w:r>
      <w:r w:rsidR="007B34C3">
        <w:rPr>
          <w:rFonts w:asciiTheme="minorHAnsi" w:hAnsiTheme="minorHAnsi" w:cstheme="minorHAnsi"/>
        </w:rPr>
        <w:t xml:space="preserve">is </w:t>
      </w:r>
      <w:r w:rsidRPr="006678C7">
        <w:rPr>
          <w:rFonts w:asciiTheme="minorHAnsi" w:hAnsiTheme="minorHAnsi" w:cstheme="minorHAnsi"/>
        </w:rPr>
        <w:t xml:space="preserve">reasonable to have different sulfate targets at varying hardness. </w:t>
      </w:r>
      <w:r w:rsidR="006378EA" w:rsidRPr="006678C7">
        <w:rPr>
          <w:rFonts w:asciiTheme="minorHAnsi" w:hAnsiTheme="minorHAnsi" w:cstheme="minorHAnsi"/>
        </w:rPr>
        <w:t xml:space="preserve">The only hardness range for which </w:t>
      </w:r>
      <w:r w:rsidR="007B34C3">
        <w:rPr>
          <w:rFonts w:asciiTheme="minorHAnsi" w:hAnsiTheme="minorHAnsi" w:cstheme="minorHAnsi"/>
        </w:rPr>
        <w:t xml:space="preserve">DEQ is identifying </w:t>
      </w:r>
      <w:r w:rsidR="006378EA" w:rsidRPr="006678C7">
        <w:rPr>
          <w:rFonts w:asciiTheme="minorHAnsi" w:hAnsiTheme="minorHAnsi" w:cstheme="minorHAnsi"/>
        </w:rPr>
        <w:t xml:space="preserve">a chronic sulfate target is from 0 to 50 mg/L hardness. For hardness below 50 mg/L, </w:t>
      </w:r>
      <w:r w:rsidR="007B34C3">
        <w:rPr>
          <w:rFonts w:asciiTheme="minorHAnsi" w:hAnsiTheme="minorHAnsi" w:cstheme="minorHAnsi"/>
        </w:rPr>
        <w:t xml:space="preserve">DEQ will use </w:t>
      </w:r>
      <w:r w:rsidR="006378EA" w:rsidRPr="006678C7">
        <w:rPr>
          <w:rFonts w:asciiTheme="minorHAnsi" w:hAnsiTheme="minorHAnsi" w:cstheme="minorHAnsi"/>
        </w:rPr>
        <w:t xml:space="preserve">the </w:t>
      </w:r>
      <w:r w:rsidR="00C3489B" w:rsidRPr="006678C7">
        <w:rPr>
          <w:rFonts w:asciiTheme="minorHAnsi" w:hAnsiTheme="minorHAnsi" w:cstheme="minorHAnsi"/>
        </w:rPr>
        <w:t xml:space="preserve">less conservative of two </w:t>
      </w:r>
      <w:r w:rsidR="006378EA" w:rsidRPr="006678C7">
        <w:rPr>
          <w:rFonts w:asciiTheme="minorHAnsi" w:hAnsiTheme="minorHAnsi" w:cstheme="minorHAnsi"/>
        </w:rPr>
        <w:t>soft water guideline</w:t>
      </w:r>
      <w:r w:rsidR="00C3489B" w:rsidRPr="006678C7">
        <w:rPr>
          <w:rFonts w:asciiTheme="minorHAnsi" w:hAnsiTheme="minorHAnsi" w:cstheme="minorHAnsi"/>
        </w:rPr>
        <w:t>s</w:t>
      </w:r>
      <w:r w:rsidR="006378EA" w:rsidRPr="006678C7">
        <w:rPr>
          <w:rFonts w:asciiTheme="minorHAnsi" w:hAnsiTheme="minorHAnsi" w:cstheme="minorHAnsi"/>
        </w:rPr>
        <w:t xml:space="preserve"> derived by Elphick et al. </w:t>
      </w:r>
      <w:r w:rsidR="00C3489B" w:rsidRPr="006678C7">
        <w:rPr>
          <w:rFonts w:asciiTheme="minorHAnsi" w:hAnsiTheme="minorHAnsi" w:cstheme="minorHAnsi"/>
        </w:rPr>
        <w:t>Their more conservative target was calculated by using the lowest LOEC divided by a safety factor of two, giving a target of 75 mg/L sulfate. The other calculation method was to use the hazard coefficient associated with the 5</w:t>
      </w:r>
      <w:r w:rsidR="00C3489B" w:rsidRPr="006678C7">
        <w:rPr>
          <w:rFonts w:asciiTheme="minorHAnsi" w:hAnsiTheme="minorHAnsi" w:cstheme="minorHAnsi"/>
          <w:vertAlign w:val="superscript"/>
        </w:rPr>
        <w:t>th</w:t>
      </w:r>
      <w:r w:rsidR="00C3489B" w:rsidRPr="006678C7">
        <w:rPr>
          <w:rFonts w:asciiTheme="minorHAnsi" w:hAnsiTheme="minorHAnsi" w:cstheme="minorHAnsi"/>
        </w:rPr>
        <w:t xml:space="preserve"> percentile of the species sensitivity distributions (SSD). </w:t>
      </w:r>
      <w:r w:rsidR="008C0DFF">
        <w:rPr>
          <w:rFonts w:asciiTheme="minorHAnsi" w:hAnsiTheme="minorHAnsi" w:cstheme="minorHAnsi"/>
        </w:rPr>
        <w:t xml:space="preserve">For purposes of this guidance, </w:t>
      </w:r>
      <w:r w:rsidR="00C3489B" w:rsidRPr="006678C7">
        <w:rPr>
          <w:rFonts w:asciiTheme="minorHAnsi" w:hAnsiTheme="minorHAnsi" w:cstheme="minorHAnsi"/>
        </w:rPr>
        <w:t xml:space="preserve">this lower level of conservatism </w:t>
      </w:r>
      <w:r w:rsidR="008C0DFF">
        <w:rPr>
          <w:rFonts w:asciiTheme="minorHAnsi" w:hAnsiTheme="minorHAnsi" w:cstheme="minorHAnsi"/>
        </w:rPr>
        <w:t xml:space="preserve">is appropriate </w:t>
      </w:r>
      <w:r w:rsidR="00C3489B" w:rsidRPr="006678C7">
        <w:rPr>
          <w:rFonts w:asciiTheme="minorHAnsi" w:hAnsiTheme="minorHAnsi" w:cstheme="minorHAnsi"/>
        </w:rPr>
        <w:t>because sulfate is a natural salt compound and not a true toxic substance</w:t>
      </w:r>
      <w:r w:rsidR="009474A0" w:rsidRPr="006678C7">
        <w:rPr>
          <w:rFonts w:asciiTheme="minorHAnsi" w:hAnsiTheme="minorHAnsi" w:cstheme="minorHAnsi"/>
        </w:rPr>
        <w:t xml:space="preserve">. </w:t>
      </w:r>
      <w:r w:rsidR="00C3489B" w:rsidRPr="006678C7">
        <w:rPr>
          <w:rFonts w:asciiTheme="minorHAnsi" w:hAnsiTheme="minorHAnsi" w:cstheme="minorHAnsi"/>
        </w:rPr>
        <w:t xml:space="preserve">This method calculated a target of 129 mg/L. </w:t>
      </w:r>
      <w:r w:rsidR="006378EA" w:rsidRPr="006678C7">
        <w:rPr>
          <w:rFonts w:asciiTheme="minorHAnsi" w:hAnsiTheme="minorHAnsi" w:cstheme="minorHAnsi"/>
        </w:rPr>
        <w:t xml:space="preserve">Because </w:t>
      </w:r>
      <w:r w:rsidR="00657937" w:rsidRPr="006678C7">
        <w:rPr>
          <w:rFonts w:asciiTheme="minorHAnsi" w:hAnsiTheme="minorHAnsi" w:cstheme="minorHAnsi"/>
        </w:rPr>
        <w:t>this number protects against</w:t>
      </w:r>
      <w:r w:rsidR="00F02151" w:rsidRPr="006678C7">
        <w:rPr>
          <w:rFonts w:asciiTheme="minorHAnsi" w:hAnsiTheme="minorHAnsi" w:cstheme="minorHAnsi"/>
        </w:rPr>
        <w:t xml:space="preserve"> chronic toxicity, th</w:t>
      </w:r>
      <w:r w:rsidR="00616CB9" w:rsidRPr="006678C7">
        <w:rPr>
          <w:rFonts w:asciiTheme="minorHAnsi" w:hAnsiTheme="minorHAnsi" w:cstheme="minorHAnsi"/>
        </w:rPr>
        <w:t xml:space="preserve">e four </w:t>
      </w:r>
      <w:r w:rsidR="001F10A3">
        <w:rPr>
          <w:rFonts w:asciiTheme="minorHAnsi" w:hAnsiTheme="minorHAnsi" w:cstheme="minorHAnsi"/>
        </w:rPr>
        <w:t>day</w:t>
      </w:r>
      <w:r w:rsidR="001F10A3" w:rsidRPr="006678C7">
        <w:rPr>
          <w:rFonts w:asciiTheme="minorHAnsi" w:hAnsiTheme="minorHAnsi" w:cstheme="minorHAnsi"/>
        </w:rPr>
        <w:t xml:space="preserve"> </w:t>
      </w:r>
      <w:r w:rsidR="00616CB9" w:rsidRPr="006678C7">
        <w:rPr>
          <w:rFonts w:asciiTheme="minorHAnsi" w:hAnsiTheme="minorHAnsi" w:cstheme="minorHAnsi"/>
        </w:rPr>
        <w:t>average is not to be exceeded more than once in a three year period</w:t>
      </w:r>
      <w:r w:rsidR="00554721">
        <w:rPr>
          <w:rFonts w:asciiTheme="minorHAnsi" w:hAnsiTheme="minorHAnsi" w:cstheme="minorHAnsi"/>
        </w:rPr>
        <w:t>, or in more than 10% of samples</w:t>
      </w:r>
      <w:r w:rsidR="00616CB9" w:rsidRPr="006678C7">
        <w:rPr>
          <w:rFonts w:asciiTheme="minorHAnsi" w:hAnsiTheme="minorHAnsi" w:cstheme="minorHAnsi"/>
        </w:rPr>
        <w:t>.</w:t>
      </w:r>
    </w:p>
    <w:p w:rsidR="00616CB9" w:rsidRPr="006678C7" w:rsidRDefault="00616CB9" w:rsidP="00BE6F4D">
      <w:pPr>
        <w:rPr>
          <w:rFonts w:asciiTheme="minorHAnsi" w:hAnsiTheme="minorHAnsi" w:cstheme="minorHAnsi"/>
        </w:rPr>
      </w:pPr>
    </w:p>
    <w:p w:rsidR="009F4149" w:rsidRPr="006678C7" w:rsidRDefault="009F4149" w:rsidP="00BE6F4D">
      <w:pPr>
        <w:rPr>
          <w:rFonts w:asciiTheme="minorHAnsi" w:hAnsiTheme="minorHAnsi" w:cstheme="minorHAnsi"/>
        </w:rPr>
      </w:pPr>
      <w:r w:rsidRPr="006678C7">
        <w:rPr>
          <w:rFonts w:asciiTheme="minorHAnsi" w:hAnsiTheme="minorHAnsi" w:cstheme="minorHAnsi"/>
        </w:rPr>
        <w:t xml:space="preserve">For acute toxicity, </w:t>
      </w:r>
      <w:r w:rsidR="008C0DFF">
        <w:rPr>
          <w:rFonts w:asciiTheme="minorHAnsi" w:hAnsiTheme="minorHAnsi" w:cstheme="minorHAnsi"/>
        </w:rPr>
        <w:t xml:space="preserve">DEQ </w:t>
      </w:r>
      <w:r w:rsidRPr="006678C7">
        <w:rPr>
          <w:rFonts w:asciiTheme="minorHAnsi" w:hAnsiTheme="minorHAnsi" w:cstheme="minorHAnsi"/>
        </w:rPr>
        <w:t xml:space="preserve">will </w:t>
      </w:r>
      <w:r w:rsidR="006678C7" w:rsidRPr="006678C7">
        <w:rPr>
          <w:rFonts w:asciiTheme="minorHAnsi" w:hAnsiTheme="minorHAnsi" w:cstheme="minorHAnsi"/>
        </w:rPr>
        <w:t>use</w:t>
      </w:r>
      <w:r w:rsidRPr="006678C7">
        <w:rPr>
          <w:rFonts w:asciiTheme="minorHAnsi" w:hAnsiTheme="minorHAnsi" w:cstheme="minorHAnsi"/>
        </w:rPr>
        <w:t xml:space="preserve"> Illinois’s adopted sulfate criteria, shown in Table 1 above</w:t>
      </w:r>
      <w:r w:rsidR="00FE495A">
        <w:rPr>
          <w:rFonts w:asciiTheme="minorHAnsi" w:hAnsiTheme="minorHAnsi" w:cstheme="minorHAnsi"/>
        </w:rPr>
        <w:t>, and capped at 2,000 mg/L</w:t>
      </w:r>
      <w:r w:rsidRPr="006678C7">
        <w:rPr>
          <w:rFonts w:asciiTheme="minorHAnsi" w:hAnsiTheme="minorHAnsi" w:cstheme="minorHAnsi"/>
        </w:rPr>
        <w:t xml:space="preserve">. </w:t>
      </w:r>
      <w:r w:rsidR="00C3489B" w:rsidRPr="006678C7">
        <w:rPr>
          <w:rFonts w:asciiTheme="minorHAnsi" w:hAnsiTheme="minorHAnsi" w:cstheme="minorHAnsi"/>
        </w:rPr>
        <w:t>Be</w:t>
      </w:r>
      <w:r w:rsidR="00657937" w:rsidRPr="006678C7">
        <w:rPr>
          <w:rFonts w:asciiTheme="minorHAnsi" w:hAnsiTheme="minorHAnsi" w:cstheme="minorHAnsi"/>
        </w:rPr>
        <w:t>cause these targets protect against</w:t>
      </w:r>
      <w:r w:rsidR="00C3489B" w:rsidRPr="006678C7">
        <w:rPr>
          <w:rFonts w:asciiTheme="minorHAnsi" w:hAnsiTheme="minorHAnsi" w:cstheme="minorHAnsi"/>
        </w:rPr>
        <w:t xml:space="preserve"> acute toxicity, the</w:t>
      </w:r>
      <w:r w:rsidR="00616CB9" w:rsidRPr="006678C7">
        <w:rPr>
          <w:rFonts w:asciiTheme="minorHAnsi" w:hAnsiTheme="minorHAnsi" w:cstheme="minorHAnsi"/>
        </w:rPr>
        <w:t xml:space="preserve"> one hour average is</w:t>
      </w:r>
      <w:r w:rsidR="00C3489B" w:rsidRPr="006678C7">
        <w:rPr>
          <w:rFonts w:asciiTheme="minorHAnsi" w:hAnsiTheme="minorHAnsi" w:cstheme="minorHAnsi"/>
        </w:rPr>
        <w:t xml:space="preserve"> not to </w:t>
      </w:r>
      <w:r w:rsidR="00616CB9" w:rsidRPr="006678C7">
        <w:rPr>
          <w:rFonts w:asciiTheme="minorHAnsi" w:hAnsiTheme="minorHAnsi" w:cstheme="minorHAnsi"/>
        </w:rPr>
        <w:t xml:space="preserve">be </w:t>
      </w:r>
      <w:r w:rsidR="00C3489B" w:rsidRPr="006678C7">
        <w:rPr>
          <w:rFonts w:asciiTheme="minorHAnsi" w:hAnsiTheme="minorHAnsi" w:cstheme="minorHAnsi"/>
        </w:rPr>
        <w:t>exceed</w:t>
      </w:r>
      <w:r w:rsidR="008C0DFF">
        <w:rPr>
          <w:rFonts w:asciiTheme="minorHAnsi" w:hAnsiTheme="minorHAnsi" w:cstheme="minorHAnsi"/>
        </w:rPr>
        <w:t>ed</w:t>
      </w:r>
      <w:r w:rsidR="00C3489B" w:rsidRPr="006678C7">
        <w:rPr>
          <w:rFonts w:asciiTheme="minorHAnsi" w:hAnsiTheme="minorHAnsi" w:cstheme="minorHAnsi"/>
        </w:rPr>
        <w:t xml:space="preserve"> </w:t>
      </w:r>
      <w:r w:rsidR="00616CB9" w:rsidRPr="006678C7">
        <w:rPr>
          <w:rFonts w:asciiTheme="minorHAnsi" w:hAnsiTheme="minorHAnsi" w:cstheme="minorHAnsi"/>
        </w:rPr>
        <w:t>more than once every three years</w:t>
      </w:r>
      <w:r w:rsidR="00554721">
        <w:rPr>
          <w:rFonts w:asciiTheme="minorHAnsi" w:hAnsiTheme="minorHAnsi" w:cstheme="minorHAnsi"/>
        </w:rPr>
        <w:t>, or in more than 10% of samples</w:t>
      </w:r>
      <w:r w:rsidR="00657937" w:rsidRPr="006678C7">
        <w:rPr>
          <w:rFonts w:asciiTheme="minorHAnsi" w:hAnsiTheme="minorHAnsi" w:cstheme="minorHAnsi"/>
        </w:rPr>
        <w:t>.</w:t>
      </w:r>
      <w:r w:rsidR="00C3489B" w:rsidRPr="006678C7">
        <w:rPr>
          <w:rFonts w:asciiTheme="minorHAnsi" w:hAnsiTheme="minorHAnsi" w:cstheme="minorHAnsi"/>
        </w:rPr>
        <w:t xml:space="preserve"> </w:t>
      </w:r>
      <w:r w:rsidR="00554721">
        <w:rPr>
          <w:rFonts w:asciiTheme="minorHAnsi" w:hAnsiTheme="minorHAnsi" w:cstheme="minorHAnsi"/>
        </w:rPr>
        <w:t>Acute t</w:t>
      </w:r>
      <w:r w:rsidR="00FE495A">
        <w:rPr>
          <w:rFonts w:asciiTheme="minorHAnsi" w:hAnsiTheme="minorHAnsi" w:cstheme="minorHAnsi"/>
        </w:rPr>
        <w:t>argets are shown</w:t>
      </w:r>
      <w:r w:rsidR="009474A0" w:rsidRPr="006678C7">
        <w:rPr>
          <w:rFonts w:asciiTheme="minorHAnsi" w:hAnsiTheme="minorHAnsi" w:cstheme="minorHAnsi"/>
        </w:rPr>
        <w:t xml:space="preserve"> for a wide range of hardness and chloride concent</w:t>
      </w:r>
      <w:r w:rsidR="002071A3" w:rsidRPr="006678C7">
        <w:rPr>
          <w:rFonts w:asciiTheme="minorHAnsi" w:hAnsiTheme="minorHAnsi" w:cstheme="minorHAnsi"/>
        </w:rPr>
        <w:t>rations in Table 1 in Appendix</w:t>
      </w:r>
      <w:r w:rsidR="009474A0" w:rsidRPr="006678C7">
        <w:rPr>
          <w:rFonts w:asciiTheme="minorHAnsi" w:hAnsiTheme="minorHAnsi" w:cstheme="minorHAnsi"/>
        </w:rPr>
        <w:t xml:space="preserve"> A</w:t>
      </w:r>
      <w:r w:rsidR="002071A3" w:rsidRPr="006678C7">
        <w:rPr>
          <w:rFonts w:asciiTheme="minorHAnsi" w:hAnsiTheme="minorHAnsi" w:cstheme="minorHAnsi"/>
        </w:rPr>
        <w:t xml:space="preserve">. </w:t>
      </w:r>
    </w:p>
    <w:p w:rsidR="00CF087E" w:rsidRPr="006678C7" w:rsidRDefault="00CF087E" w:rsidP="00BE6F4D">
      <w:pPr>
        <w:rPr>
          <w:rFonts w:asciiTheme="minorHAnsi" w:hAnsiTheme="minorHAnsi" w:cstheme="minorHAnsi"/>
        </w:rPr>
      </w:pPr>
    </w:p>
    <w:p w:rsidR="00CF087E" w:rsidRPr="006678C7" w:rsidRDefault="00CF087E" w:rsidP="00BE6F4D">
      <w:pPr>
        <w:rPr>
          <w:rFonts w:asciiTheme="minorHAnsi" w:hAnsiTheme="minorHAnsi" w:cstheme="minorHAnsi"/>
        </w:rPr>
      </w:pPr>
      <w:r w:rsidRPr="006678C7">
        <w:rPr>
          <w:rFonts w:asciiTheme="minorHAnsi" w:hAnsiTheme="minorHAnsi" w:cstheme="minorHAnsi"/>
        </w:rPr>
        <w:t xml:space="preserve">These </w:t>
      </w:r>
      <w:r w:rsidR="009474A0" w:rsidRPr="006678C7">
        <w:rPr>
          <w:rFonts w:asciiTheme="minorHAnsi" w:hAnsiTheme="minorHAnsi" w:cstheme="minorHAnsi"/>
        </w:rPr>
        <w:t xml:space="preserve">aquatic life </w:t>
      </w:r>
      <w:r w:rsidRPr="006678C7">
        <w:rPr>
          <w:rFonts w:asciiTheme="minorHAnsi" w:hAnsiTheme="minorHAnsi" w:cstheme="minorHAnsi"/>
        </w:rPr>
        <w:t xml:space="preserve">targets </w:t>
      </w:r>
      <w:r w:rsidR="008C0DFF">
        <w:rPr>
          <w:rFonts w:asciiTheme="minorHAnsi" w:hAnsiTheme="minorHAnsi" w:cstheme="minorHAnsi"/>
        </w:rPr>
        <w:t xml:space="preserve">can be applied </w:t>
      </w:r>
      <w:r w:rsidRPr="006678C7">
        <w:rPr>
          <w:rFonts w:asciiTheme="minorHAnsi" w:hAnsiTheme="minorHAnsi" w:cstheme="minorHAnsi"/>
        </w:rPr>
        <w:t>to all waters with either salmonid or</w:t>
      </w:r>
      <w:r w:rsidR="009474A0" w:rsidRPr="006678C7">
        <w:rPr>
          <w:rFonts w:asciiTheme="minorHAnsi" w:hAnsiTheme="minorHAnsi" w:cstheme="minorHAnsi"/>
        </w:rPr>
        <w:t xml:space="preserve"> non-salmonid aquatic life uses.</w:t>
      </w:r>
    </w:p>
    <w:p w:rsidR="00AA6674" w:rsidRPr="006678C7" w:rsidRDefault="00AA6674" w:rsidP="00BE6F4D">
      <w:pPr>
        <w:rPr>
          <w:rFonts w:asciiTheme="minorHAnsi" w:hAnsiTheme="minorHAnsi" w:cstheme="minorHAnsi"/>
        </w:rPr>
      </w:pPr>
    </w:p>
    <w:p w:rsidR="00CF087E" w:rsidRPr="006678C7" w:rsidRDefault="00CF087E" w:rsidP="00BE377E">
      <w:pPr>
        <w:pStyle w:val="Heading1"/>
        <w:rPr>
          <w:rFonts w:asciiTheme="minorHAnsi" w:hAnsiTheme="minorHAnsi" w:cstheme="minorHAnsi"/>
        </w:rPr>
      </w:pPr>
      <w:r w:rsidRPr="006678C7">
        <w:rPr>
          <w:rFonts w:asciiTheme="minorHAnsi" w:hAnsiTheme="minorHAnsi" w:cstheme="minorHAnsi"/>
        </w:rPr>
        <w:t>Summary</w:t>
      </w:r>
    </w:p>
    <w:p w:rsidR="00EC3760" w:rsidRDefault="001F3137" w:rsidP="00BE6F4D">
      <w:pPr>
        <w:rPr>
          <w:rFonts w:asciiTheme="minorHAnsi" w:hAnsiTheme="minorHAnsi" w:cstheme="minorHAnsi"/>
        </w:rPr>
      </w:pPr>
      <w:r w:rsidRPr="006678C7">
        <w:rPr>
          <w:rFonts w:asciiTheme="minorHAnsi" w:hAnsiTheme="minorHAnsi" w:cstheme="minorHAnsi"/>
        </w:rPr>
        <w:t>The sulfate target applied to a specific water body must protect the most sensitive use for that water body.</w:t>
      </w:r>
      <w:r w:rsidR="009634CA" w:rsidRPr="006678C7">
        <w:rPr>
          <w:rFonts w:asciiTheme="minorHAnsi" w:hAnsiTheme="minorHAnsi" w:cstheme="minorHAnsi"/>
        </w:rPr>
        <w:t xml:space="preserve"> </w:t>
      </w:r>
      <w:r w:rsidR="002071A3" w:rsidRPr="006678C7">
        <w:rPr>
          <w:rFonts w:asciiTheme="minorHAnsi" w:hAnsiTheme="minorHAnsi" w:cstheme="minorHAnsi"/>
        </w:rPr>
        <w:t>Based on the</w:t>
      </w:r>
      <w:r w:rsidR="006678C7" w:rsidRPr="006678C7">
        <w:rPr>
          <w:rFonts w:asciiTheme="minorHAnsi" w:hAnsiTheme="minorHAnsi" w:cstheme="minorHAnsi"/>
        </w:rPr>
        <w:t>se</w:t>
      </w:r>
      <w:r w:rsidR="002071A3" w:rsidRPr="006678C7">
        <w:rPr>
          <w:rFonts w:asciiTheme="minorHAnsi" w:hAnsiTheme="minorHAnsi" w:cstheme="minorHAnsi"/>
        </w:rPr>
        <w:t xml:space="preserve"> targets and Montana’s use class system, the maximum sulfate target for any use class without a drinking water use is 2,000 </w:t>
      </w:r>
      <w:r w:rsidR="0034373A">
        <w:rPr>
          <w:rFonts w:asciiTheme="minorHAnsi" w:hAnsiTheme="minorHAnsi" w:cstheme="minorHAnsi"/>
        </w:rPr>
        <w:t>m</w:t>
      </w:r>
      <w:r w:rsidR="002071A3" w:rsidRPr="006678C7">
        <w:rPr>
          <w:rFonts w:asciiTheme="minorHAnsi" w:hAnsiTheme="minorHAnsi" w:cstheme="minorHAnsi"/>
        </w:rPr>
        <w:t>g/L</w:t>
      </w:r>
      <w:r w:rsidR="003D777F" w:rsidRPr="006678C7">
        <w:rPr>
          <w:rFonts w:asciiTheme="minorHAnsi" w:hAnsiTheme="minorHAnsi" w:cstheme="minorHAnsi"/>
        </w:rPr>
        <w:t>—t</w:t>
      </w:r>
      <w:r w:rsidR="002071A3" w:rsidRPr="006678C7">
        <w:rPr>
          <w:rFonts w:asciiTheme="minorHAnsi" w:hAnsiTheme="minorHAnsi" w:cstheme="minorHAnsi"/>
        </w:rPr>
        <w:t>he sulfate target for hard waters will be limited by the</w:t>
      </w:r>
      <w:r w:rsidR="005B4C75">
        <w:rPr>
          <w:rFonts w:asciiTheme="minorHAnsi" w:hAnsiTheme="minorHAnsi" w:cstheme="minorHAnsi"/>
        </w:rPr>
        <w:t xml:space="preserve"> aquatic life use and/or</w:t>
      </w:r>
      <w:r w:rsidR="002071A3" w:rsidRPr="006678C7">
        <w:rPr>
          <w:rFonts w:asciiTheme="minorHAnsi" w:hAnsiTheme="minorHAnsi" w:cstheme="minorHAnsi"/>
        </w:rPr>
        <w:t xml:space="preserve"> livestock use. The maximum sulfate target for a water body with a drinking water use is 500 </w:t>
      </w:r>
      <w:r w:rsidR="0034373A">
        <w:rPr>
          <w:rFonts w:asciiTheme="minorHAnsi" w:hAnsiTheme="minorHAnsi" w:cstheme="minorHAnsi"/>
        </w:rPr>
        <w:t>m</w:t>
      </w:r>
      <w:r w:rsidR="002071A3" w:rsidRPr="006678C7">
        <w:rPr>
          <w:rFonts w:asciiTheme="minorHAnsi" w:hAnsiTheme="minorHAnsi" w:cstheme="minorHAnsi"/>
        </w:rPr>
        <w:t xml:space="preserve">g/L. </w:t>
      </w:r>
      <w:r w:rsidR="008C0DFF">
        <w:rPr>
          <w:rFonts w:asciiTheme="minorHAnsi" w:hAnsiTheme="minorHAnsi" w:cstheme="minorHAnsi"/>
        </w:rPr>
        <w:t xml:space="preserve">Finally, </w:t>
      </w:r>
      <w:r w:rsidR="002071A3" w:rsidRPr="006678C7">
        <w:rPr>
          <w:rFonts w:asciiTheme="minorHAnsi" w:hAnsiTheme="minorHAnsi" w:cstheme="minorHAnsi"/>
        </w:rPr>
        <w:t xml:space="preserve">the minimum sulfate target for any water body in Montana is </w:t>
      </w:r>
      <w:r w:rsidR="00EC3760">
        <w:rPr>
          <w:rFonts w:asciiTheme="minorHAnsi" w:hAnsiTheme="minorHAnsi" w:cstheme="minorHAnsi"/>
        </w:rPr>
        <w:t xml:space="preserve">the chronic target for aquatic life of </w:t>
      </w:r>
      <w:r w:rsidR="002071A3" w:rsidRPr="006678C7">
        <w:rPr>
          <w:rFonts w:asciiTheme="minorHAnsi" w:hAnsiTheme="minorHAnsi" w:cstheme="minorHAnsi"/>
        </w:rPr>
        <w:t xml:space="preserve">129 </w:t>
      </w:r>
      <w:r w:rsidR="0034373A">
        <w:rPr>
          <w:rFonts w:asciiTheme="minorHAnsi" w:hAnsiTheme="minorHAnsi" w:cstheme="minorHAnsi"/>
        </w:rPr>
        <w:t>m</w:t>
      </w:r>
      <w:r w:rsidR="002071A3" w:rsidRPr="006678C7">
        <w:rPr>
          <w:rFonts w:asciiTheme="minorHAnsi" w:hAnsiTheme="minorHAnsi" w:cstheme="minorHAnsi"/>
        </w:rPr>
        <w:t>g/L</w:t>
      </w:r>
      <w:r w:rsidR="0034373A">
        <w:rPr>
          <w:rFonts w:asciiTheme="minorHAnsi" w:hAnsiTheme="minorHAnsi" w:cstheme="minorHAnsi"/>
        </w:rPr>
        <w:t>, only to be applied when hardness is less than 50 mg/L</w:t>
      </w:r>
      <w:r w:rsidR="002071A3" w:rsidRPr="006678C7">
        <w:rPr>
          <w:rFonts w:asciiTheme="minorHAnsi" w:hAnsiTheme="minorHAnsi" w:cstheme="minorHAnsi"/>
        </w:rPr>
        <w:t>.</w:t>
      </w:r>
    </w:p>
    <w:p w:rsidR="00EC3760" w:rsidRDefault="00EC3760" w:rsidP="00BE6F4D">
      <w:pPr>
        <w:rPr>
          <w:rFonts w:asciiTheme="minorHAnsi" w:hAnsiTheme="minorHAnsi" w:cstheme="minorHAnsi"/>
        </w:rPr>
      </w:pPr>
    </w:p>
    <w:p w:rsidR="0075460E" w:rsidRDefault="008F34CA" w:rsidP="00BE6F4D">
      <w:pPr>
        <w:rPr>
          <w:rFonts w:asciiTheme="minorHAnsi" w:hAnsiTheme="minorHAnsi" w:cstheme="minorHAnsi"/>
        </w:rPr>
      </w:pPr>
      <w:r>
        <w:rPr>
          <w:rFonts w:asciiTheme="minorHAnsi" w:hAnsiTheme="minorHAnsi" w:cstheme="minorHAnsi"/>
        </w:rPr>
        <w:t xml:space="preserve">Before determining if a sulfate target is appropriate for a surface water body, geology and anthropogenic activities should be considered. </w:t>
      </w:r>
      <w:r w:rsidRPr="0064362B">
        <w:rPr>
          <w:rFonts w:asciiTheme="minorHAnsi" w:hAnsiTheme="minorHAnsi" w:cstheme="minorHAnsi"/>
        </w:rPr>
        <w:t>The</w:t>
      </w:r>
      <w:r>
        <w:rPr>
          <w:rFonts w:asciiTheme="minorHAnsi" w:hAnsiTheme="minorHAnsi" w:cstheme="minorHAnsi"/>
        </w:rPr>
        <w:t>se</w:t>
      </w:r>
      <w:r w:rsidRPr="0064362B">
        <w:rPr>
          <w:rFonts w:asciiTheme="minorHAnsi" w:hAnsiTheme="minorHAnsi" w:cstheme="minorHAnsi"/>
        </w:rPr>
        <w:t xml:space="preserve"> sulfate targets should only be applied where anthropogenic sources of sulfate are present</w:t>
      </w:r>
      <w:r>
        <w:rPr>
          <w:rFonts w:asciiTheme="minorHAnsi" w:hAnsiTheme="minorHAnsi" w:cstheme="minorHAnsi"/>
        </w:rPr>
        <w:t xml:space="preserve"> that have caused or may cause sulfate levels that are potentially toxic or harmful to human, animal, plant, or aquatic life. </w:t>
      </w:r>
      <w:r w:rsidR="005F1037">
        <w:rPr>
          <w:rFonts w:asciiTheme="minorHAnsi" w:hAnsiTheme="minorHAnsi" w:cstheme="minorHAnsi"/>
        </w:rPr>
        <w:t>Depending on the geologic formation, sulfate levels in some surface water</w:t>
      </w:r>
      <w:r w:rsidR="0025330F">
        <w:rPr>
          <w:rFonts w:asciiTheme="minorHAnsi" w:hAnsiTheme="minorHAnsi" w:cstheme="minorHAnsi"/>
        </w:rPr>
        <w:t xml:space="preserve"> are naturally higher than others. </w:t>
      </w:r>
      <w:r>
        <w:rPr>
          <w:rFonts w:asciiTheme="minorHAnsi" w:hAnsiTheme="minorHAnsi" w:cstheme="minorHAnsi"/>
        </w:rPr>
        <w:t>In naturally high sulfate waters, aquatic life, plants, and animals present are adapted to the high levels of sulfate. In these situations, sulfate targets may not apply or may be different than those proposed in this document</w:t>
      </w:r>
      <w:r w:rsidR="008C0DFF">
        <w:rPr>
          <w:rFonts w:asciiTheme="minorHAnsi" w:hAnsiTheme="minorHAnsi" w:cstheme="minorHAnsi"/>
        </w:rPr>
        <w:t xml:space="preserve"> based upon site-specific conditions.</w:t>
      </w:r>
    </w:p>
    <w:p w:rsidR="008F34CA" w:rsidRPr="006678C7" w:rsidRDefault="008F34CA" w:rsidP="00BE6F4D">
      <w:pPr>
        <w:rPr>
          <w:rFonts w:asciiTheme="minorHAnsi" w:hAnsiTheme="minorHAnsi" w:cstheme="minorHAnsi"/>
        </w:rPr>
      </w:pPr>
    </w:p>
    <w:p w:rsidR="00936DE2" w:rsidRDefault="00CA5424" w:rsidP="00CA5424">
      <w:pPr>
        <w:pStyle w:val="Heading1"/>
      </w:pPr>
      <w:r>
        <w:t>References</w:t>
      </w:r>
    </w:p>
    <w:p w:rsidR="003F6D3F" w:rsidRPr="003F6D3F" w:rsidRDefault="00936DE2" w:rsidP="003F6D3F">
      <w:pPr>
        <w:tabs>
          <w:tab w:val="left" w:pos="0"/>
        </w:tabs>
        <w:spacing w:after="360"/>
        <w:ind w:left="720" w:hanging="720"/>
        <w:rPr>
          <w:rFonts w:cs="Calibri"/>
          <w:noProof/>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ADDIN REFMGR.REFLIST </w:instrText>
      </w:r>
      <w:r>
        <w:rPr>
          <w:rFonts w:asciiTheme="minorHAnsi" w:hAnsiTheme="minorHAnsi" w:cstheme="minorHAnsi"/>
          <w:sz w:val="24"/>
          <w:szCs w:val="24"/>
        </w:rPr>
        <w:fldChar w:fldCharType="separate"/>
      </w:r>
      <w:r w:rsidR="003F6D3F" w:rsidRPr="003F6D3F">
        <w:rPr>
          <w:rFonts w:cs="Calibri"/>
          <w:noProof/>
          <w:szCs w:val="24"/>
        </w:rPr>
        <w:t xml:space="preserve">Bauder, T. A., R. M. Waskom, and J. G. Davis. 2011. Irrigation Water Quality Criteria.  </w:t>
      </w:r>
      <w:hyperlink r:id="rId10" w:history="1">
        <w:r w:rsidR="003F6D3F" w:rsidRPr="003F6D3F">
          <w:rPr>
            <w:rStyle w:val="Hyperlink"/>
            <w:rFonts w:cs="Calibri"/>
            <w:noProof/>
            <w:szCs w:val="24"/>
          </w:rPr>
          <w:t>http://www.ext.colostate.edu/pubs/crops/00506.html</w:t>
        </w:r>
      </w:hyperlink>
      <w:r w:rsidR="003F6D3F" w:rsidRPr="003F6D3F">
        <w:rPr>
          <w:rFonts w:cs="Calibri"/>
          <w:noProof/>
          <w:szCs w:val="24"/>
        </w:rPr>
        <w:t>. Accessed 3/19/2014.</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lastRenderedPageBreak/>
        <w:t>Elphick, J. R., M. Davies, G. Gilron, E. C. Canaria, B. Lo, and H. C. Bailey. 2011. An Aquatic Toxicological Evaluation of Sulfate: the Case for Considering Hardness As a Modifying Factor in Setting Water Quality Guidelines.</w:t>
      </w:r>
      <w:r w:rsidRPr="003F6D3F">
        <w:rPr>
          <w:rFonts w:cs="Calibri"/>
          <w:i/>
          <w:noProof/>
          <w:szCs w:val="24"/>
        </w:rPr>
        <w:t xml:space="preserve"> Environmental Toxicology and Chemistry.</w:t>
      </w:r>
      <w:r w:rsidRPr="003F6D3F">
        <w:rPr>
          <w:rFonts w:cs="Calibri"/>
          <w:noProof/>
          <w:szCs w:val="24"/>
        </w:rPr>
        <w:t xml:space="preserve"> 30(1): 247-253.</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 xml:space="preserve">Fipps, Guy. 2003. Irrigation Water Quality Standards and Salinity Management Strategies.  Texas A&amp;M AgriLife Extension Service.  </w:t>
      </w:r>
      <w:hyperlink r:id="rId11" w:history="1">
        <w:r w:rsidRPr="003F6D3F">
          <w:rPr>
            <w:rStyle w:val="Hyperlink"/>
            <w:rFonts w:cs="Calibri"/>
            <w:noProof/>
            <w:szCs w:val="24"/>
          </w:rPr>
          <w:t>http://soiltesting.tamu.edu/publications/B-1667.pdf</w:t>
        </w:r>
      </w:hyperlink>
      <w:r w:rsidRPr="003F6D3F">
        <w:rPr>
          <w:rFonts w:cs="Calibri"/>
          <w:noProof/>
          <w:szCs w:val="24"/>
        </w:rPr>
        <w:t>. Accessed 3/10/2014.</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Illinois Environmental Protection Agency. 2006. Preliminary Technical Justification for Changing Water Quality Standards for Sulfates, Total Dissolve</w:t>
      </w:r>
      <w:r w:rsidR="003B342E">
        <w:rPr>
          <w:rFonts w:cs="Calibri"/>
          <w:noProof/>
          <w:szCs w:val="24"/>
        </w:rPr>
        <w:t>d Solids and Mixing Zones</w:t>
      </w:r>
      <w:r w:rsidRPr="003F6D3F">
        <w:rPr>
          <w:rFonts w:cs="Calibri"/>
          <w:noProof/>
          <w:szCs w:val="24"/>
        </w:rPr>
        <w:t xml:space="preserve">.  </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Montana Department of Environmental Quality. 201</w:t>
      </w:r>
      <w:r>
        <w:rPr>
          <w:rFonts w:cs="Calibri"/>
          <w:noProof/>
          <w:szCs w:val="24"/>
        </w:rPr>
        <w:t>2</w:t>
      </w:r>
      <w:r w:rsidRPr="003F6D3F">
        <w:rPr>
          <w:rFonts w:cs="Calibri"/>
          <w:noProof/>
          <w:szCs w:val="24"/>
        </w:rPr>
        <w:t xml:space="preserve">. The Montana Department of Environmental Quality Metals Assessment Method. Helena, MT: Montana Department of Environmental Quality.  </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 xml:space="preserve">Pick, Thomas L. 2008. Assessing Water Quality for Human Consumption, Agriculture, and Aquatic Life Uses. MT: Natural Resources Conservation Service.  Environment Technical Note No. MT-1 (Rev. 1). </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 xml:space="preserve">U.S. Environmental Protection Agency. 1999a. Health Effects From Exposure to High Levels of Sulfate in Drinking Water Study.  U.S. Environmental Protection Agency.  EPA 815-R-99-001. </w:t>
      </w:r>
      <w:hyperlink r:id="rId12" w:history="1">
        <w:r w:rsidRPr="003F6D3F">
          <w:rPr>
            <w:rStyle w:val="Hyperlink"/>
            <w:rFonts w:cs="Calibri"/>
            <w:noProof/>
            <w:szCs w:val="24"/>
          </w:rPr>
          <w:t>http://www.epa.gov/ogwdw/contaminants/unregulated/pdfs/study_sulfate_epa-cdc.pdf</w:t>
        </w:r>
      </w:hyperlink>
      <w:r w:rsidRPr="003F6D3F">
        <w:rPr>
          <w:rFonts w:cs="Calibri"/>
          <w:noProof/>
          <w:szCs w:val="24"/>
        </w:rPr>
        <w:t xml:space="preserve">. </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 1999b. Health Effects From Exposure to Sulfate in Drinking Water Workshop. In: Health Effects From Exposure to Sulfate in Drinking Water Workshop; Sept. 28, 1998b; Atlanta, Georgia.  U.S. Environmental Protection Agency.</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 xml:space="preserve">-----. 2009. EPA's Rationale for Approval of Amendments to the Existing Illinois Pollution Control Board Regulation, 35 Ill. Adm. Code 302.102, 302.208, 309.103, 405.109, 406.100, 406.203, and 407. Revised Water Quality Criteria for Sulfate and Total Dissolved Solids (WQSTS IL2008-274).  U.S. Environmental Protection Agency.  </w:t>
      </w:r>
      <w:hyperlink r:id="rId13" w:history="1">
        <w:r w:rsidRPr="003F6D3F">
          <w:rPr>
            <w:rStyle w:val="Hyperlink"/>
            <w:rFonts w:cs="Calibri"/>
            <w:noProof/>
            <w:szCs w:val="24"/>
          </w:rPr>
          <w:t>http://epa.gov/r5water/wqs5/pdfs/IL-Sulfate%20Rationale%20of%20Decision.pdf</w:t>
        </w:r>
      </w:hyperlink>
      <w:r w:rsidRPr="003F6D3F">
        <w:rPr>
          <w:rFonts w:cs="Calibri"/>
          <w:noProof/>
          <w:szCs w:val="24"/>
        </w:rPr>
        <w:t>. Accessed 3/19/2014.</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 xml:space="preserve">-----. 2012. Sulfate in Drinking Water.  U.S. Environmental Protection Agency.  </w:t>
      </w:r>
      <w:hyperlink r:id="rId14" w:history="1">
        <w:r w:rsidRPr="003F6D3F">
          <w:rPr>
            <w:rStyle w:val="Hyperlink"/>
            <w:rFonts w:cs="Calibri"/>
            <w:noProof/>
            <w:szCs w:val="24"/>
          </w:rPr>
          <w:t>http://water.epa.gov/drink/contaminants/unregulated/sulfate.cfm</w:t>
        </w:r>
      </w:hyperlink>
      <w:r w:rsidRPr="003F6D3F">
        <w:rPr>
          <w:rFonts w:cs="Calibri"/>
          <w:noProof/>
          <w:szCs w:val="24"/>
        </w:rPr>
        <w:t>. Accessed 3/7/2014.</w:t>
      </w:r>
    </w:p>
    <w:p w:rsidR="003F6D3F" w:rsidRPr="003F6D3F" w:rsidRDefault="003F6D3F" w:rsidP="003F6D3F">
      <w:pPr>
        <w:tabs>
          <w:tab w:val="left" w:pos="0"/>
        </w:tabs>
        <w:spacing w:after="360"/>
        <w:ind w:left="720" w:hanging="720"/>
        <w:rPr>
          <w:rFonts w:cs="Calibri"/>
          <w:noProof/>
          <w:szCs w:val="24"/>
        </w:rPr>
      </w:pPr>
      <w:r w:rsidRPr="003F6D3F">
        <w:rPr>
          <w:rFonts w:cs="Calibri"/>
          <w:noProof/>
          <w:szCs w:val="24"/>
        </w:rPr>
        <w:t xml:space="preserve">-----. 2014. ECOTOXicology (ECOTOX) Database Release 4.0.  U.S. Environmental Protection Agency.  </w:t>
      </w:r>
      <w:hyperlink r:id="rId15" w:history="1">
        <w:r w:rsidRPr="003F6D3F">
          <w:rPr>
            <w:rStyle w:val="Hyperlink"/>
            <w:rFonts w:cs="Calibri"/>
            <w:noProof/>
            <w:szCs w:val="24"/>
          </w:rPr>
          <w:t>http://cfpub.epa.gov/ecotox/</w:t>
        </w:r>
      </w:hyperlink>
      <w:r w:rsidRPr="003F6D3F">
        <w:rPr>
          <w:rFonts w:cs="Calibri"/>
          <w:noProof/>
          <w:szCs w:val="24"/>
        </w:rPr>
        <w:t>. Accessed 3/19/2014.</w:t>
      </w:r>
    </w:p>
    <w:p w:rsidR="003F6D3F" w:rsidRPr="003F6D3F" w:rsidRDefault="003F6D3F" w:rsidP="003F6D3F">
      <w:pPr>
        <w:tabs>
          <w:tab w:val="left" w:pos="0"/>
        </w:tabs>
        <w:ind w:left="720" w:hanging="720"/>
        <w:rPr>
          <w:rFonts w:cs="Calibri"/>
          <w:noProof/>
          <w:szCs w:val="24"/>
        </w:rPr>
      </w:pPr>
      <w:r w:rsidRPr="003F6D3F">
        <w:rPr>
          <w:rFonts w:cs="Calibri"/>
          <w:noProof/>
          <w:szCs w:val="24"/>
        </w:rPr>
        <w:t xml:space="preserve">U.S. Environmental Protection Agency, Office of Water. 2003. Contaminant Candidate List Regulatory Determination Support Document for Sulfate.  U.S. Environmental Protection Agency, Office of Water.  </w:t>
      </w:r>
      <w:hyperlink r:id="rId16" w:history="1">
        <w:r w:rsidRPr="003F6D3F">
          <w:rPr>
            <w:rStyle w:val="Hyperlink"/>
            <w:rFonts w:cs="Calibri"/>
            <w:noProof/>
            <w:szCs w:val="24"/>
          </w:rPr>
          <w:t>http://www.epa.gov/ogwdw/ccl/pdfs/reg_determine1/support_cc1_sulfate_dwreport.pdf</w:t>
        </w:r>
      </w:hyperlink>
      <w:r w:rsidRPr="003F6D3F">
        <w:rPr>
          <w:rFonts w:cs="Calibri"/>
          <w:noProof/>
          <w:szCs w:val="24"/>
        </w:rPr>
        <w:t>. Accessed 3/19/2014.</w:t>
      </w:r>
    </w:p>
    <w:p w:rsidR="003F6D3F" w:rsidRDefault="003F6D3F" w:rsidP="003F6D3F">
      <w:pPr>
        <w:tabs>
          <w:tab w:val="left" w:pos="0"/>
        </w:tabs>
        <w:ind w:left="720" w:hanging="720"/>
        <w:rPr>
          <w:rFonts w:cs="Calibri"/>
          <w:noProof/>
          <w:szCs w:val="24"/>
        </w:rPr>
      </w:pPr>
    </w:p>
    <w:p w:rsidR="00936DE2" w:rsidRPr="006678C7" w:rsidRDefault="00936DE2" w:rsidP="00D92FC5">
      <w:pPr>
        <w:rPr>
          <w:rFonts w:asciiTheme="minorHAnsi" w:hAnsiTheme="minorHAnsi" w:cstheme="minorHAnsi"/>
          <w:sz w:val="24"/>
          <w:szCs w:val="24"/>
        </w:rPr>
      </w:pPr>
      <w:r>
        <w:rPr>
          <w:rFonts w:asciiTheme="minorHAnsi" w:hAnsiTheme="minorHAnsi" w:cstheme="minorHAnsi"/>
          <w:sz w:val="24"/>
          <w:szCs w:val="24"/>
        </w:rPr>
        <w:fldChar w:fldCharType="end"/>
      </w:r>
    </w:p>
    <w:p w:rsidR="00176327" w:rsidRPr="006678C7" w:rsidRDefault="00176327">
      <w:pPr>
        <w:autoSpaceDE w:val="0"/>
        <w:autoSpaceDN w:val="0"/>
        <w:adjustRightInd w:val="0"/>
        <w:rPr>
          <w:rFonts w:asciiTheme="minorHAnsi" w:hAnsiTheme="minorHAnsi" w:cstheme="minorHAnsi"/>
          <w:sz w:val="24"/>
          <w:szCs w:val="24"/>
        </w:rPr>
        <w:sectPr w:rsidR="00176327" w:rsidRPr="006678C7" w:rsidSect="00BE377E">
          <w:footerReference w:type="default" r:id="rId17"/>
          <w:pgSz w:w="12240" w:h="15840"/>
          <w:pgMar w:top="1440" w:right="1440" w:bottom="1440" w:left="1440" w:header="720" w:footer="720" w:gutter="0"/>
          <w:cols w:space="720"/>
          <w:docGrid w:linePitch="360"/>
        </w:sectPr>
      </w:pPr>
    </w:p>
    <w:p w:rsidR="00FC1952" w:rsidRPr="006678C7" w:rsidRDefault="00FC1952" w:rsidP="00FC1952">
      <w:pPr>
        <w:autoSpaceDE w:val="0"/>
        <w:autoSpaceDN w:val="0"/>
        <w:adjustRightInd w:val="0"/>
        <w:jc w:val="center"/>
        <w:rPr>
          <w:rFonts w:asciiTheme="minorHAnsi" w:hAnsiTheme="minorHAnsi" w:cstheme="minorHAnsi"/>
        </w:rPr>
      </w:pPr>
      <w:r w:rsidRPr="006678C7">
        <w:rPr>
          <w:rFonts w:asciiTheme="minorHAnsi" w:hAnsiTheme="minorHAnsi" w:cstheme="minorHAnsi"/>
        </w:rPr>
        <w:lastRenderedPageBreak/>
        <w:t>A</w:t>
      </w:r>
      <w:r w:rsidR="002071A3" w:rsidRPr="006678C7">
        <w:rPr>
          <w:rFonts w:asciiTheme="minorHAnsi" w:hAnsiTheme="minorHAnsi" w:cstheme="minorHAnsi"/>
        </w:rPr>
        <w:t>ppendix</w:t>
      </w:r>
      <w:r w:rsidRPr="006678C7">
        <w:rPr>
          <w:rFonts w:asciiTheme="minorHAnsi" w:hAnsiTheme="minorHAnsi" w:cstheme="minorHAnsi"/>
        </w:rPr>
        <w:t xml:space="preserve"> A</w:t>
      </w:r>
    </w:p>
    <w:p w:rsidR="00FC1952" w:rsidRPr="006678C7" w:rsidRDefault="00FC1952" w:rsidP="00BE377E">
      <w:pPr>
        <w:autoSpaceDE w:val="0"/>
        <w:autoSpaceDN w:val="0"/>
        <w:adjustRightInd w:val="0"/>
        <w:rPr>
          <w:rFonts w:asciiTheme="minorHAnsi" w:hAnsiTheme="minorHAnsi" w:cstheme="minorHAnsi"/>
        </w:rPr>
      </w:pPr>
    </w:p>
    <w:p w:rsidR="0025330F" w:rsidRDefault="002071A3" w:rsidP="00BE377E">
      <w:pPr>
        <w:autoSpaceDE w:val="0"/>
        <w:autoSpaceDN w:val="0"/>
        <w:adjustRightInd w:val="0"/>
        <w:rPr>
          <w:rFonts w:asciiTheme="minorHAnsi" w:hAnsiTheme="minorHAnsi" w:cstheme="minorHAnsi"/>
        </w:rPr>
      </w:pPr>
      <w:r w:rsidRPr="006678C7">
        <w:rPr>
          <w:rFonts w:asciiTheme="minorHAnsi" w:hAnsiTheme="minorHAnsi" w:cstheme="minorHAnsi"/>
        </w:rPr>
        <w:t>Table 1</w:t>
      </w:r>
      <w:r w:rsidR="00FC1952" w:rsidRPr="006678C7">
        <w:rPr>
          <w:rFonts w:asciiTheme="minorHAnsi" w:hAnsiTheme="minorHAnsi" w:cstheme="minorHAnsi"/>
        </w:rPr>
        <w:t xml:space="preserve">. </w:t>
      </w:r>
      <w:r w:rsidR="00BE377E" w:rsidRPr="006678C7">
        <w:rPr>
          <w:rFonts w:asciiTheme="minorHAnsi" w:hAnsiTheme="minorHAnsi" w:cstheme="minorHAnsi"/>
        </w:rPr>
        <w:t xml:space="preserve">Maximum allowable </w:t>
      </w:r>
      <w:r w:rsidR="00EC3760">
        <w:rPr>
          <w:rFonts w:asciiTheme="minorHAnsi" w:hAnsiTheme="minorHAnsi" w:cstheme="minorHAnsi"/>
        </w:rPr>
        <w:t>acute</w:t>
      </w:r>
      <w:r w:rsidR="0025330F">
        <w:rPr>
          <w:rFonts w:asciiTheme="minorHAnsi" w:hAnsiTheme="minorHAnsi" w:cstheme="minorHAnsi"/>
        </w:rPr>
        <w:t>*</w:t>
      </w:r>
      <w:r w:rsidR="00EC3760">
        <w:rPr>
          <w:rFonts w:asciiTheme="minorHAnsi" w:hAnsiTheme="minorHAnsi" w:cstheme="minorHAnsi"/>
        </w:rPr>
        <w:t xml:space="preserve"> </w:t>
      </w:r>
      <w:r w:rsidR="00BE377E" w:rsidRPr="006678C7">
        <w:rPr>
          <w:rFonts w:asciiTheme="minorHAnsi" w:hAnsiTheme="minorHAnsi" w:cstheme="minorHAnsi"/>
        </w:rPr>
        <w:t xml:space="preserve">concentrations of sulfate </w:t>
      </w:r>
      <w:r w:rsidR="0007473F" w:rsidRPr="006678C7">
        <w:rPr>
          <w:rFonts w:asciiTheme="minorHAnsi" w:hAnsiTheme="minorHAnsi" w:cstheme="minorHAnsi"/>
        </w:rPr>
        <w:t>in mg/L</w:t>
      </w:r>
      <w:r w:rsidR="00192CB4" w:rsidRPr="006678C7">
        <w:rPr>
          <w:rFonts w:asciiTheme="minorHAnsi" w:hAnsiTheme="minorHAnsi" w:cstheme="minorHAnsi"/>
        </w:rPr>
        <w:t xml:space="preserve"> </w:t>
      </w:r>
      <w:r w:rsidR="00BE377E" w:rsidRPr="006678C7">
        <w:rPr>
          <w:rFonts w:asciiTheme="minorHAnsi" w:hAnsiTheme="minorHAnsi" w:cstheme="minorHAnsi"/>
        </w:rPr>
        <w:t>at various concentrations of</w:t>
      </w:r>
      <w:r w:rsidR="00FC1952" w:rsidRPr="006678C7">
        <w:rPr>
          <w:rFonts w:asciiTheme="minorHAnsi" w:hAnsiTheme="minorHAnsi" w:cstheme="minorHAnsi"/>
        </w:rPr>
        <w:t xml:space="preserve"> </w:t>
      </w:r>
      <w:r w:rsidR="00BE377E" w:rsidRPr="006678C7">
        <w:rPr>
          <w:rFonts w:asciiTheme="minorHAnsi" w:hAnsiTheme="minorHAnsi" w:cstheme="minorHAnsi"/>
        </w:rPr>
        <w:t>hardness and chloride</w:t>
      </w:r>
      <w:r w:rsidR="0025330F">
        <w:rPr>
          <w:rFonts w:asciiTheme="minorHAnsi" w:hAnsiTheme="minorHAnsi" w:cstheme="minorHAnsi"/>
        </w:rPr>
        <w:t>.</w:t>
      </w:r>
    </w:p>
    <w:tbl>
      <w:tblPr>
        <w:tblW w:w="12158" w:type="dxa"/>
        <w:tblInd w:w="93" w:type="dxa"/>
        <w:tblLook w:val="04A0" w:firstRow="1" w:lastRow="0" w:firstColumn="1" w:lastColumn="0" w:noHBand="0" w:noVBand="1"/>
      </w:tblPr>
      <w:tblGrid>
        <w:gridCol w:w="984"/>
        <w:gridCol w:w="960"/>
        <w:gridCol w:w="960"/>
        <w:gridCol w:w="960"/>
        <w:gridCol w:w="960"/>
        <w:gridCol w:w="1045"/>
        <w:gridCol w:w="1064"/>
        <w:gridCol w:w="1045"/>
        <w:gridCol w:w="1045"/>
        <w:gridCol w:w="1045"/>
        <w:gridCol w:w="1045"/>
        <w:gridCol w:w="1045"/>
      </w:tblGrid>
      <w:tr w:rsidR="00FC1952" w:rsidRPr="006678C7" w:rsidTr="00192CB4">
        <w:trPr>
          <w:trHeight w:val="300"/>
        </w:trPr>
        <w:tc>
          <w:tcPr>
            <w:tcW w:w="984" w:type="dxa"/>
            <w:tcBorders>
              <w:top w:val="single" w:sz="8" w:space="0" w:color="auto"/>
              <w:left w:val="single" w:sz="8" w:space="0" w:color="auto"/>
              <w:bottom w:val="nil"/>
              <w:right w:val="single" w:sz="8"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Chloride</w:t>
            </w:r>
          </w:p>
        </w:tc>
        <w:tc>
          <w:tcPr>
            <w:tcW w:w="960"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960"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960"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960"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1045"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1064"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Hardness (mg/L)</w:t>
            </w:r>
          </w:p>
        </w:tc>
        <w:tc>
          <w:tcPr>
            <w:tcW w:w="1045"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1045"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1045"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1045" w:type="dxa"/>
            <w:tcBorders>
              <w:top w:val="single" w:sz="8" w:space="0" w:color="auto"/>
              <w:left w:val="nil"/>
              <w:bottom w:val="nil"/>
              <w:right w:val="nil"/>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c>
          <w:tcPr>
            <w:tcW w:w="1045" w:type="dxa"/>
            <w:tcBorders>
              <w:top w:val="single" w:sz="8" w:space="0" w:color="auto"/>
              <w:left w:val="nil"/>
              <w:bottom w:val="nil"/>
              <w:right w:val="single" w:sz="8"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 </w:t>
            </w:r>
          </w:p>
        </w:tc>
      </w:tr>
      <w:tr w:rsidR="00FC1952" w:rsidRPr="006678C7" w:rsidTr="00192CB4">
        <w:trPr>
          <w:trHeight w:val="315"/>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(mg/L)</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5"/>
              </w:rPr>
              <w:t>&lt;100</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100</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150</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200</w:t>
            </w:r>
          </w:p>
        </w:tc>
        <w:tc>
          <w:tcPr>
            <w:tcW w:w="1045"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250</w:t>
            </w:r>
          </w:p>
        </w:tc>
        <w:tc>
          <w:tcPr>
            <w:tcW w:w="1064"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300</w:t>
            </w:r>
          </w:p>
        </w:tc>
        <w:tc>
          <w:tcPr>
            <w:tcW w:w="1045"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350</w:t>
            </w:r>
          </w:p>
        </w:tc>
        <w:tc>
          <w:tcPr>
            <w:tcW w:w="1045"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400</w:t>
            </w:r>
          </w:p>
        </w:tc>
        <w:tc>
          <w:tcPr>
            <w:tcW w:w="1045"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450</w:t>
            </w:r>
          </w:p>
        </w:tc>
        <w:tc>
          <w:tcPr>
            <w:tcW w:w="1045" w:type="dxa"/>
            <w:tcBorders>
              <w:top w:val="single" w:sz="4" w:space="0" w:color="auto"/>
              <w:left w:val="nil"/>
              <w:bottom w:val="single" w:sz="8"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500</w:t>
            </w:r>
          </w:p>
        </w:tc>
        <w:tc>
          <w:tcPr>
            <w:tcW w:w="1045" w:type="dxa"/>
            <w:tcBorders>
              <w:top w:val="single" w:sz="4" w:space="0" w:color="auto"/>
              <w:left w:val="nil"/>
              <w:bottom w:val="single" w:sz="8" w:space="0" w:color="auto"/>
              <w:right w:val="single" w:sz="8"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&gt;500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0-5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515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703</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891</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080</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268</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456</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644</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832</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691</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879</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067</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256</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444</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632</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820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867</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055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243</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432</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620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808</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996</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043</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231</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419</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608</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796</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984</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164</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343</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522</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701</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880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320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499</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678</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857</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093</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272</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451</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630</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809</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988</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046</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225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404</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583</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762</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941</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998</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177</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356</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535</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715</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894</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250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951</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309</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488</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667</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846</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904</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083</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262</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441</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620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799</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978</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350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856</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035</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214</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393</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572</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751</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930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809</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988</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167</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346</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525</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704</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883</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450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762</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941</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120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299</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478</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657</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836</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FC1952" w:rsidRPr="006678C7" w:rsidTr="00192CB4">
        <w:trPr>
          <w:trHeight w:val="300"/>
        </w:trPr>
        <w:tc>
          <w:tcPr>
            <w:tcW w:w="984" w:type="dxa"/>
            <w:tcBorders>
              <w:top w:val="nil"/>
              <w:left w:val="single" w:sz="8" w:space="0" w:color="auto"/>
              <w:bottom w:val="single" w:sz="4" w:space="0" w:color="auto"/>
              <w:right w:val="single" w:sz="8" w:space="0" w:color="auto"/>
            </w:tcBorders>
            <w:shd w:val="clear" w:color="auto" w:fill="auto"/>
            <w:noWrap/>
            <w:vAlign w:val="center"/>
            <w:hideMark/>
          </w:tcPr>
          <w:p w:rsidR="00FC1952" w:rsidRPr="006678C7" w:rsidRDefault="00FC1952"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714</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893</w:t>
            </w:r>
          </w:p>
        </w:tc>
        <w:tc>
          <w:tcPr>
            <w:tcW w:w="960"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072</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251</w:t>
            </w:r>
          </w:p>
        </w:tc>
        <w:tc>
          <w:tcPr>
            <w:tcW w:w="1064"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430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609</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788</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1</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967</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E495A" w:rsidP="00FC195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FC1952" w:rsidRPr="006678C7" w:rsidRDefault="00FC1952"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2</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r w:rsidR="00192CB4" w:rsidRPr="006678C7" w:rsidTr="00192CB4">
        <w:trPr>
          <w:trHeight w:val="315"/>
        </w:trPr>
        <w:tc>
          <w:tcPr>
            <w:tcW w:w="984" w:type="dxa"/>
            <w:tcBorders>
              <w:top w:val="nil"/>
              <w:left w:val="single" w:sz="8" w:space="0" w:color="auto"/>
              <w:bottom w:val="single" w:sz="8" w:space="0" w:color="auto"/>
              <w:right w:val="single" w:sz="8" w:space="0" w:color="auto"/>
            </w:tcBorders>
            <w:shd w:val="clear" w:color="auto" w:fill="auto"/>
            <w:noWrap/>
            <w:vAlign w:val="center"/>
            <w:hideMark/>
          </w:tcPr>
          <w:p w:rsidR="00192CB4" w:rsidRPr="006678C7" w:rsidRDefault="00192CB4" w:rsidP="00FC1952">
            <w:pPr>
              <w:jc w:val="center"/>
              <w:rPr>
                <w:rFonts w:asciiTheme="minorHAnsi" w:eastAsia="Times New Roman" w:hAnsiTheme="minorHAnsi" w:cstheme="minorHAnsi"/>
                <w:b/>
                <w:bCs/>
                <w:color w:val="000000"/>
              </w:rPr>
            </w:pPr>
            <w:r w:rsidRPr="006678C7">
              <w:rPr>
                <w:rFonts w:asciiTheme="minorHAnsi" w:eastAsia="Times New Roman" w:hAnsiTheme="minorHAnsi" w:cstheme="minorHAnsi"/>
                <w:b/>
                <w:bCs/>
                <w:color w:val="000000"/>
                <w:spacing w:val="-25"/>
              </w:rPr>
              <w:t>&gt;500</w:t>
            </w:r>
          </w:p>
        </w:tc>
        <w:tc>
          <w:tcPr>
            <w:tcW w:w="960"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FC1952">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1045"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B80DA9">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1064"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B80DA9">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1045"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B80DA9">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1045"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B80DA9">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1045"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B80DA9">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1045"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B80DA9">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c>
          <w:tcPr>
            <w:tcW w:w="1045" w:type="dxa"/>
            <w:tcBorders>
              <w:top w:val="nil"/>
              <w:left w:val="nil"/>
              <w:bottom w:val="single" w:sz="4" w:space="0" w:color="auto"/>
              <w:right w:val="single" w:sz="4" w:space="0" w:color="auto"/>
            </w:tcBorders>
            <w:shd w:val="clear" w:color="auto" w:fill="auto"/>
            <w:noWrap/>
            <w:vAlign w:val="bottom"/>
            <w:hideMark/>
          </w:tcPr>
          <w:p w:rsidR="00192CB4" w:rsidRPr="006678C7" w:rsidRDefault="00192CB4" w:rsidP="00B80DA9">
            <w:pPr>
              <w:jc w:val="center"/>
              <w:rPr>
                <w:rFonts w:asciiTheme="minorHAnsi" w:eastAsia="Times New Roman" w:hAnsiTheme="minorHAnsi" w:cstheme="minorHAnsi"/>
                <w:color w:val="000000"/>
              </w:rPr>
            </w:pPr>
            <w:r w:rsidRPr="006678C7">
              <w:rPr>
                <w:rFonts w:asciiTheme="minorHAnsi" w:eastAsia="Times New Roman" w:hAnsiTheme="minorHAnsi" w:cstheme="minorHAnsi"/>
                <w:color w:val="000000"/>
              </w:rPr>
              <w:t>3</w:t>
            </w:r>
            <w:r w:rsidR="006678C7" w:rsidRPr="006678C7">
              <w:rPr>
                <w:rFonts w:asciiTheme="minorHAnsi" w:eastAsia="Times New Roman" w:hAnsiTheme="minorHAnsi" w:cstheme="minorHAnsi"/>
                <w:color w:val="000000"/>
              </w:rPr>
              <w:t>,</w:t>
            </w:r>
            <w:r w:rsidRPr="006678C7">
              <w:rPr>
                <w:rFonts w:asciiTheme="minorHAnsi" w:eastAsia="Times New Roman" w:hAnsiTheme="minorHAnsi" w:cstheme="minorHAnsi"/>
                <w:color w:val="000000"/>
              </w:rPr>
              <w:t>000</w:t>
            </w:r>
          </w:p>
        </w:tc>
      </w:tr>
    </w:tbl>
    <w:p w:rsidR="00664A23" w:rsidRDefault="00FE495A" w:rsidP="00BE377E">
      <w:pPr>
        <w:autoSpaceDE w:val="0"/>
        <w:autoSpaceDN w:val="0"/>
        <w:adjustRightInd w:val="0"/>
        <w:rPr>
          <w:rFonts w:asciiTheme="minorHAnsi" w:hAnsiTheme="minorHAnsi" w:cstheme="minorHAnsi"/>
          <w:bCs/>
        </w:rPr>
      </w:pPr>
      <w:r>
        <w:rPr>
          <w:rFonts w:asciiTheme="minorHAnsi" w:hAnsiTheme="minorHAnsi" w:cstheme="minorHAnsi"/>
        </w:rPr>
        <w:t>Adapted f</w:t>
      </w:r>
      <w:r w:rsidR="003539F4" w:rsidRPr="006678C7">
        <w:rPr>
          <w:rFonts w:asciiTheme="minorHAnsi" w:hAnsiTheme="minorHAnsi" w:cstheme="minorHAnsi"/>
        </w:rPr>
        <w:t>rom Illinois EPA</w:t>
      </w:r>
      <w:r w:rsidR="003539F4" w:rsidRPr="006678C7">
        <w:rPr>
          <w:rFonts w:asciiTheme="minorHAnsi" w:hAnsiTheme="minorHAnsi" w:cstheme="minorHAnsi"/>
          <w:sz w:val="24"/>
          <w:szCs w:val="24"/>
        </w:rPr>
        <w:t xml:space="preserve"> </w:t>
      </w:r>
      <w:r w:rsidR="003539F4" w:rsidRPr="006678C7">
        <w:rPr>
          <w:rFonts w:asciiTheme="minorHAnsi" w:hAnsiTheme="minorHAnsi" w:cstheme="minorHAnsi"/>
          <w:bCs/>
        </w:rPr>
        <w:t>Preliminary Technical Justification for Changing Water Quality Standards for Sulfates, Total Dissolved Solids and Mixing Zones, 2006</w:t>
      </w:r>
    </w:p>
    <w:p w:rsidR="00664A23" w:rsidRDefault="00664A23" w:rsidP="00BE377E">
      <w:pPr>
        <w:autoSpaceDE w:val="0"/>
        <w:autoSpaceDN w:val="0"/>
        <w:adjustRightInd w:val="0"/>
        <w:rPr>
          <w:rFonts w:asciiTheme="minorHAnsi" w:hAnsiTheme="minorHAnsi" w:cstheme="minorHAnsi"/>
          <w:bCs/>
        </w:rPr>
      </w:pPr>
    </w:p>
    <w:p w:rsidR="0025330F" w:rsidRPr="006678C7" w:rsidRDefault="00FE495A" w:rsidP="0025330F">
      <w:pPr>
        <w:autoSpaceDE w:val="0"/>
        <w:autoSpaceDN w:val="0"/>
        <w:adjustRightInd w:val="0"/>
        <w:jc w:val="both"/>
        <w:rPr>
          <w:rFonts w:asciiTheme="minorHAnsi" w:hAnsiTheme="minorHAnsi" w:cstheme="minorHAnsi"/>
        </w:rPr>
      </w:pPr>
      <w:r>
        <w:rPr>
          <w:rFonts w:asciiTheme="minorHAnsi" w:hAnsiTheme="minorHAnsi" w:cstheme="minorHAnsi"/>
        </w:rPr>
        <w:t>*</w:t>
      </w:r>
      <w:r w:rsidR="0025330F">
        <w:rPr>
          <w:rFonts w:asciiTheme="minorHAnsi" w:hAnsiTheme="minorHAnsi" w:cstheme="minorHAnsi"/>
        </w:rPr>
        <w:t xml:space="preserve">These acute values are </w:t>
      </w:r>
      <w:r w:rsidR="0025330F" w:rsidRPr="006678C7">
        <w:rPr>
          <w:rFonts w:asciiTheme="minorHAnsi" w:hAnsiTheme="minorHAnsi" w:cstheme="minorHAnsi"/>
        </w:rPr>
        <w:t>calculated from equations proposed as water quality targets in Table 1 in the document</w:t>
      </w:r>
      <w:r>
        <w:rPr>
          <w:rFonts w:asciiTheme="minorHAnsi" w:hAnsiTheme="minorHAnsi" w:cstheme="minorHAnsi"/>
        </w:rPr>
        <w:t xml:space="preserve"> and capped at 2,000 mg/L</w:t>
      </w:r>
      <w:r w:rsidR="0025330F" w:rsidRPr="006678C7">
        <w:rPr>
          <w:rFonts w:asciiTheme="minorHAnsi" w:hAnsiTheme="minorHAnsi" w:cstheme="minorHAnsi"/>
        </w:rPr>
        <w:t xml:space="preserve">. </w:t>
      </w:r>
      <w:r w:rsidR="0025330F">
        <w:rPr>
          <w:rFonts w:asciiTheme="minorHAnsi" w:hAnsiTheme="minorHAnsi" w:cstheme="minorHAnsi"/>
        </w:rPr>
        <w:t>The only chronic sulfate water quality target is 129 mg/L sulfate, applicable only where surface water hardness is less than 50 mg/L.</w:t>
      </w:r>
    </w:p>
    <w:p w:rsidR="00936DE2" w:rsidRPr="006678C7" w:rsidRDefault="00936DE2">
      <w:pPr>
        <w:autoSpaceDE w:val="0"/>
        <w:autoSpaceDN w:val="0"/>
        <w:adjustRightInd w:val="0"/>
        <w:rPr>
          <w:rFonts w:asciiTheme="minorHAnsi" w:hAnsiTheme="minorHAnsi" w:cstheme="minorHAnsi"/>
          <w:sz w:val="24"/>
          <w:szCs w:val="24"/>
        </w:rPr>
      </w:pPr>
    </w:p>
    <w:sectPr w:rsidR="00936DE2" w:rsidRPr="006678C7" w:rsidSect="00731E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CD0" w:rsidRDefault="002E0CD0" w:rsidP="008F3B52">
      <w:r>
        <w:separator/>
      </w:r>
    </w:p>
  </w:endnote>
  <w:endnote w:type="continuationSeparator" w:id="0">
    <w:p w:rsidR="002E0CD0" w:rsidRDefault="002E0CD0" w:rsidP="008F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3A" w:rsidRPr="006D2D09" w:rsidRDefault="001E343A" w:rsidP="00810777">
    <w:pPr>
      <w:pStyle w:val="Footer"/>
    </w:pPr>
    <w:r w:rsidRPr="006D2D09">
      <w:rPr>
        <w:b/>
      </w:rPr>
      <w:t>WQPBWQSTD-009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99" w:rsidRDefault="00845899">
    <w:pPr>
      <w:pStyle w:val="Footer"/>
      <w:pBdr>
        <w:top w:val="thinThickSmallGap" w:sz="24" w:space="1" w:color="622423" w:themeColor="accent2" w:themeShade="7F"/>
      </w:pBdr>
      <w:rPr>
        <w:rFonts w:asciiTheme="majorHAnsi" w:eastAsiaTheme="majorEastAsia" w:hAnsiTheme="majorHAnsi" w:cstheme="majorBidi"/>
      </w:rPr>
    </w:pPr>
    <w:r>
      <w:rPr>
        <w:b/>
        <w:bCs/>
      </w:rPr>
      <w:t>WQPBWQSTD-009</w:t>
    </w:r>
    <w:r w:rsidR="00B6326D">
      <w:rPr>
        <w:b/>
        <w:bCs/>
      </w:rPr>
      <w:tab/>
      <w:t>Final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B2784" w:rsidRPr="00FB2784">
      <w:rPr>
        <w:rFonts w:asciiTheme="majorHAnsi" w:eastAsiaTheme="majorEastAsia" w:hAnsiTheme="majorHAnsi" w:cstheme="majorBidi"/>
        <w:noProof/>
      </w:rPr>
      <w:t>9</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CD0" w:rsidRDefault="002E0CD0" w:rsidP="008F3B52">
      <w:r>
        <w:separator/>
      </w:r>
    </w:p>
  </w:footnote>
  <w:footnote w:type="continuationSeparator" w:id="0">
    <w:p w:rsidR="002E0CD0" w:rsidRDefault="002E0CD0" w:rsidP="008F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C3151"/>
    <w:multiLevelType w:val="multilevel"/>
    <w:tmpl w:val="7F8A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194575"/>
    <w:multiLevelType w:val="multilevel"/>
    <w:tmpl w:val="A9A2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M:\RefMan\v1203\Styles\DEQ WQPB.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MasterCopy&lt;/item&gt;&lt;/Libraries&gt;&lt;/ENLibraries&gt;"/>
  </w:docVars>
  <w:rsids>
    <w:rsidRoot w:val="00957F84"/>
    <w:rsid w:val="000443D8"/>
    <w:rsid w:val="00045638"/>
    <w:rsid w:val="0007473F"/>
    <w:rsid w:val="000A4059"/>
    <w:rsid w:val="000B6E62"/>
    <w:rsid w:val="000C4FE4"/>
    <w:rsid w:val="0013025D"/>
    <w:rsid w:val="00143695"/>
    <w:rsid w:val="001459AA"/>
    <w:rsid w:val="00170F98"/>
    <w:rsid w:val="00176327"/>
    <w:rsid w:val="00192CB4"/>
    <w:rsid w:val="00197740"/>
    <w:rsid w:val="001D58F1"/>
    <w:rsid w:val="001E343A"/>
    <w:rsid w:val="001F10A3"/>
    <w:rsid w:val="001F3137"/>
    <w:rsid w:val="001F580C"/>
    <w:rsid w:val="002071A3"/>
    <w:rsid w:val="00215703"/>
    <w:rsid w:val="002237E9"/>
    <w:rsid w:val="00225F01"/>
    <w:rsid w:val="0024679E"/>
    <w:rsid w:val="0024680D"/>
    <w:rsid w:val="0025330F"/>
    <w:rsid w:val="002538A8"/>
    <w:rsid w:val="002643B0"/>
    <w:rsid w:val="00264FF7"/>
    <w:rsid w:val="00274051"/>
    <w:rsid w:val="00294707"/>
    <w:rsid w:val="002E0CD0"/>
    <w:rsid w:val="002E0D76"/>
    <w:rsid w:val="002E3A86"/>
    <w:rsid w:val="002F43ED"/>
    <w:rsid w:val="00301FE3"/>
    <w:rsid w:val="00315F74"/>
    <w:rsid w:val="00320CFB"/>
    <w:rsid w:val="003245DB"/>
    <w:rsid w:val="00327A03"/>
    <w:rsid w:val="0034373A"/>
    <w:rsid w:val="003527DE"/>
    <w:rsid w:val="003539F4"/>
    <w:rsid w:val="003930AF"/>
    <w:rsid w:val="003B342E"/>
    <w:rsid w:val="003D777F"/>
    <w:rsid w:val="003E4E8D"/>
    <w:rsid w:val="003F6D3F"/>
    <w:rsid w:val="00407563"/>
    <w:rsid w:val="00422208"/>
    <w:rsid w:val="0044155D"/>
    <w:rsid w:val="004E449B"/>
    <w:rsid w:val="004F4A32"/>
    <w:rsid w:val="0052687F"/>
    <w:rsid w:val="00554721"/>
    <w:rsid w:val="00573CEF"/>
    <w:rsid w:val="00575519"/>
    <w:rsid w:val="005A6F65"/>
    <w:rsid w:val="005B2225"/>
    <w:rsid w:val="005B4C75"/>
    <w:rsid w:val="005B7DF3"/>
    <w:rsid w:val="005E1ADE"/>
    <w:rsid w:val="005F1037"/>
    <w:rsid w:val="00606F1D"/>
    <w:rsid w:val="00615966"/>
    <w:rsid w:val="00616CB9"/>
    <w:rsid w:val="006378EA"/>
    <w:rsid w:val="0064362B"/>
    <w:rsid w:val="00657937"/>
    <w:rsid w:val="00662C18"/>
    <w:rsid w:val="00664A23"/>
    <w:rsid w:val="006678C7"/>
    <w:rsid w:val="0067792E"/>
    <w:rsid w:val="006D14E5"/>
    <w:rsid w:val="006F2F44"/>
    <w:rsid w:val="006F485C"/>
    <w:rsid w:val="006F6B43"/>
    <w:rsid w:val="00715746"/>
    <w:rsid w:val="00723864"/>
    <w:rsid w:val="00723DE3"/>
    <w:rsid w:val="00731EC0"/>
    <w:rsid w:val="0075460E"/>
    <w:rsid w:val="00765933"/>
    <w:rsid w:val="00782301"/>
    <w:rsid w:val="007941B0"/>
    <w:rsid w:val="007B34C3"/>
    <w:rsid w:val="007B55DD"/>
    <w:rsid w:val="007E2990"/>
    <w:rsid w:val="007E39F4"/>
    <w:rsid w:val="00805946"/>
    <w:rsid w:val="00827D74"/>
    <w:rsid w:val="00845899"/>
    <w:rsid w:val="00847CDF"/>
    <w:rsid w:val="00856847"/>
    <w:rsid w:val="008B13B5"/>
    <w:rsid w:val="008C0DFF"/>
    <w:rsid w:val="008D17BF"/>
    <w:rsid w:val="008D7B3A"/>
    <w:rsid w:val="008F34CA"/>
    <w:rsid w:val="008F3B52"/>
    <w:rsid w:val="00901A37"/>
    <w:rsid w:val="00912DFE"/>
    <w:rsid w:val="00936DE2"/>
    <w:rsid w:val="00941DF4"/>
    <w:rsid w:val="009474A0"/>
    <w:rsid w:val="00957F84"/>
    <w:rsid w:val="009634CA"/>
    <w:rsid w:val="0096557A"/>
    <w:rsid w:val="00985FD2"/>
    <w:rsid w:val="009D2257"/>
    <w:rsid w:val="009F4149"/>
    <w:rsid w:val="009F7AEE"/>
    <w:rsid w:val="00A23928"/>
    <w:rsid w:val="00A320E0"/>
    <w:rsid w:val="00A57ABE"/>
    <w:rsid w:val="00A95C1A"/>
    <w:rsid w:val="00AA03EC"/>
    <w:rsid w:val="00AA07B5"/>
    <w:rsid w:val="00AA35E1"/>
    <w:rsid w:val="00AA6674"/>
    <w:rsid w:val="00AC5F19"/>
    <w:rsid w:val="00AC7198"/>
    <w:rsid w:val="00AD17C8"/>
    <w:rsid w:val="00B00769"/>
    <w:rsid w:val="00B04C52"/>
    <w:rsid w:val="00B07876"/>
    <w:rsid w:val="00B21572"/>
    <w:rsid w:val="00B25097"/>
    <w:rsid w:val="00B316D7"/>
    <w:rsid w:val="00B407A4"/>
    <w:rsid w:val="00B479B6"/>
    <w:rsid w:val="00B47E8A"/>
    <w:rsid w:val="00B518B8"/>
    <w:rsid w:val="00B54EEA"/>
    <w:rsid w:val="00B6326D"/>
    <w:rsid w:val="00B74AF3"/>
    <w:rsid w:val="00B7620C"/>
    <w:rsid w:val="00B8047B"/>
    <w:rsid w:val="00B860B2"/>
    <w:rsid w:val="00B94FE0"/>
    <w:rsid w:val="00BC16F2"/>
    <w:rsid w:val="00BD2057"/>
    <w:rsid w:val="00BE1CFE"/>
    <w:rsid w:val="00BE377E"/>
    <w:rsid w:val="00BE6F4D"/>
    <w:rsid w:val="00BF44A4"/>
    <w:rsid w:val="00BF5BBC"/>
    <w:rsid w:val="00C13B3D"/>
    <w:rsid w:val="00C3489B"/>
    <w:rsid w:val="00C71C20"/>
    <w:rsid w:val="00C753EF"/>
    <w:rsid w:val="00C96F05"/>
    <w:rsid w:val="00CA5424"/>
    <w:rsid w:val="00CC3A6F"/>
    <w:rsid w:val="00CF087E"/>
    <w:rsid w:val="00CF4F8E"/>
    <w:rsid w:val="00D025F5"/>
    <w:rsid w:val="00D03313"/>
    <w:rsid w:val="00D12007"/>
    <w:rsid w:val="00D440FC"/>
    <w:rsid w:val="00D71AE5"/>
    <w:rsid w:val="00D87D7A"/>
    <w:rsid w:val="00D929E2"/>
    <w:rsid w:val="00D92FC5"/>
    <w:rsid w:val="00DD1863"/>
    <w:rsid w:val="00E1697C"/>
    <w:rsid w:val="00E3145F"/>
    <w:rsid w:val="00E40DEE"/>
    <w:rsid w:val="00E53A65"/>
    <w:rsid w:val="00E70C50"/>
    <w:rsid w:val="00E83790"/>
    <w:rsid w:val="00EA0526"/>
    <w:rsid w:val="00EA6638"/>
    <w:rsid w:val="00EC06E2"/>
    <w:rsid w:val="00EC0FAB"/>
    <w:rsid w:val="00EC1349"/>
    <w:rsid w:val="00EC3760"/>
    <w:rsid w:val="00F02151"/>
    <w:rsid w:val="00F44B86"/>
    <w:rsid w:val="00F63FF4"/>
    <w:rsid w:val="00F839F9"/>
    <w:rsid w:val="00F8607D"/>
    <w:rsid w:val="00F9580D"/>
    <w:rsid w:val="00F96CB3"/>
    <w:rsid w:val="00FA1909"/>
    <w:rsid w:val="00FA74AB"/>
    <w:rsid w:val="00FB2784"/>
    <w:rsid w:val="00FB4B60"/>
    <w:rsid w:val="00FC1952"/>
    <w:rsid w:val="00FE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14337"/>
    <o:shapelayout v:ext="edit">
      <o:idmap v:ext="edit" data="1"/>
    </o:shapelayout>
  </w:shapeDefaults>
  <w:decimalSymbol w:val="."/>
  <w:listSeparator w:val=","/>
  <w14:docId w14:val="07E3E7DF"/>
  <w15:docId w15:val="{56F5D029-9176-4C2F-A925-0F501D2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CDF"/>
    <w:pPr>
      <w:spacing w:after="0" w:line="240" w:lineRule="auto"/>
    </w:pPr>
    <w:rPr>
      <w:rFonts w:ascii="Calibri" w:hAnsi="Calibri"/>
    </w:rPr>
  </w:style>
  <w:style w:type="paragraph" w:styleId="Heading1">
    <w:name w:val="heading 1"/>
    <w:basedOn w:val="Normal"/>
    <w:next w:val="Normal"/>
    <w:link w:val="Heading1Char"/>
    <w:uiPriority w:val="9"/>
    <w:qFormat/>
    <w:rsid w:val="00847CDF"/>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847CDF"/>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847CDF"/>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847CDF"/>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847CDF"/>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847CDF"/>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847CDF"/>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847CDF"/>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rsid w:val="00847CDF"/>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7CDF"/>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847CDF"/>
    <w:rPr>
      <w:rFonts w:ascii="Calibri" w:hAnsi="Calibri"/>
      <w:sz w:val="20"/>
    </w:rPr>
  </w:style>
  <w:style w:type="paragraph" w:styleId="Header">
    <w:name w:val="header"/>
    <w:basedOn w:val="Normal"/>
    <w:link w:val="HeaderChar"/>
    <w:rsid w:val="00847CDF"/>
    <w:pPr>
      <w:pBdr>
        <w:bottom w:val="single" w:sz="4" w:space="1" w:color="auto"/>
      </w:pBdr>
      <w:jc w:val="right"/>
    </w:pPr>
    <w:rPr>
      <w:sz w:val="20"/>
    </w:rPr>
  </w:style>
  <w:style w:type="character" w:customStyle="1" w:styleId="HeaderChar">
    <w:name w:val="Header Char"/>
    <w:basedOn w:val="DefaultParagraphFont"/>
    <w:link w:val="Header"/>
    <w:rsid w:val="00847CDF"/>
    <w:rPr>
      <w:rFonts w:ascii="Calibri" w:hAnsi="Calibri"/>
      <w:sz w:val="20"/>
    </w:rPr>
  </w:style>
  <w:style w:type="character" w:customStyle="1" w:styleId="Heading1Char">
    <w:name w:val="Heading 1 Char"/>
    <w:basedOn w:val="DefaultParagraphFont"/>
    <w:link w:val="Heading1"/>
    <w:uiPriority w:val="9"/>
    <w:rsid w:val="00847CDF"/>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847CDF"/>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847CD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847CDF"/>
    <w:rPr>
      <w:rFonts w:ascii="Calibri" w:eastAsiaTheme="majorEastAsia" w:hAnsi="Calibri" w:cstheme="majorBidi"/>
      <w:b/>
      <w:bCs/>
      <w:i/>
      <w:iCs/>
      <w:sz w:val="26"/>
    </w:rPr>
  </w:style>
  <w:style w:type="character" w:customStyle="1" w:styleId="Heading5Char">
    <w:name w:val="Heading 5 Char"/>
    <w:basedOn w:val="DefaultParagraphFont"/>
    <w:link w:val="Heading5"/>
    <w:uiPriority w:val="9"/>
    <w:rsid w:val="00847CDF"/>
    <w:rPr>
      <w:rFonts w:ascii="Calibri" w:eastAsiaTheme="majorEastAsia" w:hAnsi="Calibri" w:cstheme="majorBidi"/>
      <w:b/>
    </w:rPr>
  </w:style>
  <w:style w:type="character" w:customStyle="1" w:styleId="Heading6Char">
    <w:name w:val="Heading 6 Char"/>
    <w:basedOn w:val="DefaultParagraphFont"/>
    <w:link w:val="Heading6"/>
    <w:uiPriority w:val="9"/>
    <w:rsid w:val="00847CDF"/>
    <w:rPr>
      <w:rFonts w:ascii="Calibri" w:eastAsiaTheme="majorEastAsia" w:hAnsi="Calibri" w:cstheme="majorBidi"/>
      <w:b/>
      <w:iCs/>
    </w:rPr>
  </w:style>
  <w:style w:type="character" w:customStyle="1" w:styleId="Heading7Char">
    <w:name w:val="Heading 7 Char"/>
    <w:basedOn w:val="DefaultParagraphFont"/>
    <w:link w:val="Heading7"/>
    <w:uiPriority w:val="9"/>
    <w:rsid w:val="00847CDF"/>
    <w:rPr>
      <w:rFonts w:ascii="Calibri" w:eastAsiaTheme="majorEastAsia" w:hAnsi="Calibri" w:cstheme="majorBidi"/>
      <w:b/>
      <w:iCs/>
    </w:rPr>
  </w:style>
  <w:style w:type="character" w:customStyle="1" w:styleId="Heading8Char">
    <w:name w:val="Heading 8 Char"/>
    <w:basedOn w:val="DefaultParagraphFont"/>
    <w:link w:val="Heading8"/>
    <w:uiPriority w:val="9"/>
    <w:rsid w:val="00847CDF"/>
    <w:rPr>
      <w:rFonts w:ascii="Calibri" w:eastAsiaTheme="majorEastAsia" w:hAnsi="Calibri" w:cstheme="majorBidi"/>
      <w:b/>
      <w:szCs w:val="20"/>
    </w:rPr>
  </w:style>
  <w:style w:type="character" w:customStyle="1" w:styleId="Heading9Char">
    <w:name w:val="Heading 9 Char"/>
    <w:basedOn w:val="DefaultParagraphFont"/>
    <w:link w:val="Heading9"/>
    <w:uiPriority w:val="9"/>
    <w:semiHidden/>
    <w:rsid w:val="00847CDF"/>
    <w:rPr>
      <w:rFonts w:ascii="Calibri" w:eastAsiaTheme="majorEastAsia" w:hAnsi="Calibri" w:cstheme="majorBidi"/>
      <w:b/>
      <w:iCs/>
      <w:szCs w:val="20"/>
    </w:rPr>
  </w:style>
  <w:style w:type="character" w:styleId="Hyperlink">
    <w:name w:val="Hyperlink"/>
    <w:basedOn w:val="DefaultParagraphFont"/>
    <w:rsid w:val="00847CDF"/>
    <w:rPr>
      <w:color w:val="0000FF" w:themeColor="hyperlink"/>
      <w:u w:val="single"/>
    </w:rPr>
  </w:style>
  <w:style w:type="paragraph" w:styleId="ListParagraph">
    <w:name w:val="List Paragraph"/>
    <w:basedOn w:val="Normal"/>
    <w:uiPriority w:val="34"/>
    <w:qFormat/>
    <w:rsid w:val="00847CDF"/>
    <w:pPr>
      <w:ind w:left="720"/>
      <w:contextualSpacing/>
    </w:pPr>
  </w:style>
  <w:style w:type="table" w:styleId="TableGrid">
    <w:name w:val="Table Grid"/>
    <w:basedOn w:val="TableNormal"/>
    <w:rsid w:val="00847C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20C"/>
    <w:rPr>
      <w:color w:val="800080" w:themeColor="followedHyperlink"/>
      <w:u w:val="single"/>
    </w:rPr>
  </w:style>
  <w:style w:type="paragraph" w:styleId="Title">
    <w:name w:val="Title"/>
    <w:basedOn w:val="Normal"/>
    <w:next w:val="Normal"/>
    <w:link w:val="TitleChar"/>
    <w:uiPriority w:val="10"/>
    <w:qFormat/>
    <w:rsid w:val="001977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77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E70C50"/>
    <w:rPr>
      <w:rFonts w:ascii="Tahoma" w:hAnsi="Tahoma" w:cs="Tahoma"/>
      <w:sz w:val="16"/>
      <w:szCs w:val="16"/>
    </w:rPr>
  </w:style>
  <w:style w:type="character" w:customStyle="1" w:styleId="BalloonTextChar">
    <w:name w:val="Balloon Text Char"/>
    <w:basedOn w:val="DefaultParagraphFont"/>
    <w:link w:val="BalloonText"/>
    <w:semiHidden/>
    <w:rsid w:val="00E70C50"/>
    <w:rPr>
      <w:rFonts w:ascii="Tahoma" w:hAnsi="Tahoma" w:cs="Tahoma"/>
      <w:sz w:val="16"/>
      <w:szCs w:val="16"/>
    </w:rPr>
  </w:style>
  <w:style w:type="character" w:styleId="CommentReference">
    <w:name w:val="annotation reference"/>
    <w:basedOn w:val="DefaultParagraphFont"/>
    <w:uiPriority w:val="99"/>
    <w:semiHidden/>
    <w:unhideWhenUsed/>
    <w:rsid w:val="00F44B86"/>
    <w:rPr>
      <w:sz w:val="16"/>
      <w:szCs w:val="16"/>
    </w:rPr>
  </w:style>
  <w:style w:type="paragraph" w:styleId="CommentText">
    <w:name w:val="annotation text"/>
    <w:basedOn w:val="Normal"/>
    <w:link w:val="CommentTextChar"/>
    <w:uiPriority w:val="99"/>
    <w:semiHidden/>
    <w:unhideWhenUsed/>
    <w:rsid w:val="00F44B86"/>
    <w:rPr>
      <w:sz w:val="20"/>
      <w:szCs w:val="20"/>
    </w:rPr>
  </w:style>
  <w:style w:type="character" w:customStyle="1" w:styleId="CommentTextChar">
    <w:name w:val="Comment Text Char"/>
    <w:basedOn w:val="DefaultParagraphFont"/>
    <w:link w:val="CommentText"/>
    <w:uiPriority w:val="99"/>
    <w:semiHidden/>
    <w:rsid w:val="00F44B8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44B86"/>
    <w:rPr>
      <w:b/>
      <w:bCs/>
    </w:rPr>
  </w:style>
  <w:style w:type="character" w:customStyle="1" w:styleId="CommentSubjectChar">
    <w:name w:val="Comment Subject Char"/>
    <w:basedOn w:val="CommentTextChar"/>
    <w:link w:val="CommentSubject"/>
    <w:uiPriority w:val="99"/>
    <w:semiHidden/>
    <w:rsid w:val="00F44B86"/>
    <w:rPr>
      <w:rFonts w:ascii="Calibri" w:hAnsi="Calibri"/>
      <w:b/>
      <w:bCs/>
      <w:sz w:val="20"/>
      <w:szCs w:val="20"/>
    </w:rPr>
  </w:style>
  <w:style w:type="paragraph" w:styleId="NormalWeb">
    <w:name w:val="Normal (Web)"/>
    <w:basedOn w:val="Normal"/>
    <w:uiPriority w:val="99"/>
    <w:semiHidden/>
    <w:unhideWhenUsed/>
    <w:rsid w:val="00A2392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E34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702">
      <w:bodyDiv w:val="1"/>
      <w:marLeft w:val="0"/>
      <w:marRight w:val="0"/>
      <w:marTop w:val="0"/>
      <w:marBottom w:val="0"/>
      <w:divBdr>
        <w:top w:val="none" w:sz="0" w:space="0" w:color="auto"/>
        <w:left w:val="none" w:sz="0" w:space="0" w:color="auto"/>
        <w:bottom w:val="none" w:sz="0" w:space="0" w:color="auto"/>
        <w:right w:val="none" w:sz="0" w:space="0" w:color="auto"/>
      </w:divBdr>
      <w:divsChild>
        <w:div w:id="1523587257">
          <w:marLeft w:val="0"/>
          <w:marRight w:val="0"/>
          <w:marTop w:val="0"/>
          <w:marBottom w:val="0"/>
          <w:divBdr>
            <w:top w:val="none" w:sz="0" w:space="0" w:color="auto"/>
            <w:left w:val="none" w:sz="0" w:space="0" w:color="auto"/>
            <w:bottom w:val="none" w:sz="0" w:space="0" w:color="auto"/>
            <w:right w:val="none" w:sz="0" w:space="0" w:color="auto"/>
          </w:divBdr>
          <w:divsChild>
            <w:div w:id="20395734">
              <w:marLeft w:val="0"/>
              <w:marRight w:val="0"/>
              <w:marTop w:val="0"/>
              <w:marBottom w:val="0"/>
              <w:divBdr>
                <w:top w:val="none" w:sz="0" w:space="0" w:color="auto"/>
                <w:left w:val="none" w:sz="0" w:space="0" w:color="auto"/>
                <w:bottom w:val="none" w:sz="0" w:space="0" w:color="auto"/>
                <w:right w:val="none" w:sz="0" w:space="0" w:color="auto"/>
              </w:divBdr>
              <w:divsChild>
                <w:div w:id="1303000324">
                  <w:marLeft w:val="0"/>
                  <w:marRight w:val="0"/>
                  <w:marTop w:val="0"/>
                  <w:marBottom w:val="0"/>
                  <w:divBdr>
                    <w:top w:val="none" w:sz="0" w:space="0" w:color="auto"/>
                    <w:left w:val="none" w:sz="0" w:space="0" w:color="auto"/>
                    <w:bottom w:val="none" w:sz="0" w:space="0" w:color="auto"/>
                    <w:right w:val="none" w:sz="0" w:space="0" w:color="auto"/>
                  </w:divBdr>
                  <w:divsChild>
                    <w:div w:id="1099646112">
                      <w:marLeft w:val="0"/>
                      <w:marRight w:val="0"/>
                      <w:marTop w:val="0"/>
                      <w:marBottom w:val="0"/>
                      <w:divBdr>
                        <w:top w:val="none" w:sz="0" w:space="0" w:color="auto"/>
                        <w:left w:val="none" w:sz="0" w:space="0" w:color="auto"/>
                        <w:bottom w:val="none" w:sz="0" w:space="0" w:color="auto"/>
                        <w:right w:val="none" w:sz="0" w:space="0" w:color="auto"/>
                      </w:divBdr>
                      <w:divsChild>
                        <w:div w:id="496380716">
                          <w:marLeft w:val="0"/>
                          <w:marRight w:val="0"/>
                          <w:marTop w:val="0"/>
                          <w:marBottom w:val="0"/>
                          <w:divBdr>
                            <w:top w:val="none" w:sz="0" w:space="0" w:color="auto"/>
                            <w:left w:val="none" w:sz="0" w:space="0" w:color="auto"/>
                            <w:bottom w:val="none" w:sz="0" w:space="0" w:color="auto"/>
                            <w:right w:val="none" w:sz="0" w:space="0" w:color="auto"/>
                          </w:divBdr>
                          <w:divsChild>
                            <w:div w:id="817452916">
                              <w:marLeft w:val="0"/>
                              <w:marRight w:val="0"/>
                              <w:marTop w:val="0"/>
                              <w:marBottom w:val="0"/>
                              <w:divBdr>
                                <w:top w:val="none" w:sz="0" w:space="0" w:color="auto"/>
                                <w:left w:val="none" w:sz="0" w:space="0" w:color="auto"/>
                                <w:bottom w:val="none" w:sz="0" w:space="0" w:color="auto"/>
                                <w:right w:val="none" w:sz="0" w:space="0" w:color="auto"/>
                              </w:divBdr>
                              <w:divsChild>
                                <w:div w:id="1728912607">
                                  <w:marLeft w:val="0"/>
                                  <w:marRight w:val="0"/>
                                  <w:marTop w:val="0"/>
                                  <w:marBottom w:val="0"/>
                                  <w:divBdr>
                                    <w:top w:val="none" w:sz="0" w:space="0" w:color="auto"/>
                                    <w:left w:val="none" w:sz="0" w:space="0" w:color="auto"/>
                                    <w:bottom w:val="none" w:sz="0" w:space="0" w:color="auto"/>
                                    <w:right w:val="none" w:sz="0" w:space="0" w:color="auto"/>
                                  </w:divBdr>
                                  <w:divsChild>
                                    <w:div w:id="1163474830">
                                      <w:marLeft w:val="0"/>
                                      <w:marRight w:val="0"/>
                                      <w:marTop w:val="0"/>
                                      <w:marBottom w:val="0"/>
                                      <w:divBdr>
                                        <w:top w:val="none" w:sz="0" w:space="0" w:color="auto"/>
                                        <w:left w:val="none" w:sz="0" w:space="0" w:color="auto"/>
                                        <w:bottom w:val="none" w:sz="0" w:space="0" w:color="auto"/>
                                        <w:right w:val="none" w:sz="0" w:space="0" w:color="auto"/>
                                      </w:divBdr>
                                      <w:divsChild>
                                        <w:div w:id="6446873">
                                          <w:marLeft w:val="0"/>
                                          <w:marRight w:val="0"/>
                                          <w:marTop w:val="0"/>
                                          <w:marBottom w:val="0"/>
                                          <w:divBdr>
                                            <w:top w:val="none" w:sz="0" w:space="0" w:color="auto"/>
                                            <w:left w:val="none" w:sz="0" w:space="0" w:color="auto"/>
                                            <w:bottom w:val="none" w:sz="0" w:space="0" w:color="auto"/>
                                            <w:right w:val="none" w:sz="0" w:space="0" w:color="auto"/>
                                          </w:divBdr>
                                        </w:div>
                                        <w:div w:id="1577281975">
                                          <w:marLeft w:val="0"/>
                                          <w:marRight w:val="0"/>
                                          <w:marTop w:val="0"/>
                                          <w:marBottom w:val="0"/>
                                          <w:divBdr>
                                            <w:top w:val="none" w:sz="0" w:space="0" w:color="auto"/>
                                            <w:left w:val="none" w:sz="0" w:space="0" w:color="auto"/>
                                            <w:bottom w:val="none" w:sz="0" w:space="0" w:color="auto"/>
                                            <w:right w:val="none" w:sz="0" w:space="0" w:color="auto"/>
                                          </w:divBdr>
                                        </w:div>
                                        <w:div w:id="16384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350709">
      <w:bodyDiv w:val="1"/>
      <w:marLeft w:val="0"/>
      <w:marRight w:val="0"/>
      <w:marTop w:val="0"/>
      <w:marBottom w:val="0"/>
      <w:divBdr>
        <w:top w:val="none" w:sz="0" w:space="0" w:color="auto"/>
        <w:left w:val="none" w:sz="0" w:space="0" w:color="auto"/>
        <w:bottom w:val="none" w:sz="0" w:space="0" w:color="auto"/>
        <w:right w:val="none" w:sz="0" w:space="0" w:color="auto"/>
      </w:divBdr>
      <w:divsChild>
        <w:div w:id="843399500">
          <w:marLeft w:val="0"/>
          <w:marRight w:val="0"/>
          <w:marTop w:val="0"/>
          <w:marBottom w:val="0"/>
          <w:divBdr>
            <w:top w:val="none" w:sz="0" w:space="0" w:color="auto"/>
            <w:left w:val="none" w:sz="0" w:space="0" w:color="auto"/>
            <w:bottom w:val="none" w:sz="0" w:space="0" w:color="auto"/>
            <w:right w:val="none" w:sz="0" w:space="0" w:color="auto"/>
          </w:divBdr>
          <w:divsChild>
            <w:div w:id="1490251335">
              <w:marLeft w:val="0"/>
              <w:marRight w:val="0"/>
              <w:marTop w:val="0"/>
              <w:marBottom w:val="0"/>
              <w:divBdr>
                <w:top w:val="none" w:sz="0" w:space="0" w:color="auto"/>
                <w:left w:val="none" w:sz="0" w:space="0" w:color="auto"/>
                <w:bottom w:val="none" w:sz="0" w:space="0" w:color="auto"/>
                <w:right w:val="none" w:sz="0" w:space="0" w:color="auto"/>
              </w:divBdr>
              <w:divsChild>
                <w:div w:id="1219122915">
                  <w:marLeft w:val="0"/>
                  <w:marRight w:val="0"/>
                  <w:marTop w:val="0"/>
                  <w:marBottom w:val="0"/>
                  <w:divBdr>
                    <w:top w:val="none" w:sz="0" w:space="0" w:color="auto"/>
                    <w:left w:val="none" w:sz="0" w:space="0" w:color="auto"/>
                    <w:bottom w:val="none" w:sz="0" w:space="0" w:color="auto"/>
                    <w:right w:val="none" w:sz="0" w:space="0" w:color="auto"/>
                  </w:divBdr>
                  <w:divsChild>
                    <w:div w:id="1265965276">
                      <w:marLeft w:val="0"/>
                      <w:marRight w:val="0"/>
                      <w:marTop w:val="0"/>
                      <w:marBottom w:val="0"/>
                      <w:divBdr>
                        <w:top w:val="none" w:sz="0" w:space="0" w:color="auto"/>
                        <w:left w:val="none" w:sz="0" w:space="0" w:color="auto"/>
                        <w:bottom w:val="none" w:sz="0" w:space="0" w:color="auto"/>
                        <w:right w:val="none" w:sz="0" w:space="0" w:color="auto"/>
                      </w:divBdr>
                      <w:divsChild>
                        <w:div w:id="133717551">
                          <w:marLeft w:val="0"/>
                          <w:marRight w:val="0"/>
                          <w:marTop w:val="0"/>
                          <w:marBottom w:val="0"/>
                          <w:divBdr>
                            <w:top w:val="none" w:sz="0" w:space="0" w:color="auto"/>
                            <w:left w:val="none" w:sz="0" w:space="0" w:color="auto"/>
                            <w:bottom w:val="none" w:sz="0" w:space="0" w:color="auto"/>
                            <w:right w:val="none" w:sz="0" w:space="0" w:color="auto"/>
                          </w:divBdr>
                          <w:divsChild>
                            <w:div w:id="2146463975">
                              <w:marLeft w:val="0"/>
                              <w:marRight w:val="0"/>
                              <w:marTop w:val="0"/>
                              <w:marBottom w:val="0"/>
                              <w:divBdr>
                                <w:top w:val="none" w:sz="0" w:space="0" w:color="auto"/>
                                <w:left w:val="none" w:sz="0" w:space="0" w:color="auto"/>
                                <w:bottom w:val="none" w:sz="0" w:space="0" w:color="auto"/>
                                <w:right w:val="none" w:sz="0" w:space="0" w:color="auto"/>
                              </w:divBdr>
                              <w:divsChild>
                                <w:div w:id="519470449">
                                  <w:marLeft w:val="0"/>
                                  <w:marRight w:val="0"/>
                                  <w:marTop w:val="0"/>
                                  <w:marBottom w:val="0"/>
                                  <w:divBdr>
                                    <w:top w:val="none" w:sz="0" w:space="0" w:color="auto"/>
                                    <w:left w:val="none" w:sz="0" w:space="0" w:color="auto"/>
                                    <w:bottom w:val="none" w:sz="0" w:space="0" w:color="auto"/>
                                    <w:right w:val="none" w:sz="0" w:space="0" w:color="auto"/>
                                  </w:divBdr>
                                  <w:divsChild>
                                    <w:div w:id="611668608">
                                      <w:marLeft w:val="0"/>
                                      <w:marRight w:val="0"/>
                                      <w:marTop w:val="0"/>
                                      <w:marBottom w:val="0"/>
                                      <w:divBdr>
                                        <w:top w:val="none" w:sz="0" w:space="0" w:color="auto"/>
                                        <w:left w:val="none" w:sz="0" w:space="0" w:color="auto"/>
                                        <w:bottom w:val="none" w:sz="0" w:space="0" w:color="auto"/>
                                        <w:right w:val="none" w:sz="0" w:space="0" w:color="auto"/>
                                      </w:divBdr>
                                      <w:divsChild>
                                        <w:div w:id="1280143711">
                                          <w:marLeft w:val="0"/>
                                          <w:marRight w:val="0"/>
                                          <w:marTop w:val="0"/>
                                          <w:marBottom w:val="0"/>
                                          <w:divBdr>
                                            <w:top w:val="none" w:sz="0" w:space="0" w:color="auto"/>
                                            <w:left w:val="none" w:sz="0" w:space="0" w:color="auto"/>
                                            <w:bottom w:val="none" w:sz="0" w:space="0" w:color="auto"/>
                                            <w:right w:val="none" w:sz="0" w:space="0" w:color="auto"/>
                                          </w:divBdr>
                                        </w:div>
                                        <w:div w:id="1848448423">
                                          <w:marLeft w:val="0"/>
                                          <w:marRight w:val="0"/>
                                          <w:marTop w:val="0"/>
                                          <w:marBottom w:val="0"/>
                                          <w:divBdr>
                                            <w:top w:val="none" w:sz="0" w:space="0" w:color="auto"/>
                                            <w:left w:val="none" w:sz="0" w:space="0" w:color="auto"/>
                                            <w:bottom w:val="none" w:sz="0" w:space="0" w:color="auto"/>
                                            <w:right w:val="none" w:sz="0" w:space="0" w:color="auto"/>
                                          </w:divBdr>
                                        </w:div>
                                        <w:div w:id="3632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546721">
      <w:bodyDiv w:val="1"/>
      <w:marLeft w:val="0"/>
      <w:marRight w:val="0"/>
      <w:marTop w:val="0"/>
      <w:marBottom w:val="0"/>
      <w:divBdr>
        <w:top w:val="none" w:sz="0" w:space="0" w:color="auto"/>
        <w:left w:val="none" w:sz="0" w:space="0" w:color="auto"/>
        <w:bottom w:val="none" w:sz="0" w:space="0" w:color="auto"/>
        <w:right w:val="none" w:sz="0" w:space="0" w:color="auto"/>
      </w:divBdr>
    </w:div>
    <w:div w:id="1838374338">
      <w:bodyDiv w:val="1"/>
      <w:marLeft w:val="0"/>
      <w:marRight w:val="0"/>
      <w:marTop w:val="0"/>
      <w:marBottom w:val="0"/>
      <w:divBdr>
        <w:top w:val="none" w:sz="0" w:space="0" w:color="auto"/>
        <w:left w:val="none" w:sz="0" w:space="0" w:color="auto"/>
        <w:bottom w:val="none" w:sz="0" w:space="0" w:color="auto"/>
        <w:right w:val="none" w:sz="0" w:space="0" w:color="auto"/>
      </w:divBdr>
    </w:div>
    <w:div w:id="21396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pa.gov/r5water/wqs5/pdfs/IL-Sulfate%20Rationale%20of%20Decis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pa.gov/ogwdw/contaminants/unregulated/pdfs/study_sulfate_epa-cdc.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pa.gov/ogwdw/ccl/pdfs/reg_determine1/support_cc1_sulfate_dw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ltesting.tamu.edu/publications/B-1667.pdf" TargetMode="External"/><Relationship Id="rId5" Type="http://schemas.openxmlformats.org/officeDocument/2006/relationships/footnotes" Target="footnotes.xml"/><Relationship Id="rId15" Type="http://schemas.openxmlformats.org/officeDocument/2006/relationships/hyperlink" Target="http://cfpub.epa.gov/ecotox/" TargetMode="External"/><Relationship Id="rId10" Type="http://schemas.openxmlformats.org/officeDocument/2006/relationships/hyperlink" Target="http://www.ext.colostate.edu/pubs/crops/0050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ater.epa.gov/drink/contaminants/unregulated/sulfat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491</Words>
  <Characters>38375</Characters>
  <Application>Microsoft Office Word</Application>
  <DocSecurity>0</DocSecurity>
  <Lines>491</Lines>
  <Paragraphs>247</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cb0181</dc:creator>
  <cp:lastModifiedBy>Makus, Erik</cp:lastModifiedBy>
  <cp:revision>5</cp:revision>
  <cp:lastPrinted>2014-09-26T21:43:00Z</cp:lastPrinted>
  <dcterms:created xsi:type="dcterms:W3CDTF">2018-07-24T18:05:00Z</dcterms:created>
  <dcterms:modified xsi:type="dcterms:W3CDTF">2019-01-09T16:48:00Z</dcterms:modified>
</cp:coreProperties>
</file>